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snal-20221231x10k.htm"/>
        <w:bookmarkStart w:id="1" w:name="kssnal2022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4"/>
        </w:rPr>
      </w:pPr>
      <w:bookmarkStart w:id="2" w:name="_b7503607_5b7a_4142_a047_6aad4c44b223"/>
      <w:bookmarkEnd w:id="2"/>
      <w:r>
        <w:rPr>
          <w:rFonts w:ascii="Times New Roman;Times;serif" w:hAnsi="Times New Roman;Times;serif"/>
          <w:b/>
          <w:sz w:val="14"/>
        </w:rPr>
        <w:t>UNITED STATES</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AND EXCHANGE COMMISSION</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TextBody"/>
        <w:spacing w:before="0" w:after="0"/>
        <w:ind w:left="106" w:right="0" w:hanging="0"/>
        <w:rPr>
          <w:rFonts w:ascii="Times New Roman;Times;serif" w:hAnsi="Times New Roman;Times;serif"/>
          <w:b/>
          <w:sz w:val="14"/>
        </w:rPr>
      </w:pPr>
      <w:r>
        <w:rPr>
          <w:rFonts w:ascii="Times New Roman;Times;serif" w:hAnsi="Times New Roman;Times;serif"/>
          <w:b/>
          <w:sz w:val="14"/>
        </w:rPr>
        <w:t>(Mark One)</w:t>
      </w:r>
    </w:p>
    <w:p>
      <w:pPr>
        <w:pStyle w:val="TextBody"/>
        <w:spacing w:before="0" w:after="0"/>
        <w:ind w:left="106" w:right="0" w:hanging="0"/>
        <w:rPr/>
      </w:pPr>
      <w:r>
        <w:rPr>
          <w:caps w:val="false"/>
          <w:smallCaps w:val="false"/>
        </w:rPr>
        <w:t>☒</w:t>
      </w:r>
      <w:r>
        <w:rPr>
          <w:rFonts w:ascii="Times New Roman;Times;serif" w:hAnsi="Times New Roman;Times;serif"/>
          <w:b/>
          <w:sz w:val="14"/>
        </w:rPr>
        <w:t>ANNUAL REPORT PURSUANT TO SECTION 13 OR 15(d) OF THE SECURITIES EXCHANGE ACT OF 1934</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December 31, 2022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124"/>
        <w:gridCol w:w="316"/>
        <w:gridCol w:w="9765"/>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9765" w:type="dxa"/>
            <w:tcBorders/>
            <w:shd w:fill="auto" w:val="clear"/>
            <w:vAlign w:val="center"/>
          </w:tcPr>
          <w:p>
            <w:pPr>
              <w:pStyle w:val="TableContents"/>
              <w:spacing w:before="0" w:after="0"/>
              <w:rPr>
                <w:rFonts w:ascii="Times New Roman;Times;serif" w:hAnsi="Times New Roman;Times;serif"/>
                <w:b/>
                <w:sz w:val="14"/>
              </w:rPr>
            </w:pPr>
            <w:r>
              <w:rPr>
                <w:rFonts w:ascii="Times New Roman;Times;serif" w:hAnsi="Times New Roman;Times;serif"/>
                <w:b/>
                <w:sz w:val="14"/>
              </w:rPr>
              <w:t>TRANSITION REPORT PURSUANT TO SECTION 13 OR 15(d) OF THE SECURITIES EXCHANGE ACT OF 1934 FOR THE TRANSITION PERIOD FROM                    TO                    </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Commission File Number 001-41556</w:t>
      </w:r>
    </w:p>
    <w:p>
      <w:pPr>
        <w:pStyle w:val="TextBody"/>
        <w:spacing w:before="0" w:after="0"/>
        <w:ind w:left="0" w:right="0" w:hanging="0"/>
        <w:jc w:val="center"/>
        <w:rPr>
          <w:rFonts w:ascii="Times New Roman;Times;serif" w:hAnsi="Times New Roman;Times;serif"/>
          <w:b/>
          <w:sz w:val="38"/>
        </w:rPr>
      </w:pPr>
      <w:r>
        <w:rPr>
          <w:rFonts w:ascii="Times New Roman;Times;serif" w:hAnsi="Times New Roman;Times;serif"/>
          <w:b/>
          <w:sz w:val="38"/>
        </w:rPr>
        <w:t>SNAIL, INC.</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3" w:name="Tc_-wHXDn__cECLmjlpYNjSeA_2_1"/>
      <w:bookmarkStart w:id="4" w:name="Tc_dp31fTCyGU-o43--hnKXhw_2_0"/>
      <w:bookmarkStart w:id="5" w:name="_a7324a74_b71c_4b6b_9290_6e84ba27844a"/>
      <w:bookmarkStart w:id="6" w:name="Tc_-wHXDn__cECLmjlpYNjSeA_2_1"/>
      <w:bookmarkStart w:id="7" w:name="Tc_dp31fTCyGU-o43--hnKXhw_2_0"/>
      <w:bookmarkStart w:id="8" w:name="_a7324a74_b71c_4b6b_9290_6e84ba27844a"/>
      <w:bookmarkEnd w:id="6"/>
      <w:bookmarkEnd w:id="7"/>
      <w:bookmarkEnd w:id="8"/>
    </w:p>
    <w:tbl>
      <w:tblPr>
        <w:tblW w:w="3227" w:type="dxa"/>
        <w:jc w:val="left"/>
        <w:tblInd w:w="0" w:type="dxa"/>
        <w:tblCellMar>
          <w:top w:w="0" w:type="dxa"/>
          <w:left w:w="0" w:type="dxa"/>
          <w:bottom w:w="0" w:type="dxa"/>
          <w:right w:w="0" w:type="dxa"/>
        </w:tblCellMar>
      </w:tblPr>
      <w:tblGrid>
        <w:gridCol w:w="1981"/>
        <w:gridCol w:w="1246"/>
      </w:tblGrid>
      <w:tr>
        <w:trPr/>
        <w:tc>
          <w:tcPr>
            <w:tcW w:w="1981"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88-4146991</w:t>
            </w:r>
          </w:p>
        </w:tc>
      </w:tr>
      <w:tr>
        <w:trPr/>
        <w:tc>
          <w:tcPr>
            <w:tcW w:w="198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br/>
              <w:t>incorporation or organization)</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br/>
              <w:t>Identification No.)</w:t>
            </w:r>
          </w:p>
        </w:tc>
      </w:tr>
    </w:tbl>
    <w:p>
      <w:pPr>
        <w:pStyle w:val="TextBody"/>
        <w:spacing w:before="0" w:after="0"/>
        <w:ind w:left="0" w:right="0" w:hanging="0"/>
        <w:jc w:val="center"/>
        <w:rPr/>
      </w:pPr>
      <w:r>
        <w:rPr/>
        <w: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9" w:name="Tc_cLXEpIJK9E-Y84i0TVL5AA_3_1"/>
      <w:bookmarkStart w:id="10" w:name="Tc_BkI2fEopIEetho4o0jlVqw_3_0"/>
      <w:bookmarkStart w:id="11" w:name="Tc_slJFHwyvE0yf_ZoGNllJBQ_2_0"/>
      <w:bookmarkStart w:id="12" w:name="_43aa9b72_c5b7_4c88_a45e_a6987c7b90b3"/>
      <w:bookmarkStart w:id="13" w:name="Tc_cLXEpIJK9E-Y84i0TVL5AA_3_1"/>
      <w:bookmarkStart w:id="14" w:name="Tc_BkI2fEopIEetho4o0jlVqw_3_0"/>
      <w:bookmarkStart w:id="15" w:name="Tc_slJFHwyvE0yf_ZoGNllJBQ_2_0"/>
      <w:bookmarkStart w:id="16" w:name="_43aa9b72_c5b7_4c88_a45e_a6987c7b90b3"/>
      <w:bookmarkEnd w:id="13"/>
      <w:bookmarkEnd w:id="14"/>
      <w:bookmarkEnd w:id="15"/>
      <w:bookmarkEnd w:id="16"/>
    </w:p>
    <w:tbl>
      <w:tblPr>
        <w:tblW w:w="3182" w:type="dxa"/>
        <w:jc w:val="left"/>
        <w:tblInd w:w="0" w:type="dxa"/>
        <w:tblCellMar>
          <w:top w:w="0" w:type="dxa"/>
          <w:left w:w="0" w:type="dxa"/>
          <w:bottom w:w="0" w:type="dxa"/>
          <w:right w:w="0" w:type="dxa"/>
        </w:tblCellMar>
      </w:tblPr>
      <w:tblGrid>
        <w:gridCol w:w="2431"/>
        <w:gridCol w:w="751"/>
      </w:tblGrid>
      <w:tr>
        <w:trPr/>
        <w:tc>
          <w:tcPr>
            <w:tcW w:w="2431"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rPr/>
            </w:pPr>
            <w:r>
              <w:rPr/>
              <w:t>​</w:t>
            </w:r>
          </w:p>
        </w:tc>
      </w:tr>
      <w:tr>
        <w:trPr/>
        <w:tc>
          <w:tcPr>
            <w:tcW w:w="243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12049 Jefferson Blvd</w:t>
            </w:r>
          </w:p>
        </w:tc>
        <w:tc>
          <w:tcPr>
            <w:tcW w:w="751" w:type="dxa"/>
            <w:tcBorders/>
            <w:shd w:fill="auto" w:val="clear"/>
            <w:vAlign w:val="center"/>
          </w:tcPr>
          <w:p>
            <w:pPr>
              <w:pStyle w:val="TableContents"/>
              <w:spacing w:before="0" w:after="0"/>
              <w:ind w:left="0" w:right="0" w:hanging="0"/>
              <w:jc w:val="center"/>
              <w:rPr/>
            </w:pPr>
            <w:r>
              <w:rPr/>
              <w:t>​</w:t>
            </w:r>
          </w:p>
        </w:tc>
      </w:tr>
      <w:tr>
        <w:trPr/>
        <w:tc>
          <w:tcPr>
            <w:tcW w:w="24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4"/>
              </w:rPr>
              <w:t>Culver City, CA</w:t>
            </w:r>
            <w:r>
              <w:rPr>
                <w:rFonts w:ascii="Times New Roman;Times;serif" w:hAnsi="Times New Roman;Times;serif"/>
                <w:sz w:val="20"/>
              </w:rPr>
              <w:t xml:space="preserve"> </w:t>
            </w:r>
          </w:p>
        </w:tc>
        <w:tc>
          <w:tcPr>
            <w:tcW w:w="75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90230</w:t>
            </w:r>
          </w:p>
        </w:tc>
      </w:tr>
      <w:tr>
        <w:trPr/>
        <w:tc>
          <w:tcPr>
            <w:tcW w:w="243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75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 +1 (310) 988-0643</w:t>
      </w:r>
    </w:p>
    <w:p>
      <w:pPr>
        <w:pStyle w:val="TextBody"/>
        <w:spacing w:before="0" w:after="0"/>
        <w:ind w:left="0" w:right="0" w:hanging="0"/>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spacing w:before="0" w:after="0"/>
        <w:rPr>
          <w:sz w:val="4"/>
          <w:szCs w:val="4"/>
        </w:rPr>
      </w:pPr>
      <w:r>
        <w:rPr>
          <w:sz w:val="4"/>
          <w:szCs w:val="4"/>
        </w:rPr>
      </w:r>
      <w:bookmarkStart w:id="17" w:name="Tc_pLubPbs4SkqBMUn9RHhhyQ_1_4"/>
      <w:bookmarkStart w:id="18" w:name="Tc_fyKi1KsyCU6FvWYT2ZPDSA_1_2"/>
      <w:bookmarkStart w:id="19" w:name="Tc_bZokbkKQeEqxC9a8gzgkuA_1_0"/>
      <w:bookmarkStart w:id="20" w:name="_c07c25f6_cc7d_41c9_b1af_164345c8b5e3"/>
      <w:bookmarkStart w:id="21" w:name="Tc_pLubPbs4SkqBMUn9RHhhyQ_1_4"/>
      <w:bookmarkStart w:id="22" w:name="Tc_fyKi1KsyCU6FvWYT2ZPDSA_1_2"/>
      <w:bookmarkStart w:id="23" w:name="Tc_bZokbkKQeEqxC9a8gzgkuA_1_0"/>
      <w:bookmarkStart w:id="24" w:name="_c07c25f6_cc7d_41c9_b1af_164345c8b5e3"/>
      <w:bookmarkEnd w:id="21"/>
      <w:bookmarkEnd w:id="22"/>
      <w:bookmarkEnd w:id="23"/>
      <w:bookmarkEnd w:id="24"/>
    </w:p>
    <w:tbl>
      <w:tblPr>
        <w:tblW w:w="7675" w:type="dxa"/>
        <w:jc w:val="left"/>
        <w:tblInd w:w="0" w:type="dxa"/>
        <w:tblCellMar>
          <w:top w:w="0" w:type="dxa"/>
          <w:left w:w="0" w:type="dxa"/>
          <w:bottom w:w="0" w:type="dxa"/>
          <w:right w:w="0" w:type="dxa"/>
        </w:tblCellMar>
      </w:tblPr>
      <w:tblGrid>
        <w:gridCol w:w="3061"/>
        <w:gridCol w:w="326"/>
        <w:gridCol w:w="1261"/>
        <w:gridCol w:w="326"/>
        <w:gridCol w:w="2701"/>
      </w:tblGrid>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1" w:type="dxa"/>
            <w:tcBorders/>
            <w:shd w:fill="auto" w:val="clear"/>
            <w:vAlign w:val="center"/>
          </w:tcPr>
          <w:p>
            <w:pPr>
              <w:pStyle w:val="TableContents"/>
              <w:spacing w:before="0" w:after="0"/>
              <w:ind w:left="0" w:right="0" w:hanging="0"/>
              <w:rPr/>
            </w:pPr>
            <w:r>
              <w:rPr/>
              <w:t>​</w:t>
            </w:r>
          </w:p>
        </w:tc>
      </w:tr>
      <w:tr>
        <w:trPr/>
        <w:tc>
          <w:tcPr>
            <w:tcW w:w="30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shd w:fill="auto" w:val="clear"/>
            <w:vAlign w:val="center"/>
          </w:tcPr>
          <w:p>
            <w:pPr>
              <w:pStyle w:val="TableContents"/>
              <w:spacing w:before="0" w:after="0"/>
              <w:ind w:left="0" w:right="0" w:hanging="0"/>
              <w:rPr/>
            </w:pPr>
            <w:r>
              <w:rPr/>
              <w:t>    </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 (s)</w:t>
            </w:r>
          </w:p>
        </w:tc>
        <w:tc>
          <w:tcPr>
            <w:tcW w:w="326" w:type="dxa"/>
            <w:tcBorders/>
            <w:shd w:fill="auto" w:val="clear"/>
            <w:vAlign w:val="center"/>
          </w:tcPr>
          <w:p>
            <w:pPr>
              <w:pStyle w:val="TableContents"/>
              <w:spacing w:before="0" w:after="0"/>
              <w:ind w:left="0" w:right="0" w:hanging="0"/>
              <w:rPr/>
            </w:pPr>
            <w:r>
              <w:rPr/>
              <w:t>    </w:t>
            </w:r>
          </w:p>
        </w:tc>
        <w:tc>
          <w:tcPr>
            <w:tcW w:w="27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306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Class A common stock, par value $0.0001 per share</w:t>
            </w:r>
          </w:p>
        </w:tc>
        <w:tc>
          <w:tcPr>
            <w:tcW w:w="326" w:type="dxa"/>
            <w:tcBorders/>
            <w:shd w:fill="auto" w:val="clear"/>
            <w:vAlign w:val="center"/>
          </w:tcPr>
          <w:p>
            <w:pPr>
              <w:pStyle w:val="TableContents"/>
              <w:spacing w:before="0" w:after="0"/>
              <w:ind w:left="0" w:right="0" w:hanging="0"/>
              <w:rPr/>
            </w:pPr>
            <w:r>
              <w:rPr/>
              <w:t>​</w:t>
            </w:r>
          </w:p>
        </w:tc>
        <w:tc>
          <w:tcPr>
            <w:tcW w:w="126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SNAL</w:t>
            </w:r>
          </w:p>
        </w:tc>
        <w:tc>
          <w:tcPr>
            <w:tcW w:w="326" w:type="dxa"/>
            <w:tcBorders/>
            <w:shd w:fill="auto" w:val="clear"/>
            <w:vAlign w:val="center"/>
          </w:tcPr>
          <w:p>
            <w:pPr>
              <w:pStyle w:val="TableContents"/>
              <w:spacing w:before="0" w:after="0"/>
              <w:ind w:left="0" w:right="0" w:hanging="0"/>
              <w:rPr/>
            </w:pPr>
            <w:r>
              <w:rPr/>
              <w:t>​</w:t>
            </w:r>
          </w:p>
        </w:tc>
        <w:tc>
          <w:tcPr>
            <w:tcW w:w="270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The Nasdaq Stock Market LLC</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14"/>
        </w:rPr>
      </w:pPr>
      <w:r>
        <w:rPr>
          <w:rFonts w:ascii="Times New Roman;Times;serif" w:hAnsi="Times New Roman;Times;serif"/>
          <w:sz w:val="14"/>
        </w:rPr>
        <w:t xml:space="preserve">Securities registered pursuant to Section 12(g) of the Act: </w:t>
      </w:r>
      <w:r>
        <w:rPr>
          <w:rFonts w:ascii="Times New Roman;Times;serif" w:hAnsi="Times New Roman;Times;serif"/>
          <w:b/>
          <w:sz w:val="14"/>
        </w:rPr>
        <w:t>None</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b w:val="false"/>
          <w:i w:val="false"/>
          <w:caps w:val="false"/>
          <w:smallCaps w:val="false"/>
          <w:sz w:val="14"/>
        </w:rPr>
        <w:t>NO</w:t>
      </w:r>
      <w:r>
        <w:rPr>
          <w:rFonts w:ascii="Times New Roman;Times;serif" w:hAnsi="Times New Roman;Times;serif"/>
          <w:sz w:val="20"/>
        </w:rPr>
        <w:t>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if the Registrant is not required to file reports pursuant to Section 13 or 15(d) of the Act. YES  </w:t>
      </w:r>
      <w:r>
        <w:rPr>
          <w:rFonts w:ascii="Times New Roman;Times;serif" w:hAnsi="Times New Roman;Times;serif"/>
          <w:sz w:val="20"/>
        </w:rPr>
        <w:t>☐  </w:t>
      </w:r>
      <w:r>
        <w:rPr>
          <w:rFonts w:ascii="Times New Roman;Times;serif" w:hAnsi="Times New Roman;Times;serif"/>
          <w:b w:val="false"/>
          <w:i w:val="false"/>
          <w:caps w:val="false"/>
          <w:smallCaps w:val="false"/>
          <w:sz w:val="14"/>
        </w:rPr>
        <w:t>NO</w:t>
      </w:r>
      <w:r>
        <w:rPr>
          <w:rFonts w:ascii="Times New Roman;Times;serif" w:hAnsi="Times New Roman;Times;serif"/>
          <w:sz w:val="20"/>
        </w:rPr>
        <w:t>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14"/>
        </w:rPr>
        <w:t>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Times;serif" w:hAnsi="Times New Roman;Times;serif"/>
          <w:b w:val="false"/>
          <w:i w:val="false"/>
          <w:caps w:val="false"/>
          <w:smallCaps w:val="false"/>
          <w:sz w:val="14"/>
        </w:rPr>
        <w:t>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25" w:name="Tc_O6ByV8zDNka5Guy0PzA-fg_3_0"/>
      <w:bookmarkStart w:id="26" w:name="Tc_c09oV6IWRUqpC0FeheWxfg_2_2"/>
      <w:bookmarkStart w:id="27" w:name="Tc_vfco3TtiGk-Bux4bR-0RgA_2_1"/>
      <w:bookmarkStart w:id="28" w:name="Tc_Zop57YpfbkS92wLQTO71MA_1_3"/>
      <w:bookmarkStart w:id="29" w:name="Tc_6tLLrinQT0CAJ13Tyzn1Ig_1_2"/>
      <w:bookmarkStart w:id="30" w:name="Tc_KTBt87oeGUSfo8iRVYIfEg_1_1"/>
      <w:bookmarkStart w:id="31" w:name="Tc_W-UfReqInUabL90A88eUQw_1_0"/>
      <w:bookmarkStart w:id="32" w:name="_a306305c_5a53_4b05_97cc_ea9622ff44cd"/>
      <w:bookmarkStart w:id="33" w:name="Tc_O6ByV8zDNka5Guy0PzA-fg_3_0"/>
      <w:bookmarkStart w:id="34" w:name="Tc_c09oV6IWRUqpC0FeheWxfg_2_2"/>
      <w:bookmarkStart w:id="35" w:name="Tc_vfco3TtiGk-Bux4bR-0RgA_2_1"/>
      <w:bookmarkStart w:id="36" w:name="Tc_Zop57YpfbkS92wLQTO71MA_1_3"/>
      <w:bookmarkStart w:id="37" w:name="Tc_6tLLrinQT0CAJ13Tyzn1Ig_1_2"/>
      <w:bookmarkStart w:id="38" w:name="Tc_KTBt87oeGUSfo8iRVYIfEg_1_1"/>
      <w:bookmarkStart w:id="39" w:name="Tc_W-UfReqInUabL90A88eUQw_1_0"/>
      <w:bookmarkStart w:id="40" w:name="_a306305c_5a53_4b05_97cc_ea9622ff44cd"/>
      <w:bookmarkEnd w:id="33"/>
      <w:bookmarkEnd w:id="34"/>
      <w:bookmarkEnd w:id="35"/>
      <w:bookmarkEnd w:id="36"/>
      <w:bookmarkEnd w:id="37"/>
      <w:bookmarkEnd w:id="38"/>
      <w:bookmarkEnd w:id="39"/>
      <w:bookmarkEnd w:id="40"/>
    </w:p>
    <w:tbl>
      <w:tblPr>
        <w:tblW w:w="4009" w:type="dxa"/>
        <w:jc w:val="left"/>
        <w:tblInd w:w="0" w:type="dxa"/>
        <w:tblCellMar>
          <w:top w:w="0" w:type="dxa"/>
          <w:left w:w="0" w:type="dxa"/>
          <w:bottom w:w="0" w:type="dxa"/>
          <w:right w:w="0" w:type="dxa"/>
        </w:tblCellMar>
      </w:tblPr>
      <w:tblGrid>
        <w:gridCol w:w="1666"/>
        <w:gridCol w:w="316"/>
        <w:gridCol w:w="1666"/>
        <w:gridCol w:w="361"/>
      </w:tblGrid>
      <w:tr>
        <w:trPr/>
        <w:tc>
          <w:tcPr>
            <w:tcW w:w="166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166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Large accelerated filer</w:t>
            </w:r>
          </w:p>
        </w:tc>
        <w:tc>
          <w:tcPr>
            <w:tcW w:w="316" w:type="dxa"/>
            <w:tcBorders/>
            <w:shd w:fill="auto" w:val="clear"/>
            <w:vAlign w:val="center"/>
          </w:tcPr>
          <w:p>
            <w:pPr>
              <w:pStyle w:val="TableContents"/>
              <w:spacing w:before="0" w:after="0"/>
              <w:ind w:left="0" w:right="0" w:hanging="0"/>
              <w:rPr/>
            </w:pPr>
            <w:r>
              <w:rPr/>
              <w:t>☐</w:t>
            </w:r>
          </w:p>
        </w:tc>
        <w:tc>
          <w:tcPr>
            <w:tcW w:w="166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Accelerated filer</w:t>
            </w:r>
          </w:p>
        </w:tc>
        <w:tc>
          <w:tcPr>
            <w:tcW w:w="36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Non-accelerated filer</w:t>
            </w:r>
          </w:p>
        </w:tc>
        <w:tc>
          <w:tcPr>
            <w:tcW w:w="316" w:type="dxa"/>
            <w:tcBorders/>
            <w:shd w:fill="auto" w:val="clear"/>
            <w:vAlign w:val="center"/>
          </w:tcPr>
          <w:p>
            <w:pPr>
              <w:pStyle w:val="TableContents"/>
              <w:spacing w:before="0" w:after="0"/>
              <w:ind w:left="0" w:right="0" w:hanging="0"/>
              <w:rPr/>
            </w:pPr>
            <w:r>
              <w:rPr/>
              <w:t>☒</w:t>
            </w:r>
          </w:p>
        </w:tc>
        <w:tc>
          <w:tcPr>
            <w:tcW w:w="166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Smaller reporting company</w:t>
            </w:r>
          </w:p>
        </w:tc>
        <w:tc>
          <w:tcPr>
            <w:tcW w:w="36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Emerging growth company</w:t>
            </w:r>
          </w:p>
        </w:tc>
        <w:tc>
          <w:tcPr>
            <w:tcW w:w="316" w:type="dxa"/>
            <w:tcBorders/>
            <w:shd w:fill="auto" w:val="clear"/>
            <w:vAlign w:val="center"/>
          </w:tcPr>
          <w:p>
            <w:pPr>
              <w:pStyle w:val="TableContents"/>
              <w:spacing w:before="0" w:after="0"/>
              <w:ind w:left="0" w:right="0" w:hanging="0"/>
              <w:rPr/>
            </w:pPr>
            <w:r>
              <w:rPr/>
              <w:t>☒</w:t>
            </w:r>
          </w:p>
        </w:tc>
        <w:tc>
          <w:tcPr>
            <w:tcW w:w="166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4"/>
        </w:rPr>
      </w:pPr>
      <w:r>
        <w:rPr>
          <w:rFonts w:ascii="Times New Roman;Times;serif" w:hAnsi="Times New Roman;Times;serif"/>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4"/>
        </w:rPr>
        <w:t xml:space="preserve">NO </w:t>
      </w:r>
      <w:r>
        <w:rPr>
          <w:rFonts w:ascii="Times New Roman;Times;serif" w:hAnsi="Times New Roman;Times;serif"/>
          <w:sz w:val="20"/>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4"/>
        </w:rPr>
      </w:pPr>
      <w:r>
        <w:rPr>
          <w:rFonts w:ascii="Times New Roman;Times;serif" w:hAnsi="Times New Roman;Times;serif"/>
          <w:sz w:val="14"/>
        </w:rPr>
        <w:t>As of June 30, 2022, the last business day of the Registrant’s most recently completed second fiscal quarter, there was no public market for the Registrant’s common stock. The Registrant’s Class A common stock began trading on the Nasdaq Capital Market on November 10, 2022. The aggregate market value of voting and non-voting common equity held by non-affiliates of the Registrant, based on the closing price of the Registrant’s Class A common stock on the Nasdaq Capital Market on March 24, 2023, was approximately $10,903,580.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4"/>
        </w:rPr>
      </w:pPr>
      <w:r>
        <w:rPr>
          <w:rFonts w:ascii="Times New Roman;Times;serif" w:hAnsi="Times New Roman;Times;serif"/>
          <w:sz w:val="14"/>
        </w:rPr>
        <w:t>Indicate the number of shares outstanding of each of the registrant’s classes of common stock, as of the latest practicable date.</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41" w:name="Tc_zCX39HjZ8kurssXMJWfa8g_4_0"/>
      <w:bookmarkStart w:id="42" w:name="Tc_7KGg0Kv8Zk-5sTy8NwhCgQ_3_0"/>
      <w:bookmarkStart w:id="43" w:name="Tc__tAIL8lsLEC0SbUFhgbcUA_2_2"/>
      <w:bookmarkStart w:id="44" w:name="Tc_tGf-ORe7U0Gg0acFi7E6vg_2_0"/>
      <w:bookmarkStart w:id="45" w:name="_d007fc64_7fe0_4d1c_9244_3433e06bcc3e"/>
      <w:bookmarkStart w:id="46" w:name="_a7a63c45_fbf7_481c_8000_45430c71baaa"/>
      <w:bookmarkStart w:id="47" w:name="Tc_zCX39HjZ8kurssXMJWfa8g_4_0"/>
      <w:bookmarkStart w:id="48" w:name="Tc_7KGg0Kv8Zk-5sTy8NwhCgQ_3_0"/>
      <w:bookmarkStart w:id="49" w:name="Tc__tAIL8lsLEC0SbUFhgbcUA_2_2"/>
      <w:bookmarkStart w:id="50" w:name="Tc_tGf-ORe7U0Gg0acFi7E6vg_2_0"/>
      <w:bookmarkStart w:id="51" w:name="_d007fc64_7fe0_4d1c_9244_3433e06bcc3e"/>
      <w:bookmarkStart w:id="52" w:name="_a7a63c45_fbf7_481c_8000_45430c71baaa"/>
      <w:bookmarkEnd w:id="47"/>
      <w:bookmarkEnd w:id="48"/>
      <w:bookmarkEnd w:id="49"/>
      <w:bookmarkEnd w:id="50"/>
      <w:bookmarkEnd w:id="51"/>
      <w:bookmarkEnd w:id="52"/>
    </w:p>
    <w:tbl>
      <w:tblPr>
        <w:tblW w:w="5931" w:type="dxa"/>
        <w:jc w:val="left"/>
        <w:tblInd w:w="0" w:type="dxa"/>
        <w:tblCellMar>
          <w:top w:w="0" w:type="dxa"/>
          <w:left w:w="0" w:type="dxa"/>
          <w:bottom w:w="0" w:type="dxa"/>
          <w:right w:w="0" w:type="dxa"/>
        </w:tblCellMar>
      </w:tblPr>
      <w:tblGrid>
        <w:gridCol w:w="3211"/>
        <w:gridCol w:w="109"/>
        <w:gridCol w:w="2611"/>
      </w:tblGrid>
      <w:tr>
        <w:trPr/>
        <w:tc>
          <w:tcPr>
            <w:tcW w:w="3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38985" cy="175260"/>
                      <wp:effectExtent l="0" t="0" r="0" b="0"/>
                      <wp:wrapNone/>
                      <wp:docPr id="1" name="Frame1"/>
                      <a:graphic xmlns:a="http://schemas.openxmlformats.org/drawingml/2006/main">
                        <a:graphicData uri="http://schemas.microsoft.com/office/word/2010/wordprocessingShape">
                          <wps:wsp>
                            <wps:cNvSpPr txBox="1"/>
                            <wps:spPr>
                              <a:xfrm>
                                <a:off x="0" y="0"/>
                                <a:ext cx="2038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26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57985" cy="175260"/>
                      <wp:effectExtent l="0" t="0" r="0" b="0"/>
                      <wp:wrapNone/>
                      <wp:docPr id="2" name="Frame2"/>
                      <a:graphic xmlns:a="http://schemas.openxmlformats.org/drawingml/2006/main">
                        <a:graphicData uri="http://schemas.microsoft.com/office/word/2010/wordprocessingShape">
                          <wps:wsp>
                            <wps:cNvSpPr txBox="1"/>
                            <wps:spPr>
                              <a:xfrm>
                                <a:off x="0" y="0"/>
                                <a:ext cx="1657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611" w:type="dxa"/>
            <w:tcBorders/>
            <w:shd w:fill="auto" w:val="clear"/>
            <w:vAlign w:val="center"/>
          </w:tcPr>
          <w:p>
            <w:pPr>
              <w:pStyle w:val="TableContents"/>
              <w:spacing w:before="0" w:after="0"/>
              <w:ind w:left="0" w:right="0" w:hanging="0"/>
              <w:rPr/>
            </w:pPr>
            <w:r>
              <w:rPr/>
              <w:t>​</w:t>
            </w:r>
          </w:p>
        </w:tc>
      </w:tr>
      <w:tr>
        <w:trPr/>
        <w:tc>
          <w:tcPr>
            <w:tcW w:w="32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of Common Stock</w:t>
            </w:r>
          </w:p>
        </w:tc>
        <w:tc>
          <w:tcPr>
            <w:tcW w:w="109" w:type="dxa"/>
            <w:tcBorders/>
            <w:shd w:fill="auto" w:val="clear"/>
            <w:vAlign w:val="center"/>
          </w:tcPr>
          <w:p>
            <w:pPr>
              <w:pStyle w:val="TableContents"/>
              <w:spacing w:before="0" w:after="0"/>
              <w:ind w:left="0" w:right="0" w:hanging="0"/>
              <w:jc w:val="center"/>
              <w:rPr/>
            </w:pPr>
            <w:r>
              <w:rPr/>
              <w:t>​</w:t>
            </w:r>
          </w:p>
        </w:tc>
        <w:tc>
          <w:tcPr>
            <w:tcW w:w="26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 Shares as of March 24, 2023</w:t>
            </w:r>
          </w:p>
        </w:tc>
      </w:tr>
      <w:tr>
        <w:trPr/>
        <w:tc>
          <w:tcPr>
            <w:tcW w:w="3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 Common Stock, par value $0.0001 per share</w:t>
            </w:r>
          </w:p>
        </w:tc>
        <w:tc>
          <w:tcPr>
            <w:tcW w:w="109" w:type="dxa"/>
            <w:tcBorders/>
            <w:shd w:fill="auto" w:val="clear"/>
            <w:vAlign w:val="center"/>
          </w:tcPr>
          <w:p>
            <w:pPr>
              <w:pStyle w:val="TableContents"/>
              <w:spacing w:before="0" w:after="0"/>
              <w:ind w:left="0" w:right="0" w:hanging="0"/>
              <w:jc w:val="center"/>
              <w:rPr/>
            </w:pPr>
            <w:r>
              <w:rPr/>
              <w:t>​</w:t>
            </w:r>
          </w:p>
        </w:tc>
        <w:tc>
          <w:tcPr>
            <w:tcW w:w="26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7,901,145</w:t>
            </w:r>
          </w:p>
        </w:tc>
      </w:tr>
      <w:tr>
        <w:trPr/>
        <w:tc>
          <w:tcPr>
            <w:tcW w:w="3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 Common Stock, par value $0.0001 per share</w:t>
            </w:r>
          </w:p>
        </w:tc>
        <w:tc>
          <w:tcPr>
            <w:tcW w:w="109" w:type="dxa"/>
            <w:tcBorders/>
            <w:shd w:fill="auto" w:val="clear"/>
            <w:vAlign w:val="center"/>
          </w:tcPr>
          <w:p>
            <w:pPr>
              <w:pStyle w:val="TableContents"/>
              <w:spacing w:before="0" w:after="0"/>
              <w:ind w:left="0" w:right="0" w:hanging="0"/>
              <w:jc w:val="center"/>
              <w:rPr/>
            </w:pPr>
            <w:r>
              <w:rPr/>
              <w:t>​</w:t>
            </w:r>
          </w:p>
        </w:tc>
        <w:tc>
          <w:tcPr>
            <w:tcW w:w="26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28,748,580</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14"/>
        </w:rPr>
      </w:pPr>
      <w:r>
        <w:rPr>
          <w:rFonts w:ascii="Times New Roman;Times;serif" w:hAnsi="Times New Roman;Times;serif"/>
          <w:sz w:val="14"/>
        </w:rPr>
        <w:t>Part III of this Annual Report on Form 10-K incorporates certain information by reference from the definitive proxy statement for the Registrant’s 2023 Annual Meeting of Stockholders to be filed within 120 days of the Registrant’s fiscal year ended December 31, 2022 (the “Proxy Statement”). Except with respect to information specifically incorporated by reference in this Form 10-K, the Proxy Statement is not deemed to be filed as part of this Form 10-K.</w:t>
      </w:r>
    </w:p>
    <w:p>
      <w:pPr>
        <w:pStyle w:val="TextBody"/>
        <w:spacing w:before="0" w:after="0"/>
        <w:ind w:left="0" w:right="0" w:hanging="0"/>
        <w:rPr/>
      </w:pPr>
      <w:r>
        <w:rPr/>
        <w:t>​</w:t>
      </w:r>
    </w:p>
    <w:p>
      <w:pPr>
        <w:pStyle w:val="TextBody"/>
        <w:spacing w:before="0" w:after="0"/>
        <w:ind w:left="0" w:right="0" w:hanging="0"/>
        <w:rPr/>
      </w:pPr>
      <w:r>
        <w:rPr/>
        <w:t>​</w:t>
      </w:r>
    </w:p>
    <w:p>
      <w:pPr>
        <w:pStyle w:val="TextBody"/>
        <w:pBdr>
          <w:top w:val="single" w:sz="8"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3" w:name="TOC"/>
      <w:bookmarkStart w:id="54" w:name="_1b360c86_75fb_4faa_be61_bf14a049993c"/>
      <w:bookmarkEnd w:id="53"/>
      <w:bookmarkEnd w:id="54"/>
      <w:r>
        <w:rPr>
          <w:rFonts w:ascii="Times New Roman;Times;serif" w:hAnsi="Times New Roman;Times;serif"/>
          <w:b/>
          <w:sz w:val="20"/>
        </w:rPr>
        <w:t>Table of Contents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902"/>
        <w:gridCol w:w="8731"/>
        <w:gridCol w:w="572"/>
      </w:tblGrid>
      <w:tr>
        <w:trPr/>
        <w:tc>
          <w:tcPr>
            <w:tcW w:w="902" w:type="dxa"/>
            <w:tcBorders/>
            <w:shd w:fill="auto" w:val="clear"/>
            <w:vAlign w:val="center"/>
          </w:tcPr>
          <w:p>
            <w:pPr>
              <w:pStyle w:val="TableContents"/>
              <w:spacing w:before="0" w:after="0"/>
              <w:ind w:left="0" w:right="0" w:hanging="0"/>
              <w:jc w:val="center"/>
              <w:rPr/>
            </w:pPr>
            <w:r>
              <w:rPr/>
              <w:t>​</w:t>
            </w:r>
          </w:p>
        </w:tc>
        <w:tc>
          <w:tcPr>
            <w:tcW w:w="8731" w:type="dxa"/>
            <w:tcBorders/>
            <w:shd w:fill="auto" w:val="clear"/>
            <w:vAlign w:val="center"/>
          </w:tcPr>
          <w:p>
            <w:pPr>
              <w:pStyle w:val="TableContents"/>
              <w:spacing w:before="0" w:after="0"/>
              <w:ind w:left="0" w:right="0" w:hanging="0"/>
              <w:rPr/>
            </w:pPr>
            <w:r>
              <w:rPr/>
              <w:t>​</w:t>
            </w:r>
          </w:p>
        </w:tc>
        <w:tc>
          <w:tcPr>
            <w:tcW w:w="57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02" w:type="dxa"/>
            <w:tcBorders/>
            <w:shd w:fill="auto" w:val="clear"/>
            <w:vAlign w:val="center"/>
          </w:tcPr>
          <w:p>
            <w:pPr>
              <w:pStyle w:val="TableContents"/>
              <w:spacing w:before="0" w:after="0"/>
              <w:ind w:left="0" w:right="0" w:hanging="0"/>
              <w:rPr/>
            </w:pPr>
            <w:hyperlink w:anchor="PARTI_361461">
              <w:r>
                <w:rPr>
                  <w:rStyle w:val="InternetLink"/>
                  <w:rFonts w:ascii="Times New Roman;Times;serif" w:hAnsi="Times New Roman;Times;serif"/>
                  <w:b/>
                  <w:i w:val="false"/>
                  <w:caps w:val="false"/>
                  <w:smallCaps w:val="false"/>
                  <w:sz w:val="20"/>
                </w:rPr>
                <w:t>PART I</w:t>
              </w:r>
            </w:hyperlink>
          </w:p>
        </w:tc>
        <w:tc>
          <w:tcPr>
            <w:tcW w:w="8731"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02" w:type="dxa"/>
            <w:tcBorders/>
            <w:shd w:fill="auto" w:val="clear"/>
            <w:vAlign w:val="center"/>
          </w:tcPr>
          <w:p>
            <w:pPr>
              <w:pStyle w:val="TableContents"/>
              <w:spacing w:before="0" w:after="0"/>
              <w:ind w:left="0" w:right="0" w:hanging="0"/>
              <w:rPr/>
            </w:pPr>
            <w:hyperlink w:anchor="Item1Business_463527">
              <w:r>
                <w:rPr>
                  <w:rStyle w:val="InternetLink"/>
                  <w:rFonts w:ascii="Times New Roman;Times;serif" w:hAnsi="Times New Roman;Times;serif"/>
                  <w:b w:val="false"/>
                  <w:i w:val="false"/>
                  <w:caps w:val="false"/>
                  <w:smallCaps w:val="false"/>
                  <w:sz w:val="20"/>
                </w:rPr>
                <w:t>Item 1.</w:t>
              </w:r>
            </w:hyperlink>
          </w:p>
        </w:tc>
        <w:tc>
          <w:tcPr>
            <w:tcW w:w="8731" w:type="dxa"/>
            <w:tcBorders/>
            <w:shd w:fill="auto" w:val="clear"/>
            <w:vAlign w:val="center"/>
          </w:tcPr>
          <w:p>
            <w:pPr>
              <w:pStyle w:val="TableContents"/>
              <w:spacing w:before="0" w:after="0"/>
              <w:ind w:left="0" w:right="0" w:hanging="0"/>
              <w:rPr/>
            </w:pPr>
            <w:hyperlink w:anchor="Item1Business_463527">
              <w:r>
                <w:rPr>
                  <w:rStyle w:val="InternetLink"/>
                  <w:rFonts w:ascii="Times New Roman;Times;serif" w:hAnsi="Times New Roman;Times;serif"/>
                  <w:b w:val="false"/>
                  <w:i w:val="false"/>
                  <w:caps w:val="false"/>
                  <w:smallCaps w:val="false"/>
                  <w:sz w:val="20"/>
                </w:rPr>
                <w:t>Business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02" w:type="dxa"/>
            <w:tcBorders/>
            <w:shd w:fill="auto" w:val="clear"/>
            <w:vAlign w:val="center"/>
          </w:tcPr>
          <w:p>
            <w:pPr>
              <w:pStyle w:val="TableContents"/>
              <w:spacing w:before="0" w:after="0"/>
              <w:ind w:left="0" w:right="0" w:hanging="0"/>
              <w:rPr/>
            </w:pPr>
            <w:hyperlink w:anchor="Item1ARiskFactors_481452">
              <w:r>
                <w:rPr>
                  <w:rStyle w:val="InternetLink"/>
                  <w:rFonts w:ascii="Times New Roman;Times;serif" w:hAnsi="Times New Roman;Times;serif"/>
                  <w:b w:val="false"/>
                  <w:i w:val="false"/>
                  <w:caps w:val="false"/>
                  <w:smallCaps w:val="false"/>
                  <w:sz w:val="20"/>
                </w:rPr>
                <w:t>Item 1A.</w:t>
              </w:r>
            </w:hyperlink>
          </w:p>
        </w:tc>
        <w:tc>
          <w:tcPr>
            <w:tcW w:w="8731" w:type="dxa"/>
            <w:tcBorders/>
            <w:shd w:fill="auto" w:val="clear"/>
            <w:vAlign w:val="center"/>
          </w:tcPr>
          <w:p>
            <w:pPr>
              <w:pStyle w:val="TableContents"/>
              <w:spacing w:before="0" w:after="0"/>
              <w:ind w:left="0" w:right="0" w:hanging="0"/>
              <w:rPr/>
            </w:pPr>
            <w:hyperlink w:anchor="Item1ARiskFactors_481452">
              <w:r>
                <w:rPr>
                  <w:rStyle w:val="InternetLink"/>
                  <w:rFonts w:ascii="Times New Roman;Times;serif" w:hAnsi="Times New Roman;Times;serif"/>
                  <w:b w:val="false"/>
                  <w:i w:val="false"/>
                  <w:caps w:val="false"/>
                  <w:smallCaps w:val="false"/>
                  <w:sz w:val="20"/>
                </w:rPr>
                <w:t>Risk Factors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902" w:type="dxa"/>
            <w:tcBorders/>
            <w:shd w:fill="auto" w:val="clear"/>
            <w:vAlign w:val="center"/>
          </w:tcPr>
          <w:p>
            <w:pPr>
              <w:pStyle w:val="TableContents"/>
              <w:spacing w:before="0" w:after="0"/>
              <w:ind w:left="0" w:right="0" w:hanging="0"/>
              <w:rPr/>
            </w:pPr>
            <w:hyperlink w:anchor="Item1BUnresolvedStaffComments_200459">
              <w:r>
                <w:rPr>
                  <w:rStyle w:val="InternetLink"/>
                  <w:rFonts w:ascii="Times New Roman;Times;serif" w:hAnsi="Times New Roman;Times;serif"/>
                  <w:b w:val="false"/>
                  <w:i w:val="false"/>
                  <w:caps w:val="false"/>
                  <w:smallCaps w:val="false"/>
                  <w:sz w:val="20"/>
                </w:rPr>
                <w:t>Item 1B.</w:t>
              </w:r>
            </w:hyperlink>
          </w:p>
        </w:tc>
        <w:tc>
          <w:tcPr>
            <w:tcW w:w="8731" w:type="dxa"/>
            <w:tcBorders/>
            <w:shd w:fill="auto" w:val="clear"/>
            <w:vAlign w:val="center"/>
          </w:tcPr>
          <w:p>
            <w:pPr>
              <w:pStyle w:val="TableContents"/>
              <w:spacing w:before="0" w:after="0"/>
              <w:ind w:left="0" w:right="0" w:hanging="0"/>
              <w:rPr/>
            </w:pPr>
            <w:hyperlink w:anchor="Item1BUnresolvedStaffComments_200459">
              <w:r>
                <w:rPr>
                  <w:rStyle w:val="InternetLink"/>
                  <w:rFonts w:ascii="Times New Roman;Times;serif" w:hAnsi="Times New Roman;Times;serif"/>
                  <w:b w:val="false"/>
                  <w:i w:val="false"/>
                  <w:caps w:val="false"/>
                  <w:smallCaps w:val="false"/>
                  <w:sz w:val="20"/>
                </w:rPr>
                <w:t>Unresolved Staff Comments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02" w:type="dxa"/>
            <w:tcBorders/>
            <w:shd w:fill="auto" w:val="clear"/>
            <w:vAlign w:val="center"/>
          </w:tcPr>
          <w:p>
            <w:pPr>
              <w:pStyle w:val="TableContents"/>
              <w:spacing w:before="0" w:after="0"/>
              <w:ind w:left="0" w:right="0" w:hanging="0"/>
              <w:rPr/>
            </w:pPr>
            <w:hyperlink w:anchor="Item2Properties_396206">
              <w:r>
                <w:rPr>
                  <w:rStyle w:val="InternetLink"/>
                  <w:rFonts w:ascii="Times New Roman;Times;serif" w:hAnsi="Times New Roman;Times;serif"/>
                  <w:b w:val="false"/>
                  <w:i w:val="false"/>
                  <w:caps w:val="false"/>
                  <w:smallCaps w:val="false"/>
                  <w:sz w:val="20"/>
                </w:rPr>
                <w:t>Item 2.</w:t>
              </w:r>
            </w:hyperlink>
          </w:p>
        </w:tc>
        <w:tc>
          <w:tcPr>
            <w:tcW w:w="8731" w:type="dxa"/>
            <w:tcBorders/>
            <w:shd w:fill="auto" w:val="clear"/>
            <w:vAlign w:val="center"/>
          </w:tcPr>
          <w:p>
            <w:pPr>
              <w:pStyle w:val="TableContents"/>
              <w:spacing w:before="0" w:after="0"/>
              <w:ind w:left="0" w:right="0" w:hanging="0"/>
              <w:rPr/>
            </w:pPr>
            <w:hyperlink w:anchor="Item2Properties_396206">
              <w:r>
                <w:rPr>
                  <w:rStyle w:val="InternetLink"/>
                  <w:rFonts w:ascii="Times New Roman;Times;serif" w:hAnsi="Times New Roman;Times;serif"/>
                  <w:b w:val="false"/>
                  <w:i w:val="false"/>
                  <w:caps w:val="false"/>
                  <w:smallCaps w:val="false"/>
                  <w:sz w:val="20"/>
                </w:rPr>
                <w:t>Properties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02" w:type="dxa"/>
            <w:tcBorders/>
            <w:shd w:fill="auto" w:val="clear"/>
            <w:vAlign w:val="center"/>
          </w:tcPr>
          <w:p>
            <w:pPr>
              <w:pStyle w:val="TableContents"/>
              <w:spacing w:before="0" w:after="0"/>
              <w:ind w:left="0" w:right="0" w:hanging="0"/>
              <w:rPr/>
            </w:pPr>
            <w:hyperlink w:anchor="Item3LegalProceedings_770484">
              <w:r>
                <w:rPr>
                  <w:rStyle w:val="InternetLink"/>
                  <w:rFonts w:ascii="Times New Roman;Times;serif" w:hAnsi="Times New Roman;Times;serif"/>
                  <w:b w:val="false"/>
                  <w:i w:val="false"/>
                  <w:caps w:val="false"/>
                  <w:smallCaps w:val="false"/>
                  <w:sz w:val="20"/>
                </w:rPr>
                <w:t>Item 3.</w:t>
              </w:r>
            </w:hyperlink>
          </w:p>
        </w:tc>
        <w:tc>
          <w:tcPr>
            <w:tcW w:w="8731" w:type="dxa"/>
            <w:tcBorders/>
            <w:shd w:fill="auto" w:val="clear"/>
            <w:vAlign w:val="center"/>
          </w:tcPr>
          <w:p>
            <w:pPr>
              <w:pStyle w:val="TableContents"/>
              <w:spacing w:before="0" w:after="0"/>
              <w:ind w:left="0" w:right="0" w:hanging="0"/>
              <w:rPr/>
            </w:pPr>
            <w:hyperlink w:anchor="Item3LegalProceedings_770484">
              <w:r>
                <w:rPr>
                  <w:rStyle w:val="InternetLink"/>
                  <w:rFonts w:ascii="Times New Roman;Times;serif" w:hAnsi="Times New Roman;Times;serif"/>
                  <w:b w:val="false"/>
                  <w:i w:val="false"/>
                  <w:caps w:val="false"/>
                  <w:smallCaps w:val="false"/>
                  <w:sz w:val="20"/>
                </w:rPr>
                <w:t>Legal Proceedings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02" w:type="dxa"/>
            <w:tcBorders/>
            <w:shd w:fill="auto" w:val="clear"/>
            <w:vAlign w:val="center"/>
          </w:tcPr>
          <w:p>
            <w:pPr>
              <w:pStyle w:val="TableContents"/>
              <w:spacing w:before="0" w:after="0"/>
              <w:ind w:left="0" w:right="0" w:hanging="0"/>
              <w:rPr/>
            </w:pPr>
            <w:hyperlink w:anchor="Item4MineSafetyDisclosures_303136">
              <w:r>
                <w:rPr>
                  <w:rStyle w:val="InternetLink"/>
                  <w:rFonts w:ascii="Times New Roman;Times;serif" w:hAnsi="Times New Roman;Times;serif"/>
                  <w:b w:val="false"/>
                  <w:i w:val="false"/>
                  <w:caps w:val="false"/>
                  <w:smallCaps w:val="false"/>
                  <w:sz w:val="20"/>
                </w:rPr>
                <w:t>Item 4.</w:t>
              </w:r>
            </w:hyperlink>
          </w:p>
        </w:tc>
        <w:tc>
          <w:tcPr>
            <w:tcW w:w="8731" w:type="dxa"/>
            <w:tcBorders/>
            <w:shd w:fill="auto" w:val="clear"/>
            <w:vAlign w:val="center"/>
          </w:tcPr>
          <w:p>
            <w:pPr>
              <w:pStyle w:val="TableContents"/>
              <w:spacing w:before="0" w:after="0"/>
              <w:ind w:left="0" w:right="0" w:hanging="0"/>
              <w:rPr/>
            </w:pPr>
            <w:hyperlink w:anchor="Item4MineSafetyDisclosures_303136">
              <w:r>
                <w:rPr>
                  <w:rStyle w:val="InternetLink"/>
                  <w:rFonts w:ascii="Times New Roman;Times;serif" w:hAnsi="Times New Roman;Times;serif"/>
                  <w:b w:val="false"/>
                  <w:i w:val="false"/>
                  <w:caps w:val="false"/>
                  <w:smallCaps w:val="false"/>
                  <w:sz w:val="20"/>
                </w:rPr>
                <w:t>Mine Safety Disclosures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02" w:type="dxa"/>
            <w:tcBorders/>
            <w:shd w:fill="auto" w:val="clear"/>
            <w:vAlign w:val="center"/>
          </w:tcPr>
          <w:p>
            <w:pPr>
              <w:pStyle w:val="TableContents"/>
              <w:spacing w:before="0" w:after="0"/>
              <w:ind w:left="0" w:right="0" w:hanging="0"/>
              <w:rPr/>
            </w:pPr>
            <w:r>
              <w:rPr/>
              <w:t> </w:t>
            </w:r>
          </w:p>
        </w:tc>
        <w:tc>
          <w:tcPr>
            <w:tcW w:w="8731"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283"/>
              <w:ind w:left="0" w:right="0" w:hanging="0"/>
              <w:rPr>
                <w:sz w:val="4"/>
                <w:szCs w:val="4"/>
              </w:rPr>
            </w:pPr>
            <w:r>
              <w:rPr>
                <w:sz w:val="4"/>
                <w:szCs w:val="4"/>
              </w:rPr>
            </w:r>
          </w:p>
        </w:tc>
      </w:tr>
      <w:tr>
        <w:trPr/>
        <w:tc>
          <w:tcPr>
            <w:tcW w:w="902" w:type="dxa"/>
            <w:tcBorders/>
            <w:shd w:fill="auto" w:val="clear"/>
            <w:vAlign w:val="center"/>
          </w:tcPr>
          <w:p>
            <w:pPr>
              <w:pStyle w:val="TableContents"/>
              <w:spacing w:before="0" w:after="0"/>
              <w:ind w:left="0" w:right="0" w:hanging="0"/>
              <w:rPr/>
            </w:pPr>
            <w:hyperlink w:anchor="PARTII_526317">
              <w:r>
                <w:rPr>
                  <w:rStyle w:val="InternetLink"/>
                  <w:rFonts w:ascii="Times New Roman;Times;serif" w:hAnsi="Times New Roman;Times;serif"/>
                  <w:b/>
                  <w:i w:val="false"/>
                  <w:caps w:val="false"/>
                  <w:smallCaps w:val="false"/>
                  <w:sz w:val="20"/>
                </w:rPr>
                <w:t>PART II</w:t>
              </w:r>
            </w:hyperlink>
          </w:p>
        </w:tc>
        <w:tc>
          <w:tcPr>
            <w:tcW w:w="8731"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02" w:type="dxa"/>
            <w:tcBorders/>
            <w:shd w:fill="auto" w:val="clear"/>
            <w:vAlign w:val="center"/>
          </w:tcPr>
          <w:p>
            <w:pPr>
              <w:pStyle w:val="TableContents"/>
              <w:spacing w:before="0" w:after="0"/>
              <w:ind w:left="0" w:right="0" w:hanging="0"/>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731" w:type="dxa"/>
            <w:tcBorders/>
            <w:shd w:fill="auto" w:val="clear"/>
            <w:vAlign w:val="center"/>
          </w:tcPr>
          <w:p>
            <w:pPr>
              <w:pStyle w:val="TableContents"/>
              <w:spacing w:before="0" w:after="0"/>
              <w:ind w:left="0" w:right="0" w:hanging="0"/>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02" w:type="dxa"/>
            <w:tcBorders/>
            <w:shd w:fill="auto" w:val="clear"/>
            <w:vAlign w:val="center"/>
          </w:tcPr>
          <w:p>
            <w:pPr>
              <w:pStyle w:val="TableContents"/>
              <w:spacing w:before="0" w:after="0"/>
              <w:ind w:left="0" w:right="0" w:hanging="0"/>
              <w:rPr/>
            </w:pPr>
            <w:hyperlink w:anchor="Item6Reserved_218243">
              <w:r>
                <w:rPr>
                  <w:rStyle w:val="InternetLink"/>
                  <w:rFonts w:ascii="Times New Roman;Times;serif" w:hAnsi="Times New Roman;Times;serif"/>
                  <w:b w:val="false"/>
                  <w:i w:val="false"/>
                  <w:caps w:val="false"/>
                  <w:smallCaps w:val="false"/>
                  <w:sz w:val="20"/>
                </w:rPr>
                <w:t>Item 6.</w:t>
              </w:r>
            </w:hyperlink>
          </w:p>
        </w:tc>
        <w:tc>
          <w:tcPr>
            <w:tcW w:w="8731" w:type="dxa"/>
            <w:tcBorders/>
            <w:shd w:fill="auto" w:val="clear"/>
            <w:vAlign w:val="center"/>
          </w:tcPr>
          <w:p>
            <w:pPr>
              <w:pStyle w:val="TableContents"/>
              <w:spacing w:before="0" w:after="0"/>
              <w:ind w:left="0" w:right="0" w:hanging="0"/>
              <w:rPr/>
            </w:pPr>
            <w:hyperlink w:anchor="Item6Reserved_218243">
              <w:r>
                <w:rPr>
                  <w:rStyle w:val="InternetLink"/>
                  <w:rFonts w:ascii="Times New Roman;Times;serif" w:hAnsi="Times New Roman;Times;serif"/>
                  <w:b w:val="false"/>
                  <w:i w:val="false"/>
                  <w:caps w:val="false"/>
                  <w:smallCaps w:val="false"/>
                  <w:sz w:val="20"/>
                </w:rPr>
                <w:t>[Reserved]</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02" w:type="dxa"/>
            <w:tcBorders/>
            <w:shd w:fill="auto" w:val="clear"/>
            <w:vAlign w:val="center"/>
          </w:tcPr>
          <w:p>
            <w:pPr>
              <w:pStyle w:val="TableContents"/>
              <w:spacing w:before="0" w:after="0"/>
              <w:ind w:left="0" w:right="0" w:hanging="0"/>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731" w:type="dxa"/>
            <w:tcBorders/>
            <w:shd w:fill="auto" w:val="clear"/>
            <w:vAlign w:val="center"/>
          </w:tcPr>
          <w:p>
            <w:pPr>
              <w:pStyle w:val="TableContents"/>
              <w:spacing w:before="0" w:after="0"/>
              <w:ind w:left="0" w:right="0" w:hanging="0"/>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02" w:type="dxa"/>
            <w:tcBorders/>
            <w:shd w:fill="auto" w:val="clear"/>
            <w:vAlign w:val="center"/>
          </w:tcPr>
          <w:p>
            <w:pPr>
              <w:pStyle w:val="TableContents"/>
              <w:spacing w:before="0" w:after="0"/>
              <w:ind w:left="0" w:right="0" w:hanging="0"/>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731" w:type="dxa"/>
            <w:tcBorders/>
            <w:shd w:fill="auto" w:val="clear"/>
            <w:vAlign w:val="center"/>
          </w:tcPr>
          <w:p>
            <w:pPr>
              <w:pStyle w:val="TableContents"/>
              <w:spacing w:before="0" w:after="0"/>
              <w:ind w:left="0" w:right="0" w:hanging="0"/>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02" w:type="dxa"/>
            <w:tcBorders/>
            <w:shd w:fill="auto" w:val="clear"/>
            <w:vAlign w:val="center"/>
          </w:tcPr>
          <w:p>
            <w:pPr>
              <w:pStyle w:val="TableContents"/>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731" w:type="dxa"/>
            <w:tcBorders/>
            <w:shd w:fill="auto" w:val="clear"/>
            <w:vAlign w:val="center"/>
          </w:tcPr>
          <w:p>
            <w:pPr>
              <w:pStyle w:val="TableContents"/>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02" w:type="dxa"/>
            <w:tcBorders/>
            <w:shd w:fill="auto" w:val="clear"/>
            <w:vAlign w:val="center"/>
          </w:tcPr>
          <w:p>
            <w:pPr>
              <w:pStyle w:val="TableContents"/>
              <w:spacing w:before="0" w:after="0"/>
              <w:ind w:left="0" w:right="0" w:hanging="0"/>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731" w:type="dxa"/>
            <w:tcBorders/>
            <w:shd w:fill="auto" w:val="clear"/>
            <w:vAlign w:val="center"/>
          </w:tcPr>
          <w:p>
            <w:pPr>
              <w:pStyle w:val="TableContents"/>
              <w:spacing w:before="0" w:after="0"/>
              <w:ind w:left="0" w:right="0" w:hanging="0"/>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02" w:type="dxa"/>
            <w:tcBorders/>
            <w:shd w:fill="auto" w:val="clear"/>
            <w:vAlign w:val="center"/>
          </w:tcPr>
          <w:p>
            <w:pPr>
              <w:pStyle w:val="TableContents"/>
              <w:spacing w:before="0" w:after="0"/>
              <w:ind w:left="0" w:right="0" w:hanging="0"/>
              <w:rPr/>
            </w:pPr>
            <w:hyperlink w:anchor="Item9AControlsandProcedures_149057">
              <w:r>
                <w:rPr>
                  <w:rStyle w:val="InternetLink"/>
                  <w:rFonts w:ascii="Times New Roman;Times;serif" w:hAnsi="Times New Roman;Times;serif"/>
                  <w:b w:val="false"/>
                  <w:i w:val="false"/>
                  <w:caps w:val="false"/>
                  <w:smallCaps w:val="false"/>
                  <w:sz w:val="20"/>
                </w:rPr>
                <w:t>Item 9A.</w:t>
              </w:r>
            </w:hyperlink>
          </w:p>
        </w:tc>
        <w:tc>
          <w:tcPr>
            <w:tcW w:w="8731" w:type="dxa"/>
            <w:tcBorders/>
            <w:shd w:fill="auto" w:val="clear"/>
            <w:vAlign w:val="center"/>
          </w:tcPr>
          <w:p>
            <w:pPr>
              <w:pStyle w:val="TableContents"/>
              <w:spacing w:before="0" w:after="0"/>
              <w:ind w:left="0" w:right="0" w:hanging="0"/>
              <w:rPr/>
            </w:pPr>
            <w:hyperlink w:anchor="Item9AControlsandProcedures_149057">
              <w:r>
                <w:rPr>
                  <w:rStyle w:val="InternetLink"/>
                  <w:rFonts w:ascii="Times New Roman;Times;serif" w:hAnsi="Times New Roman;Times;serif"/>
                  <w:b w:val="false"/>
                  <w:i w:val="false"/>
                  <w:caps w:val="false"/>
                  <w:smallCaps w:val="false"/>
                  <w:sz w:val="20"/>
                </w:rPr>
                <w:t>Controls and Procedures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02" w:type="dxa"/>
            <w:tcBorders/>
            <w:shd w:fill="auto" w:val="clear"/>
            <w:vAlign w:val="center"/>
          </w:tcPr>
          <w:p>
            <w:pPr>
              <w:pStyle w:val="TableContents"/>
              <w:spacing w:before="0" w:after="0"/>
              <w:ind w:left="0" w:right="0" w:hanging="0"/>
              <w:rPr/>
            </w:pPr>
            <w:hyperlink w:anchor="Item9BOtherInformation_332487">
              <w:r>
                <w:rPr>
                  <w:rStyle w:val="InternetLink"/>
                  <w:rFonts w:ascii="Times New Roman;Times;serif" w:hAnsi="Times New Roman;Times;serif"/>
                  <w:b w:val="false"/>
                  <w:i w:val="false"/>
                  <w:caps w:val="false"/>
                  <w:smallCaps w:val="false"/>
                  <w:sz w:val="20"/>
                </w:rPr>
                <w:t>Item 9B.</w:t>
              </w:r>
            </w:hyperlink>
          </w:p>
        </w:tc>
        <w:tc>
          <w:tcPr>
            <w:tcW w:w="8731" w:type="dxa"/>
            <w:tcBorders/>
            <w:shd w:fill="auto" w:val="clear"/>
            <w:vAlign w:val="center"/>
          </w:tcPr>
          <w:p>
            <w:pPr>
              <w:pStyle w:val="TableContents"/>
              <w:spacing w:before="0" w:after="0"/>
              <w:ind w:left="0" w:right="0" w:hanging="0"/>
              <w:rPr/>
            </w:pPr>
            <w:hyperlink w:anchor="Item9BOtherInformation_332487">
              <w:r>
                <w:rPr>
                  <w:rStyle w:val="InternetLink"/>
                  <w:rFonts w:ascii="Times New Roman;Times;serif" w:hAnsi="Times New Roman;Times;serif"/>
                  <w:b w:val="false"/>
                  <w:i w:val="false"/>
                  <w:caps w:val="false"/>
                  <w:smallCaps w:val="false"/>
                  <w:sz w:val="20"/>
                </w:rPr>
                <w:t>Other Information</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02"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731"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0"/>
                </w:rPr>
                <w:t>Disclosures Regarding Foreign Jurisdictions That Prevent Inspections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902" w:type="dxa"/>
            <w:tcBorders/>
            <w:shd w:fill="auto" w:val="clear"/>
            <w:vAlign w:val="center"/>
          </w:tcPr>
          <w:p>
            <w:pPr>
              <w:pStyle w:val="TableContents"/>
              <w:spacing w:before="0" w:after="0"/>
              <w:ind w:left="0" w:right="0" w:hanging="0"/>
              <w:rPr/>
            </w:pPr>
            <w:r>
              <w:rPr/>
              <w:t> </w:t>
            </w:r>
          </w:p>
        </w:tc>
        <w:tc>
          <w:tcPr>
            <w:tcW w:w="8731"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283"/>
              <w:ind w:left="0" w:right="0" w:hanging="0"/>
              <w:rPr>
                <w:sz w:val="4"/>
                <w:szCs w:val="4"/>
              </w:rPr>
            </w:pPr>
            <w:r>
              <w:rPr>
                <w:sz w:val="4"/>
                <w:szCs w:val="4"/>
              </w:rPr>
            </w:r>
          </w:p>
        </w:tc>
      </w:tr>
      <w:tr>
        <w:trPr/>
        <w:tc>
          <w:tcPr>
            <w:tcW w:w="902" w:type="dxa"/>
            <w:tcBorders/>
            <w:shd w:fill="auto" w:val="clear"/>
            <w:vAlign w:val="center"/>
          </w:tcPr>
          <w:p>
            <w:pPr>
              <w:pStyle w:val="TableContents"/>
              <w:spacing w:before="0" w:after="0"/>
              <w:ind w:left="0" w:right="0" w:hanging="0"/>
              <w:rPr/>
            </w:pPr>
            <w:hyperlink w:anchor="PARTIII_617440">
              <w:r>
                <w:rPr>
                  <w:rStyle w:val="InternetLink"/>
                  <w:rFonts w:ascii="Times New Roman;Times;serif" w:hAnsi="Times New Roman;Times;serif"/>
                  <w:b/>
                  <w:i w:val="false"/>
                  <w:caps w:val="false"/>
                  <w:smallCaps w:val="false"/>
                  <w:sz w:val="20"/>
                </w:rPr>
                <w:t>PART III</w:t>
              </w:r>
            </w:hyperlink>
          </w:p>
        </w:tc>
        <w:tc>
          <w:tcPr>
            <w:tcW w:w="8731"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02" w:type="dxa"/>
            <w:tcBorders/>
            <w:shd w:fill="auto" w:val="clear"/>
            <w:vAlign w:val="center"/>
          </w:tcPr>
          <w:p>
            <w:pPr>
              <w:pStyle w:val="TableContents"/>
              <w:spacing w:before="0" w:after="0"/>
              <w:ind w:left="0" w:right="0" w:hanging="0"/>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731" w:type="dxa"/>
            <w:tcBorders/>
            <w:shd w:fill="auto" w:val="clear"/>
            <w:vAlign w:val="center"/>
          </w:tcPr>
          <w:p>
            <w:pPr>
              <w:pStyle w:val="TableContents"/>
              <w:spacing w:before="0" w:after="0"/>
              <w:ind w:left="0" w:right="0" w:hanging="0"/>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02" w:type="dxa"/>
            <w:tcBorders/>
            <w:shd w:fill="auto" w:val="clear"/>
            <w:vAlign w:val="center"/>
          </w:tcPr>
          <w:p>
            <w:pPr>
              <w:pStyle w:val="TableContents"/>
              <w:spacing w:before="0" w:after="0"/>
              <w:ind w:left="0" w:right="0" w:hanging="0"/>
              <w:rPr/>
            </w:pPr>
            <w:hyperlink w:anchor="Item11ExecutiveCompensation_7805">
              <w:r>
                <w:rPr>
                  <w:rStyle w:val="InternetLink"/>
                  <w:rFonts w:ascii="Times New Roman;Times;serif" w:hAnsi="Times New Roman;Times;serif"/>
                  <w:b w:val="false"/>
                  <w:i w:val="false"/>
                  <w:caps w:val="false"/>
                  <w:smallCaps w:val="false"/>
                  <w:sz w:val="20"/>
                </w:rPr>
                <w:t>Item 11.</w:t>
              </w:r>
            </w:hyperlink>
          </w:p>
        </w:tc>
        <w:tc>
          <w:tcPr>
            <w:tcW w:w="8731" w:type="dxa"/>
            <w:tcBorders/>
            <w:shd w:fill="auto" w:val="clear"/>
            <w:vAlign w:val="center"/>
          </w:tcPr>
          <w:p>
            <w:pPr>
              <w:pStyle w:val="TableContents"/>
              <w:spacing w:before="0" w:after="0"/>
              <w:ind w:left="0" w:right="0" w:hanging="0"/>
              <w:rPr/>
            </w:pPr>
            <w:hyperlink w:anchor="Item11ExecutiveCompensation_7805">
              <w:r>
                <w:rPr>
                  <w:rStyle w:val="InternetLink"/>
                  <w:rFonts w:ascii="Times New Roman;Times;serif" w:hAnsi="Times New Roman;Times;serif"/>
                  <w:b w:val="false"/>
                  <w:i w:val="false"/>
                  <w:caps w:val="false"/>
                  <w:smallCaps w:val="false"/>
                  <w:sz w:val="20"/>
                </w:rPr>
                <w:t>Executive Compensation</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02" w:type="dxa"/>
            <w:tcBorders/>
            <w:shd w:fill="auto" w:val="clear"/>
            <w:vAlign w:val="center"/>
          </w:tcPr>
          <w:p>
            <w:pPr>
              <w:pStyle w:val="TableContents"/>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731" w:type="dxa"/>
            <w:tcBorders/>
            <w:shd w:fill="auto" w:val="clear"/>
            <w:vAlign w:val="center"/>
          </w:tcPr>
          <w:p>
            <w:pPr>
              <w:pStyle w:val="TableContents"/>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02" w:type="dxa"/>
            <w:tcBorders/>
            <w:shd w:fill="auto" w:val="clear"/>
            <w:vAlign w:val="center"/>
          </w:tcPr>
          <w:p>
            <w:pPr>
              <w:pStyle w:val="TableContents"/>
              <w:spacing w:before="0" w:after="0"/>
              <w:ind w:left="0" w:right="0" w:hanging="0"/>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731" w:type="dxa"/>
            <w:tcBorders/>
            <w:shd w:fill="auto" w:val="clear"/>
            <w:vAlign w:val="center"/>
          </w:tcPr>
          <w:p>
            <w:pPr>
              <w:pStyle w:val="TableContents"/>
              <w:spacing w:before="0" w:after="0"/>
              <w:ind w:left="0" w:right="0" w:hanging="0"/>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02" w:type="dxa"/>
            <w:tcBorders/>
            <w:shd w:fill="auto" w:val="clear"/>
            <w:vAlign w:val="center"/>
          </w:tcPr>
          <w:p>
            <w:pPr>
              <w:pStyle w:val="TableContents"/>
              <w:spacing w:before="0" w:after="0"/>
              <w:ind w:left="0" w:right="0" w:hanging="0"/>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8731" w:type="dxa"/>
            <w:tcBorders/>
            <w:shd w:fill="auto" w:val="clear"/>
            <w:vAlign w:val="center"/>
          </w:tcPr>
          <w:p>
            <w:pPr>
              <w:pStyle w:val="TableContents"/>
              <w:spacing w:before="0" w:after="0"/>
              <w:ind w:left="0" w:right="0" w:hanging="0"/>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02" w:type="dxa"/>
            <w:tcBorders/>
            <w:shd w:fill="auto" w:val="clear"/>
            <w:vAlign w:val="center"/>
          </w:tcPr>
          <w:p>
            <w:pPr>
              <w:pStyle w:val="TableContents"/>
              <w:spacing w:before="0" w:after="0"/>
              <w:ind w:left="0" w:right="0" w:hanging="0"/>
              <w:rPr/>
            </w:pPr>
            <w:r>
              <w:rPr/>
              <w:t> </w:t>
            </w:r>
          </w:p>
        </w:tc>
        <w:tc>
          <w:tcPr>
            <w:tcW w:w="8731" w:type="dxa"/>
            <w:tcBorders/>
            <w:shd w:fill="auto" w:val="clear"/>
            <w:vAlign w:val="center"/>
          </w:tcPr>
          <w:p>
            <w:pPr>
              <w:pStyle w:val="TableContents"/>
              <w:spacing w:before="0" w:after="0"/>
              <w:ind w:left="0" w:right="0" w:hanging="0"/>
              <w:rPr/>
            </w:pPr>
            <w:r>
              <w:rPr/>
              <w:t> </w:t>
            </w:r>
          </w:p>
        </w:tc>
        <w:tc>
          <w:tcPr>
            <w:tcW w:w="572" w:type="dxa"/>
            <w:tcBorders/>
            <w:shd w:fill="auto" w:val="clear"/>
            <w:vAlign w:val="center"/>
          </w:tcPr>
          <w:p>
            <w:pPr>
              <w:pStyle w:val="TableContents"/>
              <w:spacing w:before="0" w:after="283"/>
              <w:ind w:left="0" w:right="0" w:hanging="0"/>
              <w:rPr>
                <w:sz w:val="4"/>
                <w:szCs w:val="4"/>
              </w:rPr>
            </w:pPr>
            <w:r>
              <w:rPr>
                <w:sz w:val="4"/>
                <w:szCs w:val="4"/>
              </w:rPr>
            </w:r>
          </w:p>
        </w:tc>
      </w:tr>
      <w:tr>
        <w:trPr/>
        <w:tc>
          <w:tcPr>
            <w:tcW w:w="902" w:type="dxa"/>
            <w:tcBorders/>
            <w:shd w:fill="auto" w:val="clear"/>
            <w:vAlign w:val="center"/>
          </w:tcPr>
          <w:p>
            <w:pPr>
              <w:pStyle w:val="TableContents"/>
              <w:spacing w:before="0" w:after="0"/>
              <w:ind w:left="0" w:right="0" w:hanging="0"/>
              <w:rPr/>
            </w:pPr>
            <w:hyperlink w:anchor="PARTIV_459051">
              <w:r>
                <w:rPr>
                  <w:rStyle w:val="InternetLink"/>
                  <w:rFonts w:ascii="Times New Roman;Times;serif" w:hAnsi="Times New Roman;Times;serif"/>
                  <w:b/>
                  <w:i w:val="false"/>
                  <w:caps w:val="false"/>
                  <w:smallCaps w:val="false"/>
                  <w:sz w:val="20"/>
                </w:rPr>
                <w:t>PART IV</w:t>
              </w:r>
            </w:hyperlink>
          </w:p>
        </w:tc>
        <w:tc>
          <w:tcPr>
            <w:tcW w:w="8731" w:type="dxa"/>
            <w:tcBorders/>
            <w:shd w:fill="auto" w:val="clear"/>
            <w:vAlign w:val="center"/>
          </w:tcPr>
          <w:p>
            <w:pPr>
              <w:pStyle w:val="TableContents"/>
              <w:spacing w:before="0" w:after="283"/>
              <w:ind w:left="0" w:right="0" w:hanging="0"/>
              <w:rPr>
                <w:sz w:val="4"/>
                <w:szCs w:val="4"/>
              </w:rPr>
            </w:pPr>
            <w:r>
              <w:rPr>
                <w:sz w:val="4"/>
                <w:szCs w:val="4"/>
              </w:rPr>
            </w:r>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02" w:type="dxa"/>
            <w:tcBorders/>
            <w:shd w:fill="auto" w:val="clear"/>
            <w:vAlign w:val="center"/>
          </w:tcPr>
          <w:p>
            <w:pPr>
              <w:pStyle w:val="TableContents"/>
              <w:spacing w:before="0" w:after="0"/>
              <w:ind w:left="0" w:right="0" w:hanging="0"/>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8731" w:type="dxa"/>
            <w:tcBorders/>
            <w:shd w:fill="auto" w:val="clear"/>
            <w:vAlign w:val="center"/>
          </w:tcPr>
          <w:p>
            <w:pPr>
              <w:pStyle w:val="TableContents"/>
              <w:spacing w:before="0" w:after="0"/>
              <w:ind w:left="0" w:right="0" w:hanging="0"/>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902" w:type="dxa"/>
            <w:tcBorders/>
            <w:shd w:fill="auto" w:val="clear"/>
            <w:vAlign w:val="center"/>
          </w:tcPr>
          <w:p>
            <w:pPr>
              <w:pStyle w:val="TableContents"/>
              <w:spacing w:before="0" w:after="0"/>
              <w:ind w:left="0" w:right="0" w:hanging="0"/>
              <w:rPr/>
            </w:pPr>
            <w:hyperlink w:anchor="Item16Form10KSummary_143102">
              <w:r>
                <w:rPr>
                  <w:rStyle w:val="InternetLink"/>
                  <w:rFonts w:ascii="Times New Roman;Times;serif" w:hAnsi="Times New Roman;Times;serif"/>
                  <w:b w:val="false"/>
                  <w:i w:val="false"/>
                  <w:caps w:val="false"/>
                  <w:smallCaps w:val="false"/>
                  <w:sz w:val="20"/>
                </w:rPr>
                <w:t>Item 16.</w:t>
              </w:r>
            </w:hyperlink>
          </w:p>
        </w:tc>
        <w:tc>
          <w:tcPr>
            <w:tcW w:w="8731" w:type="dxa"/>
            <w:tcBorders/>
            <w:shd w:fill="auto" w:val="clear"/>
            <w:vAlign w:val="center"/>
          </w:tcPr>
          <w:p>
            <w:pPr>
              <w:pStyle w:val="TableContents"/>
              <w:spacing w:before="0" w:after="0"/>
              <w:ind w:left="0" w:right="0" w:hanging="0"/>
              <w:rPr/>
            </w:pPr>
            <w:hyperlink w:anchor="Item16Form10KSummary_143102">
              <w:r>
                <w:rPr>
                  <w:rStyle w:val="InternetLink"/>
                  <w:rFonts w:ascii="Times New Roman;Times;serif" w:hAnsi="Times New Roman;Times;serif"/>
                  <w:b w:val="false"/>
                  <w:i w:val="false"/>
                  <w:caps w:val="false"/>
                  <w:smallCaps w:val="false"/>
                  <w:sz w:val="20"/>
                </w:rPr>
                <w:t>Form 10-K Summary</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40"/>
        <w:ind w:left="0" w:right="0" w:hanging="0"/>
        <w:rPr>
          <w:rFonts w:ascii="Times New Roman;Times;serif" w:hAnsi="Times New Roman;Times;serif"/>
          <w:b/>
          <w:sz w:val="20"/>
        </w:rPr>
      </w:pPr>
      <w:bookmarkStart w:id="55" w:name="_7e6c15fd_020c_4e9f_85a1_567e9f26f012"/>
      <w:bookmarkEnd w:id="55"/>
      <w:r>
        <w:rPr>
          <w:rFonts w:ascii="Times New Roman;Times;serif" w:hAnsi="Times New Roman;Times;serif"/>
          <w:b/>
          <w:sz w:val="20"/>
        </w:rPr>
        <w:t>CAUTIONARY STATEMENT REGARDING FORWARD-LOOKING STATEMENTS</w:t>
      </w:r>
    </w:p>
    <w:p>
      <w:pPr>
        <w:pStyle w:val="TextBody"/>
        <w:spacing w:before="0" w:after="140"/>
        <w:ind w:left="0" w:right="0" w:firstLine="360"/>
        <w:jc w:val="both"/>
        <w:rPr>
          <w:rFonts w:ascii="Times New Roman;Times;serif" w:hAnsi="Times New Roman;Times;serif"/>
          <w:sz w:val="20"/>
        </w:rPr>
      </w:pPr>
      <w:r>
        <w:rPr>
          <w:rFonts w:ascii="Times New Roman;Times;serif" w:hAnsi="Times New Roman;Times;serif"/>
          <w:sz w:val="20"/>
        </w:rPr>
        <w:t>This Annual Report on Form 10-K (the “Annual Report”) contains statements that constitute forward-looking statements. Many of the forward-looking statements contained in this Annual Report can be identified by the use of forward-looking words such as “anticipate,” “believe,” “could,” “expect,” “should,” “plan,” “intend,” “may,” “predict,” “continue,” “estimate” and “potential,” or the negative of these terms or other similar expressions.</w:t>
      </w:r>
    </w:p>
    <w:p>
      <w:pPr>
        <w:pStyle w:val="TextBody"/>
        <w:spacing w:before="0" w:after="140"/>
        <w:ind w:left="0" w:right="0" w:firstLine="360"/>
        <w:jc w:val="both"/>
        <w:rPr>
          <w:rFonts w:ascii="Times New Roman;Times;serif" w:hAnsi="Times New Roman;Times;serif"/>
          <w:sz w:val="20"/>
        </w:rPr>
      </w:pPr>
      <w:r>
        <w:rPr>
          <w:rFonts w:ascii="Times New Roman;Times;serif" w:hAnsi="Times New Roman;Times;serif"/>
          <w:sz w:val="20"/>
        </w:rPr>
        <w:t>Forward-looking statements appear in a number of places in this Annual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 Item 1A. – Risk Factors,” of this Annual Report. The statements we make regarding the following matters are forward-looking by their nature:</w:t>
      </w:r>
    </w:p>
    <w:tbl>
      <w:tblPr>
        <w:tblW w:w="3441" w:type="dxa"/>
        <w:jc w:val="left"/>
        <w:tblInd w:w="0" w:type="dxa"/>
        <w:tblCellMar>
          <w:top w:w="28" w:type="dxa"/>
          <w:left w:w="28" w:type="dxa"/>
          <w:bottom w:w="28" w:type="dxa"/>
          <w:right w:w="28" w:type="dxa"/>
        </w:tblCellMar>
      </w:tblPr>
      <w:tblGrid>
        <w:gridCol w:w="124"/>
        <w:gridCol w:w="256"/>
        <w:gridCol w:w="30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prospects and strategies;</w:t>
            </w:r>
          </w:p>
        </w:tc>
      </w:tr>
    </w:tbl>
    <w:tbl>
      <w:tblPr>
        <w:tblW w:w="8121" w:type="dxa"/>
        <w:jc w:val="left"/>
        <w:tblInd w:w="0" w:type="dxa"/>
        <w:tblCellMar>
          <w:top w:w="28" w:type="dxa"/>
          <w:left w:w="28" w:type="dxa"/>
          <w:bottom w:w="28" w:type="dxa"/>
          <w:right w:w="28" w:type="dxa"/>
        </w:tblCellMar>
      </w:tblPr>
      <w:tblGrid>
        <w:gridCol w:w="124"/>
        <w:gridCol w:w="256"/>
        <w:gridCol w:w="77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new games and additional functionality to games that are commercially successful;</w:t>
            </w:r>
          </w:p>
        </w:tc>
      </w:tr>
    </w:tbl>
    <w:tbl>
      <w:tblPr>
        <w:tblW w:w="5946" w:type="dxa"/>
        <w:jc w:val="left"/>
        <w:tblInd w:w="0" w:type="dxa"/>
        <w:tblCellMar>
          <w:top w:w="28" w:type="dxa"/>
          <w:left w:w="28" w:type="dxa"/>
          <w:bottom w:w="28" w:type="dxa"/>
          <w:right w:w="28" w:type="dxa"/>
        </w:tblCellMar>
      </w:tblPr>
      <w:tblGrid>
        <w:gridCol w:w="124"/>
        <w:gridCol w:w="256"/>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significant drivers of our future growth;</w:t>
            </w:r>
          </w:p>
        </w:tc>
      </w:tr>
    </w:tbl>
    <w:tbl>
      <w:tblPr>
        <w:tblW w:w="9621" w:type="dxa"/>
        <w:jc w:val="left"/>
        <w:tblInd w:w="0" w:type="dxa"/>
        <w:tblCellMar>
          <w:top w:w="28" w:type="dxa"/>
          <w:left w:w="28" w:type="dxa"/>
          <w:bottom w:w="28" w:type="dxa"/>
          <w:right w:w="28" w:type="dxa"/>
        </w:tblCellMar>
      </w:tblPr>
      <w:tblGrid>
        <w:gridCol w:w="124"/>
        <w:gridCol w:w="256"/>
        <w:gridCol w:w="9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increase our player base and develop new video games and enhance our existing games;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companies in a number of industries, including other casual game developers and publishers and both large and small, public and private multimedia companies;</w:t>
            </w:r>
          </w:p>
        </w:tc>
      </w:tr>
    </w:tbl>
    <w:tbl>
      <w:tblPr>
        <w:tblW w:w="10191" w:type="dxa"/>
        <w:jc w:val="left"/>
        <w:tblInd w:w="0" w:type="dxa"/>
        <w:tblCellMar>
          <w:top w:w="28" w:type="dxa"/>
          <w:left w:w="28" w:type="dxa"/>
          <w:bottom w:w="28" w:type="dxa"/>
          <w:right w:w="28" w:type="dxa"/>
        </w:tblCellMar>
      </w:tblPr>
      <w:tblGrid>
        <w:gridCol w:w="124"/>
        <w:gridCol w:w="256"/>
        <w:gridCol w:w="9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a qualified management team and other team members while controlling our labor costs;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third-party platforms such as Xbox Live and Game Pass, PlayStation Network, Steam, Epic Games Store, the Apple App Store, the Google Play Store, My Nintendo Store and the Amazon Appstore;</w:t>
            </w:r>
          </w:p>
        </w:tc>
      </w:tr>
    </w:tbl>
    <w:tbl>
      <w:tblPr>
        <w:tblW w:w="7506" w:type="dxa"/>
        <w:jc w:val="left"/>
        <w:tblInd w:w="0" w:type="dxa"/>
        <w:tblCellMar>
          <w:top w:w="28" w:type="dxa"/>
          <w:left w:w="28" w:type="dxa"/>
          <w:bottom w:w="28" w:type="dxa"/>
          <w:right w:w="28" w:type="dxa"/>
        </w:tblCellMar>
      </w:tblPr>
      <w:tblGrid>
        <w:gridCol w:w="124"/>
        <w:gridCol w:w="256"/>
        <w:gridCol w:w="7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enter new markets and manage our international expansion;</w:t>
            </w:r>
          </w:p>
        </w:tc>
      </w:tr>
    </w:tbl>
    <w:tbl>
      <w:tblPr>
        <w:tblW w:w="6396" w:type="dxa"/>
        <w:jc w:val="left"/>
        <w:tblInd w:w="0" w:type="dxa"/>
        <w:tblCellMar>
          <w:top w:w="28" w:type="dxa"/>
          <w:left w:w="28" w:type="dxa"/>
          <w:bottom w:w="28" w:type="dxa"/>
          <w:right w:w="28" w:type="dxa"/>
        </w:tblCellMar>
      </w:tblPr>
      <w:tblGrid>
        <w:gridCol w:w="124"/>
        <w:gridCol w:w="256"/>
        <w:gridCol w:w="6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and developing our brand and intellectual property portfolio;</w:t>
            </w:r>
          </w:p>
        </w:tc>
      </w:tr>
    </w:tbl>
    <w:tbl>
      <w:tblPr>
        <w:tblW w:w="7341" w:type="dxa"/>
        <w:jc w:val="left"/>
        <w:tblInd w:w="0" w:type="dxa"/>
        <w:tblCellMar>
          <w:top w:w="28" w:type="dxa"/>
          <w:left w:w="28" w:type="dxa"/>
          <w:bottom w:w="28" w:type="dxa"/>
          <w:right w:w="28" w:type="dxa"/>
        </w:tblCellMar>
      </w:tblPr>
      <w:tblGrid>
        <w:gridCol w:w="124"/>
        <w:gridCol w:w="256"/>
        <w:gridCol w:w="69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defending intellectual property infringement and other claims;</w:t>
            </w:r>
          </w:p>
        </w:tc>
      </w:tr>
    </w:tbl>
    <w:tbl>
      <w:tblPr>
        <w:tblW w:w="6906" w:type="dxa"/>
        <w:jc w:val="left"/>
        <w:tblInd w:w="0" w:type="dxa"/>
        <w:tblCellMar>
          <w:top w:w="28" w:type="dxa"/>
          <w:left w:w="28" w:type="dxa"/>
          <w:bottom w:w="28" w:type="dxa"/>
          <w:right w:w="28" w:type="dxa"/>
        </w:tblCellMar>
      </w:tblPr>
      <w:tblGrid>
        <w:gridCol w:w="124"/>
        <w:gridCol w:w="256"/>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the COVID-19 pandemic and the ongoing conflict involving Russia and Ukraine on our business and the global economy generally, including inflation and interest rates;</w:t>
            </w:r>
          </w:p>
        </w:tc>
      </w:tr>
    </w:tbl>
    <w:tbl>
      <w:tblPr>
        <w:tblW w:w="4716" w:type="dxa"/>
        <w:jc w:val="left"/>
        <w:tblInd w:w="0" w:type="dxa"/>
        <w:tblCellMar>
          <w:top w:w="28" w:type="dxa"/>
          <w:left w:w="28" w:type="dxa"/>
          <w:bottom w:w="28" w:type="dxa"/>
          <w:right w:w="28" w:type="dxa"/>
        </w:tblCellMar>
      </w:tblPr>
      <w:tblGrid>
        <w:gridCol w:w="124"/>
        <w:gridCol w:w="256"/>
        <w:gridCol w:w="43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rulings by courts or other governmental authorities;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Repurchase Program (as defined below), including expectations regarding the timing and manner of repurchases made under the program;</w:t>
            </w:r>
          </w:p>
        </w:tc>
      </w:tr>
    </w:tbl>
    <w:tbl>
      <w:tblPr>
        <w:tblW w:w="6051" w:type="dxa"/>
        <w:jc w:val="left"/>
        <w:tblInd w:w="0" w:type="dxa"/>
        <w:tblCellMar>
          <w:top w:w="28" w:type="dxa"/>
          <w:left w:w="28" w:type="dxa"/>
          <w:bottom w:w="28" w:type="dxa"/>
          <w:right w:w="28" w:type="dxa"/>
        </w:tblCellMar>
      </w:tblPr>
      <w:tblGrid>
        <w:gridCol w:w="124"/>
        <w:gridCol w:w="256"/>
        <w:gridCol w:w="5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pursue and successfully integrate strategic acquisitions;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in this Annual Report, including those described in Item 1A of Part I, “Risk Factors”; and</w:t>
            </w:r>
          </w:p>
        </w:tc>
      </w:tr>
    </w:tbl>
    <w:tbl>
      <w:tblPr>
        <w:tblW w:w="4221" w:type="dxa"/>
        <w:jc w:val="left"/>
        <w:tblInd w:w="0" w:type="dxa"/>
        <w:tblCellMar>
          <w:top w:w="28" w:type="dxa"/>
          <w:left w:w="28" w:type="dxa"/>
          <w:bottom w:w="28" w:type="dxa"/>
          <w:right w:w="28" w:type="dxa"/>
        </w:tblCellMar>
      </w:tblPr>
      <w:tblGrid>
        <w:gridCol w:w="124"/>
        <w:gridCol w:w="256"/>
        <w:gridCol w:w="3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any of the foregoing.</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information on risks, uncertainties and other factors that could affect our financial results are included in our filings with the Securities and Exchange Commission (the “SEC”) from time to time, including in Part I, Item 1A. – “Risk Factors,” of this Annual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Annual Report are based on management’s beliefs and assumptions and on information currently available to us, and we do not assume any obligation to update the forward-looking statements provided to reflect events that occur or circumstances that exist after the date on which they were made.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6" w:name="PARTI_361461"/>
      <w:bookmarkStart w:id="57" w:name="_76f312ee_a5c2_4b39_982c_e6320ccc9741"/>
      <w:bookmarkEnd w:id="56"/>
      <w:bookmarkEnd w:id="57"/>
      <w:r>
        <w:rPr>
          <w:rFonts w:ascii="Times New Roman;Times;serif" w:hAnsi="Times New Roman;Times;serif"/>
          <w:b/>
          <w:sz w:val="20"/>
        </w:rPr>
        <w:t>PART I</w:t>
      </w:r>
    </w:p>
    <w:p>
      <w:pPr>
        <w:pStyle w:val="TextBody"/>
        <w:spacing w:before="0" w:after="240"/>
        <w:ind w:left="0" w:right="0" w:hanging="0"/>
        <w:rPr>
          <w:rFonts w:ascii="Times New Roman;Times;serif" w:hAnsi="Times New Roman;Times;serif"/>
          <w:b/>
          <w:sz w:val="20"/>
        </w:rPr>
      </w:pPr>
      <w:bookmarkStart w:id="58" w:name="Item1Business_463527"/>
      <w:bookmarkEnd w:id="58"/>
      <w:r>
        <w:rPr>
          <w:rFonts w:ascii="Times New Roman;Times;serif" w:hAnsi="Times New Roman;Times;serif"/>
          <w:b/>
          <w:sz w:val="20"/>
        </w:rPr>
        <w:t>Item 1. Business.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Times;serif" w:hAnsi="Times New Roman;Times;serif"/>
          <w:i/>
          <w:sz w:val="20"/>
        </w:rPr>
        <w:t>ARK: Survival Evolved</w:t>
      </w:r>
      <w:r>
        <w:rPr>
          <w:rFonts w:ascii="Times New Roman;Times;serif" w:hAnsi="Times New Roman;Times;serif"/>
          <w:sz w:val="20"/>
        </w:rPr>
        <w:t xml:space="preserve"> has been a top-25 selling game on the Steam platform by gross revenue in each year we released </w:t>
      </w:r>
      <w:r>
        <w:rPr>
          <w:rFonts w:ascii="Times New Roman;Times;serif" w:hAnsi="Times New Roman;Times;serif"/>
          <w:i/>
          <w:sz w:val="20"/>
        </w:rPr>
        <w:t xml:space="preserve">ARK </w:t>
      </w:r>
      <w:r>
        <w:rPr>
          <w:rFonts w:ascii="Times New Roman;Times;serif" w:hAnsi="Times New Roman;Times;serif"/>
          <w:sz w:val="20"/>
        </w:rPr>
        <w:t xml:space="preserve">downloadable content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Times;serif" w:hAnsi="Times New Roman;Times;serif"/>
          <w:i/>
          <w:sz w:val="20"/>
        </w:rPr>
        <w:t>ARK: Survival Evolved</w:t>
      </w:r>
      <w:r>
        <w:rPr>
          <w:rFonts w:ascii="Times New Roman;Times;serif" w:hAnsi="Times New Roman;Times;serif"/>
          <w:sz w:val="20"/>
        </w:rPr>
        <w:t xml:space="preserve">, is a leader within the sandbox survival genre with over 84.7 million console and PC installs through December 31, 2022. See Item 7 of Part II, “Management’s Discussion and Analysis of Financial Condition and Results of Operations—Key Performance Metrics and Non-GAAP Measures.” In the year ended December 31, 2022, </w:t>
      </w:r>
      <w:r>
        <w:rPr>
          <w:rFonts w:ascii="Times New Roman;Times;serif" w:hAnsi="Times New Roman;Times;serif"/>
          <w:i/>
          <w:sz w:val="20"/>
        </w:rPr>
        <w:t>ARK: Survival Evolved</w:t>
      </w:r>
      <w:r>
        <w:rPr>
          <w:rFonts w:ascii="Times New Roman;Times;serif" w:hAnsi="Times New Roman;Times;serif"/>
          <w:sz w:val="20"/>
        </w:rPr>
        <w:t xml:space="preserve"> averaged a total of 305,376 daily active users (“DAUs”) on the Steam and Epic platforms, and we experienced a peak of approximately 1,112,797 DAUs in June 2022. We define “daily active users” as the number of unique users who play any given game on any given day. For the years ended December 31, 2022 and 2021, we generated 90.8% and 90.7%, respectively, of our revenues from </w:t>
      </w:r>
      <w:r>
        <w:rPr>
          <w:rFonts w:ascii="Times New Roman;Times;serif" w:hAnsi="Times New Roman;Times;serif"/>
          <w:i/>
          <w:sz w:val="20"/>
        </w:rPr>
        <w:t>ARK: Survival Evolved</w:t>
      </w:r>
      <w:r>
        <w:rPr>
          <w:rFonts w:ascii="Times New Roman;Times;serif" w:hAnsi="Times New Roman;Times;serif"/>
          <w:sz w:val="20"/>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roots trace back to the beginnings of the massively multiplayer online role-playing games (“MMORPG”), with early titles including </w:t>
      </w:r>
      <w:r>
        <w:rPr>
          <w:rFonts w:ascii="Times New Roman;Times;serif" w:hAnsi="Times New Roman;Times;serif"/>
          <w:i/>
          <w:sz w:val="20"/>
        </w:rPr>
        <w:t>Age of Wushu</w:t>
      </w:r>
      <w:r>
        <w:rPr>
          <w:rFonts w:ascii="Times New Roman;Times;serif" w:hAnsi="Times New Roman;Times;serif"/>
          <w:sz w:val="20"/>
        </w:rPr>
        <w:t>. Our long history provides us with substantial experience that we leverage to identify and invest in promising game development studios and to manage the growth of our games into AAA titles. We collaborate with talented development teams, providing our expertise, capital, technological resources, customer service, marketing strategy and other services to achieve a successful outcome.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optimize our development pipeline and target specific market segments by publishing games under several specialized brands through our two publishing labels, Snail Games USA and Wandering Wizard. Our distribution strategy utilizes Steam’s early access feature to achieve faster go-to-market times. We utilize proprietary technology, including a versatile game engine and advanced server technology, to heighten artistic detail and increase player engagement.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attribute our continued success to several differentiating elements.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Perseverance</w:t>
      </w:r>
      <w:r>
        <w:rPr>
          <w:rFonts w:ascii="Times New Roman;Times;serif" w:hAnsi="Times New Roman;Times;serif"/>
          <w:sz w:val="20"/>
        </w:rPr>
        <w:t>: We are called Snail because we admire a snail’s perseverance in achieving its goals. We maintain a disciplined approach to our game development, financial management and strategic acquisitions as we seek to deliver long-term value.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Innovation</w:t>
      </w:r>
      <w:r>
        <w:rPr>
          <w:rFonts w:ascii="Times New Roman;Times;serif" w:hAnsi="Times New Roman;Times;serif"/>
          <w:sz w:val="20"/>
        </w:rPr>
        <w:t xml:space="preserve">: We believe innovation is at the core of a highly engaging entertainment experience. Our titles span from indie to our AAA franchise </w:t>
      </w:r>
      <w:r>
        <w:rPr>
          <w:rFonts w:ascii="Times New Roman;Times;serif" w:hAnsi="Times New Roman;Times;serif"/>
          <w:i/>
          <w:sz w:val="20"/>
        </w:rPr>
        <w:t>ARK: Survival Evolved</w:t>
      </w:r>
      <w:r>
        <w:rPr>
          <w:rFonts w:ascii="Times New Roman;Times;serif" w:hAnsi="Times New Roman;Times;serif"/>
          <w:sz w:val="20"/>
        </w:rPr>
        <w:t>. We created the Wandering Wizard label to allow us to invest and grow indie titles built by bright, passionate teams.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Technology</w:t>
      </w:r>
      <w:r>
        <w:rPr>
          <w:rFonts w:ascii="Times New Roman;Times;serif" w:hAnsi="Times New Roman;Times;serif"/>
          <w:sz w:val="20"/>
        </w:rPr>
        <w:t xml:space="preserve">: We utilize advanced and proprietary technologies to drive demand and optimize costs. Our proprietary micro-influencer platform, </w:t>
      </w:r>
      <w:r>
        <w:rPr>
          <w:rFonts w:ascii="Times New Roman;Times;serif" w:hAnsi="Times New Roman;Times;serif"/>
          <w:i/>
          <w:sz w:val="20"/>
        </w:rPr>
        <w:t>NOIZ</w:t>
      </w:r>
      <w:r>
        <w:rPr>
          <w:rFonts w:ascii="Times New Roman;Times;serif" w:hAnsi="Times New Roman;Times;serif"/>
          <w:sz w:val="20"/>
        </w:rPr>
        <w:t>, operated by our subsidiary Eminence Corp, enables us to substantially broaden our influencer base at an advantaged cost, and our game and server technology provide a highly customizable development infrastructure.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Collaboration</w:t>
      </w:r>
      <w:r>
        <w:rPr>
          <w:rFonts w:ascii="Times New Roman;Times;serif" w:hAnsi="Times New Roman;Times;serif"/>
          <w:sz w:val="20"/>
        </w:rPr>
        <w:t>: We partner with talented independent studios for game development. Development teams, some of which are our wholly owned subsidiaries, are provided capital and other critical resources and are afforded a high degree of autonomy. We believe this model best preserves the culture and creativity of the development team and encourages the development of successful games.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Developers</w:t>
      </w:r>
      <w:r>
        <w:rPr>
          <w:rFonts w:ascii="Times New Roman;Times;serif" w:hAnsi="Times New Roman;Times;serif"/>
          <w:sz w:val="20"/>
        </w:rPr>
        <w:t>: We believe in the importance of maintaining a broad developer network to ensure the simultaneous development of high-quality games. We have seven internal development studios and we partner with two related-party development studios from AAA to indie located in the United States and internationally.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Experience</w:t>
      </w:r>
      <w:r>
        <w:rPr>
          <w:rFonts w:ascii="Times New Roman;Times;serif" w:hAnsi="Times New Roman;Times;serif"/>
          <w:sz w:val="20"/>
        </w:rPr>
        <w:t>: Our management team has deep knowledge of the gaming landscape based on more than two decades of experience in the gaming industry. Our Founder, Chief Strategy Officer and Chairman, Mr. Hai Shi, was a pioneer in sandbox and MMORPG games, and our Chief Executive Officer, Jim Tsai, has a deep understanding of game development and publishing with more than 25 years of experience. Our industry experience is foundational to our success in development and publishing and helps us to quickly identify attractive acquisition and partnership opportunities.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dedication to providing audiences with high-quality entertainment experiences utilizing the latest gaming technology has produced strong user engagement, continued revenue growth, and increased cash flows. Through December 31, 2022, our </w:t>
      </w:r>
      <w:r>
        <w:rPr>
          <w:rFonts w:ascii="Times New Roman;Times;serif" w:hAnsi="Times New Roman;Times;serif"/>
          <w:i/>
          <w:sz w:val="20"/>
        </w:rPr>
        <w:t>ARK</w:t>
      </w:r>
      <w:r>
        <w:rPr>
          <w:rFonts w:ascii="Times New Roman;Times;serif" w:hAnsi="Times New Roman;Times;serif"/>
          <w:sz w:val="20"/>
        </w:rPr>
        <w:t xml:space="preserve"> franchise game has been played for 3.1 billion hours with an average playing time per user of more than 160.2 hours and with the top 21.0% of all players spending over 100 hours in the game, according to data related to the Steam platform. For the years ended December 31, 2022 and 2021, our net revenue was $74.4 million and $106.7 million, respectively. We have maintained a diversified revenue base across platforms. During fiscal year 2022, approximately 43.5% of our revenue came from consoles, 42.4% from PC and 12.8% from mobile platforms. We had net income of $1.0 million for the year ended December 31, 2022 as compared to net income of $7.9 million for the year ended December 31, 2021.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Developments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robust plans to bolster our </w:t>
      </w:r>
      <w:r>
        <w:rPr>
          <w:rFonts w:ascii="Times New Roman;Times;serif" w:hAnsi="Times New Roman;Times;serif"/>
          <w:i/>
          <w:sz w:val="20"/>
        </w:rPr>
        <w:t>ARK</w:t>
      </w:r>
      <w:r>
        <w:rPr>
          <w:rFonts w:ascii="Times New Roman;Times;serif" w:hAnsi="Times New Roman;Times;serif"/>
          <w:sz w:val="20"/>
        </w:rPr>
        <w:t xml:space="preserve"> franchise in 2023 with DLCs for existing platforms, new titles and an expansion of our offerings on the Nintendo Switch platform. In February 2023, we announced the release of Ragnarok on the Nintendo Switch platform. Additional Nintendo Switch offerings expected to come in 2023 include release of the </w:t>
      </w:r>
      <w:r>
        <w:rPr>
          <w:rFonts w:ascii="Times New Roman;Times;serif" w:hAnsi="Times New Roman;Times;serif"/>
          <w:i/>
          <w:sz w:val="20"/>
        </w:rPr>
        <w:t>Extinction; Valguero, Genesis I,</w:t>
      </w:r>
      <w:r>
        <w:rPr>
          <w:rFonts w:ascii="Times New Roman;Times;serif" w:hAnsi="Times New Roman;Times;serif"/>
          <w:sz w:val="20"/>
        </w:rPr>
        <w:t xml:space="preserve"> and </w:t>
      </w:r>
      <w:r>
        <w:rPr>
          <w:rFonts w:ascii="Times New Roman;Times;serif" w:hAnsi="Times New Roman;Times;serif"/>
          <w:i/>
          <w:sz w:val="20"/>
        </w:rPr>
        <w:t>Crystal Isles</w:t>
      </w:r>
      <w:r>
        <w:rPr>
          <w:rFonts w:ascii="Times New Roman;Times;serif" w:hAnsi="Times New Roman;Times;serif"/>
          <w:sz w:val="20"/>
        </w:rPr>
        <w:t xml:space="preserve"> DLCs in the second quarter; </w:t>
      </w:r>
      <w:r>
        <w:rPr>
          <w:rFonts w:ascii="Times New Roman;Times;serif" w:hAnsi="Times New Roman;Times;serif"/>
          <w:i/>
          <w:sz w:val="20"/>
        </w:rPr>
        <w:t>Lost Island</w:t>
      </w:r>
      <w:r>
        <w:rPr>
          <w:rFonts w:ascii="Times New Roman;Times;serif" w:hAnsi="Times New Roman;Times;serif"/>
          <w:sz w:val="20"/>
        </w:rPr>
        <w:t xml:space="preserve"> and </w:t>
      </w:r>
      <w:r>
        <w:rPr>
          <w:rFonts w:ascii="Times New Roman;Times;serif" w:hAnsi="Times New Roman;Times;serif"/>
          <w:i/>
          <w:sz w:val="20"/>
        </w:rPr>
        <w:t>Genesis II</w:t>
      </w:r>
      <w:r>
        <w:rPr>
          <w:rFonts w:ascii="Times New Roman;Times;serif" w:hAnsi="Times New Roman;Times;serif"/>
          <w:sz w:val="20"/>
        </w:rPr>
        <w:t xml:space="preserve"> DLCs in the third quarter; followed by </w:t>
      </w:r>
      <w:r>
        <w:rPr>
          <w:rFonts w:ascii="Times New Roman;Times;serif" w:hAnsi="Times New Roman;Times;serif"/>
          <w:i/>
          <w:sz w:val="20"/>
        </w:rPr>
        <w:t>The Center</w:t>
      </w:r>
      <w:r>
        <w:rPr>
          <w:rFonts w:ascii="Times New Roman;Times;serif" w:hAnsi="Times New Roman;Times;serif"/>
          <w:sz w:val="20"/>
        </w:rPr>
        <w:t xml:space="preserve"> DLC and a new map, </w:t>
      </w:r>
      <w:r>
        <w:rPr>
          <w:rFonts w:ascii="Times New Roman;Times;serif" w:hAnsi="Times New Roman;Times;serif"/>
          <w:i/>
          <w:sz w:val="20"/>
        </w:rPr>
        <w:t>Fjordur</w:t>
      </w:r>
      <w:r>
        <w:rPr>
          <w:rFonts w:ascii="Times New Roman;Times;serif" w:hAnsi="Times New Roman;Times;serif"/>
          <w:sz w:val="20"/>
        </w:rPr>
        <w:t xml:space="preserve">, in the fourth quarter of 2023. We have a significant upgrade of </w:t>
      </w:r>
      <w:r>
        <w:rPr>
          <w:rFonts w:ascii="Times New Roman;Times;serif" w:hAnsi="Times New Roman;Times;serif"/>
          <w:i/>
          <w:sz w:val="20"/>
        </w:rPr>
        <w:t>ARK:</w:t>
      </w:r>
      <w:r>
        <w:rPr>
          <w:rFonts w:ascii="Times New Roman;Times;serif" w:hAnsi="Times New Roman;Times;serif"/>
          <w:sz w:val="20"/>
        </w:rPr>
        <w:t xml:space="preserve"> </w:t>
      </w:r>
      <w:r>
        <w:rPr>
          <w:rFonts w:ascii="Times New Roman;Times;serif" w:hAnsi="Times New Roman;Times;serif"/>
          <w:i/>
          <w:sz w:val="20"/>
        </w:rPr>
        <w:t>Survival Evolved</w:t>
      </w:r>
      <w:r>
        <w:rPr>
          <w:rFonts w:ascii="Times New Roman;Times;serif" w:hAnsi="Times New Roman;Times;serif"/>
          <w:sz w:val="20"/>
        </w:rPr>
        <w:t xml:space="preserve"> planned for the PlayStation, Xbox, Steam and Epic platforms and the release of a new service program on PlayStation and Xbox in the first half of 2023. In the second quarter of 2023 our mobile players can expect to enjoy a complete relaunch of </w:t>
      </w:r>
      <w:r>
        <w:rPr>
          <w:rFonts w:ascii="Times New Roman;Times;serif" w:hAnsi="Times New Roman;Times;serif"/>
          <w:i/>
          <w:sz w:val="20"/>
        </w:rPr>
        <w:t>ARK</w:t>
      </w:r>
      <w:r>
        <w:rPr>
          <w:rFonts w:ascii="Times New Roman;Times;serif" w:hAnsi="Times New Roman;Times;serif"/>
          <w:sz w:val="20"/>
        </w:rPr>
        <w:t xml:space="preserve">. Lastly, we plan to relaunch our </w:t>
      </w:r>
      <w:r>
        <w:rPr>
          <w:rFonts w:ascii="Times New Roman;Times;serif" w:hAnsi="Times New Roman;Times;serif"/>
          <w:i/>
          <w:sz w:val="20"/>
        </w:rPr>
        <w:t>Survival of the Fittest</w:t>
      </w:r>
      <w:r>
        <w:rPr>
          <w:rFonts w:ascii="Times New Roman;Times;serif" w:hAnsi="Times New Roman;Times;serif"/>
          <w:sz w:val="20"/>
        </w:rPr>
        <w:t xml:space="preserve"> multiplayer online survival arena later this year.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Market Opportunity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serve a large addressable market in a dynamic industry with strong growth tailwinds. Video games are rapidly growing as an entertainment platform on a global scale given the proliferation of mobile devices and numerous vectors of gaming experience. We are well-positioned to capitalize on economic trends in our markets as we own and/or maintain exclusive license rights to valuable IP that can be monetized through various channels across gaming and digital entertainment. We believe that our current market leadership in video games and growing presence in influencer platform through </w:t>
      </w:r>
      <w:r>
        <w:rPr>
          <w:rFonts w:ascii="Times New Roman;Times;serif" w:hAnsi="Times New Roman;Times;serif"/>
          <w:i/>
          <w:sz w:val="20"/>
        </w:rPr>
        <w:t>NOIZ</w:t>
      </w:r>
      <w:r>
        <w:rPr>
          <w:rFonts w:ascii="Times New Roman;Times;serif" w:hAnsi="Times New Roman;Times;serif"/>
          <w:sz w:val="20"/>
        </w:rPr>
        <w:t xml:space="preserve"> is just our beginning.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developed and invested in various successful sandbox survival titles since 2015. Our video game production quality, our history of franchise success, and our technological leadership have contributed to a deeply engaged, global player community, many members of which continue to purchase DLCs for our existing games and related games published under our brand or co-brands. We also offer the advantage of providing equal accessibility to gamers of all experience levels and demographics for our sandbox survival games, allowing us to maximize audience reach. Furthermore, depending on players’ experience and intensity, our platform gives players the flexibility to play on our servers, user-created servers, or private servers, which allows us to target a wider range of gamers and lower operating expenses.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Value Proposition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Value proposition for gamers</w:t>
      </w:r>
      <w:r>
        <w:rPr>
          <w:rFonts w:ascii="Times New Roman;Times;serif" w:hAnsi="Times New Roman;Times;serif"/>
          <w:sz w:val="20"/>
        </w:rPr>
        <w:t>: We aim to provide high-quality entertainment experience to end users. We strive to create the best game play experience for gamers by offering frequent new content and endless game play possibility as key value propositions to our players.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New Content</w:t>
      </w:r>
      <w:r>
        <w:rPr>
          <w:rFonts w:ascii="Times New Roman;Times;serif" w:hAnsi="Times New Roman;Times;serif"/>
          <w:sz w:val="20"/>
        </w:rPr>
        <w:t>: We continuously incorporate feedback from players to improve existing games and build expansion packs, which are released periodically. DLCs offer gamers a familiar game play in a new virtual world with a different fantasy twist from dinosaurs to Sci-Fi.</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Endless Possibility</w:t>
      </w:r>
      <w:r>
        <w:rPr>
          <w:rFonts w:ascii="Times New Roman;Times;serif" w:hAnsi="Times New Roman;Times;serif"/>
          <w:sz w:val="20"/>
        </w:rPr>
        <w:t>: Our games provide hours of entertainment with features that permit dynamic environmental changes of the virtual world, user-directed conquests, and cooperative or competitive gameplay with other users. Our sandbox games provide players with freedom, without the rules found in other genres such as racing games.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Value proposition for developers</w:t>
      </w:r>
      <w:r>
        <w:rPr>
          <w:rFonts w:ascii="Times New Roman;Times;serif" w:hAnsi="Times New Roman;Times;serif"/>
          <w:sz w:val="20"/>
        </w:rPr>
        <w:t>: Our business model is dependent on partnerships with developers, and we offer key value propositions of collaborative partnership, culture of innovation and technology to our developers.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Collaborative Partnership</w:t>
      </w:r>
      <w:r>
        <w:rPr>
          <w:rFonts w:ascii="Times New Roman;Times;serif" w:hAnsi="Times New Roman;Times;serif"/>
          <w:sz w:val="20"/>
        </w:rPr>
        <w:t>: We provide capital, technological resources, customer service, marketing strategy and other services to our video game development partners. We strategize with developers to customize marketing campaigns tailored to target markets. Our founder also provides developers with creative and other advice based on his deep expertise in the industry.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Culture of Innovation</w:t>
      </w:r>
      <w:r>
        <w:rPr>
          <w:rFonts w:ascii="Times New Roman;Times;serif" w:hAnsi="Times New Roman;Times;serif"/>
          <w:sz w:val="20"/>
        </w:rPr>
        <w:t>: We believe high-quality experiences result from a combination of forward thinking and fearless creativity. We encourage our development teams to experiment with emerging technologies and unique fantasy twists.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Technology</w:t>
      </w:r>
      <w:r>
        <w:rPr>
          <w:rFonts w:ascii="Times New Roman;Times;serif" w:hAnsi="Times New Roman;Times;serif"/>
          <w:sz w:val="20"/>
        </w:rPr>
        <w:t xml:space="preserve">: Our developers have access to our advanced development infrastructure as well as our proprietary technology including our micro-influencer technology, </w:t>
      </w:r>
      <w:r>
        <w:rPr>
          <w:rFonts w:ascii="Times New Roman;Times;serif" w:hAnsi="Times New Roman;Times;serif"/>
          <w:i/>
          <w:sz w:val="20"/>
        </w:rPr>
        <w:t>NOIZ</w:t>
      </w:r>
      <w:r>
        <w:rPr>
          <w:rFonts w:ascii="Times New Roman;Times;serif" w:hAnsi="Times New Roman;Times;serif"/>
          <w:sz w:val="20"/>
        </w:rPr>
        <w:t>, which helps brands engage with previously untapped small- to mid-sized influencers.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Platform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strategic flywheel is anchored by our dedication to delivering high-quality, compelling entertainment experiences and is driven by our capabilities in publishing, developing and creating proprietary technology. Growth in the number of published titles allows us to invest in new development teams and proprietary technology, which expand the number of titles we publish in a self-reinforcing loop. As the quality of our games increases, we are well-positioned to attract more users and more influencers. With increased influencers through our propriety micro-influencer platform, </w:t>
      </w:r>
      <w:r>
        <w:rPr>
          <w:rFonts w:ascii="Times New Roman;Times;serif" w:hAnsi="Times New Roman;Times;serif"/>
          <w:i/>
          <w:sz w:val="20"/>
        </w:rPr>
        <w:t>NOIZ,</w:t>
      </w:r>
      <w:r>
        <w:rPr>
          <w:rFonts w:ascii="Times New Roman;Times;serif" w:hAnsi="Times New Roman;Times;serif"/>
          <w:sz w:val="20"/>
        </w:rPr>
        <w:t xml:space="preserve"> we are able to reach a broader audience and increase user engagement within our games. This drives additional revenue, which we use to increase our developer network and to build proprietary technology. Our technology, along with our collaborative, innovative culture attracts talented developers, which in turn result in an increased number of high-quality games.</w:t>
      </w:r>
    </w:p>
    <w:p>
      <w:pPr>
        <w:pStyle w:val="TextBody"/>
        <w:spacing w:before="0" w:after="240"/>
        <w:ind w:left="0" w:right="0" w:firstLine="360"/>
        <w:jc w:val="center"/>
        <w:rPr/>
      </w:pPr>
      <w:r>
        <w:rPr/>
        <w:drawing>
          <wp:inline distT="0" distB="0" distL="0" distR="0">
            <wp:extent cx="5438140" cy="257111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5438140" cy="2571115"/>
                    </a:xfrm>
                    <a:prstGeom prst="rect">
                      <a:avLst/>
                    </a:prstGeom>
                  </pic:spPr>
                </pic:pic>
              </a:graphicData>
            </a:graphic>
          </wp:inline>
        </w:drawing>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Publishing</w:t>
      </w:r>
      <w:r>
        <w:rPr>
          <w:rFonts w:ascii="Times New Roman;Times;serif" w:hAnsi="Times New Roman;Times;serif"/>
          <w:sz w:val="20"/>
        </w:rPr>
        <w:t xml:space="preserve">: We derive the majority of our revenue from titles we offer through licensing and publishing agreements. Our </w:t>
      </w:r>
      <w:r>
        <w:rPr>
          <w:rFonts w:ascii="Times New Roman;Times;serif" w:hAnsi="Times New Roman;Times;serif"/>
          <w:i/>
          <w:sz w:val="20"/>
        </w:rPr>
        <w:t>ARK</w:t>
      </w:r>
      <w:r>
        <w:rPr>
          <w:rFonts w:ascii="Times New Roman;Times;serif" w:hAnsi="Times New Roman;Times;serif"/>
          <w:sz w:val="20"/>
        </w:rPr>
        <w:t xml:space="preserve"> franchise is led by our strategic partnership with Studio Wildcard. Our typical publishing cycle includes annual DLC releases for our major franchises, after which we repeat the same publishing cycle to attract new players and continue to entertain our existing players. We seek to bring new fantasy twists and genres to our players with innovative, creative content cultivated from strong partnerships with independent developers and published through our Wandering Wizard label.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Development</w:t>
      </w:r>
      <w:r>
        <w:rPr>
          <w:rFonts w:ascii="Times New Roman;Times;serif" w:hAnsi="Times New Roman;Times;serif"/>
          <w:sz w:val="20"/>
        </w:rPr>
        <w:t xml:space="preserve">: We also develop titles using a partnership approach in which we acquire ownership stakes in independent development teams. We preserve a development team’s culture by allowing a high degree of autonomy in its operations, which we believe allows development teams to retain their creative license, while also extracting synergies by utilizing our shared resources including customer service and backend functions. Furthermore, we foster a culture of communication where employees at all levels at our partner studios are able to receive direct feedback from our CEO. We partnered with Donkey Crew to produce </w:t>
      </w:r>
      <w:r>
        <w:rPr>
          <w:rFonts w:ascii="Times New Roman;Times;serif" w:hAnsi="Times New Roman;Times;serif"/>
          <w:i/>
          <w:sz w:val="20"/>
        </w:rPr>
        <w:t>Last Oasis</w:t>
      </w:r>
      <w:r>
        <w:rPr>
          <w:rFonts w:ascii="Times New Roman;Times;serif" w:hAnsi="Times New Roman;Times;serif"/>
          <w:sz w:val="20"/>
        </w:rPr>
        <w:t xml:space="preserve">, a nomadic survival massively multiplayer online game (“MMO”) with melee combat conquests, and with BTBX.io to produce </w:t>
      </w:r>
      <w:r>
        <w:rPr>
          <w:rFonts w:ascii="Times New Roman;Times;serif" w:hAnsi="Times New Roman;Times;serif"/>
          <w:i/>
          <w:sz w:val="20"/>
        </w:rPr>
        <w:t>Life is Feudal II</w:t>
      </w:r>
      <w:r>
        <w:rPr>
          <w:rFonts w:ascii="Times New Roman;Times;serif" w:hAnsi="Times New Roman;Times;serif"/>
          <w:sz w:val="20"/>
        </w:rPr>
        <w:t>, a sandbox survival game set in medieval times.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Technology</w:t>
      </w:r>
      <w:r>
        <w:rPr>
          <w:rFonts w:ascii="Times New Roman;Times;serif" w:hAnsi="Times New Roman;Times;serif"/>
          <w:sz w:val="20"/>
        </w:rPr>
        <w:t xml:space="preserve">: We are early adopters of the latest technology in our games and develop proprietary technology when necessary to address market opportunities. We maintain a flexible infrastructure to efficiently develop virtual worlds with advanced rendering and atmospheric effects across a wide array of video game types. We developed a proprietary micro-influencer marketing platform, </w:t>
      </w:r>
      <w:r>
        <w:rPr>
          <w:rFonts w:ascii="Times New Roman;Times;serif" w:hAnsi="Times New Roman;Times;serif"/>
          <w:i/>
          <w:sz w:val="20"/>
        </w:rPr>
        <w:t>NOIZ</w:t>
      </w:r>
      <w:r>
        <w:rPr>
          <w:rFonts w:ascii="Times New Roman;Times;serif" w:hAnsi="Times New Roman;Times;serif"/>
          <w:sz w:val="20"/>
        </w:rPr>
        <w:t>, to help game streamers and game companies reach a wider audience and diversify marketing spend. We work with our developers to create custom campaigns to optimize reach.</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Key Strengths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Top-ranked category defining franchise with a track record of growth</w:t>
      </w:r>
      <w:r>
        <w:rPr>
          <w:rFonts w:ascii="Times New Roman;Times;serif" w:hAnsi="Times New Roman;Times;serif"/>
          <w:sz w:val="20"/>
        </w:rPr>
        <w:t xml:space="preserve">: Our dedication to our customers and innovative game development has resulted in our position as a top-ranked, category-defining franchise with a track record of growth. Our flagship franchise, </w:t>
      </w:r>
      <w:r>
        <w:rPr>
          <w:rFonts w:ascii="Times New Roman;Times;serif" w:hAnsi="Times New Roman;Times;serif"/>
          <w:i/>
          <w:sz w:val="20"/>
        </w:rPr>
        <w:t>ARK: Survival Evolved</w:t>
      </w:r>
      <w:r>
        <w:rPr>
          <w:rFonts w:ascii="Times New Roman;Times;serif" w:hAnsi="Times New Roman;Times;serif"/>
          <w:sz w:val="20"/>
        </w:rPr>
        <w:t xml:space="preserve">, is a leader within the sandbox survival genre with over 84.7 million console and PC installs through December 31, 2022. </w:t>
      </w:r>
      <w:r>
        <w:rPr>
          <w:rFonts w:ascii="Times New Roman;Times;serif" w:hAnsi="Times New Roman;Times;serif"/>
          <w:i/>
          <w:sz w:val="20"/>
        </w:rPr>
        <w:t>ARK: Survival Evolved</w:t>
      </w:r>
      <w:r>
        <w:rPr>
          <w:rFonts w:ascii="Times New Roman;Times;serif" w:hAnsi="Times New Roman;Times;serif"/>
          <w:sz w:val="20"/>
        </w:rPr>
        <w:t xml:space="preserve"> has been a top-25 selling game on the Steam platform by gross revenue in each year we released an </w:t>
      </w:r>
      <w:r>
        <w:rPr>
          <w:rFonts w:ascii="Times New Roman;Times;serif" w:hAnsi="Times New Roman;Times;serif"/>
          <w:i/>
          <w:sz w:val="20"/>
        </w:rPr>
        <w:t>ARK</w:t>
      </w:r>
      <w:r>
        <w:rPr>
          <w:rFonts w:ascii="Times New Roman;Times;serif" w:hAnsi="Times New Roman;Times;serif"/>
          <w:sz w:val="20"/>
        </w:rPr>
        <w:t xml:space="preserve"> DLC. As of December 31, 2022, </w:t>
      </w:r>
      <w:r>
        <w:rPr>
          <w:rFonts w:ascii="Times New Roman;Times;serif" w:hAnsi="Times New Roman;Times;serif"/>
          <w:i/>
          <w:sz w:val="20"/>
        </w:rPr>
        <w:t>ARK: Survival Evolved</w:t>
      </w:r>
      <w:r>
        <w:rPr>
          <w:rFonts w:ascii="Times New Roman;Times;serif" w:hAnsi="Times New Roman;Times;serif"/>
          <w:sz w:val="20"/>
        </w:rPr>
        <w:t xml:space="preserve"> reached a peak audience of over 1,112,797 DAUs on PC platforms, and has been played 3.1 billion hours since its release.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Proven expertise in creating successful gaming franchises</w:t>
      </w:r>
      <w:r>
        <w:rPr>
          <w:rFonts w:ascii="Times New Roman;Times;serif" w:hAnsi="Times New Roman;Times;serif"/>
          <w:sz w:val="20"/>
        </w:rPr>
        <w:t xml:space="preserve">: We have proven expertise in creating successful gaming franchises. We are a multi-platform publisher with over 13 years of experience in creating culturally influential game titles, while demonstrating financial growth. As of December 31, 2022, we had more than 26 game titles. By recognizing the lucrative potential of the sandbox survival category at its nascent stages, we became a first mover in the category, and we now license and publish leading IP or license to the IP, including the global franchise </w:t>
      </w:r>
      <w:r>
        <w:rPr>
          <w:rFonts w:ascii="Times New Roman;Times;serif" w:hAnsi="Times New Roman;Times;serif"/>
          <w:i/>
          <w:sz w:val="20"/>
        </w:rPr>
        <w:t>ARK: Survival Evolved</w:t>
      </w:r>
      <w:r>
        <w:rPr>
          <w:rFonts w:ascii="Times New Roman;Times;serif" w:hAnsi="Times New Roman;Times;serif"/>
          <w:sz w:val="20"/>
        </w:rPr>
        <w:t xml:space="preserve">, </w:t>
      </w:r>
      <w:r>
        <w:rPr>
          <w:rFonts w:ascii="Times New Roman;Times;serif" w:hAnsi="Times New Roman;Times;serif"/>
          <w:i/>
          <w:sz w:val="20"/>
        </w:rPr>
        <w:t>Atlas</w:t>
      </w:r>
      <w:r>
        <w:rPr>
          <w:rFonts w:ascii="Times New Roman;Times;serif" w:hAnsi="Times New Roman;Times;serif"/>
          <w:sz w:val="20"/>
        </w:rPr>
        <w:t xml:space="preserve">, </w:t>
      </w:r>
      <w:r>
        <w:rPr>
          <w:rFonts w:ascii="Times New Roman;Times;serif" w:hAnsi="Times New Roman;Times;serif"/>
          <w:i/>
          <w:sz w:val="20"/>
        </w:rPr>
        <w:t>Last Oasis</w:t>
      </w:r>
      <w:r>
        <w:rPr>
          <w:rFonts w:ascii="Times New Roman;Times;serif" w:hAnsi="Times New Roman;Times;serif"/>
          <w:sz w:val="20"/>
        </w:rPr>
        <w:t xml:space="preserve">, </w:t>
      </w:r>
      <w:r>
        <w:rPr>
          <w:rFonts w:ascii="Times New Roman;Times;serif" w:hAnsi="Times New Roman;Times;serif"/>
          <w:i/>
          <w:sz w:val="20"/>
        </w:rPr>
        <w:t>Dark and Light</w:t>
      </w:r>
      <w:r>
        <w:rPr>
          <w:rFonts w:ascii="Times New Roman;Times;serif" w:hAnsi="Times New Roman;Times;serif"/>
          <w:sz w:val="20"/>
        </w:rPr>
        <w:t xml:space="preserve"> and </w:t>
      </w:r>
      <w:r>
        <w:rPr>
          <w:rFonts w:ascii="Times New Roman;Times;serif" w:hAnsi="Times New Roman;Times;serif"/>
          <w:i/>
          <w:sz w:val="20"/>
        </w:rPr>
        <w:t>Outlaws of the Old West</w:t>
      </w:r>
      <w:r>
        <w:rPr>
          <w:rFonts w:ascii="Times New Roman;Times;serif" w:hAnsi="Times New Roman;Times;serif"/>
          <w:sz w:val="20"/>
        </w:rPr>
        <w:t>. Our approach to the industry is to create a one-size-fits-all game to draw people into the overall sandbox survival genre. In order to retain players, we invest in game quality to generate additional interest, in addition to spending on advertising. Our collaborative relationships with video game development studios, industry leaders, technology providers and distribution platforms allow us to invest in promising video game projects and manage their growth into AAA video games and entertainment franchises. Our approach creates a continuous cycle of monetization opportunities across our gaming portfolio.</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IP portfolio spanning across multiple media formats and technology platforms to captivate end user</w:t>
      </w:r>
      <w:r>
        <w:rPr>
          <w:rFonts w:ascii="Times New Roman;Times;serif" w:hAnsi="Times New Roman;Times;serif"/>
          <w:sz w:val="20"/>
        </w:rPr>
        <w:t xml:space="preserve">: We license and own an IP portfolio spanning across multiple media formats and technology platforms to captivate end users. Our primary use of IP is to generate successful video games within and beyond the sandbox survival genre. Currently, our games are available on Xbox Live and Game Pass, PlayStation Network, Steam, Epic Games Store, the Apple App Store, the Google Play Store, My Nintendo Store and the Amazon Appstore, as well as through traditional retail channels. However, our vision for our valuable IP rights extend far beyond just gaming: our vision extends into media formats such as animation, TV, movies, eSports, and reality TV and interactive media, which we believe has tremendous potential. We have high aspirations across digital media and are poised to enter the animation and television industry with </w:t>
      </w:r>
      <w:r>
        <w:rPr>
          <w:rFonts w:ascii="Times New Roman;Times;serif" w:hAnsi="Times New Roman;Times;serif"/>
          <w:i/>
          <w:sz w:val="20"/>
        </w:rPr>
        <w:t>ARK, the Animated Series</w:t>
      </w:r>
      <w:r>
        <w:rPr>
          <w:rFonts w:ascii="Times New Roman;Times;serif" w:hAnsi="Times New Roman;Times;serif"/>
          <w:sz w:val="20"/>
        </w:rPr>
        <w:t xml:space="preserve"> in 2023.</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Collaborative development process between developers and management</w:t>
      </w:r>
      <w:r>
        <w:rPr>
          <w:rFonts w:ascii="Times New Roman;Times;serif" w:hAnsi="Times New Roman;Times;serif"/>
          <w:sz w:val="20"/>
        </w:rPr>
        <w:t xml:space="preserve">: We continue to evolve with the industry with our deep pipeline of leading video game franchises such as </w:t>
      </w:r>
      <w:r>
        <w:rPr>
          <w:rFonts w:ascii="Times New Roman;Times;serif" w:hAnsi="Times New Roman;Times;serif"/>
          <w:i/>
          <w:sz w:val="20"/>
        </w:rPr>
        <w:t>ARK: Survival Evolved</w:t>
      </w:r>
      <w:r>
        <w:rPr>
          <w:rFonts w:ascii="Times New Roman;Times;serif" w:hAnsi="Times New Roman;Times;serif"/>
          <w:sz w:val="20"/>
        </w:rPr>
        <w:t xml:space="preserve">, </w:t>
      </w:r>
      <w:r>
        <w:rPr>
          <w:rFonts w:ascii="Times New Roman;Times;serif" w:hAnsi="Times New Roman;Times;serif"/>
          <w:i/>
          <w:sz w:val="20"/>
        </w:rPr>
        <w:t>Atlas</w:t>
      </w:r>
      <w:r>
        <w:rPr>
          <w:rFonts w:ascii="Times New Roman;Times;serif" w:hAnsi="Times New Roman;Times;serif"/>
          <w:sz w:val="20"/>
        </w:rPr>
        <w:t xml:space="preserve">, </w:t>
      </w:r>
      <w:r>
        <w:rPr>
          <w:rFonts w:ascii="Times New Roman;Times;serif" w:hAnsi="Times New Roman;Times;serif"/>
          <w:i/>
          <w:sz w:val="20"/>
        </w:rPr>
        <w:t>Last Oasis</w:t>
      </w:r>
      <w:r>
        <w:rPr>
          <w:rFonts w:ascii="Times New Roman;Times;serif" w:hAnsi="Times New Roman;Times;serif"/>
          <w:sz w:val="20"/>
        </w:rPr>
        <w:t xml:space="preserve">, </w:t>
      </w:r>
      <w:r>
        <w:rPr>
          <w:rFonts w:ascii="Times New Roman;Times;serif" w:hAnsi="Times New Roman;Times;serif"/>
          <w:i/>
          <w:sz w:val="20"/>
        </w:rPr>
        <w:t>Dark and Light</w:t>
      </w:r>
      <w:r>
        <w:rPr>
          <w:rFonts w:ascii="Times New Roman;Times;serif" w:hAnsi="Times New Roman;Times;serif"/>
          <w:sz w:val="20"/>
        </w:rPr>
        <w:t xml:space="preserve"> and </w:t>
      </w:r>
      <w:r>
        <w:rPr>
          <w:rFonts w:ascii="Times New Roman;Times;serif" w:hAnsi="Times New Roman;Times;serif"/>
          <w:i/>
          <w:sz w:val="20"/>
        </w:rPr>
        <w:t>Outlaws of the Old West</w:t>
      </w:r>
      <w:r>
        <w:rPr>
          <w:rFonts w:ascii="Times New Roman;Times;serif" w:hAnsi="Times New Roman;Times;serif"/>
          <w:sz w:val="20"/>
        </w:rPr>
        <w:t>. Our success in game development and in keeping up with industry trends is partially attributed to our collaborative relationships with video game development studios, industry leaders, technology providers and distribution platforms. Our cooperative development process provides for a proprietary scalable model to publish multiple AAA video games based on current trends. We are proud of our collaborative relationship with our developers, as we believe it is truly unique in our industry and one of our main differentiators. We offer developers an ecosystem that aligns incentives and creates an environment for creativity to thrive. In addition to wonderful ideas for games, we value partners who share our vision and culture. After a partnership is formed, we offer developers a direct line of communication to Mr. Shi, our Founder, Chief Strategy Officer and Chairman, who is viewed as a pioneer in the video game industry and business world. We offer developers freedom by giving them access to the wide breadth of the Snail platform and resources so they can do what they do best: create.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b/>
          <w:i/>
          <w:sz w:val="20"/>
        </w:rPr>
        <w:t>Innovative use and creation of next-gen technologies and platforms</w:t>
      </w:r>
      <w:r>
        <w:rPr>
          <w:rFonts w:ascii="Times New Roman;Times;serif" w:hAnsi="Times New Roman;Times;serif"/>
          <w:sz w:val="20"/>
        </w:rPr>
        <w:t xml:space="preserve">: We use innovative technology to serve our customers, allowing us to provide high-quality user experiences and services. Our proprietary video game technology includes a versatile game engine, development pipeline tools, advanced rendering technology and advanced server and network operations, although we also use currently accepted standard industry technologies. Additionally, our customizable development infrastructure provides a framework for efficiently developing all types of video game projects using advanced rendering technologies for realistic lighting, weather and atmospheric effects, for creating new types of virtual assets and for other effects that heighten artistic detail and increase player engagement. Since inception, we have been developing our proprietary engine, Flexi. Unlike mainstream commercial engines, we are developing Flexi to allow us to save on royalty costs and retain ownership of our modifications to engines. We are currently creating an AAA game fully utilizing the Flexi engine to display its advanced capabilities. Most commercial engines are designed for single session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games and a small number of concurrent players in a specific geolocation. Our goal with Flexi, however, is to have the capability to handle a greater number of players in a particular area, which can be utilized for larger games with robust user interactions. Our micro-influencer business, </w:t>
      </w:r>
      <w:r>
        <w:rPr>
          <w:rFonts w:ascii="Times New Roman;Times;serif" w:hAnsi="Times New Roman;Times;serif"/>
          <w:i/>
          <w:sz w:val="20"/>
        </w:rPr>
        <w:t>NOIZ</w:t>
      </w:r>
      <w:r>
        <w:rPr>
          <w:rFonts w:ascii="Times New Roman;Times;serif" w:hAnsi="Times New Roman;Times;serif"/>
          <w:sz w:val="20"/>
        </w:rPr>
        <w:t>, strives to build an influencer marketing platform for brands to directly engage with small to-midsized influencers, through which influencers can reach millions of video game consumers and generate additional revenue at a cost advantage.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Visionary management team well versed in industry and business</w:t>
      </w:r>
      <w:r>
        <w:rPr>
          <w:rFonts w:ascii="Times New Roman;Times;serif" w:hAnsi="Times New Roman;Times;serif"/>
          <w:sz w:val="20"/>
        </w:rPr>
        <w:t>: We attribute much of our success to our visionary senior management and business development teams, which have a deep understanding of games and global video markets and aim to build innovative products for gamers. Our Founder, Chief Strategy Officer and Chairman, Mr. Shi, is also the founder and Chief Executive Officer of Suzhou Snail Digital Technology Co., Ltd. (“Suzhou Snail”), a related party, and is a pioneer in the video game industry and the sandbox survival genre. Mr. Shi is responsible for our overall vision, which has included adapting our business model for the global markets, focusing on premium games and investing in video game development and publishing in North America and Europe. Our Chief Executive Officer, Jim Tsai, has 25 years of experience developing and publishing video games in both Asia and the United States. Our founder and other members of our management and business development teams are seasoned gamers, who lead and provide insight into gaming development from a first-hand user’s perspective. We operate in an ecosystem in which our leaders employ a hands-on approach, as each developer is able to get direct contact with our founder and receive one-on-one feedback and mentorship.</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Growth Strategy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Continue to grow our successful </w:t>
      </w:r>
      <w:r>
        <w:rPr>
          <w:rFonts w:ascii="Times New Roman;Times;serif" w:hAnsi="Times New Roman;Times;serif"/>
          <w:b/>
          <w:sz w:val="20"/>
        </w:rPr>
        <w:t>ARK</w:t>
      </w:r>
      <w:r>
        <w:rPr>
          <w:rFonts w:ascii="Times New Roman;Times;serif" w:hAnsi="Times New Roman;Times;serif"/>
          <w:b/>
          <w:i/>
          <w:sz w:val="20"/>
        </w:rPr>
        <w:t xml:space="preserve">: </w:t>
      </w:r>
      <w:r>
        <w:rPr>
          <w:rFonts w:ascii="Times New Roman;Times;serif" w:hAnsi="Times New Roman;Times;serif"/>
          <w:b/>
          <w:sz w:val="20"/>
        </w:rPr>
        <w:t xml:space="preserve">Survival Evolved </w:t>
      </w:r>
      <w:r>
        <w:rPr>
          <w:rFonts w:ascii="Times New Roman;Times;serif" w:hAnsi="Times New Roman;Times;serif"/>
          <w:b/>
          <w:i/>
          <w:sz w:val="20"/>
        </w:rPr>
        <w:t>franchise</w:t>
      </w:r>
      <w:r>
        <w:rPr>
          <w:rFonts w:ascii="Times New Roman;Times;serif" w:hAnsi="Times New Roman;Times;serif"/>
          <w:sz w:val="20"/>
        </w:rPr>
        <w:t xml:space="preserve">: As one of the most creative and innovative companies in our industry, our primary strategy is to capitalize on our franchise and focus on delivering unique games and content, offering services that extend and enhance the experience, and connecting more players across more platforms. We believe the breadth and depth of our multi-platform, services offerings, and our use of multiple business models and distribution channels provide us with strategic advantages. We have established ourselves as a market leader and will continue to enhance our market-leading gaming franchises including </w:t>
      </w:r>
      <w:r>
        <w:rPr>
          <w:rFonts w:ascii="Times New Roman;Times;serif" w:hAnsi="Times New Roman;Times;serif"/>
          <w:i/>
          <w:sz w:val="20"/>
        </w:rPr>
        <w:t>ARK: Survival Evolved</w:t>
      </w:r>
      <w:r>
        <w:rPr>
          <w:rFonts w:ascii="Times New Roman;Times;serif" w:hAnsi="Times New Roman;Times;serif"/>
          <w:sz w:val="20"/>
        </w:rPr>
        <w:t xml:space="preserve">, </w:t>
      </w:r>
      <w:r>
        <w:rPr>
          <w:rFonts w:ascii="Times New Roman;Times;serif" w:hAnsi="Times New Roman;Times;serif"/>
          <w:i/>
          <w:sz w:val="20"/>
        </w:rPr>
        <w:t>Atlas</w:t>
      </w:r>
      <w:r>
        <w:rPr>
          <w:rFonts w:ascii="Times New Roman;Times;serif" w:hAnsi="Times New Roman;Times;serif"/>
          <w:sz w:val="20"/>
        </w:rPr>
        <w:t xml:space="preserve">, </w:t>
      </w:r>
      <w:r>
        <w:rPr>
          <w:rFonts w:ascii="Times New Roman;Times;serif" w:hAnsi="Times New Roman;Times;serif"/>
          <w:i/>
          <w:sz w:val="20"/>
        </w:rPr>
        <w:t>Last Oasis</w:t>
      </w:r>
      <w:r>
        <w:rPr>
          <w:rFonts w:ascii="Times New Roman;Times;serif" w:hAnsi="Times New Roman;Times;serif"/>
          <w:sz w:val="20"/>
        </w:rPr>
        <w:t xml:space="preserve">, </w:t>
      </w:r>
      <w:r>
        <w:rPr>
          <w:rFonts w:ascii="Times New Roman;Times;serif" w:hAnsi="Times New Roman;Times;serif"/>
          <w:i/>
          <w:sz w:val="20"/>
        </w:rPr>
        <w:t>Dark and Light</w:t>
      </w:r>
      <w:r>
        <w:rPr>
          <w:rFonts w:ascii="Times New Roman;Times;serif" w:hAnsi="Times New Roman;Times;serif"/>
          <w:sz w:val="20"/>
        </w:rPr>
        <w:t xml:space="preserve"> and </w:t>
      </w:r>
      <w:r>
        <w:rPr>
          <w:rFonts w:ascii="Times New Roman;Times;serif" w:hAnsi="Times New Roman;Times;serif"/>
          <w:i/>
          <w:sz w:val="20"/>
        </w:rPr>
        <w:t>Outlaws of the Old West</w:t>
      </w:r>
      <w:r>
        <w:rPr>
          <w:rFonts w:ascii="Times New Roman;Times;serif" w:hAnsi="Times New Roman;Times;serif"/>
          <w:sz w:val="20"/>
        </w:rPr>
        <w:t xml:space="preserve">. We focus on publishing high-quality content, regularly updating our games after launch to encourage social interactions, adding new content and features, and improving monetization. For example, we have released five paid DLCs since the original release of </w:t>
      </w:r>
      <w:r>
        <w:rPr>
          <w:rFonts w:ascii="Times New Roman;Times;serif" w:hAnsi="Times New Roman;Times;serif"/>
          <w:i/>
          <w:sz w:val="20"/>
        </w:rPr>
        <w:t>ARK: Survival Evolved</w:t>
      </w:r>
      <w:r>
        <w:rPr>
          <w:rFonts w:ascii="Times New Roman;Times;serif" w:hAnsi="Times New Roman;Times;serif"/>
          <w:sz w:val="20"/>
        </w:rPr>
        <w:t xml:space="preserve"> to support further growth in our </w:t>
      </w:r>
      <w:r>
        <w:rPr>
          <w:rFonts w:ascii="Times New Roman;Times;serif" w:hAnsi="Times New Roman;Times;serif"/>
          <w:i/>
          <w:sz w:val="20"/>
        </w:rPr>
        <w:t>ARK</w:t>
      </w:r>
      <w:r>
        <w:rPr>
          <w:rFonts w:ascii="Times New Roman;Times;serif" w:hAnsi="Times New Roman;Times;serif"/>
          <w:sz w:val="20"/>
        </w:rPr>
        <w:t xml:space="preserve"> franchise.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Continue to build a strong pipeline of new content via Snail Games USA and our independent label, Wandering Wizard</w:t>
      </w:r>
      <w:r>
        <w:rPr>
          <w:rFonts w:ascii="Times New Roman;Times;serif" w:hAnsi="Times New Roman;Times;serif"/>
          <w:sz w:val="20"/>
        </w:rPr>
        <w:t xml:space="preserve">: Building on our strong established franchises and creating new franchises through compelling new content is at the core of our business. We are always seeking ways to expand our portfolio of franchises, launching new intellectual property or rolling out innovative platforms for gamers to remain engaged and have a unique experience. We endeavor to reach as many consumers as possible by offering our content on multiple platforms and delivering compelling experiences across multiple business models. Currently, we have five console and PC games under development that are expected to be released in the next five years. Our independent label, Wandering Wizard, allows us to publish independent games of different graphical quality and different genres at a lower acquisition cost while utilizing our proven development and distribution strategies. Titles published under Wandering Wizard include </w:t>
      </w:r>
      <w:r>
        <w:rPr>
          <w:rFonts w:ascii="Times New Roman;Times;serif" w:hAnsi="Times New Roman;Times;serif"/>
          <w:i/>
          <w:sz w:val="20"/>
        </w:rPr>
        <w:t>West Hunt</w:t>
      </w:r>
      <w:r>
        <w:rPr>
          <w:rFonts w:ascii="Times New Roman;Times;serif" w:hAnsi="Times New Roman;Times;serif"/>
          <w:sz w:val="20"/>
        </w:rPr>
        <w:t xml:space="preserve"> and </w:t>
      </w:r>
      <w:r>
        <w:rPr>
          <w:rFonts w:ascii="Times New Roman;Times;serif" w:hAnsi="Times New Roman;Times;serif"/>
          <w:i/>
          <w:sz w:val="20"/>
        </w:rPr>
        <w:t>Expedition Agartha</w:t>
      </w:r>
      <w:r>
        <w:rPr>
          <w:rFonts w:ascii="Times New Roman;Times;serif" w:hAnsi="Times New Roman;Times;serif"/>
          <w:sz w:val="20"/>
        </w:rPr>
        <w:t>. In addition to spending on advertising, we invest in the research and development of new games as a form of marketing to increase our exposure. We believe that utilizing resources in this manner allows us to better leverage our areas of developmental expertise before launching a title. Each new game serves as an opportunity to market ourselves, expose audiences to the sandbox survival genre, engage with existing players, and monetize our platform’s full breadth of opportunities.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Continue to expand </w:t>
      </w:r>
      <w:r>
        <w:rPr>
          <w:rFonts w:ascii="Times New Roman;Times;serif" w:hAnsi="Times New Roman;Times;serif"/>
          <w:b/>
          <w:sz w:val="20"/>
        </w:rPr>
        <w:t>NOIZ,</w:t>
      </w:r>
      <w:r>
        <w:rPr>
          <w:rFonts w:ascii="Times New Roman;Times;serif" w:hAnsi="Times New Roman;Times;serif"/>
          <w:sz w:val="20"/>
        </w:rPr>
        <w:t xml:space="preserve"> </w:t>
      </w:r>
      <w:r>
        <w:rPr>
          <w:rFonts w:ascii="Times New Roman;Times;serif" w:hAnsi="Times New Roman;Times;serif"/>
          <w:b/>
          <w:i/>
          <w:sz w:val="20"/>
        </w:rPr>
        <w:t>our micro-influencer marketing business, and use the platform to bolster our marketing initiatives and eCommerce revenue</w:t>
      </w:r>
      <w:r>
        <w:rPr>
          <w:rFonts w:ascii="Times New Roman;Times;serif" w:hAnsi="Times New Roman;Times;serif"/>
          <w:sz w:val="20"/>
        </w:rPr>
        <w:t xml:space="preserve">: We are focused on reaching more players whenever and wherever they want to play. We believe that we can add value to our network by utilizing content creators and micro-influencers to connect to a world of play by offering an interactive platform for players to engage in. We created our proprietary, full-service marketing platform, </w:t>
      </w:r>
      <w:r>
        <w:rPr>
          <w:rFonts w:ascii="Times New Roman;Times;serif" w:hAnsi="Times New Roman;Times;serif"/>
          <w:i/>
          <w:sz w:val="20"/>
        </w:rPr>
        <w:t>NOIZ</w:t>
      </w:r>
      <w:r>
        <w:rPr>
          <w:rFonts w:ascii="Times New Roman;Times;serif" w:hAnsi="Times New Roman;Times;serif"/>
          <w:sz w:val="20"/>
        </w:rPr>
        <w:t xml:space="preserve">, where we have direct relationships with influencers and save on third-party costs. </w:t>
      </w:r>
      <w:r>
        <w:rPr>
          <w:rFonts w:ascii="Times New Roman;Times;serif" w:hAnsi="Times New Roman;Times;serif"/>
          <w:i/>
          <w:sz w:val="20"/>
        </w:rPr>
        <w:t>NOIZ</w:t>
      </w:r>
      <w:r>
        <w:rPr>
          <w:rFonts w:ascii="Times New Roman;Times;serif" w:hAnsi="Times New Roman;Times;serif"/>
          <w:sz w:val="20"/>
        </w:rPr>
        <w:t xml:space="preserve"> helps aspiring game streamers and game companies reach a wider audience, diversify marketing spend and income streams, and build their own brands easily and professionally at a large scale. Influencers can join the platform and play for free over a three day period. </w:t>
      </w:r>
      <w:r>
        <w:rPr>
          <w:rFonts w:ascii="Times New Roman;Times;serif" w:hAnsi="Times New Roman;Times;serif"/>
          <w:i/>
          <w:sz w:val="20"/>
        </w:rPr>
        <w:t>NOIZ</w:t>
      </w:r>
      <w:r>
        <w:rPr>
          <w:rFonts w:ascii="Times New Roman;Times;serif" w:hAnsi="Times New Roman;Times;serif"/>
          <w:sz w:val="20"/>
        </w:rPr>
        <w:t xml:space="preserve"> provides speed and payment to influencers, in addition to speed in the execution of marketing campaigns since no large scale agencies are involved. </w:t>
      </w:r>
      <w:r>
        <w:rPr>
          <w:rFonts w:ascii="Times New Roman;Times;serif" w:hAnsi="Times New Roman;Times;serif"/>
          <w:i/>
          <w:sz w:val="20"/>
        </w:rPr>
        <w:t>NOIZ</w:t>
      </w:r>
      <w:r>
        <w:rPr>
          <w:rFonts w:ascii="Times New Roman;Times;serif" w:hAnsi="Times New Roman;Times;serif"/>
          <w:sz w:val="20"/>
        </w:rPr>
        <w:t xml:space="preserve"> benefits all of our marketing and promotional initiatives and serves as a source of eCommerce revenue. </w:t>
      </w:r>
      <w:r>
        <w:rPr>
          <w:rFonts w:ascii="Times New Roman;Times;serif" w:hAnsi="Times New Roman;Times;serif"/>
          <w:i/>
          <w:sz w:val="20"/>
        </w:rPr>
        <w:t>NOIZ</w:t>
      </w:r>
      <w:r>
        <w:rPr>
          <w:rFonts w:ascii="Times New Roman;Times;serif" w:hAnsi="Times New Roman;Times;serif"/>
          <w:sz w:val="20"/>
        </w:rPr>
        <w:t xml:space="preserve"> is designed so that clients can choose to work on campaigns on their own or directly with our creative campaign managers in an end-to-end managed campaign process, with 24/7 support, by paying a fee. The management team at </w:t>
      </w:r>
      <w:r>
        <w:rPr>
          <w:rFonts w:ascii="Times New Roman;Times;serif" w:hAnsi="Times New Roman;Times;serif"/>
          <w:i/>
          <w:sz w:val="20"/>
        </w:rPr>
        <w:t>NOIZ</w:t>
      </w:r>
      <w:r>
        <w:rPr>
          <w:rFonts w:ascii="Times New Roman;Times;serif" w:hAnsi="Times New Roman;Times;serif"/>
          <w:sz w:val="20"/>
        </w:rPr>
        <w:t xml:space="preserve"> is comprised of eSports and gaming industry veterans and has worked with clients such as Square Enix, Sega, Stunlock Studios, Facebook, Sansar, TikTok, Bose, Softgiving, and Omaze. </w:t>
      </w:r>
      <w:r>
        <w:rPr>
          <w:rFonts w:ascii="Times New Roman;Times;serif" w:hAnsi="Times New Roman;Times;serif"/>
          <w:i/>
          <w:sz w:val="20"/>
        </w:rPr>
        <w:t>NOIZ</w:t>
      </w:r>
      <w:r>
        <w:rPr>
          <w:rFonts w:ascii="Times New Roman;Times;serif" w:hAnsi="Times New Roman;Times;serif"/>
          <w:sz w:val="20"/>
        </w:rPr>
        <w:t xml:space="preserve"> directly contributes to our video game growth because each influencer’s stream of our games to their followers is a sales opportunity. Micro- and macro-influencers have taken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advantage of </w:t>
      </w:r>
      <w:r>
        <w:rPr>
          <w:rFonts w:ascii="Times New Roman;Times;serif" w:hAnsi="Times New Roman;Times;serif"/>
          <w:i/>
          <w:sz w:val="20"/>
        </w:rPr>
        <w:t>NOIZ</w:t>
      </w:r>
      <w:r>
        <w:rPr>
          <w:rFonts w:ascii="Times New Roman;Times;serif" w:hAnsi="Times New Roman;Times;serif"/>
          <w:sz w:val="20"/>
        </w:rPr>
        <w:t xml:space="preserve">’s unique program, through which they receive a portion of the revenue from the video games they help sell. Through </w:t>
      </w:r>
      <w:r>
        <w:rPr>
          <w:rFonts w:ascii="Times New Roman;Times;serif" w:hAnsi="Times New Roman;Times;serif"/>
          <w:i/>
          <w:sz w:val="20"/>
        </w:rPr>
        <w:t>NOIZ</w:t>
      </w:r>
      <w:r>
        <w:rPr>
          <w:rFonts w:ascii="Times New Roman;Times;serif" w:hAnsi="Times New Roman;Times;serif"/>
          <w:sz w:val="20"/>
        </w:rPr>
        <w:t>, we can also collect data used to analyze new trends and self-market our products.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Continue investing in new technologies and platforms to efficiently capitalize on emerging trends</w:t>
      </w:r>
      <w:r>
        <w:rPr>
          <w:rFonts w:ascii="Times New Roman;Times;serif" w:hAnsi="Times New Roman;Times;serif"/>
          <w:sz w:val="20"/>
        </w:rPr>
        <w:t>: We provide a variety of digitally delivered products and games that are played online and on mobile platforms, such as tablets and smartphones; as such, there are various opportunities for us to grow and enhance profitability. We will continue investing in new distribution channels such as medias of streaming, animation, television and eSports as opportunities in platform distribution as well as DLCs arise to expand our reach and grow our business. We invest in the development of interactive entertainment products for new distribution channels, which incorporate a new technology or business model that enables us to compete more effectively against our peers. For our future games, we ultimately aim to build a metaverse in which users can create their own gameplay content and interact in a virtual world with other players over a secured network. We intend to build our metaverse using our Flexi engine, which will allow for better data management and hosting of significantly more players per server. We intend to hold competitions where players can submit created content and receive rewards, with the potential of incorporation into a new map as DLC with the assistance of our development team.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Scale our operations through international market expansion and strategic acquisitions</w:t>
      </w:r>
      <w:r>
        <w:rPr>
          <w:rFonts w:ascii="Times New Roman;Times;serif" w:hAnsi="Times New Roman;Times;serif"/>
          <w:sz w:val="20"/>
        </w:rPr>
        <w:t xml:space="preserve">: In line with our growth strategy, we plan to complete acquisitions to expand our gaming offerings, obtain talent, and expand into new markets. We continue to evaluate strategic acquisition opportunities in areas such as studios, publishers, and agencies. We may also pursue joint ventures or establish subsidiaries with strategic partners as well as make investments in interactive gaming and entertainment business as part of our long-term business strategy. The global market for interactive entertainment continues to grow, and we seek to increase our presence internationally, particularly in South America, where video game demand is expected to increase as the region advances in technology. We have existing relationships and customers in South America which we hope will continue to grow. We retain licensing rights to our intellectual properties in certain regions and intend to build on our existing licensing relationships and also continue to expand on license distribution strategies to grow our international business. As a result, we are actively exploring international strategic opportunities that fit our needs and culture. We also intend to release a Spanish version of </w:t>
      </w:r>
      <w:r>
        <w:rPr>
          <w:rFonts w:ascii="Times New Roman;Times;serif" w:hAnsi="Times New Roman;Times;serif"/>
          <w:i/>
          <w:sz w:val="20"/>
        </w:rPr>
        <w:t>NOIZ</w:t>
      </w:r>
      <w:r>
        <w:rPr>
          <w:rFonts w:ascii="Times New Roman;Times;serif" w:hAnsi="Times New Roman;Times;serif"/>
          <w:sz w:val="20"/>
        </w:rPr>
        <w:t>, expand publishing in South America, increase public relations and game announcements in the region, and grow our number of Spanish translators. We also seek to expand our licensing opportunities to new platforms and other geographies. We are continuing to execute on our growth initiatives, where our strategy is to broaden the distribution of our licensing opportunities. We intend to continue to build on our licensing relationships and also continue to expand on distribution strategies to grow our business. Furthermore, the growth and development of electronic commerce will enable us to explore more licensing opportunities across various geographic regions.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Games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sz w:val="20"/>
        </w:rPr>
        <w:t>ARK: Survival Evolved</w:t>
      </w:r>
      <w:r>
        <w:rPr>
          <w:rFonts w:ascii="Times New Roman;Times;serif" w:hAnsi="Times New Roman;Times;serif"/>
          <w:sz w:val="20"/>
        </w:rPr>
        <w:t xml:space="preserve">: Our flagship franchise, </w:t>
      </w:r>
      <w:r>
        <w:rPr>
          <w:rFonts w:ascii="Times New Roman;Times;serif" w:hAnsi="Times New Roman;Times;serif"/>
          <w:i/>
          <w:sz w:val="20"/>
        </w:rPr>
        <w:t>ARK: Survival Evolved</w:t>
      </w:r>
      <w:r>
        <w:rPr>
          <w:rFonts w:ascii="Times New Roman;Times;serif" w:hAnsi="Times New Roman;Times;serif"/>
          <w:sz w:val="20"/>
        </w:rPr>
        <w:t xml:space="preserve">, is an action-adventure survival sandbox game set in an open-world environment with a dynamic day-night cycle. Players must survive being stranded on an island filled with roaming dinosaurs and other prehistoric animals, natural hazards, and potentially hostile human players. The game, ranked #1 by market share within the sandbox survival genre, released to Early Access in June 2015 and to retail in August 2017. The game supports consoles (PS4, Xbox One, Xbox Series X/S, and Nintendo Switch), PCs and mobile (Android, iOS). We developed </w:t>
      </w:r>
      <w:r>
        <w:rPr>
          <w:rFonts w:ascii="Times New Roman;Times;serif" w:hAnsi="Times New Roman;Times;serif"/>
          <w:i/>
          <w:sz w:val="20"/>
        </w:rPr>
        <w:t>ARK</w:t>
      </w:r>
      <w:r>
        <w:rPr>
          <w:rFonts w:ascii="Times New Roman;Times;serif" w:hAnsi="Times New Roman;Times;serif"/>
          <w:sz w:val="20"/>
        </w:rPr>
        <w:t xml:space="preserve"> in partnership with Studio Wildcard, and have released five expansion packs, or DLCs.</w:t>
      </w:r>
    </w:p>
    <w:tbl>
      <w:tblPr>
        <w:tblW w:w="10011" w:type="dxa"/>
        <w:jc w:val="left"/>
        <w:tblInd w:w="0" w:type="dxa"/>
        <w:tblCellMar>
          <w:top w:w="28" w:type="dxa"/>
          <w:left w:w="28" w:type="dxa"/>
          <w:bottom w:w="28" w:type="dxa"/>
          <w:right w:w="28" w:type="dxa"/>
        </w:tblCellMar>
      </w:tblPr>
      <w:tblGrid>
        <w:gridCol w:w="124"/>
        <w:gridCol w:w="256"/>
        <w:gridCol w:w="96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3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Scorched Earth</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A desert map with minimum water and extreme weathers. The DLC was released on September 2016.</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Aberration</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A radiation style expansion pack to explore the mysterious underground world. The DLC was released on December 2017.</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Extinction</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A mechanical style expansion pack themed to fight against giant titans and save the post-apocalyptic earth. The DLC was released on November 2018.</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Genesis 1 &amp; 2</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A mission-based gameplay DLC with the ability to explore new worlds and mysterious stories. The DLCs were released in February 2020 and in June 2021, respectively.</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sz w:val="20"/>
        </w:rPr>
        <w:t>Last Oasis</w:t>
      </w:r>
      <w:r>
        <w:rPr>
          <w:rFonts w:ascii="Times New Roman;Times;serif" w:hAnsi="Times New Roman;Times;serif"/>
          <w:sz w:val="20"/>
        </w:rPr>
        <w:t xml:space="preserve">: Developed in connection with our wholly owned subsidiary, Donkey Crew, </w:t>
      </w:r>
      <w:r>
        <w:rPr>
          <w:rFonts w:ascii="Times New Roman;Times;serif" w:hAnsi="Times New Roman;Times;serif"/>
          <w:i/>
          <w:sz w:val="20"/>
        </w:rPr>
        <w:t>Last Oasis</w:t>
      </w:r>
      <w:r>
        <w:rPr>
          <w:rFonts w:ascii="Times New Roman;Times;serif" w:hAnsi="Times New Roman;Times;serif"/>
          <w:sz w:val="20"/>
        </w:rPr>
        <w:t xml:space="preserve"> is a Nomadic Survival MMO with a focus on PvP, clan warfare and social interactions. Set in the unique world where the Earth has stopped rotating, the last human survivors need to outrun the scorching Sun using giant wind walkers to avoid the ever moving cloud of magic mist. The game was released by Early Access on March 2020, and currently supports consoles (Xbox One and Xbox Series X/S) and PCs.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sz w:val="20"/>
        </w:rPr>
        <w:t>Atlas</w:t>
      </w:r>
      <w:r>
        <w:rPr>
          <w:rFonts w:ascii="Times New Roman;Times;serif" w:hAnsi="Times New Roman;Times;serif"/>
          <w:sz w:val="20"/>
        </w:rPr>
        <w:t xml:space="preserve">: Developed in partnership with Grapeshot Games, </w:t>
      </w:r>
      <w:r>
        <w:rPr>
          <w:rFonts w:ascii="Times New Roman;Times;serif" w:hAnsi="Times New Roman;Times;serif"/>
          <w:i/>
          <w:sz w:val="20"/>
        </w:rPr>
        <w:t>Atlas</w:t>
      </w:r>
      <w:r>
        <w:rPr>
          <w:rFonts w:ascii="Times New Roman;Times;serif" w:hAnsi="Times New Roman;Times;serif"/>
          <w:sz w:val="20"/>
        </w:rPr>
        <w:t xml:space="preserve"> is a pirate themed sandbox survival game. The game features a massive world, using the latest network technology, allowing for an infinite array of islands to explore and inhabit as the players see fit. The game was released by Early Access on December 2018 and supports consoles (Xbox One, Xbox Series X/S) and PCs.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Technology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employ industry standard game engines for the majority of our games, which allows flexibility and accelerated game development. Our proprietary code modifies the game engines to fit the needs and features of our games as necessary, and for franchises like </w:t>
      </w:r>
      <w:r>
        <w:rPr>
          <w:rFonts w:ascii="Times New Roman;Times;serif" w:hAnsi="Times New Roman;Times;serif"/>
          <w:i/>
          <w:sz w:val="20"/>
        </w:rPr>
        <w:t>ARK</w:t>
      </w:r>
      <w:r>
        <w:rPr>
          <w:rFonts w:ascii="Times New Roman;Times;serif" w:hAnsi="Times New Roman;Times;serif"/>
          <w:sz w:val="20"/>
        </w:rPr>
        <w:t>, we are able to leverage that proprietary code in the development of new DLCs for existing games and development of entirely new games. We retain ownership of all code developed for our proprietary engine, Flexi, which is currently being used to develop certain games in our pipeline with the expectation of launching to external developers in the near future.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offer an industry-leading micro-influencer platform, </w:t>
      </w:r>
      <w:r>
        <w:rPr>
          <w:rFonts w:ascii="Times New Roman;Times;serif" w:hAnsi="Times New Roman;Times;serif"/>
          <w:i/>
          <w:sz w:val="20"/>
        </w:rPr>
        <w:t>NOIZ,</w:t>
      </w:r>
      <w:r>
        <w:rPr>
          <w:rFonts w:ascii="Times New Roman;Times;serif" w:hAnsi="Times New Roman;Times;serif"/>
          <w:sz w:val="20"/>
        </w:rPr>
        <w:t xml:space="preserve"> through which influencers can connect with brands in need. We continue to make technological enhancements to </w:t>
      </w:r>
      <w:r>
        <w:rPr>
          <w:rFonts w:ascii="Times New Roman;Times;serif" w:hAnsi="Times New Roman;Times;serif"/>
          <w:i/>
          <w:sz w:val="20"/>
        </w:rPr>
        <w:t>NOIZ</w:t>
      </w:r>
      <w:r>
        <w:rPr>
          <w:rFonts w:ascii="Times New Roman;Times;serif" w:hAnsi="Times New Roman;Times;serif"/>
          <w:sz w:val="20"/>
        </w:rPr>
        <w:t>, with a focus on streamlining the process to connect brands with influencers, and facilitating and simplifying the agreements that need to be executed between the two parties.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Competition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interactive entertainment market is highly competitive and evolves rapidly as new games, content and features are introduced. We compete with other interactive entertainment companies such as Activision Blizzard, Inc., Electronic Arts Inc., Take-Two Interactive, Zynga, Ubisoft, Epic Games, Tencent, Netmarble, Sony, Microsoft and Nintendo primarily for game development on consoles, PCs and mobile devices. Across the sandbox survival game genre, we primarily compete with Embracer Group, Saber Group, Enand Global 7, FunCom, Axolot Games, and Facepunch Studios. We also face competition from other independent developer studios. Important factors in the video game development and publishing industries include innovation, creative and technical talent, game quality, brand recognition, platform compatibility, pricing, accessibility to distribution channels and customer service.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micro-influencer platform </w:t>
      </w:r>
      <w:r>
        <w:rPr>
          <w:rFonts w:ascii="Times New Roman;Times;serif" w:hAnsi="Times New Roman;Times;serif"/>
          <w:i/>
          <w:sz w:val="20"/>
        </w:rPr>
        <w:t>NOIZ</w:t>
      </w:r>
      <w:r>
        <w:rPr>
          <w:rFonts w:ascii="Times New Roman;Times;serif" w:hAnsi="Times New Roman;Times;serif"/>
          <w:sz w:val="20"/>
        </w:rPr>
        <w:t xml:space="preserve"> competes against other growth-stage companies in the space, such as Lurkit and Rainmaker Collective, although </w:t>
      </w:r>
      <w:r>
        <w:rPr>
          <w:rFonts w:ascii="Times New Roman;Times;serif" w:hAnsi="Times New Roman;Times;serif"/>
          <w:i/>
          <w:sz w:val="20"/>
        </w:rPr>
        <w:t>NOIZ</w:t>
      </w:r>
      <w:r>
        <w:rPr>
          <w:rFonts w:ascii="Times New Roman;Times;serif" w:hAnsi="Times New Roman;Times;serif"/>
          <w:sz w:val="20"/>
        </w:rPr>
        <w:t xml:space="preserve"> is the only micro-influencer platform currently in the operating stage.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broader competitors include other providers of digital entertainment, such as film, television, social networking, streaming and music.</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Regulatory Matters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various federal, state and international laws and regulations that affect companies conducting business on the Internet and mobile platforms, including those relating to privacy, use and protection of player and employee personal information and data (including the collection of data from minors), the Internet, behavioral tracking, mobile application, content, advertising and marketing activities (including sweepstakes, contests and giveaways) and anti-corruption.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players and deliver products and services, which significantly increase our compliance costs. As our business expands to include new uses or collection of data that are subject to privacy or security regulations and our operations continue to expand across the globe, our compliance requirements and costs will increase and we may be subject to increased regulatory scrutiny.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more information regarding risks relating to data privacy and security, see Item 1A of Part I, “Risk Factors — Risks Related to Legal or Regulatory Compliance — Changing data privacy and security laws and regulations in the jurisdictions in which we or our consumers do business could increase the cost of our operations and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harm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Intellectual Property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Similar to other interactive entertainment companies, our business is significantly dependent on the creation, acquisition, use and protection of intellectual property. Some of this intellectual property is in the form of software code, other technology, and trade secrets that we use to run our games. Other intellectual property includes copyrighted audio-visual elements that consumers can see, hear, and interact with when they are playing our games. Most of the intellectual property we use is licensed to us by third-party game developers. We obtain such intellectual property rights through licenses and service agreements, and such licenses may limit our use of such intellectual property to specific uses and for specific time periods. We seek to advance and maintain our business through both a combination of licensed and owned intellectual property.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2022, we owned the following trademarks related to the business: 15 registered trademarks in the United States and two registered trademarks in non-U.S. jurisdictions. As of December 31, 2022, we did not have any pending trademark registration applications. As of December 31, 2022, we owned nine registered United States copyrights. As of December 31, 2022, we did not have any issued U.S. design patents and one pending U.S. design patent application through one of our subsidiaries, which is scheduled to expire in 2033, assuming payment of all appropriate maintenance, renewal, annuity or other governmental fees. Additionally, we have registered domain names for websites that we use in our business, such as </w:t>
      </w:r>
      <w:r>
        <w:rPr>
          <w:rFonts w:ascii="Times New Roman;Times;serif" w:hAnsi="Times New Roman;Times;serif"/>
          <w:i/>
          <w:sz w:val="20"/>
        </w:rPr>
        <w:t xml:space="preserve">snailgamesusa.com </w:t>
      </w:r>
      <w:r>
        <w:rPr>
          <w:rFonts w:ascii="Times New Roman;Times;serif" w:hAnsi="Times New Roman;Times;serif"/>
          <w:sz w:val="20"/>
        </w:rPr>
        <w:t xml:space="preserve">and </w:t>
      </w:r>
      <w:r>
        <w:rPr>
          <w:rFonts w:ascii="Times New Roman;Times;serif" w:hAnsi="Times New Roman;Times;serif"/>
          <w:i/>
          <w:sz w:val="20"/>
        </w:rPr>
        <w:t>playark.com.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 majority of our revenue is derived from licensed intellectual property, such as our </w:t>
      </w:r>
      <w:r>
        <w:rPr>
          <w:rFonts w:ascii="Times New Roman;Times;serif" w:hAnsi="Times New Roman;Times;serif"/>
          <w:i/>
          <w:sz w:val="20"/>
        </w:rPr>
        <w:t>ARK</w:t>
      </w:r>
      <w:r>
        <w:rPr>
          <w:rFonts w:ascii="Times New Roman;Times;serif" w:hAnsi="Times New Roman;Times;serif"/>
          <w:sz w:val="20"/>
        </w:rPr>
        <w:t xml:space="preserve"> franchise. We license the intellectual property underlying our </w:t>
      </w:r>
      <w:r>
        <w:rPr>
          <w:rFonts w:ascii="Times New Roman;Times;serif" w:hAnsi="Times New Roman;Times;serif"/>
          <w:i/>
          <w:sz w:val="20"/>
        </w:rPr>
        <w:t>ARK</w:t>
      </w:r>
      <w:r>
        <w:rPr>
          <w:rFonts w:ascii="Times New Roman;Times;serif" w:hAnsi="Times New Roman;Times;serif"/>
          <w:sz w:val="20"/>
        </w:rPr>
        <w:t xml:space="preserve"> franchise from SDE, the parent company of Studio Wildcard. SDE is controlled by the spouse of Mr. Shi, our Founder, Chief Strategy Officer and Chairman. We entered into an original exclusive software license agreement with SDE in November 2015, for the rights to </w:t>
      </w:r>
      <w:r>
        <w:rPr>
          <w:rFonts w:ascii="Times New Roman;Times;serif" w:hAnsi="Times New Roman;Times;serif"/>
          <w:i/>
          <w:sz w:val="20"/>
        </w:rPr>
        <w:t>ARK: Survival Evolved</w:t>
      </w:r>
      <w:r>
        <w:rPr>
          <w:rFonts w:ascii="Times New Roman;Times;serif" w:hAnsi="Times New Roman;Times;serif"/>
          <w:sz w:val="20"/>
        </w:rPr>
        <w:t xml:space="preserve">, and subsequently amended and restated such agreement on September 20, 2022 (the “ARK1 License Agreement”). Pursuant to the ARK1 License Agreement, we obtained an exclusive worldwide license to publish and sell </w:t>
      </w:r>
      <w:r>
        <w:rPr>
          <w:rFonts w:ascii="Times New Roman;Times;serif" w:hAnsi="Times New Roman;Times;serif"/>
          <w:i/>
          <w:sz w:val="20"/>
        </w:rPr>
        <w:t>ARK: Survival Evolved</w:t>
      </w:r>
      <w:r>
        <w:rPr>
          <w:rFonts w:ascii="Times New Roman;Times;serif" w:hAnsi="Times New Roman;Times;serif"/>
          <w:sz w:val="20"/>
        </w:rPr>
        <w:t xml:space="preserve">, and we owe SDE monthly payments of $1.5 million, a 25% royalty on </w:t>
      </w:r>
      <w:r>
        <w:rPr>
          <w:rFonts w:ascii="Times New Roman;Times;serif" w:hAnsi="Times New Roman;Times;serif"/>
          <w:i/>
          <w:sz w:val="20"/>
        </w:rPr>
        <w:t>ARK: Survival Evolved</w:t>
      </w:r>
      <w:r>
        <w:rPr>
          <w:rFonts w:ascii="Times New Roman;Times;serif" w:hAnsi="Times New Roman;Times;serif"/>
          <w:sz w:val="20"/>
        </w:rPr>
        <w:t xml:space="preserve"> revenue, as well as one-time payments of $5.0 million for each additional DLC developed pursuant to the ARK1 License Agreement. The ARK1 License Agreement imposes obligations on us to, among other things, maintain servers and websites, promote </w:t>
      </w:r>
      <w:r>
        <w:rPr>
          <w:rFonts w:ascii="Times New Roman;Times;serif" w:hAnsi="Times New Roman;Times;serif"/>
          <w:i/>
          <w:sz w:val="20"/>
        </w:rPr>
        <w:t>ARK: Survival Evolved</w:t>
      </w:r>
      <w:r>
        <w:rPr>
          <w:rFonts w:ascii="Times New Roman;Times;serif" w:hAnsi="Times New Roman;Times;serif"/>
          <w:sz w:val="20"/>
        </w:rPr>
        <w:t xml:space="preserve">, pay all necessary game engine fees and take commercially reasonable efforts to protect the game from piracy and hacking. The initial term of the ARK1 License Agreement continues until December 31, 2035, and will renew automatically for three-year terms unless terminated by either party with 365 days’ prior written notice. The ARK1 License Agreement also contains a right of first refusal for any offer to acquire all or any part of SDE’s business on terms consistent with such offer. Pursuant to the ARK1 License Agreement, payments made by us to SDE for any derivative </w:t>
      </w:r>
      <w:r>
        <w:rPr>
          <w:rFonts w:ascii="Times New Roman;Times;serif" w:hAnsi="Times New Roman;Times;serif"/>
          <w:i/>
          <w:sz w:val="20"/>
        </w:rPr>
        <w:t>ARK</w:t>
      </w:r>
      <w:r>
        <w:rPr>
          <w:rFonts w:ascii="Times New Roman;Times;serif" w:hAnsi="Times New Roman;Times;serif"/>
          <w:sz w:val="20"/>
        </w:rPr>
        <w:t xml:space="preserve"> game (such as </w:t>
      </w:r>
      <w:r>
        <w:rPr>
          <w:rFonts w:ascii="Times New Roman;Times;serif" w:hAnsi="Times New Roman;Times;serif"/>
          <w:i/>
          <w:sz w:val="20"/>
        </w:rPr>
        <w:t>ARK 2</w:t>
      </w:r>
      <w:r>
        <w:rPr>
          <w:rFonts w:ascii="Times New Roman;Times;serif" w:hAnsi="Times New Roman;Times;serif"/>
          <w:sz w:val="20"/>
        </w:rPr>
        <w:t xml:space="preserve">) shall be credited against our payment obligations under the ARK1 License Agreement. In December 2022, we amended the ARK1 License Agreement. The license fee has been restructured so that we will pay 45% of total revenue of </w:t>
      </w:r>
      <w:r>
        <w:rPr>
          <w:rFonts w:ascii="Times New Roman;Times;serif" w:hAnsi="Times New Roman;Times;serif"/>
          <w:i/>
          <w:sz w:val="20"/>
        </w:rPr>
        <w:t>ARK 1</w:t>
      </w:r>
      <w:r>
        <w:rPr>
          <w:rFonts w:ascii="Times New Roman;Times;serif" w:hAnsi="Times New Roman;Times;serif"/>
          <w:sz w:val="20"/>
        </w:rPr>
        <w:t xml:space="preserve"> as a royalty instead of the $1.5 million monthly fee plus 25% of the total </w:t>
      </w:r>
      <w:r>
        <w:rPr>
          <w:rFonts w:ascii="Times New Roman;Times;serif" w:hAnsi="Times New Roman;Times;serif"/>
          <w:i/>
          <w:sz w:val="20"/>
        </w:rPr>
        <w:t>ARK 1</w:t>
      </w:r>
      <w:r>
        <w:rPr>
          <w:rFonts w:ascii="Times New Roman;Times;serif" w:hAnsi="Times New Roman;Times;serif"/>
          <w:sz w:val="20"/>
        </w:rPr>
        <w:t xml:space="preserve"> revenue once the sequel, </w:t>
      </w:r>
      <w:r>
        <w:rPr>
          <w:rFonts w:ascii="Times New Roman;Times;serif" w:hAnsi="Times New Roman;Times;serif"/>
          <w:i/>
          <w:sz w:val="20"/>
        </w:rPr>
        <w:t>ARK 2</w:t>
      </w:r>
      <w:r>
        <w:rPr>
          <w:rFonts w:ascii="Times New Roman;Times;serif" w:hAnsi="Times New Roman;Times;serif"/>
          <w:sz w:val="20"/>
        </w:rPr>
        <w:t>, is publicly released. In 2022 and 2021, we paid $18.0 million and $18.0 million, respectively, in license costs and $16.4 million and $20.4 million, respectively, in royalty payments pursuant to the ARK1 License Agreement.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April 27, 2022, upon payment of $5.0 million, we entered into an agreement with SDE securing our rights to </w:t>
      </w:r>
      <w:r>
        <w:rPr>
          <w:rFonts w:ascii="Times New Roman;Times;serif" w:hAnsi="Times New Roman;Times;serif"/>
          <w:i/>
          <w:sz w:val="20"/>
        </w:rPr>
        <w:t>ARK 2</w:t>
      </w:r>
      <w:r>
        <w:rPr>
          <w:rFonts w:ascii="Times New Roman;Times;serif" w:hAnsi="Times New Roman;Times;serif"/>
          <w:sz w:val="20"/>
        </w:rPr>
        <w:t xml:space="preserve"> (“ARK2 License Agreement”), on terms similar to the ARK1 License Agreement, with an initial term continuing until December 31, 2037. Pursuant to the ARK2 License Agreement, once </w:t>
      </w:r>
      <w:r>
        <w:rPr>
          <w:rFonts w:ascii="Times New Roman;Times;serif" w:hAnsi="Times New Roman;Times;serif"/>
          <w:i/>
          <w:sz w:val="20"/>
        </w:rPr>
        <w:t>ARK 2</w:t>
      </w:r>
      <w:r>
        <w:rPr>
          <w:rFonts w:ascii="Times New Roman;Times;serif" w:hAnsi="Times New Roman;Times;serif"/>
          <w:sz w:val="20"/>
        </w:rPr>
        <w:t xml:space="preserve"> has commercially launched, we will begin making monthly payments of $1.5 million, a 25% royalty on </w:t>
      </w:r>
      <w:r>
        <w:rPr>
          <w:rFonts w:ascii="Times New Roman;Times;serif" w:hAnsi="Times New Roman;Times;serif"/>
          <w:i/>
          <w:sz w:val="20"/>
        </w:rPr>
        <w:t>ARK 2</w:t>
      </w:r>
      <w:r>
        <w:rPr>
          <w:rFonts w:ascii="Times New Roman;Times;serif" w:hAnsi="Times New Roman;Times;serif"/>
          <w:sz w:val="20"/>
        </w:rPr>
        <w:t xml:space="preserve"> and one-time payments of $5.0 million for each additional DLC developed pursuant to the ARK2 License Agreement. The $5.0 million up-front payment will be credited against any future monthly payments to SDE under the ARK2 License Agreement.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addition to our primary licenses for the </w:t>
      </w:r>
      <w:r>
        <w:rPr>
          <w:rFonts w:ascii="Times New Roman;Times;serif" w:hAnsi="Times New Roman;Times;serif"/>
          <w:i/>
          <w:sz w:val="20"/>
        </w:rPr>
        <w:t>ARK</w:t>
      </w:r>
      <w:r>
        <w:rPr>
          <w:rFonts w:ascii="Times New Roman;Times;serif" w:hAnsi="Times New Roman;Times;serif"/>
          <w:sz w:val="20"/>
        </w:rPr>
        <w:t xml:space="preserve"> franchise, we are also party to other licensing agreements with Suzhou Snail, relating to the intellectual property for our mobile games. Under these license agreements, we receive an exclusive, sublicensable license to use, publish, distribute, market, operate and service games from third parties. The license agreements call for the developers to develop a certain number of titles for us, while we are responsible for the operation and launch of such games including the marketing, strategy, billing, and server maintenance for such games. In these agreements, payment terms will frequently include royalty payments to developers in the low to mid double-digit percentages range and will occasionally include up-front licensing payments. Under these agreements, the developer will own all of the intellectual property, and the agreements can be terminated for breach with a period to cure, for insolvency, or for our nonpayment. In 2022 and 2021, we accrued $0.4 million and $0.7 million, respectively, in license costs, which we record as accounts payable - related party.</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Further, our products that play on consoles and mobile platforms include technology that is owned by the platform provider and is licensed non-exclusively to us for use in the relevant product. We also license technology from providers other than console manufacturers in developing our content and services. While we may have renewal rights for some licenses, our business is dependent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our ability to continue to obtain the intellectual property rights from the owners of these rights on reasonable terms and at reasonable rates.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actively engaged in enforcement of our copyright, trademark, patent and trade secret rights against potential infringers of those rights along with other protective activities, including monitoring online channels for distribution of pirated copies and participating in various enforcement initiatives, education programs, and legislative activity around the world. For our PC products, we use technological protection measures to prevent piracy and the use of unauthorized copies of our products. For other platforms, the platform providers typically incorporate technological protections and other security measures in their platforms to prevent the use of unlicensed products on those platforms.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more information regarding risks relating to intellectual property, see Item 1A of Part I, “Risk Factors — Risks Related to Intellectual Property.”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Facilities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principal executive office, which we own, is located at 12049 Jefferson Boulevard, Culver City, California 90230. Our Term Loan is secured by our principal executive offices. We also lease additional facilities to support our operations. We believe our existing facilities are sufficient for our current needs. We may add new facilities and expand our existing facilities as we add employees and expand into new locations. We believe suitable additional space will be available as needed to accommodate our needs.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Human Capital Resources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had 86 full-time employees worldwide, of whom approximately 80% are based in North America and approximately 20% are based in Europe, the Middle East and Africa (“EMEA”) region. We have approximately 54% of employees dedicated to technology and content development, 10% to marketing and 36% to general administration. Through our partnerships, we also have access to 493 additional team members dedicated to technology and content development. We do not have any part-time employees nor do we have any unions or collective bargaining agreements with any of our employees. We work to identify, attract and retain employees who are aligned with and will help us progress towards our mission, and we seek to provide competitive cash and equity compensation.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Corporate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Snail Games USA, Inc. (“Snail Games USA”) was incorporated in the State of California on September 22, 2009. Snail, Inc. (“Snail”) was incorporated in the State of Delaware on January 11, 2022. Concurrently with our initial public offering, Snail and Snail Games USA consummated transactions, as a result of which, (i) Snail became a holding company, with its principal asset consisting of all of the shares of common stock of Snail Games USA and (ii) Snail controls the business and affairs of Snail Games USA and its subsidiaries.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principal executive office is located at 12049 Jefferson Boulevard, Culver City, California 90230. Our telephone number at this address is (310) 988-0643. Our main website is </w:t>
      </w:r>
      <w:r>
        <w:rPr>
          <w:rFonts w:ascii="Times New Roman;Times;serif" w:hAnsi="Times New Roman;Times;serif"/>
          <w:i/>
          <w:sz w:val="20"/>
        </w:rPr>
        <w:t>https://investor.snail.com/</w:t>
      </w:r>
      <w:r>
        <w:rPr>
          <w:rFonts w:ascii="Times New Roman;Times;serif" w:hAnsi="Times New Roman;Times;serif"/>
          <w:sz w:val="20"/>
        </w:rPr>
        <w:t>. The information contained in, or accessible through, our website is not incorporated by reference in, and should not be considered part of, this Annual Report.</w:t>
      </w:r>
    </w:p>
    <w:p>
      <w:pPr>
        <w:pStyle w:val="TextBody"/>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proprietary rights to trademarks, trade names and service marks appearing in this Annual Report that are important to our business. Solely for convenience, the trademarks, trade names and service marks may appear in this Annual Report without the </w:t>
      </w:r>
      <w:r>
        <w:rPr>
          <w:rFonts w:ascii="Times New Roman;Times;serif" w:hAnsi="Times New Roman;Times;serif"/>
          <w:sz w:val="15"/>
        </w:rPr>
        <w:t>®</w:t>
      </w:r>
      <w:r>
        <w:rPr>
          <w:rFonts w:ascii="Times New Roman;Times;serif" w:hAnsi="Times New Roman;Times;serif"/>
          <w:sz w:val="20"/>
        </w:rPr>
        <w:t xml:space="preserve"> and ™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in this Annual Report are the property of their respective owners.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make our Annual Reports on Form 10-K, Quarterly Reports on Form 10-Q, Current Reports on Form 8-K, and amendments to those reports, available free of charge at our website as soon as reasonably practicable after they have been filed with the SEC.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9" w:name="Item1ARiskFactors_481452"/>
      <w:bookmarkStart w:id="60" w:name="_7de1bbf5_8ade_4b06_8f93_482c999436d3"/>
      <w:bookmarkEnd w:id="59"/>
      <w:bookmarkEnd w:id="60"/>
      <w:r>
        <w:rPr>
          <w:rFonts w:ascii="Times New Roman;Times;serif" w:hAnsi="Times New Roman;Times;serif"/>
          <w:b/>
          <w:sz w:val="20"/>
        </w:rPr>
        <w:t>Item 1A. Risk Factors.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description of the risks and uncertainties associated with our business is set forth below.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 Factors Summary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We are dependent on the future success of our </w:t>
            </w:r>
            <w:r>
              <w:rPr>
                <w:rFonts w:ascii="Times New Roman;Times;serif" w:hAnsi="Times New Roman;Times;serif"/>
                <w:b w:val="false"/>
                <w:i/>
                <w:sz w:val="20"/>
              </w:rPr>
              <w:t>ARK</w:t>
            </w:r>
            <w:r>
              <w:rPr>
                <w:caps w:val="false"/>
                <w:smallCaps w:val="false"/>
              </w:rPr>
              <w:t> </w:t>
            </w:r>
            <w:r>
              <w:rPr>
                <w:rFonts w:ascii="Times New Roman;Times;serif" w:hAnsi="Times New Roman;Times;serif"/>
                <w:b w:val="false"/>
                <w:i w:val="false"/>
                <w:caps w:val="false"/>
                <w:smallCaps w:val="false"/>
                <w:sz w:val="20"/>
              </w:rPr>
              <w:t>franchise, and we must continue to publish “hit” titles or sequels to such “hit” titles in order to compete successfully in our industry.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consistently deliver popular, high-quality content in a timely manner, if we are not successful in meaningfully expanding our existing franchise, or if consumers prefer products from our competitors, our business may be negatively impacted.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We rely on license agreements to publish certain games, including games in our </w:t>
            </w:r>
            <w:r>
              <w:rPr>
                <w:rFonts w:ascii="Times New Roman;Times;serif" w:hAnsi="Times New Roman;Times;serif"/>
                <w:b w:val="false"/>
                <w:i/>
                <w:sz w:val="20"/>
              </w:rPr>
              <w:t>ARK</w:t>
            </w:r>
            <w:r>
              <w:rPr>
                <w:caps w:val="false"/>
                <w:smallCaps w:val="false"/>
              </w:rPr>
              <w:t> </w:t>
            </w:r>
            <w:r>
              <w:rPr>
                <w:rFonts w:ascii="Times New Roman;Times;serif" w:hAnsi="Times New Roman;Times;serif"/>
                <w:b w:val="false"/>
                <w:i w:val="false"/>
                <w:caps w:val="false"/>
                <w:smallCaps w:val="false"/>
                <w:sz w:val="20"/>
              </w:rPr>
              <w:t>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tc>
      </w:tr>
    </w:tbl>
    <w:tbl>
      <w:tblPr>
        <w:tblW w:w="6456" w:type="dxa"/>
        <w:jc w:val="left"/>
        <w:tblInd w:w="0" w:type="dxa"/>
        <w:tblCellMar>
          <w:top w:w="28" w:type="dxa"/>
          <w:left w:w="28" w:type="dxa"/>
          <w:bottom w:w="28" w:type="dxa"/>
          <w:right w:w="28" w:type="dxa"/>
        </w:tblCellMar>
      </w:tblPr>
      <w:tblGrid>
        <w:gridCol w:w="124"/>
        <w:gridCol w:w="256"/>
        <w:gridCol w:w="60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key management and product development personnel.</w:t>
            </w:r>
          </w:p>
        </w:tc>
      </w:tr>
    </w:tbl>
    <w:tbl>
      <w:tblPr>
        <w:tblW w:w="6621" w:type="dxa"/>
        <w:jc w:val="left"/>
        <w:tblInd w:w="0" w:type="dxa"/>
        <w:tblCellMar>
          <w:top w:w="28" w:type="dxa"/>
          <w:left w:w="28" w:type="dxa"/>
          <w:bottom w:w="28" w:type="dxa"/>
          <w:right w:w="28" w:type="dxa"/>
        </w:tblCellMar>
      </w:tblPr>
      <w:tblGrid>
        <w:gridCol w:w="124"/>
        <w:gridCol w:w="256"/>
        <w:gridCol w:w="6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limited experience managing a public company.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pandemic and containment efforts across the globe have materially altered how individuals interact with each other and have materially affected how we and our business partners are operating, and the extent to which this situation will impact our future results of operations and overall financial performance remains uncertain.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the risks of earthquakes, fire, floods, public health crises and other natural catastrophes and to interruption by man-made problems such as power disruptions, computer viruses, data security breaches or other incidents or terrorism.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subject to rapid technological change, and if we do not adapt to, and appropriately allocate our resources among, emerging technologies and business models, our business may be negatively impacted.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platforms, such as Xbox Live and Game Pass, PlayStation Network, Steam, Epic Games Store, the Apple App Store, the Google Play Store, My Nintendo Store and the Amazon Appstore, to distribute our games and collect revenues generated on such platforms and rely on third-party payment service providers to collect revenues generated on our own platforms.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servers and networks to operate our games with online features. If we were to lose functionality in any of these areas for any reason, our business may be negatively impacted.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effectively manage the continued growth and the scope and complexity of our business, including our expansion into new business models that are untested and into adjacent business opportunities with large, established competitors.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201" w:type="dxa"/>
        <w:jc w:val="left"/>
        <w:tblInd w:w="0" w:type="dxa"/>
        <w:tblCellMar>
          <w:top w:w="28" w:type="dxa"/>
          <w:left w:w="28" w:type="dxa"/>
          <w:bottom w:w="28" w:type="dxa"/>
          <w:right w:w="28" w:type="dxa"/>
        </w:tblCellMar>
      </w:tblPr>
      <w:tblGrid>
        <w:gridCol w:w="124"/>
        <w:gridCol w:w="256"/>
        <w:gridCol w:w="58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interactive entertainment software industry is highly competitive.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product development risks, which could result in delays and additional costs, and often times we must adapt to changes in software technologies.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tc>
      </w:tr>
    </w:tbl>
    <w:tbl>
      <w:tblPr>
        <w:tblW w:w="6261" w:type="dxa"/>
        <w:jc w:val="left"/>
        <w:tblInd w:w="0" w:type="dxa"/>
        <w:tblCellMar>
          <w:top w:w="28" w:type="dxa"/>
          <w:left w:w="28" w:type="dxa"/>
          <w:bottom w:w="28" w:type="dxa"/>
          <w:right w:w="28" w:type="dxa"/>
        </w:tblCellMar>
      </w:tblPr>
      <w:tblGrid>
        <w:gridCol w:w="124"/>
        <w:gridCol w:w="256"/>
        <w:gridCol w:w="5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or services we release may contain defects, bugs or errors.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game developers may not meet product development schedules or otherwise fulfill their contractual obligations.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cybersecurity-related attack, significant data breach, or disruption of the information technology systems or networks on which we rely could negatively impact our business.</w:t>
            </w:r>
          </w:p>
        </w:tc>
      </w:tr>
    </w:tbl>
    <w:tbl>
      <w:tblPr>
        <w:tblW w:w="9366" w:type="dxa"/>
        <w:jc w:val="left"/>
        <w:tblInd w:w="0" w:type="dxa"/>
        <w:tblCellMar>
          <w:top w:w="28" w:type="dxa"/>
          <w:left w:w="28" w:type="dxa"/>
          <w:bottom w:w="28" w:type="dxa"/>
          <w:right w:w="28" w:type="dxa"/>
        </w:tblCellMar>
      </w:tblPr>
      <w:tblGrid>
        <w:gridCol w:w="124"/>
        <w:gridCol w:w="256"/>
        <w:gridCol w:w="8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may fluctuate from quarter to quarter, which makes our future results difficult to predict.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protect the intellectual property relating to our material software, the commercial value of our products will be adversely affected, and our competitive position could be harmed.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Shi, our Founder, Chief Strategy Officer and Chairman, controls us, and his ownership of our common stock prevents you and other stockholders from influencing significant decisions.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our Share Repurchase Program will be fully implemented, nor that it will enhance stockholder value, and share repurchases could affect the price of our Class A common stock.</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We are dependent on the future success of our </w:t>
      </w:r>
      <w:r>
        <w:rPr>
          <w:rFonts w:ascii="Times New Roman;Times;serif" w:hAnsi="Times New Roman;Times;serif"/>
          <w:b/>
          <w:sz w:val="20"/>
        </w:rPr>
        <w:t>ARK</w:t>
      </w:r>
      <w:r>
        <w:rPr>
          <w:rFonts w:ascii="Times New Roman;Times;serif" w:hAnsi="Times New Roman;Times;serif"/>
          <w:sz w:val="20"/>
        </w:rPr>
        <w:t xml:space="preserve"> </w:t>
      </w:r>
      <w:r>
        <w:rPr>
          <w:rFonts w:ascii="Times New Roman;Times;serif" w:hAnsi="Times New Roman;Times;serif"/>
          <w:b/>
          <w:i/>
          <w:sz w:val="20"/>
        </w:rPr>
        <w:t>franchise, and we must continue to publish “hit” titles or sequels to such “hit” titles in order to compete successfully in our industry.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ARK</w:t>
      </w:r>
      <w:r>
        <w:rPr>
          <w:rFonts w:ascii="Times New Roman;Times;serif" w:hAnsi="Times New Roman;Times;serif"/>
          <w:sz w:val="20"/>
        </w:rPr>
        <w:t xml:space="preserve"> is a “hit” product and has historically accounted for a substantial portion of our revenue. The </w:t>
      </w:r>
      <w:r>
        <w:rPr>
          <w:rFonts w:ascii="Times New Roman;Times;serif" w:hAnsi="Times New Roman;Times;serif"/>
          <w:i/>
          <w:sz w:val="20"/>
        </w:rPr>
        <w:t>ARK</w:t>
      </w:r>
      <w:r>
        <w:rPr>
          <w:rFonts w:ascii="Times New Roman;Times;serif" w:hAnsi="Times New Roman;Times;serif"/>
          <w:sz w:val="20"/>
        </w:rPr>
        <w:t xml:space="preserve"> franchise contributed 90.8% of our net revenue for the year ended December 31, 2022, and our five best-selling franchises (including </w:t>
      </w:r>
      <w:r>
        <w:rPr>
          <w:rFonts w:ascii="Times New Roman;Times;serif" w:hAnsi="Times New Roman;Times;serif"/>
          <w:i/>
          <w:sz w:val="20"/>
        </w:rPr>
        <w:t>ARK</w:t>
      </w:r>
      <w:r>
        <w:rPr>
          <w:rFonts w:ascii="Times New Roman;Times;serif" w:hAnsi="Times New Roman;Times;serif"/>
          <w:sz w:val="20"/>
        </w:rPr>
        <w:t>), which may change year over year, in the aggregate accounted for 93.7% of our net revenue for the year ended December 31, 2022.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consistently deliver popular, high-quality content in a timely manner, if we are not successful in meaningfully expanding our existing franchise, or if consumers prefer products from our competitors, our business may be negatively impacted.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Consumer preferences for games are usually cyclical and difficult to predict. Even the most successful games can lose consumer audiences over time, and remaining popular is increasingly dependent on the games being refreshed with new content or other enhancements. In order to remain competitive and maximize the chances that consumers select our products as opposed to the various entertainment options available to them and with which we compete, we must continuously develop new products or new content for, or other enhancements to, our existing products. These products or enhancements may not be well-received by consumers, even if well-reviewed and of high quality. Our competitors include very large corporations with significantly greater financial, marketing and product development resources than we have and many smaller competitors, particularly on the mobile platform.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Further, competitors may develop content that imitates or competes with our best-selling games, potentially reducing our sales or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or enhancements to those games, if our marketing fails to resonate with our consumers, if we are not successful in meaningfully expanding our franchises further on the mobile platform or if consumers lose interest in a genre of games we produce, our revenues and profit margins could decline. In addition, our own best-selling products could compete with our other games, reducing sales for those other games.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well-received. The increased importance of DLC to our business amplifies these risks, as DLC for poorly-received games typically generates lower-than-expected sales. The increased demand for consistent enhancements to our products also requires a greater allocation of financial resources to those products.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errors, or “bugs.” If any of these issues occur, consumers may stop playing the game and may be less likely to return to the game as often in the future, which may negatively impact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delays in product releases or disruptions following the commercial release of one or more new products could negatively impact our business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the amount of lead time and cost involved in the development of high-quality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up-front development and marketing costs associated with those products.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We rely on license agreements to publish certain games, including games in our </w:t>
      </w:r>
      <w:r>
        <w:rPr>
          <w:rFonts w:ascii="Times New Roman;Times;serif" w:hAnsi="Times New Roman;Times;serif"/>
          <w:b/>
          <w:sz w:val="20"/>
        </w:rPr>
        <w:t>ARK</w:t>
      </w:r>
      <w:r>
        <w:rPr>
          <w:rFonts w:ascii="Times New Roman;Times;serif" w:hAnsi="Times New Roman;Times;serif"/>
          <w:sz w:val="20"/>
        </w:rPr>
        <w:t xml:space="preserve"> </w:t>
      </w:r>
      <w:r>
        <w:rPr>
          <w:rFonts w:ascii="Times New Roman;Times;serif" w:hAnsi="Times New Roman;Times;serif"/>
          <w:b/>
          <w:i/>
          <w:sz w:val="20"/>
        </w:rPr>
        <w:t>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Times;serif" w:hAnsi="Times New Roman;Times;serif"/>
          <w:i/>
          <w:sz w:val="20"/>
        </w:rPr>
        <w:t>ARK</w:t>
      </w:r>
      <w:r>
        <w:rPr>
          <w:rFonts w:ascii="Times New Roman;Times;serif" w:hAnsi="Times New Roman;Times;serif"/>
          <w:sz w:val="20"/>
        </w:rPr>
        <w:t xml:space="preserve"> franchise from SDE, the parent company of Studio Wildcard, which is also an entity that is owned and controlled by the spouse of our Founder, Chief Strategy Officer and Chairman, Mr. Shi. We entered into an original exclusive software license agreement with SDE in November 2015, for the rights to </w:t>
      </w:r>
      <w:r>
        <w:rPr>
          <w:rFonts w:ascii="Times New Roman;Times;serif" w:hAnsi="Times New Roman;Times;serif"/>
          <w:i/>
          <w:sz w:val="20"/>
        </w:rPr>
        <w:t>ARK: Survival Evolved</w:t>
      </w:r>
      <w:r>
        <w:rPr>
          <w:rFonts w:ascii="Times New Roman;Times;serif" w:hAnsi="Times New Roman;Times;serif"/>
          <w:sz w:val="20"/>
        </w:rPr>
        <w:t xml:space="preserve">, and subsequently entered into the amended and restated ARK1 License Agreement. In December 2022, we amended the ARK1 License Agreement. The terms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Times;serif" w:hAnsi="Times New Roman;Times;serif"/>
          <w:i/>
          <w:sz w:val="20"/>
        </w:rPr>
        <w:t>ARK</w:t>
      </w:r>
      <w:r>
        <w:rPr>
          <w:rFonts w:ascii="Times New Roman;Times;serif" w:hAnsi="Times New Roman;Times;serif"/>
          <w:sz w:val="20"/>
        </w:rPr>
        <w:t xml:space="preserve"> franchise contributed 90.8% of our net revenue for the fiscal year ended December 31, 2022.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Times;serif" w:hAnsi="Times New Roman;Times;serif"/>
          <w:i/>
          <w:sz w:val="20"/>
        </w:rPr>
        <w:t>ARK</w:t>
      </w:r>
      <w:r>
        <w:rPr>
          <w:rFonts w:ascii="Times New Roman;Times;serif" w:hAnsi="Times New Roman;Times;serif"/>
          <w:sz w:val="20"/>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depend on our key management and product development personnel.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continued success will depend to a significant extent on our senior management team and maintaining positive relationships with our games’ developers, including Studio Wildcard, and the product development personnel responsible for content creation and development of our </w:t>
      </w:r>
      <w:r>
        <w:rPr>
          <w:rFonts w:ascii="Times New Roman;Times;serif" w:hAnsi="Times New Roman;Times;serif"/>
          <w:i/>
          <w:sz w:val="20"/>
        </w:rPr>
        <w:t>ARK</w:t>
      </w:r>
      <w:r>
        <w:rPr>
          <w:rFonts w:ascii="Times New Roman;Times;serif" w:hAnsi="Times New Roman;Times;serif"/>
          <w:sz w:val="20"/>
        </w:rPr>
        <w:t xml:space="preserve"> franchise. We are also highly dependent on the expertise, skill and knowledge of Mr. Shi, our Founder Chief Strategy Officer and Chairman, Mr. Jim Tsai, our Chief Executive Officer, and Mr. Peter Kang, our Chief Operating Officer.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loss of the services of our executive officers, including Messrs. Shi, Tsai or Kang or certain key product development personnel, including those employed by studio partners, such as Studio Wildcard,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management team has limited experience managing a public company.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Most members of our management team have limited experience managing a publicly traded company, interacting with public company investors and regulators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impact our business, operating results and financial condition.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COVID-19 pandemic and containment efforts across the globe have materially altered how individuals interact with each other and have materially affected how we and our business partners are operating, and the extent to which this situation will impact our future results of operations and overall financial performance remains uncertain.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COVID-19 pandemic, we temporarily closed our corporate headquarters in Culver City, California and implemented travel restrictions. Towards the end of the first quarter of 2020, we implemented a remote working program, and we engaged with significant vendors (such as Amazon), platform providers (such as Microsoft, Sony, Steam, Epic Games, Google and Apple), advertising partners (such as Facebook and Google) and other business partners to understand their operating conditions and continue to evaluate our business continuity plans. The full extent to which the COVID-19 pandemic and the various responses to it impact our business, operations and financial results will depend on numerous evolving factors that we may not be able to accurately predict, including: any potential future waves of the COVID-19 pandemic; governmental, business and individuals’ actions to be taken in response to such potential future waves of COVID-19 pandemic; the availability and cost to access the capital markets; the effect on our players and their willingness and ability to pay for our games and services; disruptions or restrictions on our employees’ ability to work and travel; and interruptions related to our cloud networking and gaming infrastructure and partners, including impacts on Amazon Web Services, gaming platform providers, advertising partners and customer service and support providers. To the extent any future waves of the COVID-19 pandemic materialize, we may not be able to provide the same level of product features and customer support that our players expect from us, which could negatively impact our business and operations. While substantially all of our business operations can be performed remotely, many of our employees are juggling additional work-related and personal challenges, including a prolonged duration of remote working environments, adjusting communication and work practices to collaborate remotely with work colleagues and business partners, managing technical and communication challenges of working from home on a daily basis, making plans for childcare and caring for themselves, family members or other dependents who are or may become ill. We will continue to actively monitor any issues raised by the COVID-19 pandemic and may take further actions that alter our business operations, including as may be required by federal, state, local or foreign authorities or that we determine are in the best interests of our employees, players, partners and stockholders.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COVID-19 pandemic and resulting social distancing, shelter-in-place and similar restrictions may have led to increased sales of our games, and correspondingly, increased revenues in the first half of 2020, relative to our quarterly historic trends. These increases in sales and revenues may not be indicative of our financial and operating results in future periods. The effects of the COVID-19 pandemic on society and player behavior are highly uncertain. For example, primarily during the second quarter of 2020, we saw increased sales and revenues relative to our quarterly forecasts and historic trends. During the third quarter of 2020, sales and revenues returned to levels more consistent with historical periods, a pattern which continued for the remainder of 2020 and in 2021 and 2022. The changes in sales and revenues in the first half of 2020 may have also been due to factors in addition to or other than the COVID-19 pandemic, such as the release of new content.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the risks of earthquakes, fire, floods, public health crises and other natural catastrophes and to interruption by man-made problems such as power disruptions, computer viruses, data security breaches or other incidents, war or terrorism.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corporate headquarters is located in Culver City, California. Additionally, we rely on third-party infrastructure, enterprise applications and internal technology systems for our development, marketing, operational support and sales activities. The West Coast of the United States, where our corporate headquarters are located, contains active earthquake zones and has been subject to numerous devastating wildfires and associated electrical blackouts. In the event of a catastrophic event, including a natural disaster such as an earthquake, hurricane, fire, flood, tsunami or tornado, or other catastrophic event such as power loss, telecommunications failure, software or hardware malfunction, cyber-attack, war, terrorist attack or incident of mass violence in the Los Angeles area or elsewhere where our operations are located or where certain other systems and applications that we rely on are hosted, we may be unable to continue our operations and may endure significant system interruptions, reputational harm, delays in our application development, lengthy interruptions in our platform, breaches of data security and loss of critical data, all of which could have an adverse effect on our future operating results. In addition, natural disasters, cyber-attacks, escalation of geopolitical tensions, including as a result of escalations in the ongoing conflict between Russia and Ukraine, acts of terrorism, public health crises, such as pandemics and epidemics, or other catastrophic events could cause disruptions in our or our customers’ businesses, national economies or the world economy as a whole.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industry is subject to rapid technological change, and if we do not adapt to, and appropriately allocate our resources among, emerging technologies and business models, our business may be negatively impacted.</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Technology changes rapidly in the interactive entertainment industry. We must continually anticipate and adapt to emerging technologies, such as cloud-based game streaming, and business models, such as free-to-play and subscription-based access to a portfolio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of interactive content, to stay competitive. Forecasting the financial impact of these rapidly changing technologies and business models is inherently uncertain and volatile. Supporting a new technology or business model may require partnering with a new platform, business, or technology partner, which may be on terms that are less favorable to us than those for more traditional technologies or business models. If we invest in the development of interactive entertainment products for distribution channels that incorporate a new technology or business model that does not achieve significant commercial success, whether because of competition or otherwise, we may not recover the often substantial up-front costs of developing and marketing those products, or recover the opportunity cost of diverting management and financial resources away from other products or opportunities. Further, our competitors may adapt to an emerging technology or business model more quickly or effectively than we do, creating products that are technologically superior to ours, more appealing to consumers, or both.</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on the other hand, we elect not to pursue the development of products incorporating a new technology, or otherwise elect not to pursue new business models that achieve significant commercial success, it may have adverse consequences. It may take significant time and expenditures to shift product development resources to that technology or business model, and it may be more difficult to compete against existing products incorporating that technology or using that business model.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third-party platforms, such as Xbox Live and Game Pass, PlayStation Network, Steam, Epic Games Store, the Apple App Store, the Google Play Store, My Nintendo Store and the Amazon Appstore, to distribute our games and collect revenues generated on such platforms and rely on third-party payment service providers to collect revenues generated on our own platforms.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games are primarily purchased, accessed and operated through Xbox Live and Game Pass, PlayStation Network, Steam, Epic Games Store, and in the case of our mobile games, the Apple App Store, the Google Play Store and the Amazon Appstore. Substantially all of the games, DLC and in-game virtual items that we sell are purchased using the payment processing systems of these platforms and, for fiscal year ended December 31, 2022, 96.3% of our revenues were generated through Xbox Live and Game Pass, PlayStation Network, Steam, Epic Games Store, Google Stadia, the Apple App Store, the Google Play Store, My Nintendo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tbl>
      <w:tblPr>
        <w:tblW w:w="6351" w:type="dxa"/>
        <w:jc w:val="left"/>
        <w:tblInd w:w="0" w:type="dxa"/>
        <w:tblCellMar>
          <w:top w:w="28" w:type="dxa"/>
          <w:left w:w="28" w:type="dxa"/>
          <w:bottom w:w="28" w:type="dxa"/>
          <w:right w:w="28" w:type="dxa"/>
        </w:tblCellMar>
      </w:tblPr>
      <w:tblGrid>
        <w:gridCol w:w="124"/>
        <w:gridCol w:w="256"/>
        <w:gridCol w:w="5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providers discontinue or limit our access to their platforms;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private parties, such as internet providers, impose bandwidth restrictions, increase charges or restrict or prohibit access to those platforms;</w:t>
            </w:r>
          </w:p>
        </w:tc>
      </w:tr>
    </w:tbl>
    <w:tbl>
      <w:tblPr>
        <w:tblW w:w="4236" w:type="dxa"/>
        <w:jc w:val="left"/>
        <w:tblInd w:w="0" w:type="dxa"/>
        <w:tblCellMar>
          <w:top w:w="28" w:type="dxa"/>
          <w:left w:w="28" w:type="dxa"/>
          <w:bottom w:w="28" w:type="dxa"/>
          <w:right w:w="28" w:type="dxa"/>
        </w:tblCellMar>
      </w:tblPr>
      <w:tblGrid>
        <w:gridCol w:w="124"/>
        <w:gridCol w:w="256"/>
        <w:gridCol w:w="38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increase the fees they charge 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modify their algorithms, communication channels available to developers, respective terms of service or other policies;</w:t>
            </w:r>
          </w:p>
        </w:tc>
      </w:tr>
    </w:tbl>
    <w:tbl>
      <w:tblPr>
        <w:tblW w:w="3411" w:type="dxa"/>
        <w:jc w:val="left"/>
        <w:tblInd w:w="0" w:type="dxa"/>
        <w:tblCellMar>
          <w:top w:w="28" w:type="dxa"/>
          <w:left w:w="28" w:type="dxa"/>
          <w:bottom w:w="28" w:type="dxa"/>
          <w:right w:w="28" w:type="dxa"/>
        </w:tblCellMar>
      </w:tblPr>
      <w:tblGrid>
        <w:gridCol w:w="124"/>
        <w:gridCol w:w="256"/>
        <w:gridCol w:w="30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decline in popularity;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adopt changes or updates to their technology that impede integration with other software systems or otherwise require us to modify our technology or update our games in order to ensure players can continue to access our games and content with ease;</w:t>
            </w:r>
          </w:p>
        </w:tc>
      </w:tr>
    </w:tbl>
    <w:tbl>
      <w:tblPr>
        <w:tblW w:w="10101" w:type="dxa"/>
        <w:jc w:val="left"/>
        <w:tblInd w:w="0" w:type="dxa"/>
        <w:tblCellMar>
          <w:top w:w="28" w:type="dxa"/>
          <w:left w:w="28" w:type="dxa"/>
          <w:bottom w:w="28" w:type="dxa"/>
          <w:right w:w="28" w:type="dxa"/>
        </w:tblCellMar>
      </w:tblPr>
      <w:tblGrid>
        <w:gridCol w:w="124"/>
        <w:gridCol w:w="256"/>
        <w:gridCol w:w="9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elect or are required to change how they label free-to-play games or take payment for in-game purchases;</w:t>
            </w:r>
          </w:p>
        </w:tc>
      </w:tr>
    </w:tbl>
    <w:tbl>
      <w:tblPr>
        <w:tblW w:w="8061" w:type="dxa"/>
        <w:jc w:val="left"/>
        <w:tblInd w:w="0" w:type="dxa"/>
        <w:tblCellMar>
          <w:top w:w="28" w:type="dxa"/>
          <w:left w:w="28" w:type="dxa"/>
          <w:bottom w:w="28" w:type="dxa"/>
          <w:right w:w="28" w:type="dxa"/>
        </w:tblCellMar>
      </w:tblPr>
      <w:tblGrid>
        <w:gridCol w:w="124"/>
        <w:gridCol w:w="256"/>
        <w:gridCol w:w="76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platforms block or limit access to the genres of games that we provide in any jurisdiction;</w:t>
            </w:r>
          </w:p>
        </w:tc>
      </w:tr>
    </w:tbl>
    <w:tbl>
      <w:tblPr>
        <w:tblW w:w="6651" w:type="dxa"/>
        <w:jc w:val="left"/>
        <w:tblInd w:w="0" w:type="dxa"/>
        <w:tblCellMar>
          <w:top w:w="28" w:type="dxa"/>
          <w:left w:w="28" w:type="dxa"/>
          <w:bottom w:w="28" w:type="dxa"/>
          <w:right w:w="28" w:type="dxa"/>
        </w:tblCellMar>
      </w:tblPr>
      <w:tblGrid>
        <w:gridCol w:w="124"/>
        <w:gridCol w:w="256"/>
        <w:gridCol w:w="6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experiences a bankruptcy or other form of insolvency event; or</w:t>
            </w:r>
          </w:p>
        </w:tc>
      </w:tr>
    </w:tbl>
    <w:tbl>
      <w:tblPr>
        <w:tblW w:w="6171" w:type="dxa"/>
        <w:jc w:val="left"/>
        <w:tblInd w:w="0" w:type="dxa"/>
        <w:tblCellMar>
          <w:top w:w="28" w:type="dxa"/>
          <w:left w:w="28" w:type="dxa"/>
          <w:bottom w:w="28" w:type="dxa"/>
          <w:right w:w="28" w:type="dxa"/>
        </w:tblCellMar>
      </w:tblPr>
      <w:tblGrid>
        <w:gridCol w:w="124"/>
        <w:gridCol w:w="256"/>
        <w:gridCol w:w="5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comply with the platform providers’ terms of service.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depend on servers and networks to operate our games with online features. If we were to lose functionality in any of these areas for any reason, our business may be negatively impacted.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relies on the continuous operation of servers, the vast majority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would likely degrade or interrupt the functionality of our games with online features, and could prevent the operation of such games altogether, any of which could result in the loss of sales for, or in, such games. The risk is particularly pronounced with respect to our multiplayer game services, which rely on systems hosted in a hybrid of data centers across the world as well as cloud providers. Further, insufficient server capacity, in particular during times of peak player activity corresponding with the release of new games or DLC, could affect our ability to provide game services, which could negatively impact our business. Conversely, if we overestimate the amount of server capacity required by our business, we may incur additional operating costs.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rely on platforms and networks operated by third parties, such as Xbox Live and Game Pass, PlayStation Network, Steam, My Nintendo Store and Epic Games Store for the sale and digital delivery of downloadable console and PC game content, the functionality of our games with online features. Similarly, we rely on those platforms and networks, as well as the continued operation of the Apple App Store, the Google Play Store and the Amazon Appstore for our free-to-play games. An extended interruption to any of these services could adversely affect our ability to sell and distribute our digital products and operate our games with online features, which could result in a loss of revenue and otherwise negatively impact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unable to effectively manage the continued growth and the scope and complexity of our business, including our expansion into new business models that are untested and into adjacent business opportunities with large, established competitors.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recent years, we have experienced significant growth in the scope and complexity of our business. From time to time we seek to establish and implement new business models, including eSports offerings, our </w:t>
      </w:r>
      <w:r>
        <w:rPr>
          <w:rFonts w:ascii="Times New Roman;Times;serif" w:hAnsi="Times New Roman;Times;serif"/>
          <w:i/>
          <w:sz w:val="20"/>
        </w:rPr>
        <w:t>NOIZ</w:t>
      </w:r>
      <w:r>
        <w:rPr>
          <w:rFonts w:ascii="Times New Roman;Times;serif" w:hAnsi="Times New Roman;Times;serif"/>
          <w:sz w:val="20"/>
        </w:rPr>
        <w:t xml:space="preserve"> influencer platform and animation ventures. Forecasting the success of any new business model is inherently uncertain and depends on a number of factors both within and outside of our control. Our actual revenue and profit for these businesses may be significantly greater or less than our forecasts. In addition, these new business models could fail, resulting in the loss of our investment in the development and infrastructure needed to support these new business models, as well as the opportunity cost of diverting management and financial resources away from more successful and established businesses. While we anticipate growth in these areas of our business, consumer demand is difficult to predict as a result of a number of factors, including satisfaction with our products and services, our ability to provide engaging products and services, reliability of our infrastructure and the infrastructure of our partners, pricing, the actual or perceived security of our and our partners’ information technology systems and reductions in consumer spending levels.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do not know to what extent these and any future expansions into new business models will be successful. Further, even if successful, our aspirations for growth in our core businesses and these adjacent businesses could create significant challenges for our management, operational, and financial resources. If not managed effectively, this growth could result in the over-extension of our operating infrastructure, and our management systems, information technology systems, and internal controls and procedures may not be adequate to support this growth. Failure by these new businesses or failure to adequately manage our growth in any of these ways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may damage our brand or otherwise negatively impact our core business. Further, the success of these new businesses is largely contingent on the success of our underlying franchises and as such, a decline in the popularity of a franchise may impact the success of the new businesses adjacent to that franchise.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interactive entertainment software industry is highly competitive.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compete for the sale of interactive entertainment software with Sony and Microsoft, each of which is a large developer and marketer of software for its own platforms. We also compete with game publishers, such as Activision Blizzard, Inc., Electronic Arts Inc., Take-Two Interactive, Ubisoft, Epic Games, Tencent, Zynga, Netmarble, Sony, Microsoft and Nintendo primarily for game development on consoles, PCs and mobile devices. Across the sandbox survival game genre, we primarily compete with Embracer Group, Saber Group, Enand Global 7, FunCom, Axolot Games and Facepunch Studios.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and make higher offers to licensors and developers for commercially desirable properties. Our titles also compete with other forms of entertainment, such as social media and casual games, in addition to film, television and audio and video products featuring similar themes, online computer programs and other entertainment, which may be less expensive or provide other advantages to consumers.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number of software publishers who compete with us have developed and commercialized or are currently developing online games. As technological advances significantly increase the availability of online games and as consumer acceptance of online gaming grows substantially, it could result in a decline in our platform-based software sales and negatively affect sales of such products.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we compete with other forms of entertainment and leisure activities. While we monitor general market conditions, significant shifts in consumer demand that could materially alter public preferences for different forms of entertainment and leisure activities are difficult to predict. Failure to adequately identify and adapt to these competitive pressures could have a negative impact on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product development risks, which could result in delays and additional costs, and often times we must adapt to changes in software technologies.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depend on our internal development studios and related-party developers to develop new interactive entertainment software within anticipated release schedules and cost projections. Our development costs can be substantial. If we or our related-party developers experience unanticipated development delays, financial difficulties or additional costs, for example, as a result of the COVID-19 pandemic or increasing costs due to inflation, we may not be able to release titles according to our schedule and at budgeted costs. There can be no assurance that our products will be sufficiently successful so that we can recoup these costs or make a profit on these products.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in order to stay competitive, our internal development studios must anticipate and adapt to rapid technological changes affecting software development, such as cloud-based game streaming.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or development costs and more strenuous competition.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most of our revenue from publishing video games on third-party platform providers, such as Xbox Live and Game Pass, PlayStation Network, Steam, Epic Games Store, Google Stadia, the Apple App Store, the Google Play Store, My Nintendo Store and the Amazon Appstore, which, in the aggregate, comprised 96.3% of our net revenue by product platform for the fiscal year ended December 31, 2022. The success of our business is subject to the continued popularity of these platforms and our ability to develop commercially successful products for these platforms.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of our games support collaborative online features that allow consumers to communicate with one another and post narrative comments, in real time, that are visible to other consumers. Additionally, certain of our games allow consumers to create and share “user-generated content” that is visible to other consumers. From time to time, objectionable and offensive consumer content may be distributed within our games and on our broadcasts through these features or to gaming websites or other sites or forums with online chat features or that otherwise allow consumers to post comments. We may be subject to lawsuits, governmental regulation or restrictions, and consumer backlash (including decreased sales and harmed reputation), as a result of consumers posting offensive content.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many cases, our business partners and other third party affiliates are given access to sensitive and proprietary information or control over our intellectual property to provide services and support to our team. These third parties may misappropriate or misuse our information or intellectual property and engage in unauthorized use of it. 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vis-à-vis third parties, including consumers who play our games, this could also harm our business, results of operations or our reputation.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products or services we release may contain defects, bugs or errors.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products and services contain or rely upon extremely complex software programs and are difficult to develop and distribute. We have quality controls in place to detect defects, bugs or other errors in our products and services before they are released. Nonetheless, these quality controls are subject to human error, overriding and resource or technical constraints. In addition, the effectiveness of our quality controls and preventative measures may be negatively affected by the distribution of our workforce resulting from, among other things, the COVID-19 pandemic. As such, these quality controls and preventative measures may not be effective in detecting all defects, bugs or errors in our products and services before they have been released into the marketplace. In such an event, the technological reliability and stability of our products and services could be below our standards and the standards of our players, and our reputation, brand and sales could be adversely affected. In addition, we could be required to, or may find it necessary to, offer a refund for the product or service, suspend the availability or sale of the product or service or expend significant resources to cure the defect, bug or error each of which could significantly harm our business and operating results.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External game developers may not meet product development schedules or otherwise fulfill their contractual obligations.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heavily reliant upon contracts with external game developers to develop our games or distribute our games. While we maintain contractual protections, we have less control over the product development schedules of games developed by external developers. We depend on their ability to meet product development schedules which could be negatively affected by, among other things, the distributed workforce model resulting from the COVID-19 pandemic or the loss of key development personnel. In addition, disputes occasionally arise with external developers, including with respect to game content, launch timing, achievement of certain milestones, the game development timeline, marketing campaigns, contractual terms and interpretation of such terms. If we have disputes with external developers or they cannot meet product development schedules, acquire certain approvals or are otherwise unable or unwilling to fulfill their contractual obligations to us, we may delay or cancel previously announced games, alter our launch schedule or experience increased costs and expenses, which could result in a delay or significant shortfall in anticipated revenue, harm our profitability and reputation and cause our financial results to be materially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cybersecurity-related attack, significant data breach or disruption of the information technology systems or networks on which we rely could negatively impact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the course of our day-to-day business, we and third parties operating on our behalf and from which we license certain intellectual property create, store, and/or use commercially sensitive information, such as the source code and game assets for our interactive entertainment software products and sensitive and confidential information with respect to our customers, consumers, and employees. Our ability to effectively manage our business and coordinate the manufacturing, sourcing, distribution and sale of our interactive entertainment software products depends significantly on the reliability and capacity of these systems. We are critically dependent on the integrity, security and consistent operations of these systems. A malicious cybersecurity-related attack, intrusion or disruption by hackers (including through spyware, ransomware, viruses, phishing, denial of service and similar attacks) or other breach of the systems on which such source code and assets, account information (including personal information) and other sensitive data is stored could lead to piracy of our software, fraudulent activity, disclosure or misappropriation of, or access to, our customers’, consumers’ or employees’ personal information, or our own business data. Such incidents could also lead to product code-base and game distribution platform exploitation, should undetected viruses, spyware, or other malware be inserted into our products, services, or networks, or systems used by our consumers. We have implemented cybersecurity programs and the tools, technologies, processes, and procedures intended to secure our data and systems, and prevent and detect unauthorized access to, or loss of, our data, or the data of our customers, consumers or employees. However, because these cyberattacks may remain undetected for prolonged periods of time and the techniques used by criminal hackers and other third parties to breach systems are constantly evolving, change frequently and we may be unable to anticipate these techniques or implement adequate preventative measures. A data intrusion into a server for a game with online features or for our proprietary online gaming service could also disrupt the operation of such game or platform. If we are subject to cybersecurity breaches, or a security-related incident that materially disrupts the availability of our products and services, we may have a loss in sales or subscriptions or be forced to pay damages or incur other costs, including from the implementation of additional cyber and physical security measures, or suffer reputational damage. If there were a public perception that our data protection measures are inadequate, whether or not the case, it could result in reputational damage and potential harm to our business relationships or the public perception of our business model. In addition, such cybersecurity breaches may subject us to legal claims or proceedings, like individual claims and regulatory investigations and actions, including fines, especially if there is loss, disclosure, or misappropriation of, or access to, our customers’ personal information or other sensitive information, or there is otherwise an intrusion into our customers’ privacy.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successfully invest in, establish and maintain awareness of our brand and games or if we incur excessive expenses promoting and maintaining our brand or our games, our business, financial condition, results of operations or reputation could be harmed.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establishing and maintaining our brand is critical to maintaining and creating favorable relationships with players, platform providers, advertisers and content licensors, as well as competing for key talent. Increasing awareness of our brand and recognition of our games is particularly important in connection with our strategic focus on in-licensing games successfully cross-promoting such games. In addition, globalizing and extending our brand and recognition of our games requires significant investment and extensive management time to execute successfully. Although we make significant sales and marketing expenditures in connection with the launch of our games, these efforts may not succeed in increasing awareness of our brand or the new games. If we fail to increase and maintain brand awareness and consumer recognition of our games, our potential revenues could be limited, our costs could increase and our business, financial condition, results of operations or reputation could suffer.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if a game contains objectionable content or the messaging functionality of our games is abused, we could experience damage to our reputation and brand. Despite reasonable precautions, some consumers may be offended by certain game content, including user-generated content, the third-party advertisements displayed in our mobile games, or by treatment of other users. If consumers believe that a game we published or third-party advertisement displayed in a game contains objectionable content, it could harm our brand and consumers could refuse to play it and could pressure the platform providers to remove the game from their platforms. For example, we rely on third-party advertising partners to display advertisements within our mobile games, and may experience in the future instances where offensive or objectionable content has been displayed in our games through our advertising partners. While this may violate the terms of our agreements with these advertising partners, our reputation and player experience may suffer. Furthermore, steps that we may take in response to such instances, such as temporarily or permanently shutting off access of such advertising partner to our network, may negatively impact our revenue in such period.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operating results may fluctuate from quarter to quarter, which makes our future results difficult to predict.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quarterly operating results have fluctuated in the past and may fluctuate in the future. Additionally, we have a limited operating history with the current scale of our business, which makes it difficult to forecast our future results and subjects us to a number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uncertainties, including our ability to plan for and anticipate future growth.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w:t>
      </w:r>
    </w:p>
    <w:tbl>
      <w:tblPr>
        <w:tblW w:w="4491" w:type="dxa"/>
        <w:jc w:val="left"/>
        <w:tblInd w:w="0" w:type="dxa"/>
        <w:tblCellMar>
          <w:top w:w="28" w:type="dxa"/>
          <w:left w:w="28" w:type="dxa"/>
          <w:bottom w:w="28" w:type="dxa"/>
          <w:right w:w="28" w:type="dxa"/>
        </w:tblCellMar>
      </w:tblPr>
      <w:tblGrid>
        <w:gridCol w:w="124"/>
        <w:gridCol w:w="256"/>
        <w:gridCol w:w="41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grow our player base;</w:t>
            </w:r>
          </w:p>
        </w:tc>
      </w:tr>
    </w:tbl>
    <w:tbl>
      <w:tblPr>
        <w:tblW w:w="5886" w:type="dxa"/>
        <w:jc w:val="left"/>
        <w:tblInd w:w="0" w:type="dxa"/>
        <w:tblCellMar>
          <w:top w:w="28" w:type="dxa"/>
          <w:left w:w="28" w:type="dxa"/>
          <w:bottom w:w="28" w:type="dxa"/>
          <w:right w:w="28" w:type="dxa"/>
        </w:tblCellMar>
      </w:tblPr>
      <w:tblGrid>
        <w:gridCol w:w="124"/>
        <w:gridCol w:w="256"/>
        <w:gridCol w:w="5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increase revenue from existing customers;</w:t>
            </w:r>
          </w:p>
        </w:tc>
      </w:tr>
    </w:tbl>
    <w:tbl>
      <w:tblPr>
        <w:tblW w:w="9126" w:type="dxa"/>
        <w:jc w:val="left"/>
        <w:tblInd w:w="0" w:type="dxa"/>
        <w:tblCellMar>
          <w:top w:w="28" w:type="dxa"/>
          <w:left w:w="28" w:type="dxa"/>
          <w:bottom w:w="28" w:type="dxa"/>
          <w:right w:w="28" w:type="dxa"/>
        </w:tblCellMar>
      </w:tblPr>
      <w:tblGrid>
        <w:gridCol w:w="124"/>
        <w:gridCol w:w="256"/>
        <w:gridCol w:w="8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introduce new features and functionalities and enhance existing features and functionalities;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respond to competitive developments, including pricing changes and the introduction of new products and features by our competitors, or the emergence of new competitors;</w:t>
            </w:r>
          </w:p>
        </w:tc>
      </w:tr>
    </w:tbl>
    <w:tbl>
      <w:tblPr>
        <w:tblW w:w="4341" w:type="dxa"/>
        <w:jc w:val="left"/>
        <w:tblInd w:w="0" w:type="dxa"/>
        <w:tblCellMar>
          <w:top w:w="28" w:type="dxa"/>
          <w:left w:w="28" w:type="dxa"/>
          <w:bottom w:w="28" w:type="dxa"/>
          <w:right w:w="28" w:type="dxa"/>
        </w:tblCellMar>
      </w:tblPr>
      <w:tblGrid>
        <w:gridCol w:w="124"/>
        <w:gridCol w:w="256"/>
        <w:gridCol w:w="39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 purchasing patterns of our consumers;</w:t>
            </w:r>
          </w:p>
        </w:tc>
      </w:tr>
    </w:tbl>
    <w:tbl>
      <w:tblPr>
        <w:tblW w:w="5871" w:type="dxa"/>
        <w:jc w:val="left"/>
        <w:tblInd w:w="0" w:type="dxa"/>
        <w:tblCellMar>
          <w:top w:w="28" w:type="dxa"/>
          <w:left w:w="28" w:type="dxa"/>
          <w:bottom w:w="28" w:type="dxa"/>
          <w:right w:w="28" w:type="dxa"/>
        </w:tblCellMar>
      </w:tblPr>
      <w:tblGrid>
        <w:gridCol w:w="124"/>
        <w:gridCol w:w="256"/>
        <w:gridCol w:w="54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downtime or defects in our game and reputational harm;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financial accounting standards and the interpretation of those standards that may affect the way we recognize and report our financial results, including changes in accounting rules governing recognition of revenue;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and government regulations in the countries where we currently operate or plan to expand;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by us to incur additional expenses, such as increases in sales and marketing or research and development; and</w:t>
            </w:r>
          </w:p>
        </w:tc>
      </w:tr>
    </w:tbl>
    <w:tbl>
      <w:tblPr>
        <w:tblW w:w="6576" w:type="dxa"/>
        <w:jc w:val="left"/>
        <w:tblInd w:w="0" w:type="dxa"/>
        <w:tblCellMar>
          <w:top w:w="28" w:type="dxa"/>
          <w:left w:w="28" w:type="dxa"/>
          <w:bottom w:w="28" w:type="dxa"/>
          <w:right w:w="28" w:type="dxa"/>
        </w:tblCellMar>
      </w:tblPr>
      <w:tblGrid>
        <w:gridCol w:w="124"/>
        <w:gridCol w:w="256"/>
        <w:gridCol w:w="61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costs to attract, onboard, retain and motivate qualified personnel.</w:t>
            </w:r>
          </w:p>
        </w:tc>
      </w:tr>
    </w:tbl>
    <w:p>
      <w:pPr>
        <w:pStyle w:val="TextBody"/>
        <w:spacing w:before="0" w:after="240"/>
        <w:ind w:left="0" w:right="0" w:firstLine="400"/>
        <w:jc w:val="both"/>
        <w:rPr>
          <w:rFonts w:ascii="Times New Roman;Times;serif" w:hAnsi="Times New Roman;Times;serif"/>
          <w:sz w:val="20"/>
        </w:rPr>
      </w:pPr>
      <w:r>
        <w:rPr>
          <w:rFonts w:ascii="Times New Roman;Times;serif" w:hAnsi="Times New Roman;Times;serif"/>
          <w:sz w:val="20"/>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The variability and unpredictability of our operating results could result in our failure to meet our expectations or those of analysts that cover us or investors with respect to revenue or other operating results for a particular period. If we fail to meet or exceed such expectations, then the trading price of our Class A common stock could fall substantially, and we could face costly lawsuits, including securities class action suits.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experienced rapid growth and expect to invest in our growth for the foreseeable future. If we fail to manage our growth effectively, then our business, operating results and financial condition would be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experienced rapid growth in recent periods, and we expect to continue to invest broadly across our organization to support our growth.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Failure to manage growth effectively could result in difficulty or delays in attracting new players, declines in quality or player satisfaction and demand for our games, increases in costs, difficulties in introducing new products and features or enhancing our offerings, loss of customers or consumers, difficulties in attracting or retaining talent or other operational difficulties, any of which could adversely affect our business, operating results and financial condition. Effectively managing our growth may also be more difficult to accomplish the longer that our employees, our customers and the overall economy is impacted due to the COVID-19 pandemic.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Intellectual Property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protect the intellectual property relating to our material software, the commercial value of our products will be adversely affected, and our competitive position could be harmed.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highly reliant upon in-licensed intellectual property and developing proprietary software, where we have obtained the rights to publish and distribute software developed by third parties and related parties. We and our licensors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 parties may potentially exploit, misappropriate or otherwise violate our intellectual property and proprietary information, causing significant reputational damage. Unauthorized third parties, for example, may be able to copy or to reverse engineer our software to obtain and use programming or production techniques that we regard as proprietary. Well-organized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 In addition, “cheating” programs or other unauthorized software tools and modifications that enable consumers to cheat in games harm the experience of players who play fairly and could negatively impact the volume of microtransactions or purchases of DLC. Also, vulnerabilities in the design of our applications and of the platforms upon which they run could be discovered after their release. This may lead to lost revenues from paying consumers or increased cost of developing technological measures to respond to these vulnerabilities, either of which could negatively affect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infringe, misappropriate, or otherwise violate or are alleged to infringe, misappropriate or otherwise violate the intellectual property rights of third parties, our business could be adversely affected.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our industry grows, we may be subject to an increasing amount of litigation that is common in the software industry based on allegations of infringement or other alleged violations of patent, copyright, or trademarks. In addition, we believe that interactive entertainment software will increasingly become the subject of claims that such software infringes on the intellectual property rights of others with both the growth of online functionality and advances in technology, game content and software graphics as games become more realistic. From time to time, we may receive notices from third parties or be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protect the confidentiality of our trade secrets, our business and competitive position would be harmed.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rely on trade secrets and proprietary knowledge to protect our unpatented know-how, expertise, technology and other proprietary information and to maintain our competitive position. We enter into nondisclosure and confidentiality agreements with our employees and independent contractors regarding our trade secrets and proprietary information in order to limit access to, and disclosure and use of, our trade secrets and proprietary information. Nevertheless, we cannot guarantee that we have entered into such agreements with each party that may have or has had access to our trade secrets or proprietary information. Furthermore, trade secrets are difficult to protect. We cannot assure you that the obligation to maintain the confidentiality of our trade secrets and proprietary information will be honored.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If any of our trade secrets were to be lawfully obtained or independently developed by a competitor or other third party, we would have no right to prevent them, or those to whom they communicate it, from using that technology or information to compete with us. If any of our material trade secrets were to be disclosed to or independently developed by a competitor, our competitive position would be harmed. In general, any loss of trade secret protection or other unpatented proprietary rights could harm our business, financial condition, results of operations, and prospects.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that our employees, consultants or advisors have wrongfully used or disclosed alleged trade secrets of their current or former employers or claims asserting ownership of what we regard as our own intellectual property.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Many of our employees, consultants and advisors are currently or were previously employed at other companies in our field, including our competitors or potential competitors. Many of them executed proprietary rights, non-disclosure and/or non-competition agreements in connection with such previous employment or engagement. Although we try to ensure that our employees, consultants, and advisors do not use the intellectual property rights, proprietary information know-how or trade secrets of others in their work for us, we may be subject to claims that we or they have, inadvertently or otherwise, used, infringed, misappropriated or otherwise violated intellectual property rights, or disclosed the alleged trade secrets or other proprietary information, of any such individual’s current or former employer. Litigation may be necessary to defend against these claims. Any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develops and/or reduces to practice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Accordingly, if we fail in prosecuting or defending any such claims, we may be required to pay monetary damages, and we may also lose valuable intellectual property rights or personnel, which could harm our competitive position and prospects. Such intellectual property rights could be awarded to a third-party, and we could be required to obtain a license from such third-party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become involved in lawsuits to protect or enforce our intellectual property, which could be expensive, time-consuming and unsuccessful.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Third parties, including our competitors, could be infringing, misappropriating or otherwise violating our owned and licensed trademarks, trade secrets or other intellectual property rights. Monitoring unauthorized use of our intellectual property is difficult, time-consuming and costly. The steps we have taken to protect our proprietary rights may not be adequate to enforce our rights against infringement, misappropriation or other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games.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future, we may make claims of infringement or misappropriation against third parties, or make claims that third-party intellectual property rights are invalid or unenforceable. These claims could:</w:t>
      </w:r>
    </w:p>
    <w:tbl>
      <w:tblPr>
        <w:tblW w:w="7746" w:type="dxa"/>
        <w:jc w:val="left"/>
        <w:tblInd w:w="0" w:type="dxa"/>
        <w:tblCellMar>
          <w:top w:w="28" w:type="dxa"/>
          <w:left w:w="28" w:type="dxa"/>
          <w:bottom w:w="28" w:type="dxa"/>
          <w:right w:w="28" w:type="dxa"/>
        </w:tblCellMar>
      </w:tblPr>
      <w:tblGrid>
        <w:gridCol w:w="124"/>
        <w:gridCol w:w="256"/>
        <w:gridCol w:w="7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us to incur greater costs and expenses in the protection of our intellectual property;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negatively impact our intellectual property rights, for example, by causing one or more of our intellectual property rights to be ruled or rendered unenforceable or invalid; or</w:t>
            </w:r>
          </w:p>
        </w:tc>
      </w:tr>
    </w:tbl>
    <w:tbl>
      <w:tblPr>
        <w:tblW w:w="6801" w:type="dxa"/>
        <w:jc w:val="left"/>
        <w:tblInd w:w="0" w:type="dxa"/>
        <w:tblCellMar>
          <w:top w:w="28" w:type="dxa"/>
          <w:left w:w="28" w:type="dxa"/>
          <w:bottom w:w="28" w:type="dxa"/>
          <w:right w:w="28" w:type="dxa"/>
        </w:tblCellMar>
      </w:tblPr>
      <w:tblGrid>
        <w:gridCol w:w="124"/>
        <w:gridCol w:w="256"/>
        <w:gridCol w:w="6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 our technical personnel’s or management’s attention and our resources.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any lawsuit we bring to enforce our intellectual property rights, a court may refuse to stop the other party from using the technology at issue on grounds that our intellectual property rights do not cover the technology in question, are not valid, or otherwise not enforceable against such other party. Further, in such proceedings, the defendant could counterclaim that our intellectual property is invalid or unenforceable and the court may agree, in which case we could lose valuable intellectual property rights. The outcome in any such lawsuit is unpredictable.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Litigation or other legal proceedings relating to intellectual property claims, even if resolved in our favor,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or cause reputational harm.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intellectual property proceedings could harm our ability to compete in the marketplace. In addition, because of the substantial amount of discovery required in connection with intellectual property litigation, there is a risk that some of our confidential information or trade secrets could be compromised by disclosure during this type of litigation. Any of the foregoing could harm our competitive position, business, financial condition, results of operations and prospects. For more information, see Item 3 of Part I, “Legal Proceedings.”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or our licensors may not be able to enforce our intellectual property rights throughout the world.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or our licensors may be required to protect our proprietary technology and content in an increasing number of jurisdictions, a process that is expensive and may not be successful, or which we or our licensors may not pursue in every location due to costs, complexities or other reasons. Filing, prosecuting, maintaining, defending, and enforcing our owned or in-licensed intellectual property rights in all jurisdictions throughout the world would be prohibitively expensive, and our intellectual property rights in some jurisdictions outside the United States may be less extensive than those in the United States. Competitors may use our technologies in jurisdictions where we have not obtained intellectual property protection to develop their own games and, further, may export otherwise infringing, misappropriating, or otherwise violating games to territories where we have intellectual property protection, but enforcement is not as strong as that in the United States. These games may compete with our games, and our intellectual property rights may not be effective or sufficient to prevent such competition. In addition, the laws of some foreign jurisdictions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jurisdictions, particularly developing countries, do not favor the enforcement of intellectual property protection. This could make it difficult for us to stop the infringement, misappropriation or other violation of our intellectual property rights. Accordingly, we or our licensors may choose not to seek protection in certain jurisdictions, and we will not have the benefit of protection in such jurisdictions. Proceedings to enforce our intellectual property rights in foreign jurisdictions could result in substantial costs and divert our efforts and attention from other aspects of our business. Accordingly, our or our licensors’ efforts to protect our intellectual property rights in such jurisdictions may be inadequate. In addition, changes in the law and legal decisions by courts in the United States and foreign jurisdictions may affect our ability to obtain adequate protection for our games and other technologies and the enforcement of intellectual property rights. Any of the foregoing could harm our competitive position, business, financial condition, results of operations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trademarks and trade names are not adequately protected, we may not be able to build name recognition in our markets of interest and our competitive position may be harmed.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registered or unregistered trademarks or trade names that we own or license may be challenged, infringed, circumvented, declared generic, lapsed or determined to be infringing on or dilutive of other trademarks. We may not be able to protect our rights in these trademarks and trade names, which we need in order to build name recognition. In addition, third parties have filed, and may in the future file, for registration of trademarks similar or identical to our owned or licensed trademarks, thereby impeding our ability to build brand identity and possibly leading to market confusion. If such third parties succeed in registering or developing common law rights in such trademarks, and if we are not successful in challenging such third-party rights, we may not be able to use these trademarks to develop brand recognition of our games. In addition, there could be potential trade name or trademark infringement claims brought by owners of other registered trademarks or trademarks that incorporate variations of our registered or unregistered owned or licensed trademarks or trade names. If we are unable to establish or protect our trademarks and trade names, or if we are unable to build name recognition based on our owned or licensed trademarks and trade names, we may not be able to compete effectively, which could harm our competitive position, business, financial condition, results of operations and prospects.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use open source software in connection with certain of our games and services, which may pose particular risks to our proprietary software, products, and services in a manner that could have a negative impact on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use open source software in connection with some of the games and services we offer and may continue to use open source software in the future.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or products, discontinue distribution in the event re-engineering cannot be accomplished on a timely basis, or take other remedial action that may divert resources away from our game development efforts, any of which could negatively impact our business.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Legal or Regulatory Compliance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Changing data privacy and security laws and regulations in the jurisdictions in which we or our consumers do business could increase the cost of our operations and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harm our business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process, store, use and share data in our operations. While our business receives limited, if any, personal information of our end users from our platform providers, we may elect to collect such information in the future. Our business and the business of our platform providers are therefore subject to a number of federal, state, local and foreign laws, regulations, regulatory codes and guidelines governing data privacy, data protection and security, including with respect to the collection, storage, use, processing, transmission, sharing and protection of personal information. Such laws, regulations, regulatory codes and guidelines may be inconsistent across jurisdictions or conflict with other rules.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legislative and regulatory landscapes for data privacy and security continue to evolve in jurisdictions worldwide, with an increasing focus on privacy and data protection issues with the potential to affect our business. In the United States, such privacy and data security laws and regulations include federal laws and regulations like the federal Controlling the Assault of Non-Solicited Pornography and Marketing Act, the Telephone Consumer Protection Act, the Do-Not-Call Implementation Act, and rules and regulations promulgated under the authority of the Federal Trade Commission and state laws like the California Consumer Privacy Act (“CCPA”) and the varying data breach notification laws that have been enacted in all 50 U.S. states and the District of Columbia. The CCPA, which became effective on January 1, 2020 and became enforceable by the California Attorney General on July 1, 2020, along with related regulations that came into force on August 14, 2020, provides additional individual privacy rights for California residents and places increased data privacy and security obligations on entities handling certain personal information of California residents and households. Among other things, the CCPA expands rights related to such individual’s personal information, including the right to access and require deletion of their personal information, opt out of certain personal information sharing, and receive detailed information about how their personal information is collected, used, and shared by covered business. Many of the CCPA’s requirements as applied to personal information obtained in a business to business context, as well as personal information of a business’s personnel and related individuals, were subject to a moratorium that expired on January 1, 2023. The CCPA provides for civil penalties for violations, as well as a private right of action and statutory damages for security breaches that may increase security breach litigation. The effects of the CCPA are significant and have required, and could continue to require, us to modify our data collection or processing practices and policies and to incur substantial costs and expenses in an effort to comply.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(“CPRA”). The CPRA, which came into effect in most material respects on January 1, 2023 with a one-year look back period, significantly amended and expanded existing CCPA requirements, including, among other things, by introducing additional obligations such as data minimization and storage limitations on the sharing of personal information for cross on text behavioral advertising and on the use of “sensitive” personal information, granting additional rights to consumers, such as correction of personal information and additional opt-out rights, and creating a new entity, the California Privacy Protection Agency, to implement and enforce the law and impose administrative fines. There currently are a number of additional proposals related to data privacy or security pending before federal, state, and foreign legislative and regulatory bodies, including in a number of U.S. states considering comprehensive consumer protection laws. States such as Virginia, Colorado, Utah and Connecticut have passed comprehensive data privacy laws that have become effective, or will become effective in the near future. Such legislation may add complexity, variation in requirements, restrictions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potential legal risk, require additional investment in resources to compliance programs, and could impact strategies and availability of previously useful data and could result in increased compliance costs and/or changes in business practices and policies.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Many of the other jurisdictions where we or our customers do business, including the EU, also have restrictive laws and regulations dealing with the processing of personal information.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the European Union’s Regulation (EU) 2016/679 of the European Parliament and of the Council of 27 April 2016 on the protection of natural persons with regard to the processing of personal data and on the free movement of such data, and repealing Directive 95/46/EC (the “General Data Protection Regulation” or “GDPR”) became effective in May 2018, imposes strict requirements on controllers and processors of personal data in the European Economic Area (“EEA”), including, for example, higher standards for obtaining consent from individuals to process their personal data, more robust disclosures to individuals and a strengthened individual data rights regime, greater control for data subjects (including the “right to be forgotten” and data portability) and shortened timelines for data breach notifications. The GDPR created new compliance obligations applicable to our business and our platform and service providers,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Failure to comply with the requirements of GDPR may result in significant fines of up to €20,000,000 or up to 4% of the total worldwide annual turnover of the preceding financial year, whichever is higher, and other administrative penalties. The United Kingdom operates a separate but similar regime to the European Union with which we will have to comply and that allows for fines of up to the greater of £17.5 million or 4% of the total worldwide annual turn over of the preceding financial year. Further, beginning January 1, 2021, we have been required to comply with the GDPR and also the United Kingdom GDPR (“UK GDPR”), which, together with the amended United Kingdom Data Protection Act 2018, retains the GDPR in United Kingdom national law. The relationship between the United Kingdom and the European Union in relation to certain aspects of data protection law remains unclear, and it is unclear how the United Kingdom’s data protection laws and regulations will develop in the medium to longer term, and how data transfers to and from the United Kingdom will be regulated in the long term. For example, while the EU Commission has adopted an adequacy decision in favor of the United Kingdom, enabling data transfers from European Union member states to the United Kingdom without additional safeguards, the decision will automatically expire in June 2025 unless the EU Commission re-assesses and renews/extends it. These changes may lead to additional costs and increase our overall risk exposure.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Recent legal developments also have created compliance uncertainty regarding the transfer of personal information from the U.K. and EEA to certain locations outside of the U.K. and EEA where we or our clients operate or conduct business. In July 2020, the Court of Justice of the European Union (“CJEU”) ruled the EU-US Privacy Shield Framework, one of the primary safeguards that allowed U.S. companies to import personal data from the EU to the U.S., was invalid. The CJEU’s decision also raised questions about whether the most commonly used mechanism for cross-border transfers of personal data out of the EEA, namely, the European Commission’s Standard Contractual Clauses, can lawfully be used for personal data transfers from the EU to the U.S. or other third countries the European Commission has determined do not provide adequate data protections under their laws. On June 4, 2021, the European Commission published new Standard Contractual Clauses (which became effective on June 27, 2021), which impose on companies additional obligations relating to data transfers, including in the transfer, to implement additional security measures and update internal privacy practices. If we elect to rely on the new Standard Contractual Clauses for applicable data transfers, we may be required to incur significant time and resources to update our contractual arrangements and to comply with new obligations. If we are unable to implement a valid mechanism for personal data transfers from the EEA, we could face increased exposure to regulatory actions, substantial fines and injunctions against processing personal data from the EEA. As discussed above, these same considerations must currently be taken into account with regard to the UK GDPR as well. Additionally, other countries outside of the EU have enacted or are considering enacting similar cross order data transfer restrictions and laws requiring local data residency, which could increase the cost and complexity of delivering our services and operating our business. The type of challenges we face in the EU and U.K. will likely also arise in other jurisdictions that adopt regulatory frameworks of equivalent complexity. Accordingly, any actual or perceived failure to comply with these laws and regulations could harm our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and products are subject to potential legislation and other governmental restrictions. The adoption of such proposed legislation and restrictions could limit the retail market for our products.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Several proposals have been made for federal legislation to regulate our industry. Such proposals seek to prohibit the sale of products containing certain content included in some of our games. If any such proposals are enacted into law, it may limit the potential market for some of our games in the United States, and adversely affect our business, financial condition and operating results. Other countries have adopted laws regulating content both in packaged games and those transmitted over the Internet that are stricter than current U.S.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law. While no such laws are currently in place in the United States, the adoption into law of such legislation in jurisdictions in which we do significant business could severely limit the retail market for some of our games.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30, 2021, China’s National Press and Publication Administration announced a new regulation that required online gaming companies limit their services provided to minors to one hour per day on Fridays, Saturdays, Sundays and public holidays. We continue to assess the impact this new regulation may have on our results of operations however, at this time, the impact of this new regulation remains uncertain.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government regulations relating to the Internet could have a negative impact on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affecting “net neutrality” or measures enacted in certain jurisdictions as a result of the COVID-19 pandemic, could decrease the demand for our products and services or increase our cost of doing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on December 14, 2017, the Federal Communications Commission voted to repeal net neutrality regulations in the United States, and, following that decision, several states enacted net neutrality regulations. Given the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affect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involved in legal proceedings that have a negative impact on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we have been, and in the future may be, involved in claims, suits, investigations, audits and proceedings arising in the ordinary course of our business, including with respect to labor and employment, intellectual property, competition and antitrust, regulatory, tax, privacy and/or commercial matters. In addition, negative consumer sentiment about our business practices may result in inquiries or investigations from regulatory agencies and consumer groups, as well as litigation.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Claims, suits, investigations, audits and proceedings are inherently difficult to predict, and their results are subject to significant uncertainties, many of which are outside of our control. Regardless of the outcome, such legal proceedings can have a negative impact on us due to reputational harm, legal costs, diversion of management resources and other factors. It is also possible that a resolution of one or more such proceedings could result in substantial settlements, judgments, fines or penalties, injunctions, criminal sanctions, consent decrees or orders preventing us from offering certain features, functionalities, products or services, requiring us to change our development process or other business practices.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is also inherent uncertainty in determining reserves for these matters. Significant judgment is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regard our software as proprietary and rely on a variety of methods, including a combination of copyright, patent, trademark and trade secret laws, and employee and third-party non-disclosure and invention assignment agreements, to protect our proprietary rights. We own or license various copyrights, patents, trademarks and trade secrets. The process of registering and protecting these rights in various jurisdictions is expensive and time-consuming. Further, we are aware that some unauthorized copying and piracy occurs, and if a significantly greater amount of unauthorized copying or piracy of our software products were to occur, it could negatively impact our business. We also cannot be certain that existing intellectual property laws will provide adequate protection for our products in connection with emerging technologies or that we will be able to effectively protect our intellectual property through litigation and other means.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and Economic Risks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general economic conditions decline, demand for our games could decline. In addition, our business is vulnerable to changing economic conditions and to other factors that adversely affect the gaming industry, which could negatively impact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In-game purchases involve discretionary spending on the part of consumers. Consumers are generally more willing to make discretionary purchases, including purchases of games and services like ours, during periods in which favorable economic conditions prevail. As a result, our games may be sensitive to general economic conditions and economic cycles. A reduction or shift in domestic or international consumer spending could result in an increase in our marketing and promotional expenses, in an effort to offset that reduction, and could negatively impact our business. Discretionary spending on entertainment activities could further decline for reasons beyond our control, such as natural disasters, acts of war, pandemics, terrorism, transportation disruptions or the results of adverse weather conditions. Additionally, disposable income available for discretionary spending may be reduced by unemployment, higher housing, energy, interest or other costs, or where the actual or perceived wealth of customers has decreased because of circumstances such as lower residential real estate values, increased foreclosure rates, inflation, increased tax rates or other economic disruptions. Any prolonged or significant decrease in consumer spending on entertainment activities could result in reduced play levels and decreased spending on our games, and could adversely impact our results of operations, cash flows and financial condition.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tax laws or tax rulings, or the examination of our tax positions, could materially affect our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take advantage of could be undermined due to changing tax laws, both in the United States and in other applicable jurisdictions. In addition, the taxing authorities in the United States and other jurisdictions where we do business regularly examine income and other tax returns and we expect that they may examine our income and other tax returns. The ultimate outcome of these examinations cannot be predicted with certainty.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Tax law or tax rate changes could affect our effective tax rate and future profitability.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effective tax rate was 168.5% for 2022 compared with 18.3% for 2021. In general, changes in applicable U.S. federal and state and foreign tax laws and regulations, or their interpretation and application, including the possibility of retroactive effect, could affect our tax expense. In addition, and in response to significant market volatility and disruptions to business operations resulting from the global spread of COVID-19, taxing authorities in many jurisdictions in which we operate may propose changes to their tax laws and regulations. These potential changes could have a material impact on our effective tax rate, long-term tax planning and financial results.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reported financial results could be significantly impacted by changes in financial accounting standards or by the application of existing or future accounting standards to our business as it evolves.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video games that include an online service on a deferred basis over an estimated service period for such games. In addition, we defer the cost of revenues of those products. Further, as we increase our DLC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income taxes, could have a significant impact on our reported net revenues, net income and earnings per share under generally accepted accounting principles in the United States in any given period.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Company has debt obligations with short term durations that are coming due within one year.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significant debt obligations coming due within one year. Our current revolving loan has a balance of $9.0 million as of December 31, 2022, and is due for repayment on December 31, 2023. The Company intends to extend the loan and faces the risk that we will be unable to extend. If we are unable to extend the loan, the Company may have significantly reduced unrestricted cash which could adversely impact our results of operations and ability to invest in the development and acquisition of IP. See Note 15, </w:t>
      </w:r>
      <w:r>
        <w:rPr>
          <w:rFonts w:ascii="Times New Roman;Times;serif" w:hAnsi="Times New Roman;Times;serif"/>
          <w:i/>
          <w:sz w:val="20"/>
        </w:rPr>
        <w:t>Revolving Loan, Short Term Note and Long-Term Debt</w:t>
      </w:r>
      <w:r>
        <w:rPr>
          <w:rFonts w:ascii="Times New Roman;Times;serif" w:hAnsi="Times New Roman;Times;serif"/>
          <w:sz w:val="20"/>
        </w:rPr>
        <w:t xml:space="preserve"> to our consolidated financial statements included in this Annual Report.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Corporate Structure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controlling stockholder, Founder, Chief Strategy Officer and Chairman, Mr. Shi, controls a majority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 including:</w:t>
      </w:r>
    </w:p>
    <w:tbl>
      <w:tblPr>
        <w:tblW w:w="7356" w:type="dxa"/>
        <w:jc w:val="left"/>
        <w:tblInd w:w="0" w:type="dxa"/>
        <w:tblCellMar>
          <w:top w:w="28" w:type="dxa"/>
          <w:left w:w="28" w:type="dxa"/>
          <w:bottom w:w="28" w:type="dxa"/>
          <w:right w:w="28" w:type="dxa"/>
        </w:tblCellMar>
      </w:tblPr>
      <w:tblGrid>
        <w:gridCol w:w="124"/>
        <w:gridCol w:w="256"/>
        <w:gridCol w:w="69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 that a majority of its board of directors consist of independent directors;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it has a compensation committee that is composed entirely of independent directors with a written charter addressing the committee’s purpose and responsibilities.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elected to rely on these exemptions. As a result, our board of directors does not have a majority of independent directors, our compensation committee does not consist entirely of independent directors and our directors are not nominated or selected by independent directors. Accordingly, you do not have the same protections afforded to stockholders of companies that are subject to all of the corporate governance requirements of the Nasdaq rules.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Mr. Shi, our Founder, Chief Strategy Officer and Chairman, controls us, and his ownership of our common stock prevents you and other stockholders from influencing significant decisions.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Mr. Shi controls shares representing a majority of our combined voting power. As long as Mr. Shi continues to control shares representing a majority of our voting power, he will generally be able to determine the outcome of all corporate actions requiring stockholder approval, including the election and removal of directors (unless supermajority approval of such matter is required by applicable law and our amended and restated certificate of incorporation). In the ordinary course of his business activities, Mr. Shi may engage in activities where his interests may not be the same as, or may conflict with, the interests of our other stockholders. Even if Mr. Shi were to control less than a majority of our voting power, he may be able to influence the outcome of corporate actions so long as he controls a significant portion of our voting power.</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stockholders are not able to affect the outcome of any stockholder vote while Mr. Shi controls the majority of our voting power (or, in the case of removal of directors, two-thirds of our voting power). Due to his ownership and rights under our amended and restated certificate of incorporation and our amended and restated bylaws, Mr. Shi controls, subject to applicable law, the composition of our board of directors, which in turn controls all matters affecting us, including, among other things: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with respect to our business direction and policies, including the appointment and removal of officers and, in the event of a vacancy on our board of directors, additional or replacement directors;</w:t>
            </w:r>
          </w:p>
        </w:tc>
      </w:tr>
    </w:tbl>
    <w:tbl>
      <w:tblPr>
        <w:tblW w:w="7956" w:type="dxa"/>
        <w:jc w:val="left"/>
        <w:tblInd w:w="0" w:type="dxa"/>
        <w:tblCellMar>
          <w:top w:w="28" w:type="dxa"/>
          <w:left w:w="28" w:type="dxa"/>
          <w:bottom w:w="28" w:type="dxa"/>
          <w:right w:w="28" w:type="dxa"/>
        </w:tblCellMar>
      </w:tblPr>
      <w:tblGrid>
        <w:gridCol w:w="124"/>
        <w:gridCol w:w="256"/>
        <w:gridCol w:w="75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determinations with respect to mergers, business combinations or dispositions of assets;</w:t>
            </w:r>
          </w:p>
        </w:tc>
      </w:tr>
    </w:tbl>
    <w:tbl>
      <w:tblPr>
        <w:tblW w:w="4026" w:type="dxa"/>
        <w:jc w:val="left"/>
        <w:tblInd w:w="0" w:type="dxa"/>
        <w:tblCellMar>
          <w:top w:w="28" w:type="dxa"/>
          <w:left w:w="28" w:type="dxa"/>
          <w:bottom w:w="28" w:type="dxa"/>
          <w:right w:w="28" w:type="dxa"/>
        </w:tblCellMar>
      </w:tblPr>
      <w:tblGrid>
        <w:gridCol w:w="124"/>
        <w:gridCol w:w="256"/>
        <w:gridCol w:w="3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our management policies;</w:t>
            </w:r>
          </w:p>
        </w:tc>
      </w:tr>
    </w:tbl>
    <w:tbl>
      <w:tblPr>
        <w:tblW w:w="6831" w:type="dxa"/>
        <w:jc w:val="left"/>
        <w:tblInd w:w="0" w:type="dxa"/>
        <w:tblCellMar>
          <w:top w:w="28" w:type="dxa"/>
          <w:left w:w="28" w:type="dxa"/>
          <w:bottom w:w="28" w:type="dxa"/>
          <w:right w:w="28" w:type="dxa"/>
        </w:tblCellMar>
      </w:tblPr>
      <w:tblGrid>
        <w:gridCol w:w="124"/>
        <w:gridCol w:w="256"/>
        <w:gridCol w:w="6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composition of the committees on our board of directors;</w:t>
            </w:r>
          </w:p>
        </w:tc>
      </w:tr>
    </w:tbl>
    <w:tbl>
      <w:tblPr>
        <w:tblW w:w="2256" w:type="dxa"/>
        <w:jc w:val="left"/>
        <w:tblInd w:w="0" w:type="dxa"/>
        <w:tblCellMar>
          <w:top w:w="28" w:type="dxa"/>
          <w:left w:w="28" w:type="dxa"/>
          <w:bottom w:w="28" w:type="dxa"/>
          <w:right w:w="28" w:type="dxa"/>
        </w:tblCellMar>
      </w:tblPr>
      <w:tblGrid>
        <w:gridCol w:w="124"/>
        <w:gridCol w:w="256"/>
        <w:gridCol w:w="18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8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financing policy;</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and benefit programs and other human resources policy decisions;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526" w:type="dxa"/>
        <w:jc w:val="left"/>
        <w:tblInd w:w="0" w:type="dxa"/>
        <w:tblCellMar>
          <w:top w:w="28" w:type="dxa"/>
          <w:left w:w="28" w:type="dxa"/>
          <w:bottom w:w="28" w:type="dxa"/>
          <w:right w:w="28" w:type="dxa"/>
        </w:tblCellMar>
      </w:tblPr>
      <w:tblGrid>
        <w:gridCol w:w="124"/>
        <w:gridCol w:w="256"/>
        <w:gridCol w:w="51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any other agreements that may adversely affect us;</w:t>
            </w:r>
          </w:p>
        </w:tc>
      </w:tr>
    </w:tbl>
    <w:tbl>
      <w:tblPr>
        <w:tblW w:w="4806" w:type="dxa"/>
        <w:jc w:val="left"/>
        <w:tblInd w:w="0" w:type="dxa"/>
        <w:tblCellMar>
          <w:top w:w="28" w:type="dxa"/>
          <w:left w:w="28" w:type="dxa"/>
          <w:bottom w:w="28" w:type="dxa"/>
          <w:right w:w="28" w:type="dxa"/>
        </w:tblCellMar>
      </w:tblPr>
      <w:tblGrid>
        <w:gridCol w:w="124"/>
        <w:gridCol w:w="256"/>
        <w:gridCol w:w="44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dividends on our common stock; and</w:t>
            </w:r>
          </w:p>
        </w:tc>
      </w:tr>
    </w:tbl>
    <w:tbl>
      <w:tblPr>
        <w:tblW w:w="4236" w:type="dxa"/>
        <w:jc w:val="left"/>
        <w:tblInd w:w="0" w:type="dxa"/>
        <w:tblCellMar>
          <w:top w:w="28" w:type="dxa"/>
          <w:left w:w="28" w:type="dxa"/>
          <w:bottom w:w="28" w:type="dxa"/>
          <w:right w:w="28" w:type="dxa"/>
        </w:tblCellMar>
      </w:tblPr>
      <w:tblGrid>
        <w:gridCol w:w="124"/>
        <w:gridCol w:w="256"/>
        <w:gridCol w:w="38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determinations with respect to our tax returns.</w:t>
            </w:r>
          </w:p>
        </w:tc>
      </w:tr>
    </w:tbl>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concentration of Mr. Shi’s ownership could also discourage others from making tender offers, which could prevent holders from receiving a premium for their common stock. Because Mr. Shi’s interests may differ from ours or from those of our other stockholders, actions that he takes with respect to us, as our controlling stockholder, may not be favorable to us or to you or our other stockholders.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Mr. Shi, our Founder, Chief Strategy Officer and Chairman, is a Chinese national. For so long as a Chinese individual continues to exercise majority voting control over us, changes in U.S. and Chinese laws in the future may make it more difficult for us to operate as a publicly traded company in the United States.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Future developments in U.S. and Chinese laws may restrict our ability or willingness to operate as a publicly traded company in the United States for so long as Mr. Shi, who is a Chinese national, or other Chinese investors, continue to beneficially own a significant percentage of our outstanding shares of common stock. The relations between the United States and China are constantly changing. During his administration, President Donald J. Trump issued a memorandum directing the President’s Working Group on Financial Markets to convene to discuss the risks faced by U.S. investors in Chinese companies and issued several executive orders restricting the operations of Chinese companies, such as the company that owns TikTok, in the United States. Additionally, the federal government has recently proposed legislation intended to protect American investments in Chinese companies. President Joseph R. Biden has not put forth specific policy proposals regarding China and it is unclear at this time which of President Trump’s policies, if any, President Biden will continue to implement. In addition, various equity-based research organizations have published reports on Chinese companies after examining their corporate governance practices, related party transactions, sales practices and financial statements, and these reports have led to special investigations and listing suspensions on U.S. national exchanges. While we are not a Chinese company, any similar scrutiny of us, regardless of its merit, could have an adverse effect upon our business, including our results of operations, financial condition, cash flows and prospects. Additionally, should we be the subject of or indirectly covered by new legislation or executive orders addressed at protecting American investments in Chinese or Chinese-owned companies, our revenues and profitability would be materially reduced, and our business and results of operations would be seriously harmed.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Committee on Foreign Investment in the United States may modify, delay or prevent our future acquisition or investment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so long as Mr. Shi retains a material ownership interest in us, we will be deemed a “foreign person” under the regulations relating to the Committee on Foreign Investment in the United States (“CFIUS”). As such, acquisitions of or investments in U.S. businesses or foreign businesses with U.S. subsidiaries that we may wish to pursue may be subject to CFIUS review, the scope of which was expanded by the Foreign Investment Risk Review Modernization Act of 2018 (“FIRRMA”) to include certain non-passive, non-controlling investments (including certain investments in entities that hold or process personal information about U.S. nationals), certain acquisitions of real estate even with no underlying U.S. business, transactions designed or intended to evade or circumvent CFIUS jurisdiction and any transaction resulting in a “change in the rights” of a foreign person in a U.S. business if that change could result in either control of the business or a covered non-controlling investment. FIRRMA also subjects certain categories of investments to mandatory filings. If a particular proposed acquisition or investment in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an acquisition or investment by us, impose conditions with respect to such acquisition or investment or order us to divest all or a portion of a U.S. business that we acquired without first obtaining CFIUS approval, which may limit the attractiveness of or prevent us from pursuing certain acquisitions or investments that we believe would otherwise be beneficial to us and our stockholders. Our inability to complete acquisitions and integrate those businesses successfully could limit our growth or disrupt our plans and operations. In addition, among other things, FIRRMA authorizes CFIUS to prescribe regulations defining “foreign person” differently in different contexts, which could result in less favorable treatment for investments and acquisitions by companies from countries of “special concern.” If CFIUS were to promulgate regulations imposing additional burdens on acquisition and investment activities involving China or Chinese investor-controlled entities, our ability to consummate transactions falling within CFIUS’s jurisdiction that might otherwise be beneficial to us and our stockholders would be hindered.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Hua Yuan International Limited, a minority stockholder, is indirectly controlled by China-Singapore Suzhou Industrial Park Ventures Co., Ltd., a Chinese state-owned entity, which could subject us to risks involving U.S. -China relations and related risks.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Hua Yuan International Limited, which beneficially owns 8.7% of our common stock and controls 1.1% of our voting power as of December 31, 2022, is indirectly controlled by China-Singapore Suzhou Industrial Park Ventures Co., Ltd., a Chinese state-owned entity. Recent political and economic tensions between the United States and China have negatively impacted certain public companies with stockholders that are Chinese state-owned entities. For example, in May 2021, three telecommunications companies with controlling stockholders that are Chinese state-owned entities — China Mobile Limited, China Unicom and China Telecom Corp., Ltd. — announced they would be delisted by the New York Stock Exchange pursuant to U.S. investment restrictions enacted in 2020. In addition, the Holding Foreign Companies Accountable Act, enacted in December 2020, requires SEC registrants to disclose whether an issuer is owned or controlled by a governmental entity in a foreign jurisdiction that does not allow inspection by the Public Group Accounting Oversight Board, principally including issuers based in China.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Hua Yuan International Limited does not own a controlling interest in us, its investment may subject us to risks related to having an indirect principal stockholder that is a Chinese state-owned entity as well as risks arising from political and economic tensions between the United States and China generally.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General Risk Factors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related to corporate and social responsibility and reputation.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cannot predict the impact our dual class structure may have on the market price of our Class A common stock.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predict whether our dual class structure will result in a lower or more volatile market price of our Class A common stock or in adverse publicity or other adverse consequences. For example, certain index providers have restrictions on including companies with multiple-class share structures in certain of their indexes.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these policies, our dual class capital structure would make us ineligible for inclusion in certain indices, and as a result, mutual funds, exchange-traded funds, and other investment vehicles that attempt to passively track those indices will not be investing in our stock. Because of our dual class structure, we will likely be excluded from certain of these indexes and we cannot assure you that other stock indexes will not take similar actions.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Securities analysts may not publish favorable research or reports about our business or may publish no information at all, which could cause our stock price or trading volume to decline.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trading market for our Class A common stock is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Class A common stock may have relatively little experience with us or our industry, which could affect their ability to accurately forecast our results and could make it more likely that we fail to meet their estimates. If any of the analysts who cover us provide inaccurate or unfavorable research or issue an adverse opinion regarding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stock price, our stock price could decline. If one or more of these analysts cease coverage of us or fail to publish reports covering us regularly, we could lose visibility in the market, which in turn could cause our stock price or trading volume to decline.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Class A common stock.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revenues and expenses that are not readily apparent from other sources. If our assumptions change or if actual circumstances differ from our assumptions, our results of operations may be adversely affected and could fall below our publicly announced guidance or the expectations of securities analysts and investors, resulting in a decline in the market price of our Class A common stock.</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significant portion of our total outstanding shares are restricted from immediate resale but may be sold into the market in the future. This could cause the market price of our Class A common stock to decline, even if our business is doing well.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Sales of a substantial number of shares of our Class A common stock in the public market could occur at any time. These sales, or the perception in the market that the holders of a large number of shares intend to sell their shares, could result in a decrease in the market price of our Class A common stock. As of December 31, 2022, we had 36,802,351 shares of common stock outstanding. This includes 35,000,000 shares that are currently restricted as a result of securities laws or lock-up agreements, which may be waived, with or without notice, by US Tiger Securities, Inc. and EF Hutton, division of Benchmark Investments, LLC but will be able to be sold as described in the section entitled “Shares Eligible for Future Sale” of our Prospectus as filed by us with the SEC on November 10, 2022 pursuant to Rule 424(b)(4) under the Securities Act, relating to our registration statement on Form S-1, as amended. Furthermore, our lock-up agreements do not prohibit members of our board of directors, executive officers and certain stockholders from pledging their common stock or securities convertible into or exchangeable or exercisable for any shares of our common stock during the 180-day period following our initial public offering. We have also registered, and we intend to continue to register, all shares of common stock that we may issue under our equity compensation plans. Once we register these shares, they can be freely sold in the public market, subject to volume limitations applicable to affiliates and the lock-up agreements described in the section entitled “Underwriting” of our Prospectus as filed by us with the SEC on November 10, 2022 pursuant to Rule 424(b)(4) under the Securities Act, relating to our registration statement on Form S-1, as amended. The lock-up agreements expire on May 8, 2023.</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cannot guarantee that our share repurchase program will be fully implemented or it will enhance stockholder value, and share repurchases could affect the price of our Class A common stock.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2022, our board of directors authorized a share repurchase program of up to $5 million of our outstanding Class A common stock (the “Share Repurchase Program”), which does not have a fixed expiration date. Share repurchases under the program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at the discretion of management and in accordance with applicable federal securities laws and other applicable legal requirements and Nasdaq listing rules. The timing, pricing, and size of share repurchases will depend on a number of factors, including, but not limited to, price, corporate and regulatory requirements, and general market and economic conditions. As of January 31, 2023, approximately $1.3 million of the Share Repurchase Program remains available for future repurchases. The Share Repurchase Program does not obligate us to repurchase any dollar amount or number of shares, and the program may be suspended or discontinued at any time, which may result in a decrease in the price of our Class A common stock.</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Provisions in our amended and restated certificate of incorporation and bylaws and under Delaware law could make an acquisition of us more difficult and may prevent attempts by our stockholders to replace or remove our current management.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Class A common stock, thereby depressing the market price of our Class A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we do not anticipate paying any cash dividends on our capital stock in the foreseeable future, capital appreciation, if any, will be your sole source of gain.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intend to retain all of our future earnings, if any, to finance the growth and development of our business. Any determination to pay dividends in the future will be at the discretion of our board of directors and may be restricted by our credit facilities or any future debt or preferred securities or future debt agreements we may enter into. As a result, capital appreciation, if any, of our Class A common stock will be your sole source of gain for the foreseeable future. See “Dividend Policy” of our Prospectus as filed by us with the SEC on November 10, 2022 pursuant to Rule 424(b)(4) under the Securities Act, relating to our registration statement on Form S-1, as amended.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default on our credit obligations, our operations may be interrupted, and our business could be seriously harmed.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 credit facility that we may draw on to finance our operations and other corporate purposes. If we default on these credit obligations, our lenders may accelerate the debt and/or foreclose on property securing the debt.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If any of these events occur, our operations may be interrupted and our ability to fund our operations or obligations, as well as our business, could be seriously harmed. In addition, our credit facility contains operating covenants, including maintenance of certain financial ratios. Our ability to comply with these covenants may be affected by events beyond our control, and breaches of these covenants have in the past, and could in the future, result in a default under the credit facility and any future financial agreements into which we may enter. If not waived, defaults could cause our outstanding indebtedness under our credit facility and any future financing agreements that we may enter into to become immediately due and payable. For more information on our credit facility, see Item 7 of Part II, “Management’s Discussion and Analysis of Financial Condition and Results of Operations — Liquidity and Capital Resources.”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develop and refine our internal control over financial reporting. Some members of our management team have limited or no experience managing a publicly traded company, interacting with public company investors, and complying with the increasingly complex laws pertaining to public companies, and we have limited accounting and financial reporting personnel and other resources with which to address our internal controls and related procedures.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or internal control over financial reporting could also cause investors to lose confidence in the accuracy and completeness of our reported financial and other information, which would likely have a negative effect on the trading price of our Class A common stock. In addition, if we are unable to continue to meet these requirements, we may not be able to remain listed on the Nasdaq. As a public company, we are required to provide an annual management report on the effectiveness of our internal control over financial reporting commencing with our second Annual Report on Form 10-K.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independent registered public accounting firm is not required to formally attest to the effectiveness of our internal control over financial reporting until the later of (1) our second Annual Report on Form 10-K or (2) the Annual Report on Form 10-K for the first year we no longer qualify as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 In addition, we could become subject to investigations by the stock exchange on which our securities are listed, the SEC or other regulatory authorities, which could require additional financial and management resources. These events could have a material and adverse effect on our business, results of operations, financial condition and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identified a material weakness in our internal controls over financial reporting and we may identify additional material weaknesses in the future that may cause us to fail to meet our reporting obligations or result in material misstatements of our financial statements. If we do not effectively remediate the material weakness or if we otherwise fail to maintain effective internal controls over financial reporting, we may not be able to accurately and timely report our financial results.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identified a material weakness in our internal controls over financial reporting involving lack of sufficient financial reporting close controls, including certain disclosure controls, as of December 31, 2022. See Item 9A, “Controls and Procedures,” in this Annual Report for information regarding the identified material weakness and our actions to date to remediate the material weakness. As a result of the material weakness, our management has concluded that our internal controls over financial reporting were not effective as of December 31, 2022.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taking steps to remediate the material weakness, which include enhancing control procedures and hiring personnel with the depth of knowledge and experience to join our accounting and finance organization. However, our efforts to remediate the material weakness may not be effective in preventing a future material weakness or significant deficiency in our internal controls over financial reporting. If we do not effectively remediate the material weakness or if we otherwise fail to maintain effective internal controls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can give no assurance that the measures we have taken or plans to take in the future will remediate the material weakness identified or that any additional material weaknesses or restatements of financial results will not arise in the future due to a failure to implement and maintain adequate internal controls over financial reporting or circumvention of these controls.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amended and restated certificate of incorporation provides that the Court of Chancery of the State of Delaware (or, if the Court of Chancery does not have jurisdiction, another State court in Delaware or the U.S. District Court for the District of Delaware) is the sole and exclusive forum for substantially all disputes between us and our stockholders, which could limit our stockholders’ abilities to obtain a favorable judicial forum for disputes with us or our directors, officers or employees.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amended and restated certificate of incorporation specifies that, unless we consent in writing to the selection of an alternative forum, to the fullest extent permitted by law, the Court of Chancery of the State of Delaware is the sole and exclusive forum for most legal actions involving actions brought against us by stockholders; provided that, the exclusive forum provision will not apply to suits brought to enforce any liability or duty created by the Exchange Act or any other claim for which the U.S.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of 1933, as amended, or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an “emerging growth company,” and the reduced disclosure requirements applicable to emerging growth companies may make our Class A common stock less attractive to investors.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We could continue to be considered an emerging growth company for up to five years, although we would lose that status sooner if our annual gross revenues exceed $1.235 billion, if we issue more than $1.0 billion in nonconvertible debt in a three-year period or if the fair value of our Class A common stock held by non-affiliates exceeds $700.0 million (and we have been a public company for at least 12 months and have filed at least one Annual Report on Form 10-K). For the fiscal year ended December 31, 2022, our total net revenue was $74.4 million.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pStyle w:val="TextBody"/>
        <w:spacing w:before="0" w:after="240"/>
        <w:ind w:left="0" w:right="0" w:hanging="0"/>
        <w:jc w:val="both"/>
        <w:rPr>
          <w:rFonts w:ascii="Times New Roman;Times;serif" w:hAnsi="Times New Roman;Times;serif"/>
          <w:b/>
          <w:sz w:val="20"/>
        </w:rPr>
      </w:pPr>
      <w:bookmarkStart w:id="61" w:name="Item1BUnresolvedStaffComments_200459"/>
      <w:bookmarkStart w:id="62" w:name="_64705ab7_c8ea_4060_b757_89d027fa317b"/>
      <w:bookmarkEnd w:id="61"/>
      <w:bookmarkEnd w:id="62"/>
      <w:r>
        <w:rPr>
          <w:rFonts w:ascii="Times New Roman;Times;serif" w:hAnsi="Times New Roman;Times;serif"/>
          <w:b/>
          <w:sz w:val="20"/>
        </w:rPr>
        <w:t>Item 1B. Unresolved Staff Comments.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jc w:val="both"/>
        <w:rPr>
          <w:rFonts w:ascii="Times New Roman;Times;serif" w:hAnsi="Times New Roman;Times;serif"/>
          <w:b/>
          <w:sz w:val="20"/>
        </w:rPr>
      </w:pPr>
      <w:bookmarkStart w:id="63" w:name="Item2Properties_396206"/>
      <w:bookmarkStart w:id="64" w:name="_5aeeecc1_d466_4e2b_8782_e3f7ca520327"/>
      <w:bookmarkEnd w:id="63"/>
      <w:bookmarkEnd w:id="64"/>
      <w:r>
        <w:rPr>
          <w:rFonts w:ascii="Times New Roman;Times;serif" w:hAnsi="Times New Roman;Times;serif"/>
          <w:b/>
          <w:sz w:val="20"/>
        </w:rPr>
        <w:t>Item 2. Properties.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lease approximately 16,900 square feet of office space located in Beverly Hills, California under an operating lease that expires on November 13, 2025. We also own a two story office building consisting of approximately 5,910 square feet of office space on 7,163 square feet of land in Culver City, California. We believe that these facilities are sufficient to meet our current and anticipated needs in the near term and that additional space can be obtained on commercially reasonable terms as needed.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65" w:name="Item3LegalProceedings_770484"/>
      <w:bookmarkStart w:id="66" w:name="_72d41207_3c77_4055_8dc9_e05921bd44f2"/>
      <w:bookmarkEnd w:id="65"/>
      <w:bookmarkEnd w:id="66"/>
      <w:r>
        <w:rPr>
          <w:rFonts w:ascii="Times New Roman;Times;serif" w:hAnsi="Times New Roman;Times;serif"/>
          <w:b/>
          <w:sz w:val="20"/>
        </w:rPr>
        <w:t>Item 3. Legal Proceedings.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See Item 8 of Part II, “Consolidated Financial Statements—Note 20—Commitments and Contingencies—Litigation.”</w:t>
      </w:r>
    </w:p>
    <w:p>
      <w:pPr>
        <w:pStyle w:val="TextBody"/>
        <w:spacing w:before="0" w:after="240"/>
        <w:ind w:left="0" w:right="0" w:hanging="0"/>
        <w:jc w:val="both"/>
        <w:rPr>
          <w:rFonts w:ascii="Times New Roman;Times;serif" w:hAnsi="Times New Roman;Times;serif"/>
          <w:b/>
          <w:sz w:val="20"/>
        </w:rPr>
      </w:pPr>
      <w:bookmarkStart w:id="67" w:name="Item4MineSafetyDisclosures_303136"/>
      <w:bookmarkStart w:id="68" w:name="_f62d8b12_d6b4_4f8b_94ce_37b9424b0411"/>
      <w:bookmarkEnd w:id="67"/>
      <w:bookmarkEnd w:id="68"/>
      <w:r>
        <w:rPr>
          <w:rFonts w:ascii="Times New Roman;Times;serif" w:hAnsi="Times New Roman;Times;serif"/>
          <w:b/>
          <w:sz w:val="20"/>
        </w:rPr>
        <w:t>Item 4. Mine Safety Disclosures.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9" w:name="PARTII_526317"/>
      <w:bookmarkStart w:id="70" w:name="_fe06b9c6_c966_4aa9_bba4_a6d164506d02"/>
      <w:bookmarkEnd w:id="69"/>
      <w:bookmarkEnd w:id="70"/>
      <w:r>
        <w:rPr>
          <w:rFonts w:ascii="Times New Roman;Times;serif" w:hAnsi="Times New Roman;Times;serif"/>
          <w:b/>
          <w:sz w:val="20"/>
        </w:rPr>
        <w:t>PART II</w:t>
      </w:r>
    </w:p>
    <w:p>
      <w:pPr>
        <w:pStyle w:val="TextBody"/>
        <w:spacing w:before="0" w:after="240"/>
        <w:ind w:left="0" w:right="0" w:hanging="0"/>
        <w:jc w:val="both"/>
        <w:rPr>
          <w:rFonts w:ascii="Times New Roman;Times;serif" w:hAnsi="Times New Roman;Times;serif"/>
          <w:b/>
          <w:sz w:val="20"/>
        </w:rPr>
      </w:pPr>
      <w:bookmarkStart w:id="71" w:name="Item5MarketforRegistrantsCommonEquityRel"/>
      <w:bookmarkEnd w:id="71"/>
      <w:r>
        <w:rPr>
          <w:rFonts w:ascii="Times New Roman;Times;serif" w:hAnsi="Times New Roman;Times;serif"/>
          <w:b/>
          <w:sz w:val="20"/>
        </w:rPr>
        <w:t>Item 5. Market for Registrant’s Common Equity, Related Stockholder Matters and Issuer Purchases of Equity Securities.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Market Information for Class A Common Stock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Class A common stock is listed on the Nasdaq Capital Market and trades under the symbol “SNAL”. Public trading of our stock began on November 10, 2022. Prior to that, there was no public market for our stock.</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Holders of Record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approximate number of record holders of our Class A common stock as of March 24, 2023 was five, including American Stock Transfer &amp; Trust Company LLC, which holds shares of our Class A common stock on behalf of an indeterminate number of beneficial owners. The number of record holders of our Class B common stock as of March 24, 2023 was two.</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 Policy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intend to retain all available funds and any future earnings, if any, to fund the development and expansion of our business and we do not anticipate paying any cash dividends in the foreseeable future. Except for a one-time special dividend in connection with our distribution of the Shi Loan (as defined herein), we have not paid any cash dividends.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In addition, our ability to pay cash dividends is currently restricted by the terms of our credit facilities. Our ability to pay cash dividends on our capital stock in the future may also be limited by the terms of any preferred securities we may issue or agreements governing any additional indebtedness we may incur.</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Stock Performance Graph</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“smaller reporting company” as defined by Item 10 of Regulation S-K, the Company is not required to provide this information.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issued the following securities that were not registered under the Securities Act.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14, 2022, concurrently with the initial public offering (“IPO”) and pursuant to the certain reorganization transactions, the pre-IPO stockholders of Snail Games USA collectively exchanged 500,000 shares of SGUSA common stock for 6,251,420 shares of our Class A common stock and 28,748,580 shares of our Class B common stock.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foregoing transactions were exempt from registration under the Securities Act, in reliance on Section 4(a)(2) of the Act.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Proceeds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14, 2022, we closed our IPO, in which we issued and sold 3,000,000 shares of our Class A common stock. All of the shares were sold at a price to the public of $5.00 per share for an aggregate offering price of $15.0 million.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All of the shares sold were registered under the Securities Act pursuant to the Registration Statement, which became effective on November 9, 2022. The representatives of the underwriters for the offering were US Tiger Securities, Inc. EF Hutton, division of Benchmark Investments, LLC.</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proceeds from the IPO were distributed to Snail Games USA in November 2022 in the amount of $12.0 million. In connection with the IPO, $1.0 million of the net proceeds were remitted to an escrow account which is held to provide a source of funding for our indemnification obligations to the underwriters. No payments for such expenses were made directly or indirectly to (i) any of our officers or directors or their associates (ii) any persons owning 10% or more of any class of our equity securities or (iii) any of our affiliates. In addition to the use of proceeds described in the Prospectus included in the Registration Statement, we intend to use up to $5.0 million of IPO proceeds to repurchase shares of Class A common stock pursuant to the Share Repurchase Program.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spacing w:before="0" w:after="0"/>
        <w:ind w:left="0" w:right="0" w:hanging="0"/>
        <w:rPr/>
      </w:pPr>
      <w:r>
        <w:rPr/>
        <w:t>​</w:t>
      </w:r>
    </w:p>
    <w:tbl>
      <w:tblPr>
        <w:tblW w:w="9289" w:type="dxa"/>
        <w:jc w:val="left"/>
        <w:tblInd w:w="0" w:type="dxa"/>
        <w:tblCellMar>
          <w:top w:w="0" w:type="dxa"/>
          <w:left w:w="0" w:type="dxa"/>
          <w:bottom w:w="0" w:type="dxa"/>
          <w:right w:w="0" w:type="dxa"/>
        </w:tblCellMar>
      </w:tblPr>
      <w:tblGrid>
        <w:gridCol w:w="1426"/>
        <w:gridCol w:w="326"/>
        <w:gridCol w:w="1441"/>
        <w:gridCol w:w="326"/>
        <w:gridCol w:w="265"/>
        <w:gridCol w:w="591"/>
        <w:gridCol w:w="326"/>
        <w:gridCol w:w="1981"/>
        <w:gridCol w:w="326"/>
        <w:gridCol w:w="581"/>
        <w:gridCol w:w="1700"/>
      </w:tblGrid>
      <w:tr>
        <w:trPr/>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05510" cy="175260"/>
                      <wp:effectExtent l="0" t="0" r="0" b="0"/>
                      <wp:wrapNone/>
                      <wp:docPr id="4" name="Frame3"/>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15035" cy="175260"/>
                      <wp:effectExtent l="0" t="0" r="0" b="0"/>
                      <wp:wrapNone/>
                      <wp:docPr id="6" name="Frame5"/>
                      <a:graphic xmlns:a="http://schemas.openxmlformats.org/drawingml/2006/main">
                        <a:graphicData uri="http://schemas.microsoft.com/office/word/2010/wordprocessingShape">
                          <wps:wsp>
                            <wps:cNvSpPr txBox="1"/>
                            <wps:spPr>
                              <a:xfrm>
                                <a:off x="0" y="0"/>
                                <a:ext cx="915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7"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68275" cy="175260"/>
                      <wp:effectExtent l="0" t="0" r="0" b="0"/>
                      <wp:wrapNone/>
                      <wp:docPr id="8" name="Frame7"/>
                      <a:graphic xmlns:a="http://schemas.openxmlformats.org/drawingml/2006/main">
                        <a:graphicData uri="http://schemas.microsoft.com/office/word/2010/wordprocessingShape">
                          <wps:wsp>
                            <wps:cNvSpPr txBox="1"/>
                            <wps:spPr>
                              <a:xfrm>
                                <a:off x="0" y="0"/>
                                <a:ext cx="168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75285" cy="175260"/>
                      <wp:effectExtent l="0" t="0" r="0" b="0"/>
                      <wp:wrapNone/>
                      <wp:docPr id="9" name="Frame8"/>
                      <a:graphic xmlns:a="http://schemas.openxmlformats.org/drawingml/2006/main">
                        <a:graphicData uri="http://schemas.microsoft.com/office/word/2010/wordprocessingShape">
                          <wps:wsp>
                            <wps:cNvSpPr txBox="1"/>
                            <wps:spPr>
                              <a:xfrm>
                                <a:off x="0" y="0"/>
                                <a:ext cx="375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0" name="Frame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57935" cy="175260"/>
                      <wp:effectExtent l="0" t="0" r="0" b="0"/>
                      <wp:wrapNone/>
                      <wp:docPr id="11" name="Frame10"/>
                      <a:graphic xmlns:a="http://schemas.openxmlformats.org/drawingml/2006/main">
                        <a:graphicData uri="http://schemas.microsoft.com/office/word/2010/wordprocessingShape">
                          <wps:wsp>
                            <wps:cNvSpPr txBox="1"/>
                            <wps:spPr>
                              <a:xfrm>
                                <a:off x="0" y="0"/>
                                <a:ext cx="1257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68935" cy="175260"/>
                      <wp:effectExtent l="0" t="0" r="0" b="0"/>
                      <wp:wrapNone/>
                      <wp:docPr id="13" name="Frame12"/>
                      <a:graphic xmlns:a="http://schemas.openxmlformats.org/drawingml/2006/main">
                        <a:graphicData uri="http://schemas.microsoft.com/office/word/2010/wordprocessingShape">
                          <wps:wsp>
                            <wps:cNvSpPr txBox="1"/>
                            <wps:spPr>
                              <a:xfrm>
                                <a:off x="0" y="0"/>
                                <a:ext cx="368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079500" cy="175260"/>
                      <wp:effectExtent l="0" t="0" r="0" b="0"/>
                      <wp:wrapNone/>
                      <wp:docPr id="14" name="Frame13"/>
                      <a:graphic xmlns:a="http://schemas.openxmlformats.org/drawingml/2006/main">
                        <a:graphicData uri="http://schemas.microsoft.com/office/word/2010/wordprocessingShape">
                          <wps:wsp>
                            <wps:cNvSpPr txBox="1"/>
                            <wps:spPr>
                              <a:xfrm>
                                <a:off x="0" y="0"/>
                                <a:ext cx="1079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65" w:type="dxa"/>
            <w:tcBorders/>
            <w:shd w:fill="auto" w:val="clear"/>
            <w:vAlign w:val="center"/>
          </w:tcPr>
          <w:p>
            <w:pPr>
              <w:pStyle w:val="TableContents"/>
              <w:spacing w:before="0" w:after="0"/>
              <w:ind w:left="0" w:right="0" w:hanging="0"/>
              <w:jc w:val="center"/>
              <w:rPr/>
            </w:pPr>
            <w:r>
              <w:rPr/>
              <w:t>​</w:t>
            </w:r>
          </w:p>
        </w:tc>
        <w:tc>
          <w:tcPr>
            <w:tcW w:w="5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1700" w:type="dxa"/>
            <w:tcBorders/>
            <w:shd w:fill="auto" w:val="clear"/>
            <w:vAlign w:val="center"/>
          </w:tcPr>
          <w:p>
            <w:pPr>
              <w:pStyle w:val="TableContents"/>
              <w:spacing w:before="0" w:after="0"/>
              <w:ind w:left="0" w:right="0" w:hanging="0"/>
              <w:jc w:val="center"/>
              <w:rPr/>
            </w:pPr>
            <w:r>
              <w:rPr/>
              <w:t>​</w: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56"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w:t>
            </w:r>
          </w:p>
        </w:tc>
        <w:tc>
          <w:tcPr>
            <w:tcW w:w="326" w:type="dxa"/>
            <w:tcBorders/>
            <w:shd w:fill="auto" w:val="clear"/>
            <w:vAlign w:val="center"/>
          </w:tcPr>
          <w:p>
            <w:pPr>
              <w:pStyle w:val="TableContents"/>
              <w:spacing w:before="0" w:after="0"/>
              <w:ind w:left="0" w:right="0" w:hanging="0"/>
              <w:jc w:val="center"/>
              <w:rPr/>
            </w:pPr>
            <w:r>
              <w:rPr/>
              <w:t>​</w:t>
            </w:r>
          </w:p>
        </w:tc>
        <w:tc>
          <w:tcPr>
            <w:tcW w:w="22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Dollar Value of</w: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5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shd w:fill="auto" w:val="clear"/>
            <w:vAlign w:val="center"/>
          </w:tcPr>
          <w:p>
            <w:pPr>
              <w:pStyle w:val="TableContents"/>
              <w:spacing w:before="0" w:after="0"/>
              <w:ind w:left="0" w:right="0" w:hanging="0"/>
              <w:jc w:val="center"/>
              <w:rPr/>
            </w:pPr>
            <w:r>
              <w:rPr/>
              <w:t>​</w:t>
            </w:r>
          </w:p>
        </w:tc>
        <w:tc>
          <w:tcPr>
            <w:tcW w:w="198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Purchased as Part of </w:t>
            </w:r>
          </w:p>
        </w:tc>
        <w:tc>
          <w:tcPr>
            <w:tcW w:w="326" w:type="dxa"/>
            <w:tcBorders/>
            <w:shd w:fill="auto" w:val="clear"/>
            <w:vAlign w:val="center"/>
          </w:tcPr>
          <w:p>
            <w:pPr>
              <w:pStyle w:val="TableContents"/>
              <w:spacing w:before="0" w:after="0"/>
              <w:ind w:left="0" w:right="0" w:hanging="0"/>
              <w:jc w:val="center"/>
              <w:rPr/>
            </w:pPr>
            <w:r>
              <w:rPr/>
              <w:t>​</w:t>
            </w:r>
          </w:p>
        </w:tc>
        <w:tc>
          <w:tcPr>
            <w:tcW w:w="2281"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Shares that May Yet Be </w: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shd w:fill="auto" w:val="clear"/>
            <w:vAlign w:val="center"/>
          </w:tcPr>
          <w:p>
            <w:pPr>
              <w:pStyle w:val="TableContents"/>
              <w:spacing w:before="0" w:after="0"/>
              <w:ind w:left="0" w:right="0" w:hanging="0"/>
              <w:jc w:val="center"/>
              <w:rPr/>
            </w:pPr>
            <w:r>
              <w:rPr/>
              <w:t>​</w:t>
            </w:r>
          </w:p>
        </w:tc>
        <w:tc>
          <w:tcPr>
            <w:tcW w:w="85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shd w:fill="auto" w:val="clear"/>
            <w:vAlign w:val="center"/>
          </w:tcPr>
          <w:p>
            <w:pPr>
              <w:pStyle w:val="TableContents"/>
              <w:spacing w:before="0" w:after="0"/>
              <w:ind w:left="0" w:right="0" w:hanging="0"/>
              <w:jc w:val="center"/>
              <w:rPr/>
            </w:pPr>
            <w:r>
              <w:rPr/>
              <w:t>​</w:t>
            </w:r>
          </w:p>
        </w:tc>
        <w:tc>
          <w:tcPr>
            <w:tcW w:w="19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Plans</w:t>
            </w:r>
          </w:p>
        </w:tc>
        <w:tc>
          <w:tcPr>
            <w:tcW w:w="326" w:type="dxa"/>
            <w:tcBorders/>
            <w:shd w:fill="auto" w:val="clear"/>
            <w:vAlign w:val="center"/>
          </w:tcPr>
          <w:p>
            <w:pPr>
              <w:pStyle w:val="TableContents"/>
              <w:spacing w:before="0" w:after="0"/>
              <w:ind w:left="0" w:right="0" w:hanging="0"/>
              <w:jc w:val="center"/>
              <w:rPr/>
            </w:pPr>
            <w:r>
              <w:rPr/>
              <w:t>​</w:t>
            </w:r>
          </w:p>
        </w:tc>
        <w:tc>
          <w:tcPr>
            <w:tcW w:w="22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 the Plans or</w: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4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Shares Purchased</w:t>
            </w:r>
          </w:p>
        </w:tc>
        <w:tc>
          <w:tcPr>
            <w:tcW w:w="326" w:type="dxa"/>
            <w:tcBorders/>
            <w:shd w:fill="auto" w:val="clear"/>
            <w:vAlign w:val="center"/>
          </w:tcPr>
          <w:p>
            <w:pPr>
              <w:pStyle w:val="TableContents"/>
              <w:spacing w:before="0" w:after="0"/>
              <w:ind w:left="0" w:right="0" w:hanging="0"/>
              <w:jc w:val="center"/>
              <w:rPr/>
            </w:pPr>
            <w:r>
              <w:rPr/>
              <w:t>    </w:t>
            </w:r>
          </w:p>
        </w:tc>
        <w:tc>
          <w:tcPr>
            <w:tcW w:w="8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shd w:fill="auto" w:val="clear"/>
            <w:vAlign w:val="center"/>
          </w:tcPr>
          <w:p>
            <w:pPr>
              <w:pStyle w:val="TableContents"/>
              <w:spacing w:before="0" w:after="0"/>
              <w:ind w:left="0" w:right="0" w:hanging="0"/>
              <w:jc w:val="center"/>
              <w:rPr/>
            </w:pPr>
            <w:r>
              <w:rPr/>
              <w:t>    </w:t>
            </w:r>
          </w:p>
        </w:tc>
        <w:tc>
          <w:tcPr>
            <w:tcW w:w="198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or Programs</w:t>
            </w:r>
          </w:p>
        </w:tc>
        <w:tc>
          <w:tcPr>
            <w:tcW w:w="326" w:type="dxa"/>
            <w:tcBorders/>
            <w:shd w:fill="auto" w:val="clear"/>
            <w:vAlign w:val="center"/>
          </w:tcPr>
          <w:p>
            <w:pPr>
              <w:pStyle w:val="TableContents"/>
              <w:spacing w:before="0" w:after="0"/>
              <w:ind w:left="0" w:right="0" w:hanging="0"/>
              <w:jc w:val="center"/>
              <w:rPr/>
            </w:pPr>
            <w:r>
              <w:rPr/>
              <w:t>    </w:t>
            </w:r>
          </w:p>
        </w:tc>
        <w:tc>
          <w:tcPr>
            <w:tcW w:w="22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Programs</w:t>
            </w:r>
          </w:p>
        </w:tc>
      </w:tr>
      <w:tr>
        <w:trPr/>
        <w:tc>
          <w:tcPr>
            <w:tcW w:w="9289" w:type="dxa"/>
            <w:gridSpan w:val="11"/>
            <w:tcBorders/>
            <w:shd w:fill="auto" w:val="clear"/>
            <w:vAlign w:val="center"/>
          </w:tcPr>
          <w:p>
            <w:pPr>
              <w:pStyle w:val="TableContents"/>
              <w:spacing w:before="0" w:after="283"/>
              <w:ind w:left="0" w:right="0" w:hanging="0"/>
              <w:rPr>
                <w:sz w:val="4"/>
                <w:szCs w:val="4"/>
              </w:rPr>
            </w:pPr>
            <w:r>
              <w:rPr>
                <w:sz w:val="4"/>
                <w:szCs w:val="4"/>
              </w:rPr>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537" w:type="dxa"/>
            <w:gridSpan w:val="9"/>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r>
      <w:tr>
        <w:trPr/>
        <w:tc>
          <w:tcPr>
            <w:tcW w:w="1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Period</w:t>
            </w:r>
          </w:p>
        </w:tc>
        <w:tc>
          <w:tcPr>
            <w:tcW w:w="326" w:type="dxa"/>
            <w:tcBorders/>
            <w:shd w:fill="CCEEFF" w:val="clear"/>
            <w:vAlign w:val="center"/>
          </w:tcPr>
          <w:p>
            <w:pPr>
              <w:pStyle w:val="TableContents"/>
              <w:spacing w:before="0" w:after="0"/>
              <w:ind w:left="0" w:right="0" w:hanging="0"/>
              <w:rPr/>
            </w:pPr>
            <w:r>
              <w:rPr/>
              <w:t>    </w:t>
            </w:r>
          </w:p>
        </w:tc>
        <w:tc>
          <w:tcPr>
            <w:tcW w:w="14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65" w:type="dxa"/>
            <w:tcBorders/>
            <w:shd w:fill="CCEEFF" w:val="clear"/>
            <w:vAlign w:val="center"/>
          </w:tcPr>
          <w:p>
            <w:pPr>
              <w:pStyle w:val="TableContents"/>
              <w:spacing w:before="0" w:after="0"/>
              <w:ind w:left="0" w:right="0" w:hanging="0"/>
              <w:rPr/>
            </w:pPr>
            <w:r>
              <w:rPr/>
              <w:t>​</w:t>
            </w:r>
          </w:p>
        </w:tc>
        <w:tc>
          <w:tcPr>
            <w:tcW w:w="5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9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81" w:type="dxa"/>
            <w:tcBorders/>
            <w:shd w:fill="CCEEFF" w:val="clear"/>
            <w:vAlign w:val="center"/>
          </w:tcPr>
          <w:p>
            <w:pPr>
              <w:pStyle w:val="TableContents"/>
              <w:spacing w:before="0" w:after="0"/>
              <w:ind w:left="0" w:right="0" w:hanging="0"/>
              <w:rPr/>
            </w:pPr>
            <w:r>
              <w:rPr/>
              <w:t>​</w:t>
            </w:r>
          </w:p>
        </w:tc>
        <w:tc>
          <w:tcPr>
            <w:tcW w:w="1700" w:type="dxa"/>
            <w:tcBorders/>
            <w:shd w:fill="CCEEFF" w:val="clear"/>
            <w:vAlign w:val="center"/>
          </w:tcPr>
          <w:p>
            <w:pPr>
              <w:pStyle w:val="TableContents"/>
              <w:spacing w:before="0" w:after="0"/>
              <w:ind w:left="0" w:right="0" w:hanging="0"/>
              <w:jc w:val="right"/>
              <w:rPr/>
            </w:pPr>
            <w:r>
              <w:rPr/>
              <w:t>  </w:t>
            </w:r>
          </w:p>
        </w:tc>
      </w:tr>
      <w:tr>
        <w:trPr/>
        <w:tc>
          <w:tcPr>
            <w:tcW w:w="14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October 2022</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5" w:type="dxa"/>
            <w:tcBorders/>
            <w:shd w:fill="auto" w:val="clear"/>
            <w:vAlign w:val="center"/>
          </w:tcPr>
          <w:p>
            <w:pPr>
              <w:pStyle w:val="TableContents"/>
              <w:spacing w:before="0" w:after="0"/>
              <w:ind w:left="0" w:right="0" w:hanging="0"/>
              <w:rPr/>
            </w:pPr>
            <w:r>
              <w:rPr/>
              <w:t>​</w:t>
            </w:r>
          </w:p>
        </w:tc>
        <w:tc>
          <w:tcPr>
            <w:tcW w:w="5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rPr/>
            </w:pPr>
            <w:r>
              <w:rPr/>
              <w:t>​</w:t>
            </w:r>
          </w:p>
        </w:tc>
        <w:tc>
          <w:tcPr>
            <w:tcW w:w="1700" w:type="dxa"/>
            <w:tcBorders/>
            <w:shd w:fill="auto" w:val="clear"/>
            <w:vAlign w:val="center"/>
          </w:tcPr>
          <w:p>
            <w:pPr>
              <w:pStyle w:val="TableContents"/>
              <w:spacing w:before="0" w:after="0"/>
              <w:ind w:left="0" w:right="0" w:hanging="0"/>
              <w:jc w:val="right"/>
              <w:rPr/>
            </w:pPr>
            <w:r>
              <w:rPr/>
              <w:t>—</w:t>
            </w:r>
          </w:p>
        </w:tc>
      </w:tr>
      <w:tr>
        <w:trPr/>
        <w:tc>
          <w:tcPr>
            <w:tcW w:w="1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November 2022</w:t>
            </w:r>
          </w:p>
        </w:tc>
        <w:tc>
          <w:tcPr>
            <w:tcW w:w="326" w:type="dxa"/>
            <w:tcBorders/>
            <w:shd w:fill="CCEEFF" w:val="clear"/>
            <w:vAlign w:val="center"/>
          </w:tcPr>
          <w:p>
            <w:pPr>
              <w:pStyle w:val="TableContents"/>
              <w:spacing w:before="0" w:after="0"/>
              <w:ind w:left="0" w:right="0" w:hanging="0"/>
              <w:rPr/>
            </w:pPr>
            <w:r>
              <w:rPr/>
              <w:t> </w:t>
            </w:r>
          </w:p>
        </w:tc>
        <w:tc>
          <w:tcPr>
            <w:tcW w:w="14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26" w:type="dxa"/>
            <w:tcBorders/>
            <w:shd w:fill="CCEEFF" w:val="clear"/>
            <w:vAlign w:val="center"/>
          </w:tcPr>
          <w:p>
            <w:pPr>
              <w:pStyle w:val="TableContents"/>
              <w:spacing w:before="0" w:after="0"/>
              <w:ind w:left="0" w:right="0" w:hanging="0"/>
              <w:rPr/>
            </w:pPr>
            <w:r>
              <w:rPr/>
              <w:t>​</w:t>
            </w:r>
          </w:p>
        </w:tc>
        <w:tc>
          <w:tcPr>
            <w:tcW w:w="2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spacing w:before="0" w:after="0"/>
              <w:ind w:left="0" w:right="0" w:hanging="0"/>
              <w:rPr/>
            </w:pPr>
            <w:r>
              <w:rPr/>
              <w:t> </w:t>
            </w:r>
          </w:p>
        </w:tc>
        <w:tc>
          <w:tcPr>
            <w:tcW w:w="19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26" w:type="dxa"/>
            <w:tcBorders/>
            <w:shd w:fill="CCEEFF" w:val="clear"/>
            <w:vAlign w:val="center"/>
          </w:tcPr>
          <w:p>
            <w:pPr>
              <w:pStyle w:val="TableContents"/>
              <w:spacing w:before="0" w:after="0"/>
              <w:ind w:left="0" w:right="0" w:hanging="0"/>
              <w:rPr/>
            </w:pPr>
            <w:r>
              <w:rPr/>
              <w:t>​</w:t>
            </w:r>
          </w:p>
        </w:tc>
        <w:tc>
          <w:tcPr>
            <w:tcW w:w="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2,283</w:t>
            </w:r>
          </w:p>
        </w:tc>
      </w:tr>
      <w:tr>
        <w:trPr/>
        <w:tc>
          <w:tcPr>
            <w:tcW w:w="14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December 2022</w:t>
            </w:r>
          </w:p>
        </w:tc>
        <w:tc>
          <w:tcPr>
            <w:tcW w:w="326" w:type="dxa"/>
            <w:tcBorders/>
            <w:shd w:fill="auto" w:val="clear"/>
            <w:vAlign w:val="center"/>
          </w:tcPr>
          <w:p>
            <w:pPr>
              <w:pStyle w:val="TableContents"/>
              <w:spacing w:before="0" w:after="0"/>
              <w:ind w:left="0" w:right="0" w:hanging="0"/>
              <w:rPr/>
            </w:pPr>
            <w:r>
              <w:rPr/>
              <w:t> </w:t>
            </w:r>
          </w:p>
        </w:tc>
        <w:tc>
          <w:tcPr>
            <w:tcW w:w="14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auto" w:val="clear"/>
            <w:vAlign w:val="center"/>
          </w:tcPr>
          <w:p>
            <w:pPr>
              <w:pStyle w:val="TableContents"/>
              <w:spacing w:before="0" w:after="0"/>
              <w:ind w:left="0" w:right="0" w:hanging="0"/>
              <w:rPr/>
            </w:pPr>
            <w:r>
              <w:rPr/>
              <w:t>​</w:t>
            </w:r>
          </w:p>
        </w:tc>
        <w:tc>
          <w:tcPr>
            <w:tcW w:w="26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auto" w:val="clear"/>
            <w:vAlign w:val="center"/>
          </w:tcPr>
          <w:p>
            <w:pPr>
              <w:pStyle w:val="TableContents"/>
              <w:spacing w:before="0" w:after="0"/>
              <w:ind w:left="0" w:right="0" w:hanging="0"/>
              <w:rPr/>
            </w:pPr>
            <w:r>
              <w:rPr/>
              <w:t> </w:t>
            </w:r>
          </w:p>
        </w:tc>
        <w:tc>
          <w:tcPr>
            <w:tcW w:w="19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14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 </w:t>
            </w:r>
          </w:p>
        </w:tc>
        <w:tc>
          <w:tcPr>
            <w:tcW w:w="14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326" w:type="dxa"/>
            <w:tcBorders/>
            <w:shd w:fill="CCEEFF" w:val="clear"/>
            <w:vAlign w:val="center"/>
          </w:tcPr>
          <w:p>
            <w:pPr>
              <w:pStyle w:val="TableContents"/>
              <w:spacing w:before="0" w:after="0"/>
              <w:ind w:left="0" w:right="0" w:hanging="0"/>
              <w:rPr/>
            </w:pPr>
            <w:r>
              <w:rPr/>
              <w:t>​</w:t>
            </w:r>
          </w:p>
        </w:tc>
        <w:tc>
          <w:tcPr>
            <w:tcW w:w="265" w:type="dxa"/>
            <w:tcBorders/>
            <w:shd w:fill="CCEEFF" w:val="clear"/>
            <w:vAlign w:val="center"/>
          </w:tcPr>
          <w:p>
            <w:pPr>
              <w:pStyle w:val="TableContents"/>
              <w:spacing w:before="0" w:after="0"/>
              <w:ind w:left="0" w:right="0" w:hanging="0"/>
              <w:rPr/>
            </w:pPr>
            <w:r>
              <w:rPr/>
              <w:t> </w:t>
            </w:r>
          </w:p>
        </w:tc>
        <w:tc>
          <w:tcPr>
            <w:tcW w:w="5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9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326" w:type="dxa"/>
            <w:tcBorders/>
            <w:shd w:fill="CCEEFF" w:val="clear"/>
            <w:vAlign w:val="center"/>
          </w:tcPr>
          <w:p>
            <w:pPr>
              <w:pStyle w:val="TableContents"/>
              <w:spacing w:before="0" w:after="0"/>
              <w:ind w:left="0" w:right="0" w:hanging="0"/>
              <w:rPr/>
            </w:pPr>
            <w:r>
              <w:rPr/>
              <w:t>​</w:t>
            </w:r>
          </w:p>
        </w:tc>
        <w:tc>
          <w:tcPr>
            <w:tcW w:w="581" w:type="dxa"/>
            <w:tcBorders/>
            <w:shd w:fill="CCEEFF" w:val="clear"/>
            <w:vAlign w:val="center"/>
          </w:tcPr>
          <w:p>
            <w:pPr>
              <w:pStyle w:val="TableContents"/>
              <w:spacing w:before="0" w:after="0"/>
              <w:ind w:left="0" w:right="0" w:hanging="0"/>
              <w:rPr/>
            </w:pPr>
            <w:r>
              <w:rPr/>
              <w:t> </w:t>
            </w:r>
          </w:p>
        </w:tc>
        <w:tc>
          <w:tcPr>
            <w:tcW w:w="1700" w:type="dxa"/>
            <w:tcBorders/>
            <w:shd w:fill="CCEEFF" w:val="clear"/>
            <w:vAlign w:val="center"/>
          </w:tcPr>
          <w:p>
            <w:pPr>
              <w:pStyle w:val="TableContents"/>
              <w:spacing w:before="0" w:after="0"/>
              <w:ind w:left="0" w:right="0" w:hanging="0"/>
              <w:jc w:val="right"/>
              <w:rPr/>
            </w:pPr>
            <w:r>
              <w:rPr/>
              <w:t>  </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All share repurchases settled in the fourth quarter of fiscal year 2022 were open market transactions. As of December 31, 2022, 1,197,649 shares of Class A common stock were repurchased pursuant to the Share Repurchase Program for an aggregate purchase price of approximately $3.4 million. The average price paid per share was $2.85 and approximately $1.6 million aggregate amount of shares of Class A common stock remain available for repurchase under the Share Repurchase Program. For more information regarding the Share Repurchase Program refer to Note 2 — </w:t>
      </w:r>
      <w:r>
        <w:rPr>
          <w:rFonts w:ascii="Times New Roman;Times;serif" w:hAnsi="Times New Roman;Times;serif"/>
          <w:i/>
          <w:sz w:val="20"/>
        </w:rPr>
        <w:t>Summary of Significant Accounting Policies</w:t>
      </w:r>
      <w:r>
        <w:rPr>
          <w:rFonts w:ascii="Times New Roman;Times;serif" w:hAnsi="Times New Roman;Times;serif"/>
          <w:sz w:val="20"/>
        </w:rPr>
        <w:t xml:space="preserve"> to our consolidated financial statements included in this Annual Report.</w:t>
      </w:r>
    </w:p>
    <w:p>
      <w:pPr>
        <w:pStyle w:val="TextBody"/>
        <w:spacing w:before="0" w:after="240"/>
        <w:ind w:left="0" w:right="0" w:hanging="0"/>
        <w:rPr>
          <w:rFonts w:ascii="Times New Roman;Times;serif" w:hAnsi="Times New Roman;Times;serif"/>
          <w:b/>
          <w:sz w:val="20"/>
        </w:rPr>
      </w:pPr>
      <w:bookmarkStart w:id="72" w:name="Item6Reserved_218243"/>
      <w:bookmarkStart w:id="73" w:name="_7c1d3be7_63fc_4843_aba3_53bb8cef6bcc"/>
      <w:bookmarkEnd w:id="72"/>
      <w:bookmarkEnd w:id="73"/>
      <w:r>
        <w:rPr>
          <w:rFonts w:ascii="Times New Roman;Times;serif" w:hAnsi="Times New Roman;Times;serif"/>
          <w:b/>
          <w:sz w:val="20"/>
        </w:rPr>
        <w:t>Item 6. [Reserved.]</w:t>
      </w:r>
    </w:p>
    <w:p>
      <w:pPr>
        <w:pStyle w:val="TextBody"/>
        <w:spacing w:before="0" w:after="240"/>
        <w:ind w:left="0" w:right="0" w:hanging="0"/>
        <w:jc w:val="both"/>
        <w:rPr>
          <w:rFonts w:ascii="Times New Roman;Times;serif" w:hAnsi="Times New Roman;Times;serif"/>
          <w:b/>
          <w:sz w:val="20"/>
        </w:rPr>
      </w:pPr>
      <w:bookmarkStart w:id="74" w:name="Item7ManagementsDiscussionandAnalysisofF"/>
      <w:bookmarkStart w:id="75" w:name="_1ad39a0b_24cb_497e_a2dd_e20a21ff0690"/>
      <w:bookmarkEnd w:id="74"/>
      <w:bookmarkEnd w:id="75"/>
      <w:r>
        <w:rPr>
          <w:rFonts w:ascii="Times New Roman;Times;serif" w:hAnsi="Times New Roman;Times;serif"/>
          <w:b/>
          <w:sz w:val="20"/>
        </w:rPr>
        <w:t>Item 7. Management’s Discussion and Analysis of Financial Condition and Results of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The following discussion and analysis should be read in conjunction with our consolidated financial statements and the related notes included elsewhere in this Annual Report on Form 10-K.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“Risk Factors,” in Part I, Item 1A of this Annual Report, and the “Cautionary Statement Regarding Forward-Looking Statements” section of this Annual Report</w:t>
      </w:r>
      <w:r>
        <w:rPr>
          <w:rFonts w:ascii="Times New Roman;Times;serif" w:hAnsi="Times New Roman;Times;serif"/>
          <w:sz w:val="20"/>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Times;serif" w:hAnsi="Times New Roman;Times;serif"/>
          <w:i/>
          <w:sz w:val="20"/>
        </w:rPr>
        <w:t>ARK: Survival Evolved</w:t>
      </w:r>
      <w:r>
        <w:rPr>
          <w:rFonts w:ascii="Times New Roman;Times;serif" w:hAnsi="Times New Roman;Times;serif"/>
          <w:sz w:val="20"/>
        </w:rPr>
        <w:t xml:space="preserve"> has been a top-25 selling game on the Steam platform by gross revenue in each year we released an </w:t>
      </w:r>
      <w:r>
        <w:rPr>
          <w:rFonts w:ascii="Times New Roman;Times;serif" w:hAnsi="Times New Roman;Times;serif"/>
          <w:i/>
          <w:sz w:val="20"/>
        </w:rPr>
        <w:t>ARK</w:t>
      </w:r>
      <w:r>
        <w:rPr>
          <w:rFonts w:ascii="Times New Roman;Times;serif" w:hAnsi="Times New Roman;Times;serif"/>
          <w:sz w:val="20"/>
        </w:rPr>
        <w:t xml:space="preserve">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Times;serif" w:hAnsi="Times New Roman;Times;serif"/>
          <w:i/>
          <w:sz w:val="20"/>
        </w:rPr>
        <w:t>ARK: Survival Evolved</w:t>
      </w:r>
      <w:r>
        <w:rPr>
          <w:rFonts w:ascii="Times New Roman;Times;serif" w:hAnsi="Times New Roman;Times;serif"/>
          <w:sz w:val="20"/>
        </w:rPr>
        <w:t xml:space="preserve">, is a leader within the sandbox survival genre with over 84.7 million console and PC installs through December 31, 2022. See “Management’s Discussion and Analysis of Financial Condition and Results of Operations — Key Performance Metrics and Non-GAAP Measures.” In the fiscal year ended December 31, 2022, </w:t>
      </w:r>
      <w:r>
        <w:rPr>
          <w:rFonts w:ascii="Times New Roman;Times;serif" w:hAnsi="Times New Roman;Times;serif"/>
          <w:i/>
          <w:sz w:val="20"/>
        </w:rPr>
        <w:t>ARK: Survival Evolved</w:t>
      </w:r>
      <w:r>
        <w:rPr>
          <w:rFonts w:ascii="Times New Roman;Times;serif" w:hAnsi="Times New Roman;Times;serif"/>
          <w:sz w:val="20"/>
        </w:rPr>
        <w:t xml:space="preserve"> averaged a total of 305,376 daily active users (“DAUs”) on the Steam and Epic platforms, and we experienced a peak of approximately 1,112,797 DAUs in June 2022. We define “daily active users” as the number of unique users who play any given game on any given day. For the years ended December 31, 2022 and 2021, we generated 90.8% and 90.7%, respectively, of our revenues from </w:t>
      </w:r>
      <w:r>
        <w:rPr>
          <w:rFonts w:ascii="Times New Roman;Times;serif" w:hAnsi="Times New Roman;Times;serif"/>
          <w:i/>
          <w:sz w:val="20"/>
        </w:rPr>
        <w:t>ARK: Survival Evolved</w:t>
      </w:r>
      <w:r>
        <w:rPr>
          <w:rFonts w:ascii="Times New Roman;Times;serif" w:hAnsi="Times New Roman;Times;serif"/>
          <w:sz w:val="20"/>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dedication to provide audiences with high-quality entertainment experiences utilizing the latest gaming technology has produced strong user engagement, continued revenue growth, and increased cash flows. Through December 31, 2022, our </w:t>
      </w:r>
      <w:r>
        <w:rPr>
          <w:rFonts w:ascii="Times New Roman;Times;serif" w:hAnsi="Times New Roman;Times;serif"/>
          <w:i/>
          <w:sz w:val="20"/>
        </w:rPr>
        <w:t>ARK</w:t>
      </w:r>
      <w:r>
        <w:rPr>
          <w:rFonts w:ascii="Times New Roman;Times;serif" w:hAnsi="Times New Roman;Times;serif"/>
          <w:sz w:val="20"/>
        </w:rPr>
        <w:t xml:space="preserve"> franchise game has been played for 3.1 billion hours with an average playing time per user of more than 160 hours and with the top 21.0% of all players spending over 100 hours in the game, according to data related to the Steam platform. For the years ended December 31, 2022 and 2021, our net revenue was $74.4 million and $106.7 million, respectively. During fiscal year 2022, approximately 43.5% of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revenue came from consoles, 42.4% from PC and 12.8% from mobile platforms. We had net income of $1.0 million for the year ended December 31, 2022 as compared to net income of $7.9 million for the year ended December 31, 2021.</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Key Factors Affecting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a number of factors that affect the performance of our business, and the comparability of our results from period to period, including:</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Investments in our content strategy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Times New Roman;Times;serif" w:hAnsi="Times New Roman;Times;serif"/>
          <w:i/>
          <w:sz w:val="20"/>
        </w:rPr>
        <w:t>NOIZ</w:t>
      </w:r>
      <w:r>
        <w:rPr>
          <w:rFonts w:ascii="Times New Roman;Times;serif" w:hAnsi="Times New Roman;Times;serif"/>
          <w:sz w:val="20"/>
        </w:rPr>
        <w:t>, by attracting new influencers and brand customers.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Growth of user base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experienced significant growth in our number of downloads over the last several years. We have sold 38.9 million units between January 1, 2016 and December 31, 2022. During the year ended December 31, 2022, we sold 5.8 million units compared to 7.0 million in the year ended December 31, 2021.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believe we have a significant opportunity to grow our install base, we anticipate that our overall install growth rate will fluctuate over time as we continue to release new master games and companion DLCs. Download rates and user engagement may increase or decrease based on other factors such as growth in console, PC and mobile games, ability to release content, and market effectively and distribute to users.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Investments in our technology platform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Ability to release content, market effectively through cross media and expand the gaming group</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Strategic relationship with developers, Studio Wildcard &amp; Suzhou Snail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Times;serif" w:hAnsi="Times New Roman;Times;serif"/>
          <w:i/>
          <w:sz w:val="20"/>
        </w:rPr>
        <w:t>ARK</w:t>
      </w:r>
      <w:r>
        <w:rPr>
          <w:rFonts w:ascii="Times New Roman;Times;serif" w:hAnsi="Times New Roman;Times;serif"/>
          <w:sz w:val="20"/>
        </w:rPr>
        <w:t xml:space="preserve"> franchise. We have an exclusive license with Studio Wildcard for rights to </w:t>
      </w:r>
      <w:r>
        <w:rPr>
          <w:rFonts w:ascii="Times New Roman;Times;serif" w:hAnsi="Times New Roman;Times;serif"/>
          <w:i/>
          <w:sz w:val="20"/>
        </w:rPr>
        <w:t>ARK</w:t>
      </w:r>
      <w:r>
        <w:rPr>
          <w:rFonts w:ascii="Times New Roman;Times;serif" w:hAnsi="Times New Roman;Times;serif"/>
          <w:sz w:val="20"/>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Relationship with third party distribution platforms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nearly all of our revenue from third-party distribution platforms, such as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Seasonality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COVID-19</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Since March 2020, the COVID-19 pandemic has caused major disruption to all aspects of the global economy and daily life, particularly as quarantine and stay-at-home orders have been imposed by all levels of government. We have followed guidance by U.S. and other applicable foreign and local governments to protect our employees and operations during the pandemic and have implemented a remote environment for our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Despite the challenges we have faced in light of the COVID-19 pandemic, our revenues and number of installs have increased while the stay-at-home orders were at their peak across the United States. As individuals spent more time at home, we observed an increase in time spent with digital entertainment, including casual gaming and games involving socially interactive experiences. For example, primarily during the second quarter of 2020, we saw increased sales and revenues relative to our quarterly forecasts and historic trends. However, beginning in the third quarter of 2020, sales and revenues returned to levels more consistent with historical periods.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predict the potential future impact the COVID-19 pandemic may have on our business or operations. See Item 1A of Part I, “</w:t>
      </w:r>
      <w:r>
        <w:rPr>
          <w:rFonts w:ascii="Times New Roman;Times;serif" w:hAnsi="Times New Roman;Times;serif"/>
          <w:i/>
          <w:sz w:val="20"/>
        </w:rPr>
        <w:t>Risk Factors — Risks Related to Our Business — The COVID-19 pandemic and containment efforts across the globe have materially altered how individuals interact with each other and have materially affected how we and our business partners are operating, and the extent to which this situation will impact our future results of operations and overall financial performance remains uncertain</w:t>
      </w:r>
      <w:r>
        <w:rPr>
          <w:rFonts w:ascii="Times New Roman;Times;serif" w:hAnsi="Times New Roman;Times;serif"/>
          <w:sz w:val="20"/>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2020, we applied for, and received, funds under the Paycheck Protection Program (“PPP”) in the amount of $0.8 million. In December 2020, $0.1 million of the PPP loan was forgiven by the U.S. Small Business Administration (the “SBA”). In March 2021, an additional $0.4 million principal amount of the PPP loan balance was forgiven by the SBA and, as of April 2022, all outstanding amounts under the PPP loan had been repaid or forgiven.</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Key Performance Metrics and Non-GAAP Measures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Units Sold</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monitor Units Sold as a key performance metric in evaluating the performance of our console and PC game business. We define Units Sold as the number of game titles purchased through digital channels by an individual end user. Under this metric, the purchase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pStyle w:val="TextBody"/>
        <w:spacing w:before="0" w:after="0"/>
        <w:ind w:left="0" w:right="0" w:hanging="0"/>
        <w:jc w:val="both"/>
        <w:rPr/>
      </w:pPr>
      <w:r>
        <w:rPr/>
        <w:t>​</w:t>
      </w:r>
    </w:p>
    <w:tbl>
      <w:tblPr>
        <w:tblW w:w="5060" w:type="dxa"/>
        <w:jc w:val="left"/>
        <w:tblInd w:w="0" w:type="dxa"/>
        <w:tblCellMar>
          <w:top w:w="0" w:type="dxa"/>
          <w:left w:w="0" w:type="dxa"/>
          <w:bottom w:w="0" w:type="dxa"/>
          <w:right w:w="0" w:type="dxa"/>
        </w:tblCellMar>
      </w:tblPr>
      <w:tblGrid>
        <w:gridCol w:w="976"/>
        <w:gridCol w:w="326"/>
        <w:gridCol w:w="466"/>
        <w:gridCol w:w="326"/>
        <w:gridCol w:w="466"/>
        <w:gridCol w:w="326"/>
        <w:gridCol w:w="661"/>
        <w:gridCol w:w="326"/>
        <w:gridCol w:w="871"/>
        <w:gridCol w:w="316"/>
      </w:tblGrid>
      <w:tr>
        <w:trPr/>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19760" cy="175260"/>
                      <wp:effectExtent l="0" t="0" r="0" b="0"/>
                      <wp:wrapNone/>
                      <wp:docPr id="15" name="Frame14"/>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95910" cy="175260"/>
                      <wp:effectExtent l="0" t="0" r="0" b="0"/>
                      <wp:wrapNone/>
                      <wp:docPr id="17" name="Frame16"/>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8"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95910" cy="175260"/>
                      <wp:effectExtent l="0" t="0" r="0" b="0"/>
                      <wp:wrapNone/>
                      <wp:docPr id="19" name="Frame18"/>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19735" cy="175260"/>
                      <wp:effectExtent l="0" t="0" r="0" b="0"/>
                      <wp:wrapNone/>
                      <wp:docPr id="21" name="Frame20"/>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53085" cy="175260"/>
                      <wp:effectExtent l="0" t="0" r="0" b="0"/>
                      <wp:wrapNone/>
                      <wp:docPr id="23" name="Frame22"/>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0660" cy="175260"/>
                      <wp:effectExtent l="0" t="0" r="0" b="0"/>
                      <wp:wrapNone/>
                      <wp:docPr id="24" name="Frame2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44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years ended December 31,</w:t>
            </w:r>
          </w:p>
        </w:tc>
        <w:tc>
          <w:tcPr>
            <w:tcW w:w="316" w:type="dxa"/>
            <w:tcBorders/>
            <w:shd w:fill="auto" w:val="clear"/>
            <w:vAlign w:val="center"/>
          </w:tcPr>
          <w:p>
            <w:pPr>
              <w:pStyle w:val="TableContents"/>
              <w:spacing w:before="0" w:after="0"/>
              <w:ind w:left="0" w:right="0" w:hanging="0"/>
              <w:rPr/>
            </w:pPr>
            <w:r>
              <w:rPr/>
              <w:t> </w:t>
            </w:r>
          </w:p>
        </w:tc>
      </w:tr>
      <w:tr>
        <w:trPr/>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shd w:fill="auto" w:val="clear"/>
            <w:vAlign w:val="center"/>
          </w:tcPr>
          <w:p>
            <w:pPr>
              <w:pStyle w:val="TableContents"/>
              <w:spacing w:before="0" w:after="0"/>
              <w:ind w:left="0" w:right="0" w:hanging="0"/>
              <w:rPr/>
            </w:pPr>
            <w:r>
              <w:rPr/>
              <w:t> </w:t>
            </w:r>
          </w:p>
        </w:tc>
      </w:tr>
      <w:tr>
        <w:trPr/>
        <w:tc>
          <w:tcPr>
            <w:tcW w:w="5060"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442"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16" w:type="dxa"/>
            <w:tcBorders/>
            <w:shd w:fill="auto" w:val="clear"/>
            <w:vAlign w:val="center"/>
          </w:tcPr>
          <w:p>
            <w:pPr>
              <w:pStyle w:val="TableContents"/>
              <w:spacing w:before="0" w:after="0"/>
              <w:ind w:left="0" w:right="0" w:hanging="0"/>
              <w:rPr/>
            </w:pPr>
            <w:r>
              <w:rPr/>
              <w:t> </w:t>
            </w:r>
          </w:p>
        </w:tc>
      </w:tr>
      <w:tr>
        <w:trPr/>
        <w:tc>
          <w:tcPr>
            <w:tcW w:w="9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Units Sold</w:t>
            </w:r>
          </w:p>
        </w:tc>
        <w:tc>
          <w:tcPr>
            <w:tcW w:w="326"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tbl>
      <w:tblPr>
        <w:tblW w:w="9302" w:type="dxa"/>
        <w:jc w:val="left"/>
        <w:tblInd w:w="0" w:type="dxa"/>
        <w:tblCellMar>
          <w:top w:w="0" w:type="dxa"/>
          <w:left w:w="0" w:type="dxa"/>
          <w:bottom w:w="0" w:type="dxa"/>
          <w:right w:w="0" w:type="dxa"/>
        </w:tblCellMar>
      </w:tblPr>
      <w:tblGrid>
        <w:gridCol w:w="346"/>
        <w:gridCol w:w="8956"/>
      </w:tblGrid>
      <w:tr>
        <w:trPr/>
        <w:tc>
          <w:tcPr>
            <w:tcW w:w="3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(1)</w:t>
            </w:r>
          </w:p>
        </w:tc>
        <w:tc>
          <w:tcPr>
            <w:tcW w:w="895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Units include master games, DLCs, season pass and bundles and excludes skins, soundtracks and other items.</w:t>
            </w:r>
          </w:p>
        </w:tc>
      </w:tr>
    </w:tbl>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Bookings &amp; EBITDA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our financial results determined in accordance with U.S. generally accepted accounting principles (“U.S. GAAP” or “GAAP”), we believe Bookings and EBITDA, as non-GAAP measures, are useful in evaluating our operating performance. Bookings and EBITDA, as used in this Annual Report on Form 10-K, are non-GAAP financial measures that are presented as supplemental disclosures and should not be construed as alternatives to net income (loss) or revenue as indicators of operating performance, nor as alternatives to cash flow provided by operating activities as measures of liquidity, both as determined in accordance with GAAP.</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supplementally present Bookings and EBITDA because they are key operating measures used by our management to assess our financial performance. Bookings adjusts for the impact of deferrals and, we believe, provides a useful indicator of sales in a given period. EBITDA adjusts for items that we believe do not reflect the ongoing operating performance of our business, such as certain non-cash items, unusual or infrequent items or items that change from period to period without any material relevance to our operating performance. Management believes Bookings and EBITDA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Bookings and EBITDA to supplement GAAP measures of performance in the evaluation of the effectiveness of our business strategies, to make budgeting decisions, and to compare our performance against other peer companies using similar measures. We evaluate Bookings and EBITDA in conjunction with our results according to GAAP because we believe it provides investors and analysts a more complete understanding of factors and trends affecting our business than GAAP measures alone. Bookings and EBITDA should not be considered as alternatives to net income (loss), as measures of financial performance or any other performance measure derived in accordance with GAAP.</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Bookings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Below is a reconciliation of total net revenue to Bookings, the closest GAAP financial measure.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Bookings is defined as the net amount of products and services sold digitally or physically in the period. Bookings is equal to revenues excluding the impact from deferrals.</w:t>
      </w:r>
    </w:p>
    <w:p>
      <w:pPr>
        <w:pStyle w:val="TextBody"/>
        <w:spacing w:before="0" w:after="0"/>
        <w:ind w:left="0" w:right="0" w:hanging="0"/>
        <w:jc w:val="both"/>
        <w:rPr/>
      </w:pPr>
      <w:r>
        <w:rPr/>
        <w:t>​</w:t>
      </w:r>
    </w:p>
    <w:tbl>
      <w:tblPr>
        <w:tblW w:w="8211" w:type="dxa"/>
        <w:jc w:val="left"/>
        <w:tblInd w:w="0" w:type="dxa"/>
        <w:tblCellMar>
          <w:top w:w="0" w:type="dxa"/>
          <w:left w:w="0" w:type="dxa"/>
          <w:bottom w:w="0" w:type="dxa"/>
          <w:right w:w="0" w:type="dxa"/>
        </w:tblCellMar>
      </w:tblPr>
      <w:tblGrid>
        <w:gridCol w:w="2701"/>
        <w:gridCol w:w="326"/>
        <w:gridCol w:w="281"/>
        <w:gridCol w:w="700"/>
        <w:gridCol w:w="433"/>
        <w:gridCol w:w="281"/>
        <w:gridCol w:w="763"/>
        <w:gridCol w:w="326"/>
        <w:gridCol w:w="211"/>
        <w:gridCol w:w="586"/>
        <w:gridCol w:w="326"/>
        <w:gridCol w:w="871"/>
        <w:gridCol w:w="406"/>
      </w:tblGrid>
      <w:tr>
        <w:trPr/>
        <w:tc>
          <w:tcPr>
            <w:tcW w:w="2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15135" cy="175260"/>
                      <wp:effectExtent l="0" t="0" r="0" b="0"/>
                      <wp:wrapNone/>
                      <wp:docPr id="25" name="Frame24"/>
                      <a:graphic xmlns:a="http://schemas.openxmlformats.org/drawingml/2006/main">
                        <a:graphicData uri="http://schemas.microsoft.com/office/word/2010/wordprocessingShape">
                          <wps:wsp>
                            <wps:cNvSpPr txBox="1"/>
                            <wps:spPr>
                              <a:xfrm>
                                <a:off x="0" y="0"/>
                                <a:ext cx="1715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78435" cy="175260"/>
                      <wp:effectExtent l="0" t="0" r="0" b="0"/>
                      <wp:wrapNone/>
                      <wp:docPr id="27" name="Frame26"/>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44500" cy="175260"/>
                      <wp:effectExtent l="0" t="0" r="0" b="0"/>
                      <wp:wrapNone/>
                      <wp:docPr id="28" name="Frame27"/>
                      <a:graphic xmlns:a="http://schemas.openxmlformats.org/drawingml/2006/main">
                        <a:graphicData uri="http://schemas.microsoft.com/office/word/2010/wordprocessingShape">
                          <wps:wsp>
                            <wps:cNvSpPr txBox="1"/>
                            <wps:spPr>
                              <a:xfrm>
                                <a:off x="0" y="0"/>
                                <a:ext cx="444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74955" cy="175260"/>
                      <wp:effectExtent l="0" t="0" r="0" b="0"/>
                      <wp:wrapNone/>
                      <wp:docPr id="29" name="Frame28"/>
                      <a:graphic xmlns:a="http://schemas.openxmlformats.org/drawingml/2006/main">
                        <a:graphicData uri="http://schemas.microsoft.com/office/word/2010/wordprocessingShape">
                          <wps:wsp>
                            <wps:cNvSpPr txBox="1"/>
                            <wps:spPr>
                              <a:xfrm>
                                <a:off x="0" y="0"/>
                                <a:ext cx="274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78435" cy="175260"/>
                      <wp:effectExtent l="0" t="0" r="0" b="0"/>
                      <wp:wrapNone/>
                      <wp:docPr id="30" name="Frame29"/>
                      <a:graphic xmlns:a="http://schemas.openxmlformats.org/drawingml/2006/main">
                        <a:graphicData uri="http://schemas.microsoft.com/office/word/2010/wordprocessingShape">
                          <wps:wsp>
                            <wps:cNvSpPr txBox="1"/>
                            <wps:spPr>
                              <a:xfrm>
                                <a:off x="0" y="0"/>
                                <a:ext cx="178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84505" cy="175260"/>
                      <wp:effectExtent l="0" t="0" r="0" b="0"/>
                      <wp:wrapNone/>
                      <wp:docPr id="31" name="Frame30"/>
                      <a:graphic xmlns:a="http://schemas.openxmlformats.org/drawingml/2006/main">
                        <a:graphicData uri="http://schemas.microsoft.com/office/word/2010/wordprocessingShape">
                          <wps:wsp>
                            <wps:cNvSpPr txBox="1"/>
                            <wps:spPr>
                              <a:xfrm>
                                <a:off x="0" y="0"/>
                                <a:ext cx="484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72110" cy="175260"/>
                      <wp:effectExtent l="0" t="0" r="0" b="0"/>
                      <wp:wrapNone/>
                      <wp:docPr id="34" name="Frame33"/>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5" name="Frame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53085" cy="175260"/>
                      <wp:effectExtent l="0" t="0" r="0" b="0"/>
                      <wp:wrapNone/>
                      <wp:docPr id="36" name="Frame35"/>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57810" cy="175260"/>
                      <wp:effectExtent l="0" t="0" r="0" b="0"/>
                      <wp:wrapNone/>
                      <wp:docPr id="37" name="Frame36"/>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5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years ended December 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r>
      <w:tr>
        <w:trPr/>
        <w:tc>
          <w:tcPr>
            <w:tcW w:w="27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33" w:type="dxa"/>
            <w:tcBorders/>
            <w:shd w:fill="auto" w:val="clear"/>
            <w:vAlign w:val="center"/>
          </w:tcPr>
          <w:p>
            <w:pPr>
              <w:pStyle w:val="TableContents"/>
              <w:spacing w:before="0" w:after="0"/>
              <w:ind w:left="0" w:right="0" w:hanging="0"/>
              <w:jc w:val="center"/>
              <w:rPr/>
            </w:pPr>
            <w:r>
              <w:rPr/>
              <w:t>    </w:t>
            </w:r>
          </w:p>
        </w:tc>
        <w:tc>
          <w:tcPr>
            <w:tcW w:w="10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406" w:type="dxa"/>
            <w:tcBorders/>
            <w:shd w:fill="auto" w:val="clear"/>
            <w:vAlign w:val="center"/>
          </w:tcPr>
          <w:p>
            <w:pPr>
              <w:pStyle w:val="TableContents"/>
              <w:spacing w:before="0" w:after="0"/>
              <w:ind w:left="0" w:right="0" w:hanging="0"/>
              <w:jc w:val="center"/>
              <w:rPr/>
            </w:pPr>
            <w:r>
              <w:rPr/>
              <w:t>​</w:t>
            </w:r>
          </w:p>
        </w:tc>
      </w:tr>
      <w:tr>
        <w:trPr/>
        <w:tc>
          <w:tcPr>
            <w:tcW w:w="8211"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27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184"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27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net revenue </w:t>
            </w:r>
          </w:p>
        </w:tc>
        <w:tc>
          <w:tcPr>
            <w:tcW w:w="326" w:type="dxa"/>
            <w:tcBorders/>
            <w:shd w:fill="CCEEFF" w:val="clear"/>
            <w:vAlign w:val="center"/>
          </w:tcPr>
          <w:p>
            <w:pPr>
              <w:pStyle w:val="TableContents"/>
              <w:spacing w:before="0" w:after="0"/>
              <w:ind w:left="0" w:right="0" w:hanging="0"/>
              <w:rPr/>
            </w:pPr>
            <w:r>
              <w:rPr/>
              <w:t>    </w:t>
            </w:r>
          </w:p>
        </w:tc>
        <w:tc>
          <w:tcPr>
            <w:tcW w:w="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433" w:type="dxa"/>
            <w:tcBorders/>
            <w:shd w:fill="CCEEFF" w:val="clear"/>
            <w:vAlign w:val="center"/>
          </w:tcPr>
          <w:p>
            <w:pPr>
              <w:pStyle w:val="TableContents"/>
              <w:spacing w:before="0" w:after="0"/>
              <w:ind w:left="0" w:right="0" w:hanging="0"/>
              <w:rPr/>
            </w:pPr>
            <w:r>
              <w:rPr/>
              <w:t>    </w:t>
            </w:r>
          </w:p>
        </w:tc>
        <w:tc>
          <w:tcPr>
            <w:tcW w:w="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27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Change in deferred net revenue </w:t>
            </w:r>
          </w:p>
        </w:tc>
        <w:tc>
          <w:tcPr>
            <w:tcW w:w="326" w:type="dxa"/>
            <w:tcBorders/>
            <w:shd w:fill="auto" w:val="clear"/>
            <w:vAlign w:val="center"/>
          </w:tcPr>
          <w:p>
            <w:pPr>
              <w:pStyle w:val="TableContents"/>
              <w:spacing w:before="0" w:after="0"/>
              <w:ind w:left="0" w:right="0" w:hanging="0"/>
              <w:rPr/>
            </w:pPr>
            <w:r>
              <w:rPr/>
              <w:t>​</w:t>
            </w:r>
          </w:p>
        </w:tc>
        <w:tc>
          <w:tcPr>
            <w:tcW w:w="2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33" w:type="dxa"/>
            <w:tcBorders/>
            <w:shd w:fill="auto" w:val="clear"/>
            <w:vAlign w:val="center"/>
          </w:tcPr>
          <w:p>
            <w:pPr>
              <w:pStyle w:val="TableContents"/>
              <w:spacing w:before="0" w:after="0"/>
              <w:ind w:left="0" w:right="0" w:hanging="0"/>
              <w:rPr/>
            </w:pPr>
            <w:r>
              <w:rPr/>
              <w:t>​</w:t>
            </w:r>
          </w:p>
        </w:tc>
        <w:tc>
          <w:tcPr>
            <w:tcW w:w="2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27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Bookings </w:t>
            </w:r>
          </w:p>
        </w:tc>
        <w:tc>
          <w:tcPr>
            <w:tcW w:w="326" w:type="dxa"/>
            <w:tcBorders/>
            <w:shd w:fill="CCEEFF" w:val="clear"/>
            <w:vAlign w:val="center"/>
          </w:tcPr>
          <w:p>
            <w:pPr>
              <w:pStyle w:val="TableContents"/>
              <w:spacing w:before="0" w:after="0"/>
              <w:ind w:left="0" w:right="0" w:hanging="0"/>
              <w:rPr/>
            </w:pPr>
            <w:r>
              <w:rPr/>
              <w:t>​</w:t>
            </w:r>
          </w:p>
        </w:tc>
        <w:tc>
          <w:tcPr>
            <w:tcW w:w="2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433" w:type="dxa"/>
            <w:tcBorders/>
            <w:shd w:fill="CCEEFF" w:val="clear"/>
            <w:vAlign w:val="center"/>
          </w:tcPr>
          <w:p>
            <w:pPr>
              <w:pStyle w:val="TableContents"/>
              <w:spacing w:before="0" w:after="0"/>
              <w:ind w:left="0" w:right="0" w:hanging="0"/>
              <w:rPr/>
            </w:pPr>
            <w:r>
              <w:rPr/>
              <w:t>​</w:t>
            </w:r>
          </w:p>
        </w:tc>
        <w:tc>
          <w:tcPr>
            <w:tcW w:w="2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the year ended December 31, 2022, bookings decreased by $28.8 million, or 31.1%, compared to the year ended December 31, 2021, primarily as a result of decreased </w:t>
      </w:r>
      <w:r>
        <w:rPr>
          <w:rFonts w:ascii="Times New Roman;Times;serif" w:hAnsi="Times New Roman;Times;serif"/>
          <w:i/>
          <w:sz w:val="20"/>
        </w:rPr>
        <w:t xml:space="preserve">ARK </w:t>
      </w:r>
      <w:r>
        <w:rPr>
          <w:rFonts w:ascii="Times New Roman;Times;serif" w:hAnsi="Times New Roman;Times;serif"/>
          <w:sz w:val="20"/>
        </w:rPr>
        <w:t xml:space="preserve">sales in 2022 due to the age of the game and no DLCs released during the year ended December 31, 2022 while 2021 saw the release of our </w:t>
      </w:r>
      <w:r>
        <w:rPr>
          <w:rFonts w:ascii="Times New Roman;Times;serif" w:hAnsi="Times New Roman;Times;serif"/>
          <w:i/>
          <w:sz w:val="20"/>
        </w:rPr>
        <w:t>Genesis II</w:t>
      </w:r>
      <w:r>
        <w:rPr>
          <w:rFonts w:ascii="Times New Roman;Times;serif" w:hAnsi="Times New Roman;Times;serif"/>
          <w:sz w:val="20"/>
        </w:rPr>
        <w:t xml:space="preserve"> DLC.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EBITDA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Below is a reconciliation of net income (loss) to EBITDA, the closest GAAP financial measure. We define EBITDA as net income (loss) before (i) interest expense, (ii) interest income, (iii) income tax provision (benefit), (iv) depreciation and amortization expense, and (v) amortization — intangible assets (other).</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pStyle w:val="TextBody"/>
        <w:spacing w:before="0" w:after="0"/>
        <w:ind w:left="0" w:right="0" w:hanging="0"/>
        <w:jc w:val="both"/>
        <w:rPr/>
      </w:pPr>
      <w:r>
        <w:rPr/>
        <w:t>​</w:t>
      </w:r>
    </w:p>
    <w:tbl>
      <w:tblPr>
        <w:tblW w:w="9127" w:type="dxa"/>
        <w:jc w:val="left"/>
        <w:tblInd w:w="0" w:type="dxa"/>
        <w:tblCellMar>
          <w:top w:w="0" w:type="dxa"/>
          <w:left w:w="0" w:type="dxa"/>
          <w:bottom w:w="0" w:type="dxa"/>
          <w:right w:w="0" w:type="dxa"/>
        </w:tblCellMar>
      </w:tblPr>
      <w:tblGrid>
        <w:gridCol w:w="4456"/>
        <w:gridCol w:w="326"/>
        <w:gridCol w:w="211"/>
        <w:gridCol w:w="481"/>
        <w:gridCol w:w="326"/>
        <w:gridCol w:w="211"/>
        <w:gridCol w:w="481"/>
        <w:gridCol w:w="326"/>
        <w:gridCol w:w="265"/>
        <w:gridCol w:w="531"/>
        <w:gridCol w:w="326"/>
        <w:gridCol w:w="871"/>
        <w:gridCol w:w="316"/>
      </w:tblGrid>
      <w:tr>
        <w:trPr/>
        <w:tc>
          <w:tcPr>
            <w:tcW w:w="4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829560" cy="175260"/>
                      <wp:effectExtent l="0" t="0" r="0" b="0"/>
                      <wp:wrapNone/>
                      <wp:docPr id="38" name="Frame37"/>
                      <a:graphic xmlns:a="http://schemas.openxmlformats.org/drawingml/2006/main">
                        <a:graphicData uri="http://schemas.microsoft.com/office/word/2010/wordprocessingShape">
                          <wps:wsp>
                            <wps:cNvSpPr txBox="1"/>
                            <wps:spPr>
                              <a:xfrm>
                                <a:off x="0" y="0"/>
                                <a:ext cx="2829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0" name="Frame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05435" cy="175260"/>
                      <wp:effectExtent l="0" t="0" r="0" b="0"/>
                      <wp:wrapNone/>
                      <wp:docPr id="41" name="Frame40"/>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2" name="Frame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3" name="Frame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05435" cy="175260"/>
                      <wp:effectExtent l="0" t="0" r="0" b="0"/>
                      <wp:wrapNone/>
                      <wp:docPr id="44" name="Frame43"/>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5"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68275" cy="175260"/>
                      <wp:effectExtent l="0" t="0" r="0" b="0"/>
                      <wp:wrapNone/>
                      <wp:docPr id="46" name="Frame45"/>
                      <a:graphic xmlns:a="http://schemas.openxmlformats.org/drawingml/2006/main">
                        <a:graphicData uri="http://schemas.microsoft.com/office/word/2010/wordprocessingShape">
                          <wps:wsp>
                            <wps:cNvSpPr txBox="1"/>
                            <wps:spPr>
                              <a:xfrm>
                                <a:off x="0" y="0"/>
                                <a:ext cx="168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37185" cy="175260"/>
                      <wp:effectExtent l="0" t="0" r="0" b="0"/>
                      <wp:wrapNone/>
                      <wp:docPr id="47" name="Frame46"/>
                      <a:graphic xmlns:a="http://schemas.openxmlformats.org/drawingml/2006/main">
                        <a:graphicData uri="http://schemas.microsoft.com/office/word/2010/wordprocessingShape">
                          <wps:wsp>
                            <wps:cNvSpPr txBox="1"/>
                            <wps:spPr>
                              <a:xfrm>
                                <a:off x="0" y="0"/>
                                <a:ext cx="337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53085" cy="175260"/>
                      <wp:effectExtent l="0" t="0" r="0" b="0"/>
                      <wp:wrapNone/>
                      <wp:docPr id="49" name="Frame48"/>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0660" cy="175260"/>
                      <wp:effectExtent l="0" t="0" r="0" b="0"/>
                      <wp:wrapNone/>
                      <wp:docPr id="50" name="Frame49"/>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029"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years ended December 31,</w:t>
            </w:r>
          </w:p>
        </w:tc>
        <w:tc>
          <w:tcPr>
            <w:tcW w:w="316" w:type="dxa"/>
            <w:tcBorders/>
            <w:shd w:fill="auto" w:val="clear"/>
            <w:vAlign w:val="center"/>
          </w:tcPr>
          <w:p>
            <w:pPr>
              <w:pStyle w:val="TableContents"/>
              <w:spacing w:before="0" w:after="0"/>
              <w:ind w:left="0" w:right="0" w:hanging="0"/>
              <w:rPr/>
            </w:pPr>
            <w:r>
              <w:rPr/>
              <w:t> </w:t>
            </w:r>
          </w:p>
        </w:tc>
      </w:tr>
      <w:tr>
        <w:trPr/>
        <w:tc>
          <w:tcPr>
            <w:tcW w:w="4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6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shd w:fill="auto" w:val="clear"/>
            <w:vAlign w:val="center"/>
          </w:tcPr>
          <w:p>
            <w:pPr>
              <w:pStyle w:val="TableContents"/>
              <w:spacing w:before="0" w:after="0"/>
              <w:ind w:left="0" w:right="0" w:hanging="0"/>
              <w:rPr/>
            </w:pPr>
            <w:r>
              <w:rPr/>
              <w:t> </w:t>
            </w:r>
          </w:p>
        </w:tc>
      </w:tr>
      <w:tr>
        <w:trPr/>
        <w:tc>
          <w:tcPr>
            <w:tcW w:w="9127"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029"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16" w:type="dxa"/>
            <w:tcBorders/>
            <w:shd w:fill="auto" w:val="clear"/>
            <w:vAlign w:val="center"/>
          </w:tcPr>
          <w:p>
            <w:pPr>
              <w:pStyle w:val="TableContents"/>
              <w:spacing w:before="0" w:after="0"/>
              <w:ind w:left="0" w:right="0" w:hanging="0"/>
              <w:rPr/>
            </w:pPr>
            <w:r>
              <w:rPr/>
              <w:t> </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spacing w:before="0" w:after="0"/>
              <w:ind w:left="0" w:right="0" w:hanging="0"/>
              <w:rPr/>
            </w:pPr>
            <w:r>
              <w:rPr/>
              <w:t>    </w:t>
            </w:r>
          </w:p>
        </w:tc>
        <w:tc>
          <w:tcPr>
            <w:tcW w:w="2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and interest income – related parties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0"/>
              <w:ind w:left="0" w:right="0" w:hanging="0"/>
              <w:rPr/>
            </w:pPr>
            <w:r>
              <w:rPr/>
              <w:t>​</w:t>
            </w:r>
          </w:p>
        </w:tc>
        <w:tc>
          <w:tcPr>
            <w:tcW w:w="265" w:type="dxa"/>
            <w:tcBorders/>
            <w:shd w:fill="auto" w:val="clear"/>
            <w:vAlign w:val="center"/>
          </w:tcPr>
          <w:p>
            <w:pPr>
              <w:pStyle w:val="TableContents"/>
              <w:spacing w:before="0" w:after="0"/>
              <w:ind w:left="0" w:right="0" w:hanging="0"/>
              <w:rPr/>
            </w:pPr>
            <w:r>
              <w:rPr/>
              <w:t> </w:t>
            </w:r>
          </w:p>
        </w:tc>
        <w:tc>
          <w:tcPr>
            <w:tcW w:w="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and interest expense – related parties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spacing w:before="0" w:after="0"/>
              <w:ind w:left="0" w:right="0" w:hanging="0"/>
              <w:rPr/>
            </w:pPr>
            <w:r>
              <w:rPr/>
              <w:t>​</w:t>
            </w:r>
          </w:p>
        </w:tc>
        <w:tc>
          <w:tcPr>
            <w:tcW w:w="265" w:type="dxa"/>
            <w:tcBorders/>
            <w:shd w:fill="CCEEFF" w:val="clear"/>
            <w:vAlign w:val="center"/>
          </w:tcPr>
          <w:p>
            <w:pPr>
              <w:pStyle w:val="TableContents"/>
              <w:spacing w:before="0" w:after="0"/>
              <w:ind w:left="0" w:right="0" w:hanging="0"/>
              <w:rPr/>
            </w:pPr>
            <w:r>
              <w:rPr/>
              <w:t> </w:t>
            </w:r>
          </w:p>
        </w:tc>
        <w:tc>
          <w:tcPr>
            <w:tcW w:w="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 provision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0"/>
              <w:ind w:left="0" w:right="0" w:hanging="0"/>
              <w:rPr/>
            </w:pPr>
            <w:r>
              <w:rPr/>
              <w:t>​</w:t>
            </w:r>
          </w:p>
        </w:tc>
        <w:tc>
          <w:tcPr>
            <w:tcW w:w="265" w:type="dxa"/>
            <w:tcBorders/>
            <w:shd w:fill="auto" w:val="clear"/>
            <w:vAlign w:val="center"/>
          </w:tcPr>
          <w:p>
            <w:pPr>
              <w:pStyle w:val="TableContents"/>
              <w:spacing w:before="0" w:after="0"/>
              <w:ind w:left="0" w:right="0" w:hanging="0"/>
              <w:rPr/>
            </w:pPr>
            <w:r>
              <w:rPr/>
              <w:t> </w:t>
            </w:r>
          </w:p>
        </w:tc>
        <w:tc>
          <w:tcPr>
            <w:tcW w:w="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(237.1)</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4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spacing w:before="0" w:after="0"/>
              <w:ind w:left="0" w:right="0" w:hanging="0"/>
              <w:rPr/>
            </w:pPr>
            <w:r>
              <w:rPr/>
              <w:t>​</w:t>
            </w:r>
          </w:p>
        </w:tc>
        <w:tc>
          <w:tcPr>
            <w:tcW w:w="26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45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EBITDA</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auto" w:val="clear"/>
            <w:vAlign w:val="center"/>
          </w:tcPr>
          <w:p>
            <w:pPr>
              <w:pStyle w:val="TableContents"/>
              <w:spacing w:before="0" w:after="0"/>
              <w:ind w:left="0" w:right="0" w:hanging="0"/>
              <w:rPr/>
            </w:pPr>
            <w:r>
              <w:rPr/>
              <w:t>​</w:t>
            </w:r>
          </w:p>
        </w:tc>
        <w:tc>
          <w:tcPr>
            <w:tcW w:w="26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(108.1)</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Results of Operations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Revenues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 For sales arrangements through Xbox Live and Game Pass, PlayStation Network, Steam, Epic Game Stores, My Nintendo Store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record deferred revenue when payments are due or received in advance of the fulfillment of our associated performance obligations. Deferred revenue is comprised of the transaction price allocable to our performance obligation on technical support and the sale of virtual goods available for in-app purchases, and payments received from customers prior to launching the games on the platforms. We record deferred revenue when payments are due or received in advance of the fulfillment of our associated performance obligations.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Our net revenues through our top four platform providers as a proportion of our total net revenue for the years ended December 31, 2022 and 2021 were as follows:</w:t>
      </w:r>
    </w:p>
    <w:p>
      <w:pPr>
        <w:pStyle w:val="TextBody"/>
        <w:spacing w:before="0" w:after="0"/>
        <w:ind w:left="0" w:right="0" w:hanging="0"/>
        <w:jc w:val="both"/>
        <w:rPr/>
      </w:pPr>
      <w:r>
        <w:rPr/>
        <w:t>​</w:t>
      </w:r>
    </w:p>
    <w:tbl>
      <w:tblPr>
        <w:tblW w:w="7102" w:type="dxa"/>
        <w:jc w:val="left"/>
        <w:tblInd w:w="0" w:type="dxa"/>
        <w:tblCellMar>
          <w:top w:w="0" w:type="dxa"/>
          <w:left w:w="0" w:type="dxa"/>
          <w:bottom w:w="0" w:type="dxa"/>
          <w:right w:w="0" w:type="dxa"/>
        </w:tblCellMar>
      </w:tblPr>
      <w:tblGrid>
        <w:gridCol w:w="1681"/>
        <w:gridCol w:w="326"/>
        <w:gridCol w:w="290"/>
        <w:gridCol w:w="641"/>
        <w:gridCol w:w="449"/>
        <w:gridCol w:w="290"/>
        <w:gridCol w:w="789"/>
        <w:gridCol w:w="326"/>
        <w:gridCol w:w="211"/>
        <w:gridCol w:w="586"/>
        <w:gridCol w:w="326"/>
        <w:gridCol w:w="871"/>
        <w:gridCol w:w="316"/>
      </w:tblGrid>
      <w:tr>
        <w:trPr/>
        <w:tc>
          <w:tcPr>
            <w:tcW w:w="1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067435" cy="175260"/>
                      <wp:effectExtent l="0" t="0" r="0" b="0"/>
                      <wp:wrapNone/>
                      <wp:docPr id="51" name="Frame50"/>
                      <a:graphic xmlns:a="http://schemas.openxmlformats.org/drawingml/2006/main">
                        <a:graphicData uri="http://schemas.microsoft.com/office/word/2010/wordprocessingShape">
                          <wps:wsp>
                            <wps:cNvSpPr txBox="1"/>
                            <wps:spPr>
                              <a:xfrm>
                                <a:off x="0" y="0"/>
                                <a:ext cx="1067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84150" cy="175260"/>
                      <wp:effectExtent l="0" t="0" r="0" b="0"/>
                      <wp:wrapNone/>
                      <wp:docPr id="53" name="Frame52"/>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07035" cy="175260"/>
                      <wp:effectExtent l="0" t="0" r="0" b="0"/>
                      <wp:wrapNone/>
                      <wp:docPr id="54" name="Frame53"/>
                      <a:graphic xmlns:a="http://schemas.openxmlformats.org/drawingml/2006/main">
                        <a:graphicData uri="http://schemas.microsoft.com/office/word/2010/wordprocessingShape">
                          <wps:wsp>
                            <wps:cNvSpPr txBox="1"/>
                            <wps:spPr>
                              <a:xfrm>
                                <a:off x="0" y="0"/>
                                <a:ext cx="407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85115" cy="175260"/>
                      <wp:effectExtent l="0" t="0" r="0" b="0"/>
                      <wp:wrapNone/>
                      <wp:docPr id="55" name="Frame54"/>
                      <a:graphic xmlns:a="http://schemas.openxmlformats.org/drawingml/2006/main">
                        <a:graphicData uri="http://schemas.microsoft.com/office/word/2010/wordprocessingShape">
                          <wps:wsp>
                            <wps:cNvSpPr txBox="1"/>
                            <wps:spPr>
                              <a:xfrm>
                                <a:off x="0" y="0"/>
                                <a:ext cx="285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4150" cy="175260"/>
                      <wp:effectExtent l="0" t="0" r="0" b="0"/>
                      <wp:wrapNone/>
                      <wp:docPr id="56" name="Frame55"/>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01015" cy="175260"/>
                      <wp:effectExtent l="0" t="0" r="0" b="0"/>
                      <wp:wrapNone/>
                      <wp:docPr id="57" name="Frame56"/>
                      <a:graphic xmlns:a="http://schemas.openxmlformats.org/drawingml/2006/main">
                        <a:graphicData uri="http://schemas.microsoft.com/office/word/2010/wordprocessingShape">
                          <wps:wsp>
                            <wps:cNvSpPr txBox="1"/>
                            <wps:spPr>
                              <a:xfrm>
                                <a:off x="0" y="0"/>
                                <a:ext cx="501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59" name="Frame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72110" cy="175260"/>
                      <wp:effectExtent l="0" t="0" r="0" b="0"/>
                      <wp:wrapNone/>
                      <wp:docPr id="60" name="Frame59"/>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53085" cy="175260"/>
                      <wp:effectExtent l="0" t="0" r="0" b="0"/>
                      <wp:wrapNone/>
                      <wp:docPr id="62" name="Frame61"/>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0660" cy="175260"/>
                      <wp:effectExtent l="0" t="0" r="0" b="0"/>
                      <wp:wrapNone/>
                      <wp:docPr id="63" name="Frame6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5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years ended December 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16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49" w:type="dxa"/>
            <w:tcBorders/>
            <w:shd w:fill="auto" w:val="clear"/>
            <w:vAlign w:val="center"/>
          </w:tcPr>
          <w:p>
            <w:pPr>
              <w:pStyle w:val="TableContents"/>
              <w:spacing w:before="0" w:after="0"/>
              <w:ind w:left="0" w:right="0" w:hanging="0"/>
              <w:jc w:val="center"/>
              <w:rPr/>
            </w:pPr>
            <w:r>
              <w:rPr/>
              <w:t>    </w:t>
            </w:r>
          </w:p>
        </w:tc>
        <w:tc>
          <w:tcPr>
            <w:tcW w:w="107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shd w:fill="auto" w:val="clear"/>
            <w:vAlign w:val="center"/>
          </w:tcPr>
          <w:p>
            <w:pPr>
              <w:pStyle w:val="TableContents"/>
              <w:spacing w:before="0" w:after="0"/>
              <w:ind w:left="0" w:right="0" w:hanging="0"/>
              <w:rPr/>
            </w:pPr>
            <w:r>
              <w:rPr/>
              <w:t> </w:t>
            </w:r>
          </w:p>
        </w:tc>
      </w:tr>
      <w:tr>
        <w:trPr/>
        <w:tc>
          <w:tcPr>
            <w:tcW w:w="7102"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779"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16" w:type="dxa"/>
            <w:tcBorders/>
            <w:shd w:fill="auto" w:val="clear"/>
            <w:vAlign w:val="center"/>
          </w:tcPr>
          <w:p>
            <w:pPr>
              <w:pStyle w:val="TableContents"/>
              <w:spacing w:before="0" w:after="0"/>
              <w:ind w:left="0" w:right="0" w:hanging="0"/>
              <w:rPr/>
            </w:pPr>
            <w:r>
              <w:rPr/>
              <w:t> </w:t>
            </w:r>
          </w:p>
        </w:tc>
      </w:tr>
      <w:tr>
        <w:trPr/>
        <w:tc>
          <w:tcPr>
            <w:tcW w:w="1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PC Platform 1</w:t>
            </w:r>
          </w:p>
        </w:tc>
        <w:tc>
          <w:tcPr>
            <w:tcW w:w="326"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449"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Console Platform 1</w:t>
            </w:r>
          </w:p>
        </w:tc>
        <w:tc>
          <w:tcPr>
            <w:tcW w:w="32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6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449"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Console Platform 2</w:t>
            </w:r>
          </w:p>
        </w:tc>
        <w:tc>
          <w:tcPr>
            <w:tcW w:w="32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 </w:t>
            </w:r>
          </w:p>
        </w:tc>
        <w:tc>
          <w:tcPr>
            <w:tcW w:w="6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449"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Mobile Platform 1</w:t>
            </w:r>
          </w:p>
        </w:tc>
        <w:tc>
          <w:tcPr>
            <w:tcW w:w="32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6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49"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 Other Revenue</w:t>
            </w:r>
          </w:p>
        </w:tc>
        <w:tc>
          <w:tcPr>
            <w:tcW w:w="326" w:type="dxa"/>
            <w:tcBorders/>
            <w:shd w:fill="CCEEFF" w:val="clear"/>
            <w:vAlign w:val="center"/>
          </w:tcPr>
          <w:p>
            <w:pPr>
              <w:pStyle w:val="TableContents"/>
              <w:spacing w:before="0" w:after="0"/>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449" w:type="dxa"/>
            <w:tcBorders/>
            <w:shd w:fill="CCEEFF" w:val="clear"/>
            <w:vAlign w:val="center"/>
          </w:tcPr>
          <w:p>
            <w:pPr>
              <w:pStyle w:val="TableContents"/>
              <w:spacing w:before="0" w:after="0"/>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spacing w:before="0" w:after="0"/>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6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9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449" w:type="dxa"/>
            <w:tcBorders/>
            <w:shd w:fill="auto" w:val="clear"/>
            <w:vAlign w:val="center"/>
          </w:tcPr>
          <w:p>
            <w:pPr>
              <w:pStyle w:val="TableContents"/>
              <w:spacing w:before="0" w:after="0"/>
              <w:ind w:left="0" w:right="0" w:hanging="0"/>
              <w:rPr/>
            </w:pPr>
            <w:r>
              <w:rPr/>
              <w:t>​</w:t>
            </w:r>
          </w:p>
        </w:tc>
        <w:tc>
          <w:tcPr>
            <w:tcW w:w="29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changes in revenue to correlate with trends in the use and purchase of our games.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Cost of revenues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Cost of revenues includes license royalty fees, merchant fees, engine fees, server and database cost centers, game licenses and license right amortization. For a description of our licensing arrangements, please see Note 2 - </w:t>
      </w:r>
      <w:r>
        <w:rPr>
          <w:rFonts w:ascii="Times New Roman;Times;serif" w:hAnsi="Times New Roman;Times;serif"/>
          <w:i/>
          <w:sz w:val="20"/>
        </w:rPr>
        <w:t xml:space="preserve">Summary of Significant Accounting Policies </w:t>
      </w:r>
      <w:r>
        <w:rPr>
          <w:rFonts w:ascii="Times New Roman;Times;serif" w:hAnsi="Times New Roman;Times;serif"/>
          <w:sz w:val="20"/>
        </w:rPr>
        <w:t>to the consolidated financial statements. We generally expect cost of revenue to fluctuate proportionately with revenues.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General and administrative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include rent expense, outsourced professional services such as consulting, legal and accounting services, taxes and dues, insurance premiums, and costs associated with maintaining our property and infrastructure. General and administrative expenses also include salaries and wages, which consist of compensation we pay to our employees. We expect salaries and wages to increase in a manner that is proportional with the added expenses and expertise of operating as a public company. We also expect salaries and wages to increase as we increase headcount as we expand our product offerings. Future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Research and development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consists primarily of consulting expenses and salaries and wages devoted towards the development of new games and related technologies. We do not fund or enter into arrangements relating to the research and development activities from third-party developers from whom we license games. We expect our research and development to increase as we develop new content, games or technologies.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Advertising and marketing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Interest expense and other, net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consists of interest incurred under our Term Loans, Revolver and Promissory Notes (each as defined herein). We expect to continue to incur interest expense under our debt instruments, although with respect to certain instruments, our interest expense will fluctuate based upon the underlying variable interest rates.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provision for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differed from the federal statutory rate of 21% primarily as a result of a state income tax refund for previous years filings related to the Company’s implementation of California’s adopted market-based sourcing rules in income years open for refund, changes in the valuation allowance on our deferred tax assets and the conversion of our BTBX.IO subsidiary to a partnership, which is treated as a dissolution for tax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Comparison of the year ended December 31, 2022 versus the year ended December 31, 2021</w:t>
      </w:r>
    </w:p>
    <w:p>
      <w:pPr>
        <w:pStyle w:val="TextBody"/>
        <w:spacing w:before="0" w:after="0"/>
        <w:ind w:left="0" w:right="0" w:hanging="0"/>
        <w:jc w:val="both"/>
        <w:rPr/>
      </w:pPr>
      <w:r>
        <w:rPr/>
        <w:t>​</w:t>
      </w:r>
    </w:p>
    <w:tbl>
      <w:tblPr>
        <w:tblW w:w="8602" w:type="dxa"/>
        <w:jc w:val="left"/>
        <w:tblInd w:w="0" w:type="dxa"/>
        <w:tblCellMar>
          <w:top w:w="0" w:type="dxa"/>
          <w:left w:w="0" w:type="dxa"/>
          <w:bottom w:w="0" w:type="dxa"/>
          <w:right w:w="0" w:type="dxa"/>
        </w:tblCellMar>
      </w:tblPr>
      <w:tblGrid>
        <w:gridCol w:w="3151"/>
        <w:gridCol w:w="326"/>
        <w:gridCol w:w="290"/>
        <w:gridCol w:w="641"/>
        <w:gridCol w:w="449"/>
        <w:gridCol w:w="290"/>
        <w:gridCol w:w="789"/>
        <w:gridCol w:w="326"/>
        <w:gridCol w:w="211"/>
        <w:gridCol w:w="586"/>
        <w:gridCol w:w="326"/>
        <w:gridCol w:w="871"/>
        <w:gridCol w:w="346"/>
      </w:tblGrid>
      <w:tr>
        <w:trPr/>
        <w:tc>
          <w:tcPr>
            <w:tcW w:w="3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00885" cy="175260"/>
                      <wp:effectExtent l="0" t="0" r="0" b="0"/>
                      <wp:wrapNone/>
                      <wp:docPr id="64" name="Frame63"/>
                      <a:graphic xmlns:a="http://schemas.openxmlformats.org/drawingml/2006/main">
                        <a:graphicData uri="http://schemas.microsoft.com/office/word/2010/wordprocessingShape">
                          <wps:wsp>
                            <wps:cNvSpPr txBox="1"/>
                            <wps:spPr>
                              <a:xfrm>
                                <a:off x="0" y="0"/>
                                <a:ext cx="2000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84150" cy="175260"/>
                      <wp:effectExtent l="0" t="0" r="0" b="0"/>
                      <wp:wrapNone/>
                      <wp:docPr id="66" name="Frame65"/>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07035" cy="175260"/>
                      <wp:effectExtent l="0" t="0" r="0" b="0"/>
                      <wp:wrapNone/>
                      <wp:docPr id="67" name="Frame66"/>
                      <a:graphic xmlns:a="http://schemas.openxmlformats.org/drawingml/2006/main">
                        <a:graphicData uri="http://schemas.microsoft.com/office/word/2010/wordprocessingShape">
                          <wps:wsp>
                            <wps:cNvSpPr txBox="1"/>
                            <wps:spPr>
                              <a:xfrm>
                                <a:off x="0" y="0"/>
                                <a:ext cx="407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85115" cy="175260"/>
                      <wp:effectExtent l="0" t="0" r="0" b="0"/>
                      <wp:wrapNone/>
                      <wp:docPr id="68" name="Frame67"/>
                      <a:graphic xmlns:a="http://schemas.openxmlformats.org/drawingml/2006/main">
                        <a:graphicData uri="http://schemas.microsoft.com/office/word/2010/wordprocessingShape">
                          <wps:wsp>
                            <wps:cNvSpPr txBox="1"/>
                            <wps:spPr>
                              <a:xfrm>
                                <a:off x="0" y="0"/>
                                <a:ext cx="285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84150" cy="175260"/>
                      <wp:effectExtent l="0" t="0" r="0" b="0"/>
                      <wp:wrapNone/>
                      <wp:docPr id="69" name="Frame68"/>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1015" cy="175260"/>
                      <wp:effectExtent l="0" t="0" r="0" b="0"/>
                      <wp:wrapNone/>
                      <wp:docPr id="70" name="Frame69"/>
                      <a:graphic xmlns:a="http://schemas.openxmlformats.org/drawingml/2006/main">
                        <a:graphicData uri="http://schemas.microsoft.com/office/word/2010/wordprocessingShape">
                          <wps:wsp>
                            <wps:cNvSpPr txBox="1"/>
                            <wps:spPr>
                              <a:xfrm>
                                <a:off x="0" y="0"/>
                                <a:ext cx="501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72110" cy="175260"/>
                      <wp:effectExtent l="0" t="0" r="0" b="0"/>
                      <wp:wrapNone/>
                      <wp:docPr id="73" name="Frame72"/>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53085" cy="175260"/>
                      <wp:effectExtent l="0" t="0" r="0" b="0"/>
                      <wp:wrapNone/>
                      <wp:docPr id="75" name="Frame74"/>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5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years ended December 31,</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 </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49" w:type="dxa"/>
            <w:tcBorders/>
            <w:shd w:fill="auto" w:val="clear"/>
            <w:vAlign w:val="center"/>
          </w:tcPr>
          <w:p>
            <w:pPr>
              <w:pStyle w:val="TableContents"/>
              <w:spacing w:before="0" w:after="0"/>
              <w:ind w:left="0" w:right="0" w:hanging="0"/>
              <w:jc w:val="center"/>
              <w:rPr/>
            </w:pPr>
            <w:r>
              <w:rPr/>
              <w:t>    </w:t>
            </w:r>
          </w:p>
        </w:tc>
        <w:tc>
          <w:tcPr>
            <w:tcW w:w="107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46" w:type="dxa"/>
            <w:tcBorders/>
            <w:shd w:fill="auto" w:val="clear"/>
            <w:vAlign w:val="center"/>
          </w:tcPr>
          <w:p>
            <w:pPr>
              <w:pStyle w:val="TableContents"/>
              <w:spacing w:before="0" w:after="0"/>
              <w:ind w:left="0" w:right="0" w:hanging="0"/>
              <w:rPr/>
            </w:pPr>
            <w:r>
              <w:rPr/>
              <w:t> </w:t>
            </w:r>
          </w:p>
        </w:tc>
      </w:tr>
      <w:tr>
        <w:trPr/>
        <w:tc>
          <w:tcPr>
            <w:tcW w:w="8602"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779"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46" w:type="dxa"/>
            <w:tcBorders/>
            <w:shd w:fill="auto" w:val="clear"/>
            <w:vAlign w:val="center"/>
          </w:tcPr>
          <w:p>
            <w:pPr>
              <w:pStyle w:val="TableContents"/>
              <w:spacing w:before="0" w:after="0"/>
              <w:ind w:left="0" w:right="0" w:hanging="0"/>
              <w:rPr/>
            </w:pPr>
            <w:r>
              <w:rPr/>
              <w:t> </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Revenues, net</w:t>
            </w:r>
          </w:p>
        </w:tc>
        <w:tc>
          <w:tcPr>
            <w:tcW w:w="326"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449"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auto" w:val="clear"/>
            <w:vAlign w:val="center"/>
          </w:tcPr>
          <w:p>
            <w:pPr>
              <w:pStyle w:val="TableContents"/>
              <w:spacing w:before="0" w:after="0"/>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449" w:type="dxa"/>
            <w:tcBorders/>
            <w:shd w:fill="auto" w:val="clear"/>
            <w:vAlign w:val="center"/>
          </w:tcPr>
          <w:p>
            <w:pPr>
              <w:pStyle w:val="TableContents"/>
              <w:spacing w:before="0" w:after="0"/>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449" w:type="dxa"/>
            <w:tcBorders/>
            <w:shd w:fill="CCEEFF" w:val="clear"/>
            <w:vAlign w:val="center"/>
          </w:tcPr>
          <w:p>
            <w:pPr>
              <w:pStyle w:val="TableContents"/>
              <w:spacing w:before="0" w:after="0"/>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shd w:fill="CCEEFF" w:val="clear"/>
            <w:vAlign w:val="center"/>
          </w:tcPr>
          <w:p>
            <w:pPr>
              <w:pStyle w:val="TableContents"/>
              <w:spacing w:before="0" w:after="0"/>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641" w:type="dxa"/>
            <w:tcBorders/>
            <w:shd w:fill="auto" w:val="clear"/>
            <w:vAlign w:val="center"/>
          </w:tcPr>
          <w:p>
            <w:pPr>
              <w:pStyle w:val="TableContents"/>
              <w:spacing w:before="0" w:after="0"/>
              <w:ind w:left="0" w:right="0" w:hanging="0"/>
              <w:jc w:val="right"/>
              <w:rPr/>
            </w:pPr>
            <w:r>
              <w:rPr/>
              <w:t>  </w:t>
            </w:r>
          </w:p>
        </w:tc>
        <w:tc>
          <w:tcPr>
            <w:tcW w:w="449"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 </w:t>
            </w:r>
          </w:p>
        </w:tc>
        <w:tc>
          <w:tcPr>
            <w:tcW w:w="6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449"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6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49"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Advertising and marketing</w:t>
            </w:r>
          </w:p>
        </w:tc>
        <w:tc>
          <w:tcPr>
            <w:tcW w:w="32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 </w:t>
            </w:r>
          </w:p>
        </w:tc>
        <w:tc>
          <w:tcPr>
            <w:tcW w:w="6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449"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 </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159.5</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6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49"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 </w:t>
            </w:r>
          </w:p>
        </w:tc>
        <w:tc>
          <w:tcPr>
            <w:tcW w:w="7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loss on disposal of fixed assets</w:t>
            </w:r>
          </w:p>
        </w:tc>
        <w:tc>
          <w:tcPr>
            <w:tcW w:w="32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w:t>
            </w:r>
          </w:p>
        </w:tc>
        <w:tc>
          <w:tcPr>
            <w:tcW w:w="641" w:type="dxa"/>
            <w:tcBorders/>
            <w:shd w:fill="CCEEFF" w:val="clear"/>
            <w:vAlign w:val="center"/>
          </w:tcPr>
          <w:p>
            <w:pPr>
              <w:pStyle w:val="TableContents"/>
              <w:spacing w:before="0" w:after="0"/>
              <w:ind w:left="0" w:right="0" w:hanging="0"/>
              <w:jc w:val="right"/>
              <w:rPr/>
            </w:pPr>
            <w:r>
              <w:rPr/>
              <w:t>—</w:t>
            </w:r>
          </w:p>
        </w:tc>
        <w:tc>
          <w:tcPr>
            <w:tcW w:w="449"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w:t>
            </w:r>
          </w:p>
        </w:tc>
        <w:tc>
          <w:tcPr>
            <w:tcW w:w="7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of intangible assets</w:t>
            </w:r>
          </w:p>
        </w:tc>
        <w:tc>
          <w:tcPr>
            <w:tcW w:w="326" w:type="dxa"/>
            <w:tcBorders/>
            <w:shd w:fill="auto" w:val="clear"/>
            <w:vAlign w:val="center"/>
          </w:tcPr>
          <w:p>
            <w:pPr>
              <w:pStyle w:val="TableContents"/>
              <w:spacing w:before="0" w:after="0"/>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449" w:type="dxa"/>
            <w:tcBorders/>
            <w:shd w:fill="auto" w:val="clear"/>
            <w:vAlign w:val="center"/>
          </w:tcPr>
          <w:p>
            <w:pPr>
              <w:pStyle w:val="TableContents"/>
              <w:spacing w:before="0" w:after="0"/>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0"/>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449" w:type="dxa"/>
            <w:tcBorders/>
            <w:shd w:fill="CCEEFF" w:val="clear"/>
            <w:vAlign w:val="center"/>
          </w:tcPr>
          <w:p>
            <w:pPr>
              <w:pStyle w:val="TableContents"/>
              <w:spacing w:before="0" w:after="0"/>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spacing w:before="0" w:after="0"/>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Income (loss) from operations</w:t>
            </w:r>
          </w:p>
        </w:tc>
        <w:tc>
          <w:tcPr>
            <w:tcW w:w="326" w:type="dxa"/>
            <w:tcBorders/>
            <w:shd w:fill="auto" w:val="clear"/>
            <w:vAlign w:val="center"/>
          </w:tcPr>
          <w:p>
            <w:pPr>
              <w:pStyle w:val="TableContents"/>
              <w:spacing w:before="0" w:after="0"/>
              <w:ind w:left="0" w:right="0" w:hanging="0"/>
              <w:rPr/>
            </w:pPr>
            <w:r>
              <w:rPr/>
              <w:t>​</w:t>
            </w:r>
          </w:p>
        </w:tc>
        <w:tc>
          <w:tcPr>
            <w:tcW w:w="29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449" w:type="dxa"/>
            <w:tcBorders/>
            <w:shd w:fill="auto" w:val="clear"/>
            <w:vAlign w:val="center"/>
          </w:tcPr>
          <w:p>
            <w:pPr>
              <w:pStyle w:val="TableContents"/>
              <w:spacing w:before="0" w:after="0"/>
              <w:ind w:left="0" w:right="0" w:hanging="0"/>
              <w:rPr/>
            </w:pPr>
            <w:r>
              <w:rPr/>
              <w:t>​</w:t>
            </w:r>
          </w:p>
        </w:tc>
        <w:tc>
          <w:tcPr>
            <w:tcW w:w="29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8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(9.9)</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(119.4)</w:t>
            </w:r>
          </w:p>
        </w:tc>
        <w:tc>
          <w:tcPr>
            <w:tcW w:w="3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Revenues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revenues for the year ended December 31, 2022 decreased by $32.3 million, or 30.3%, compared to the year ended December 31, 2021. The decrease in net revenues was due to a decrease in sales of </w:t>
      </w:r>
      <w:r>
        <w:rPr>
          <w:rFonts w:ascii="Times New Roman;Times;serif" w:hAnsi="Times New Roman;Times;serif"/>
          <w:i/>
          <w:sz w:val="20"/>
        </w:rPr>
        <w:t>ARK,</w:t>
      </w:r>
      <w:r>
        <w:rPr>
          <w:rFonts w:ascii="Times New Roman;Times;serif" w:hAnsi="Times New Roman;Times;serif"/>
          <w:sz w:val="20"/>
        </w:rPr>
        <w:t xml:space="preserve"> attributed to the age of the game, an increase in the number of free week promotions in 2022 and the </w:t>
      </w:r>
      <w:r>
        <w:rPr>
          <w:rFonts w:ascii="Times New Roman;Times;serif" w:hAnsi="Times New Roman;Times;serif"/>
          <w:i/>
          <w:sz w:val="20"/>
        </w:rPr>
        <w:t>Genesis II</w:t>
      </w:r>
      <w:r>
        <w:rPr>
          <w:rFonts w:ascii="Times New Roman;Times;serif" w:hAnsi="Times New Roman;Times;serif"/>
          <w:sz w:val="20"/>
        </w:rPr>
        <w:t xml:space="preserve"> DLC release in 2021; there were no DLC releases in 2022 or free download promotions in 2021. </w:t>
      </w:r>
      <w:r>
        <w:rPr>
          <w:rFonts w:ascii="Times New Roman;Times;serif" w:hAnsi="Times New Roman;Times;serif"/>
          <w:i/>
          <w:sz w:val="20"/>
        </w:rPr>
        <w:t>ARK</w:t>
      </w:r>
      <w:r>
        <w:rPr>
          <w:rFonts w:ascii="Times New Roman;Times;serif" w:hAnsi="Times New Roman;Times;serif"/>
          <w:sz w:val="20"/>
        </w:rPr>
        <w:t xml:space="preserve"> sales decreased by $33.0 million and deferred revenue from contracts decreased by $3.7 million offset by additional one-off payments in 2022 of $7.5 million. Sales of </w:t>
      </w:r>
      <w:r>
        <w:rPr>
          <w:rFonts w:ascii="Times New Roman;Times;serif" w:hAnsi="Times New Roman;Times;serif"/>
          <w:i/>
          <w:sz w:val="20"/>
        </w:rPr>
        <w:t>Age of Wushu</w:t>
      </w:r>
      <w:r>
        <w:rPr>
          <w:rFonts w:ascii="Times New Roman;Times;serif" w:hAnsi="Times New Roman;Times;serif"/>
          <w:sz w:val="20"/>
        </w:rPr>
        <w:t xml:space="preserve"> decreased by $1.1 million, </w:t>
      </w:r>
      <w:r>
        <w:rPr>
          <w:rFonts w:ascii="Times New Roman;Times;serif" w:hAnsi="Times New Roman;Times;serif"/>
          <w:i/>
          <w:sz w:val="20"/>
        </w:rPr>
        <w:t>Last Oasis</w:t>
      </w:r>
      <w:r>
        <w:rPr>
          <w:rFonts w:ascii="Times New Roman;Times;serif" w:hAnsi="Times New Roman;Times;serif"/>
          <w:sz w:val="20"/>
        </w:rPr>
        <w:t xml:space="preserve"> by $0.6 million, </w:t>
      </w:r>
      <w:r>
        <w:rPr>
          <w:rFonts w:ascii="Times New Roman;Times;serif" w:hAnsi="Times New Roman;Times;serif"/>
          <w:i/>
          <w:sz w:val="20"/>
        </w:rPr>
        <w:t>PixArk</w:t>
      </w:r>
      <w:r>
        <w:rPr>
          <w:rFonts w:ascii="Times New Roman;Times;serif" w:hAnsi="Times New Roman;Times;serif"/>
          <w:sz w:val="20"/>
        </w:rPr>
        <w:t xml:space="preserve"> by $0.4 million, and the smaller titles decreased by a collective $1.1 million. These decreases in the Company’s smaller titles were partially offset by $0.5 million earned in 2022 from the release of </w:t>
      </w:r>
      <w:r>
        <w:rPr>
          <w:rFonts w:ascii="Times New Roman;Times;serif" w:hAnsi="Times New Roman;Times;serif"/>
          <w:i/>
          <w:sz w:val="20"/>
        </w:rPr>
        <w:t>West Hunt.</w:t>
      </w:r>
      <w:r>
        <w:rPr>
          <w:rFonts w:ascii="Times New Roman;Times;serif" w:hAnsi="Times New Roman;Times;serif"/>
          <w:sz w:val="20"/>
        </w:rPr>
        <w:t xml:space="preserve"> Despite the decrease in Units Sold, the Company recorded a significant increase in its game installs during the year ended December 31, 2022. This was due to the free week promotions on the Steam and Epic platforms and a subscription program on a certain platform that resulted in 36.7 million installs in the year ended December 31, 2022, as compared to 7.0 million installs for the year ended December 31, 2021.</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Cost of revenues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revenues for the year ended December 31, 2022 decreased by $14.2 million, or 22.3%, compared to the year ended December 31, 2021.</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revenues for the years ended December 31, 2022 and 2021 comprised the following:</w:t>
      </w:r>
    </w:p>
    <w:p>
      <w:pPr>
        <w:pStyle w:val="TextBody"/>
        <w:spacing w:before="0" w:after="0"/>
        <w:ind w:left="0" w:right="0" w:hanging="0"/>
        <w:jc w:val="both"/>
        <w:rPr/>
      </w:pPr>
      <w:r>
        <w:rPr/>
        <w:t>​</w:t>
      </w:r>
    </w:p>
    <w:tbl>
      <w:tblPr>
        <w:tblW w:w="8901" w:type="dxa"/>
        <w:jc w:val="left"/>
        <w:tblInd w:w="0" w:type="dxa"/>
        <w:tblCellMar>
          <w:top w:w="0" w:type="dxa"/>
          <w:left w:w="0" w:type="dxa"/>
          <w:bottom w:w="0" w:type="dxa"/>
          <w:right w:w="0" w:type="dxa"/>
        </w:tblCellMar>
      </w:tblPr>
      <w:tblGrid>
        <w:gridCol w:w="3481"/>
        <w:gridCol w:w="326"/>
        <w:gridCol w:w="308"/>
        <w:gridCol w:w="682"/>
        <w:gridCol w:w="476"/>
        <w:gridCol w:w="308"/>
        <w:gridCol w:w="684"/>
        <w:gridCol w:w="326"/>
        <w:gridCol w:w="211"/>
        <w:gridCol w:w="586"/>
        <w:gridCol w:w="326"/>
        <w:gridCol w:w="871"/>
        <w:gridCol w:w="316"/>
      </w:tblGrid>
      <w:tr>
        <w:trPr/>
        <w:tc>
          <w:tcPr>
            <w:tcW w:w="3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210435" cy="175260"/>
                      <wp:effectExtent l="0" t="0" r="0" b="0"/>
                      <wp:wrapNone/>
                      <wp:docPr id="77" name="Frame76"/>
                      <a:graphic xmlns:a="http://schemas.openxmlformats.org/drawingml/2006/main">
                        <a:graphicData uri="http://schemas.microsoft.com/office/word/2010/wordprocessingShape">
                          <wps:wsp>
                            <wps:cNvSpPr txBox="1"/>
                            <wps:spPr>
                              <a:xfrm>
                                <a:off x="0" y="0"/>
                                <a:ext cx="2210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95580" cy="175260"/>
                      <wp:effectExtent l="0" t="0" r="0" b="0"/>
                      <wp:wrapNone/>
                      <wp:docPr id="79" name="Frame78"/>
                      <a:graphic xmlns:a="http://schemas.openxmlformats.org/drawingml/2006/main">
                        <a:graphicData uri="http://schemas.microsoft.com/office/word/2010/wordprocessingShape">
                          <wps:wsp>
                            <wps:cNvSpPr txBox="1"/>
                            <wps:spPr>
                              <a:xfrm>
                                <a:off x="0" y="0"/>
                                <a:ext cx="195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33070" cy="175260"/>
                      <wp:effectExtent l="0" t="0" r="0" b="0"/>
                      <wp:wrapNone/>
                      <wp:docPr id="80" name="Frame79"/>
                      <a:graphic xmlns:a="http://schemas.openxmlformats.org/drawingml/2006/main">
                        <a:graphicData uri="http://schemas.microsoft.com/office/word/2010/wordprocessingShape">
                          <wps:wsp>
                            <wps:cNvSpPr txBox="1"/>
                            <wps:spPr>
                              <a:xfrm>
                                <a:off x="0" y="0"/>
                                <a:ext cx="433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02260" cy="175260"/>
                      <wp:effectExtent l="0" t="0" r="0" b="0"/>
                      <wp:wrapNone/>
                      <wp:docPr id="81" name="Frame80"/>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95580" cy="175260"/>
                      <wp:effectExtent l="0" t="0" r="0" b="0"/>
                      <wp:wrapNone/>
                      <wp:docPr id="82" name="Frame81"/>
                      <a:graphic xmlns:a="http://schemas.openxmlformats.org/drawingml/2006/main">
                        <a:graphicData uri="http://schemas.microsoft.com/office/word/2010/wordprocessingShape">
                          <wps:wsp>
                            <wps:cNvSpPr txBox="1"/>
                            <wps:spPr>
                              <a:xfrm>
                                <a:off x="0" y="0"/>
                                <a:ext cx="195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34340" cy="175260"/>
                      <wp:effectExtent l="0" t="0" r="0" b="0"/>
                      <wp:wrapNone/>
                      <wp:docPr id="83" name="Frame82"/>
                      <a:graphic xmlns:a="http://schemas.openxmlformats.org/drawingml/2006/main">
                        <a:graphicData uri="http://schemas.microsoft.com/office/word/2010/wordprocessingShape">
                          <wps:wsp>
                            <wps:cNvSpPr txBox="1"/>
                            <wps:spPr>
                              <a:xfrm>
                                <a:off x="0" y="0"/>
                                <a:ext cx="434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5" name="Frame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72110" cy="175260"/>
                      <wp:effectExtent l="0" t="0" r="0" b="0"/>
                      <wp:wrapNone/>
                      <wp:docPr id="86" name="Frame85"/>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53085" cy="175260"/>
                      <wp:effectExtent l="0" t="0" r="0" b="0"/>
                      <wp:wrapNone/>
                      <wp:docPr id="88" name="Frame87"/>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0660" cy="175260"/>
                      <wp:effectExtent l="0" t="0" r="0" b="0"/>
                      <wp:wrapNone/>
                      <wp:docPr id="89" name="Frame8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5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years ended December 31,</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34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7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shd w:fill="auto" w:val="clear"/>
            <w:vAlign w:val="center"/>
          </w:tcPr>
          <w:p>
            <w:pPr>
              <w:pStyle w:val="TableContents"/>
              <w:spacing w:before="0" w:after="0"/>
              <w:ind w:left="0" w:right="0" w:hanging="0"/>
              <w:rPr/>
            </w:pPr>
            <w:r>
              <w:rPr/>
              <w:t> </w:t>
            </w:r>
          </w:p>
        </w:tc>
      </w:tr>
      <w:tr>
        <w:trPr/>
        <w:tc>
          <w:tcPr>
            <w:tcW w:w="8901"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34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094"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34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license royalties - related parties</w:t>
            </w:r>
          </w:p>
        </w:tc>
        <w:tc>
          <w:tcPr>
            <w:tcW w:w="326" w:type="dxa"/>
            <w:tcBorders/>
            <w:shd w:fill="CCEEFF" w:val="clear"/>
            <w:vAlign w:val="center"/>
          </w:tcPr>
          <w:p>
            <w:pPr>
              <w:pStyle w:val="TableContents"/>
              <w:spacing w:before="0" w:after="0"/>
              <w:ind w:left="0" w:right="0" w:hanging="0"/>
              <w:rPr/>
            </w:pPr>
            <w:r>
              <w:rPr/>
              <w:t>    </w:t>
            </w:r>
          </w:p>
        </w:tc>
        <w:tc>
          <w:tcPr>
            <w:tcW w:w="3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476" w:type="dxa"/>
            <w:tcBorders/>
            <w:shd w:fill="CCEEFF" w:val="clear"/>
            <w:vAlign w:val="center"/>
          </w:tcPr>
          <w:p>
            <w:pPr>
              <w:pStyle w:val="TableContents"/>
              <w:spacing w:before="0" w:after="0"/>
              <w:ind w:left="0" w:right="0" w:hanging="0"/>
              <w:rPr/>
            </w:pPr>
            <w:r>
              <w:rPr/>
              <w:t>    </w:t>
            </w:r>
          </w:p>
        </w:tc>
        <w:tc>
          <w:tcPr>
            <w:tcW w:w="3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license royalties</w:t>
            </w:r>
          </w:p>
        </w:tc>
        <w:tc>
          <w:tcPr>
            <w:tcW w:w="32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7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 </w:t>
            </w:r>
          </w:p>
        </w:tc>
        <w:tc>
          <w:tcPr>
            <w:tcW w:w="68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License and amortization - related parties</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47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License and amortization </w:t>
            </w:r>
          </w:p>
        </w:tc>
        <w:tc>
          <w:tcPr>
            <w:tcW w:w="32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7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 </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Merchant fees</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7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Engine fees</w:t>
            </w:r>
          </w:p>
        </w:tc>
        <w:tc>
          <w:tcPr>
            <w:tcW w:w="32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7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 </w:t>
            </w:r>
          </w:p>
        </w:tc>
        <w:tc>
          <w:tcPr>
            <w:tcW w:w="6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Internet, server and data center</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7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6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Costs related to advertising revenue</w:t>
            </w:r>
          </w:p>
        </w:tc>
        <w:tc>
          <w:tcPr>
            <w:tcW w:w="326" w:type="dxa"/>
            <w:tcBorders/>
            <w:shd w:fill="auto" w:val="clear"/>
            <w:vAlign w:val="center"/>
          </w:tcPr>
          <w:p>
            <w:pPr>
              <w:pStyle w:val="TableContents"/>
              <w:spacing w:before="0" w:after="0"/>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76" w:type="dxa"/>
            <w:tcBorders/>
            <w:shd w:fill="auto" w:val="clear"/>
            <w:vAlign w:val="center"/>
          </w:tcPr>
          <w:p>
            <w:pPr>
              <w:pStyle w:val="TableContents"/>
              <w:spacing w:before="0" w:after="0"/>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30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476" w:type="dxa"/>
            <w:tcBorders/>
            <w:shd w:fill="CCEEFF" w:val="clear"/>
            <w:vAlign w:val="center"/>
          </w:tcPr>
          <w:p>
            <w:pPr>
              <w:pStyle w:val="TableContents"/>
              <w:spacing w:before="0" w:after="0"/>
              <w:ind w:left="0" w:right="0" w:hanging="0"/>
              <w:rPr/>
            </w:pPr>
            <w:r>
              <w:rPr/>
              <w:t>​</w:t>
            </w:r>
          </w:p>
        </w:tc>
        <w:tc>
          <w:tcPr>
            <w:tcW w:w="30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spacing w:before="0" w:after="0"/>
              <w:ind w:left="0" w:right="0" w:hanging="0"/>
              <w:rPr/>
            </w:pPr>
            <w:r>
              <w:rPr/>
              <w:t> </w:t>
            </w:r>
          </w:p>
        </w:tc>
        <w:tc>
          <w:tcPr>
            <w:tcW w:w="8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decrease in cost of revenues for the year ended December 31, 2022 was due to a reduction in royalties of $4.4 million, including a decrease in </w:t>
      </w:r>
      <w:r>
        <w:rPr>
          <w:rFonts w:ascii="Times New Roman;Times;serif" w:hAnsi="Times New Roman;Times;serif"/>
          <w:i/>
          <w:sz w:val="20"/>
        </w:rPr>
        <w:t>ARK</w:t>
      </w:r>
      <w:r>
        <w:rPr>
          <w:rFonts w:ascii="Times New Roman;Times;serif" w:hAnsi="Times New Roman;Times;serif"/>
          <w:sz w:val="20"/>
        </w:rPr>
        <w:t xml:space="preserve"> related royalties of $4.0 million, a decrease in merchant fees of $1.4 million, commensurate with the decrease in </w:t>
      </w:r>
      <w:r>
        <w:rPr>
          <w:rFonts w:ascii="Times New Roman;Times;serif" w:hAnsi="Times New Roman;Times;serif"/>
          <w:i/>
          <w:sz w:val="20"/>
        </w:rPr>
        <w:t>ARK</w:t>
      </w:r>
      <w:r>
        <w:rPr>
          <w:rFonts w:ascii="Times New Roman;Times;serif" w:hAnsi="Times New Roman;Times;serif"/>
          <w:sz w:val="20"/>
        </w:rPr>
        <w:t xml:space="preserve"> sales, and a decrease in engine fees of $1.1 million. The Company also reported a decrease in license and amortization cost of $7.7 million due to a lower amortizable base that is the result of the age of certain licenses and the impairment of the </w:t>
      </w:r>
      <w:r>
        <w:rPr>
          <w:rFonts w:ascii="Times New Roman;Times;serif" w:hAnsi="Times New Roman;Times;serif"/>
          <w:i/>
          <w:sz w:val="20"/>
        </w:rPr>
        <w:t>Atlas</w:t>
      </w:r>
      <w:r>
        <w:rPr>
          <w:rFonts w:ascii="Times New Roman;Times;serif" w:hAnsi="Times New Roman;Times;serif"/>
          <w:sz w:val="20"/>
        </w:rPr>
        <w:t xml:space="preserve"> license in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for the year ended December 31, 2022 increased by $5.9 million, or 36.2%, compared to the year ended December 31, 2021. The increase in general and administrative expenses was primarily due to increased legal costs related to the </w:t>
      </w:r>
      <w:r>
        <w:rPr>
          <w:rFonts w:ascii="Times New Roman;Times;serif" w:hAnsi="Times New Roman;Times;serif"/>
          <w:i/>
          <w:sz w:val="20"/>
        </w:rPr>
        <w:t>Angela Games</w:t>
      </w:r>
      <w:r>
        <w:rPr>
          <w:rFonts w:ascii="Times New Roman;Times;serif" w:hAnsi="Times New Roman;Times;serif"/>
          <w:sz w:val="20"/>
        </w:rPr>
        <w:t xml:space="preserve"> litigation of $4.9 million, increased accounting and advisory costs related to the Company’s IPO and continued compliance of $0.5 million, and increased tax preparation and related services of $0.7 million, of which $0.6 million is a contingent fee incurred in connection with the $2.5 million tax refund received in 2022. The Company’s salaries and wages increased by $2.0 million and office expenses increased by $0.3 million in 2022 due to higher salaries and growth of the Company. These increases were partially offset by a reduction in contractors expense of $1.4 million due to the reduced activities in our subsidiary BTBX.IO.</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for the year ended December 31, 2022 increased by $2.1 million, or 254.0%, compared to the year ended December 31, 2021. The increase in research and development expenses was primarily due to additional development of the Company’s </w:t>
      </w:r>
      <w:r>
        <w:rPr>
          <w:rFonts w:ascii="Times New Roman;Times;serif" w:hAnsi="Times New Roman;Times;serif"/>
          <w:i/>
          <w:sz w:val="20"/>
        </w:rPr>
        <w:t xml:space="preserve">Atlas </w:t>
      </w:r>
      <w:r>
        <w:rPr>
          <w:rFonts w:ascii="Times New Roman;Times;serif" w:hAnsi="Times New Roman;Times;serif"/>
          <w:sz w:val="20"/>
        </w:rPr>
        <w:t>title in 2022.</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Advertising and marketing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Advertising and marketing expenses for the year ended December 31, 2022 increased by $0.4 million, or 159.5%, compared to the year ended December 31, 2021. The increase in advertising and marketing expenses was primarily due to the Company’s participation in the Gamesbeat summit in 2022 and increased advertising for the newly launched </w:t>
      </w:r>
      <w:r>
        <w:rPr>
          <w:rFonts w:ascii="Times New Roman;Times;serif" w:hAnsi="Times New Roman;Times;serif"/>
          <w:i/>
          <w:sz w:val="20"/>
        </w:rPr>
        <w:t xml:space="preserve">Expedition Agartha </w:t>
      </w:r>
      <w:r>
        <w:rPr>
          <w:rFonts w:ascii="Times New Roman;Times;serif" w:hAnsi="Times New Roman;Times;serif"/>
          <w:sz w:val="20"/>
        </w:rPr>
        <w:t xml:space="preserve">and </w:t>
      </w:r>
      <w:r>
        <w:rPr>
          <w:rFonts w:ascii="Times New Roman;Times;serif" w:hAnsi="Times New Roman;Times;serif"/>
          <w:i/>
          <w:sz w:val="20"/>
        </w:rPr>
        <w:t>West Hunt</w:t>
      </w:r>
      <w:r>
        <w:rPr>
          <w:rFonts w:ascii="Times New Roman;Times;serif" w:hAnsi="Times New Roman;Times;serif"/>
          <w:sz w:val="20"/>
        </w:rPr>
        <w:t xml:space="preserve"> titles in 2022.</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Depreciation and amortization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expenses for the year ended December 31, 2022 decreased by $0.2 million, or 29.2%, compared to the year ended December 31, 2021. The decrease in depreciation and amortization expenses was primarily due to a termination of a lease and reduction in leasehold improvements amortization expense in 2022.</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Other Factors Affecting Net Income</w:t>
      </w:r>
    </w:p>
    <w:p>
      <w:pPr>
        <w:pStyle w:val="TextBody"/>
        <w:spacing w:before="0" w:after="0"/>
        <w:ind w:left="0" w:right="0" w:hanging="0"/>
        <w:jc w:val="both"/>
        <w:rPr/>
      </w:pPr>
      <w:r>
        <w:rPr/>
        <w:t>​</w:t>
      </w:r>
    </w:p>
    <w:tbl>
      <w:tblPr>
        <w:tblW w:w="8706" w:type="dxa"/>
        <w:jc w:val="left"/>
        <w:tblInd w:w="0" w:type="dxa"/>
        <w:tblCellMar>
          <w:top w:w="0" w:type="dxa"/>
          <w:left w:w="0" w:type="dxa"/>
          <w:bottom w:w="0" w:type="dxa"/>
          <w:right w:w="0" w:type="dxa"/>
        </w:tblCellMar>
      </w:tblPr>
      <w:tblGrid>
        <w:gridCol w:w="3286"/>
        <w:gridCol w:w="326"/>
        <w:gridCol w:w="303"/>
        <w:gridCol w:w="692"/>
        <w:gridCol w:w="469"/>
        <w:gridCol w:w="303"/>
        <w:gridCol w:w="692"/>
        <w:gridCol w:w="326"/>
        <w:gridCol w:w="265"/>
        <w:gridCol w:w="531"/>
        <w:gridCol w:w="326"/>
        <w:gridCol w:w="871"/>
        <w:gridCol w:w="316"/>
      </w:tblGrid>
      <w:tr>
        <w:trPr/>
        <w:tc>
          <w:tcPr>
            <w:tcW w:w="32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86610" cy="175260"/>
                      <wp:effectExtent l="0" t="0" r="0" b="0"/>
                      <wp:wrapNone/>
                      <wp:docPr id="90" name="Frame89"/>
                      <a:graphic xmlns:a="http://schemas.openxmlformats.org/drawingml/2006/main">
                        <a:graphicData uri="http://schemas.microsoft.com/office/word/2010/wordprocessingShape">
                          <wps:wsp>
                            <wps:cNvSpPr txBox="1"/>
                            <wps:spPr>
                              <a:xfrm>
                                <a:off x="0" y="0"/>
                                <a:ext cx="2086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92405" cy="175260"/>
                      <wp:effectExtent l="0" t="0" r="0" b="0"/>
                      <wp:wrapNone/>
                      <wp:docPr id="92" name="Frame91"/>
                      <a:graphic xmlns:a="http://schemas.openxmlformats.org/drawingml/2006/main">
                        <a:graphicData uri="http://schemas.microsoft.com/office/word/2010/wordprocessingShape">
                          <wps:wsp>
                            <wps:cNvSpPr txBox="1"/>
                            <wps:spPr>
                              <a:xfrm>
                                <a:off x="0" y="0"/>
                                <a:ext cx="1924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39420" cy="175260"/>
                      <wp:effectExtent l="0" t="0" r="0" b="0"/>
                      <wp:wrapNone/>
                      <wp:docPr id="93" name="Frame92"/>
                      <a:graphic xmlns:a="http://schemas.openxmlformats.org/drawingml/2006/main">
                        <a:graphicData uri="http://schemas.microsoft.com/office/word/2010/wordprocessingShape">
                          <wps:wsp>
                            <wps:cNvSpPr txBox="1"/>
                            <wps:spPr>
                              <a:xfrm>
                                <a:off x="0" y="0"/>
                                <a:ext cx="439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97815" cy="175260"/>
                      <wp:effectExtent l="0" t="0" r="0" b="0"/>
                      <wp:wrapNone/>
                      <wp:docPr id="94" name="Frame93"/>
                      <a:graphic xmlns:a="http://schemas.openxmlformats.org/drawingml/2006/main">
                        <a:graphicData uri="http://schemas.microsoft.com/office/word/2010/wordprocessingShape">
                          <wps:wsp>
                            <wps:cNvSpPr txBox="1"/>
                            <wps:spPr>
                              <a:xfrm>
                                <a:off x="0" y="0"/>
                                <a:ext cx="2978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2405" cy="175260"/>
                      <wp:effectExtent l="0" t="0" r="0" b="0"/>
                      <wp:wrapNone/>
                      <wp:docPr id="95" name="Frame94"/>
                      <a:graphic xmlns:a="http://schemas.openxmlformats.org/drawingml/2006/main">
                        <a:graphicData uri="http://schemas.microsoft.com/office/word/2010/wordprocessingShape">
                          <wps:wsp>
                            <wps:cNvSpPr txBox="1"/>
                            <wps:spPr>
                              <a:xfrm>
                                <a:off x="0" y="0"/>
                                <a:ext cx="1924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39420" cy="175260"/>
                      <wp:effectExtent l="0" t="0" r="0" b="0"/>
                      <wp:wrapNone/>
                      <wp:docPr id="96" name="Frame95"/>
                      <a:graphic xmlns:a="http://schemas.openxmlformats.org/drawingml/2006/main">
                        <a:graphicData uri="http://schemas.microsoft.com/office/word/2010/wordprocessingShape">
                          <wps:wsp>
                            <wps:cNvSpPr txBox="1"/>
                            <wps:spPr>
                              <a:xfrm>
                                <a:off x="0" y="0"/>
                                <a:ext cx="439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7" name="Frame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8275" cy="175260"/>
                      <wp:effectExtent l="0" t="0" r="0" b="0"/>
                      <wp:wrapNone/>
                      <wp:docPr id="98" name="Frame97"/>
                      <a:graphic xmlns:a="http://schemas.openxmlformats.org/drawingml/2006/main">
                        <a:graphicData uri="http://schemas.microsoft.com/office/word/2010/wordprocessingShape">
                          <wps:wsp>
                            <wps:cNvSpPr txBox="1"/>
                            <wps:spPr>
                              <a:xfrm>
                                <a:off x="0" y="0"/>
                                <a:ext cx="168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37185" cy="175260"/>
                      <wp:effectExtent l="0" t="0" r="0" b="0"/>
                      <wp:wrapNone/>
                      <wp:docPr id="99" name="Frame98"/>
                      <a:graphic xmlns:a="http://schemas.openxmlformats.org/drawingml/2006/main">
                        <a:graphicData uri="http://schemas.microsoft.com/office/word/2010/wordprocessingShape">
                          <wps:wsp>
                            <wps:cNvSpPr txBox="1"/>
                            <wps:spPr>
                              <a:xfrm>
                                <a:off x="0" y="0"/>
                                <a:ext cx="337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53085" cy="175260"/>
                      <wp:effectExtent l="0" t="0" r="0" b="0"/>
                      <wp:wrapNone/>
                      <wp:docPr id="101" name="Frame100"/>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0660" cy="175260"/>
                      <wp:effectExtent l="0" t="0" r="0" b="0"/>
                      <wp:wrapNone/>
                      <wp:docPr id="102" name="Frame10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5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years ended December 31,</w:t>
            </w:r>
          </w:p>
        </w:tc>
        <w:tc>
          <w:tcPr>
            <w:tcW w:w="326" w:type="dxa"/>
            <w:tcBorders/>
            <w:shd w:fill="auto" w:val="clear"/>
            <w:vAlign w:val="center"/>
          </w:tcPr>
          <w:p>
            <w:pPr>
              <w:pStyle w:val="TableContents"/>
              <w:spacing w:before="0" w:after="0"/>
              <w:ind w:left="0" w:right="0" w:hanging="0"/>
              <w:jc w:val="center"/>
              <w:rPr/>
            </w:pPr>
            <w:r>
              <w:rPr/>
              <w:t>​</w:t>
            </w:r>
          </w:p>
        </w:tc>
        <w:tc>
          <w:tcPr>
            <w:tcW w:w="265" w:type="dxa"/>
            <w:tcBorders/>
            <w:shd w:fill="auto" w:val="clear"/>
            <w:vAlign w:val="center"/>
          </w:tcPr>
          <w:p>
            <w:pPr>
              <w:pStyle w:val="TableContents"/>
              <w:spacing w:before="0" w:after="0"/>
              <w:ind w:left="0" w:right="0" w:hanging="0"/>
              <w:rPr/>
            </w:pPr>
            <w:r>
              <w:rPr/>
              <w:t>​</w:t>
            </w:r>
          </w:p>
        </w:tc>
        <w:tc>
          <w:tcPr>
            <w:tcW w:w="5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w:t>
            </w:r>
          </w:p>
        </w:tc>
      </w:tr>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69" w:type="dxa"/>
            <w:tcBorders/>
            <w:shd w:fill="auto" w:val="clear"/>
            <w:vAlign w:val="center"/>
          </w:tcPr>
          <w:p>
            <w:pPr>
              <w:pStyle w:val="TableContents"/>
              <w:spacing w:before="0" w:after="0"/>
              <w:ind w:left="0" w:right="0" w:hanging="0"/>
              <w:jc w:val="center"/>
              <w:rPr/>
            </w:pPr>
            <w:r>
              <w:rPr/>
              <w:t>    </w:t>
            </w:r>
          </w:p>
        </w:tc>
        <w:tc>
          <w:tcPr>
            <w:tcW w:w="9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shd w:fill="auto" w:val="clear"/>
            <w:vAlign w:val="center"/>
          </w:tcPr>
          <w:p>
            <w:pPr>
              <w:pStyle w:val="TableContents"/>
              <w:spacing w:before="0" w:after="0"/>
              <w:ind w:left="0" w:right="0" w:hanging="0"/>
              <w:rPr/>
            </w:pPr>
            <w:r>
              <w:rPr/>
              <w:t> </w:t>
            </w:r>
          </w:p>
        </w:tc>
      </w:tr>
      <w:tr>
        <w:trPr/>
        <w:tc>
          <w:tcPr>
            <w:tcW w:w="8706"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778"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16" w:type="dxa"/>
            <w:tcBorders/>
            <w:shd w:fill="auto" w:val="clear"/>
            <w:vAlign w:val="center"/>
          </w:tcPr>
          <w:p>
            <w:pPr>
              <w:pStyle w:val="TableContents"/>
              <w:spacing w:before="0" w:after="0"/>
              <w:ind w:left="0" w:right="0" w:hanging="0"/>
              <w:rPr/>
            </w:pPr>
            <w:r>
              <w:rPr/>
              <w:t> </w:t>
            </w:r>
          </w:p>
        </w:tc>
      </w:tr>
      <w:tr>
        <w:trPr/>
        <w:tc>
          <w:tcPr>
            <w:tcW w:w="32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0"/>
              <w:ind w:left="0" w:right="0" w:hanging="0"/>
              <w:rPr/>
            </w:pPr>
            <w:r>
              <w:rPr/>
              <w:t>    </w:t>
            </w:r>
          </w:p>
        </w:tc>
        <w:tc>
          <w:tcPr>
            <w:tcW w:w="30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69" w:type="dxa"/>
            <w:tcBorders/>
            <w:shd w:fill="CCEEFF" w:val="clear"/>
            <w:vAlign w:val="center"/>
          </w:tcPr>
          <w:p>
            <w:pPr>
              <w:pStyle w:val="TableContents"/>
              <w:spacing w:before="0" w:after="0"/>
              <w:ind w:left="0" w:right="0" w:hanging="0"/>
              <w:rPr/>
            </w:pPr>
            <w:r>
              <w:rPr/>
              <w:t>    </w:t>
            </w:r>
          </w:p>
        </w:tc>
        <w:tc>
          <w:tcPr>
            <w:tcW w:w="30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    </w:t>
            </w:r>
          </w:p>
        </w:tc>
        <w:tc>
          <w:tcPr>
            <w:tcW w:w="2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 related parties</w:t>
            </w:r>
          </w:p>
        </w:tc>
        <w:tc>
          <w:tcPr>
            <w:tcW w:w="326"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pPr>
            <w:r>
              <w:rPr/>
              <w:t> </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69"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pPr>
            <w:r>
              <w:rPr/>
              <w:t> </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auto" w:val="clear"/>
            <w:vAlign w:val="center"/>
          </w:tcPr>
          <w:p>
            <w:pPr>
              <w:pStyle w:val="TableContents"/>
              <w:spacing w:before="0" w:after="0"/>
              <w:ind w:left="0" w:right="0" w:hanging="0"/>
              <w:rPr/>
            </w:pPr>
            <w:r>
              <w:rPr/>
              <w:t>​</w:t>
            </w:r>
          </w:p>
        </w:tc>
        <w:tc>
          <w:tcPr>
            <w:tcW w:w="265" w:type="dxa"/>
            <w:tcBorders/>
            <w:shd w:fill="auto" w:val="clear"/>
            <w:vAlign w:val="center"/>
          </w:tcPr>
          <w:p>
            <w:pPr>
              <w:pStyle w:val="TableContents"/>
              <w:spacing w:before="0" w:after="0"/>
              <w:ind w:left="0" w:right="0" w:hanging="0"/>
              <w:rPr/>
            </w:pPr>
            <w:r>
              <w:rPr/>
              <w:t> </w:t>
            </w:r>
          </w:p>
        </w:tc>
        <w:tc>
          <w:tcPr>
            <w:tcW w:w="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303" w:type="dxa"/>
            <w:tcBorders/>
            <w:shd w:fill="CCEEFF" w:val="clear"/>
            <w:vAlign w:val="center"/>
          </w:tcPr>
          <w:p>
            <w:pPr>
              <w:pStyle w:val="TableContents"/>
              <w:spacing w:before="0" w:after="0"/>
              <w:ind w:left="0" w:right="0" w:hanging="0"/>
              <w:rPr/>
            </w:pPr>
            <w:r>
              <w:rPr/>
              <w:t> </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69" w:type="dxa"/>
            <w:tcBorders/>
            <w:shd w:fill="CCEEFF" w:val="clear"/>
            <w:vAlign w:val="center"/>
          </w:tcPr>
          <w:p>
            <w:pPr>
              <w:pStyle w:val="TableContents"/>
              <w:spacing w:before="0" w:after="0"/>
              <w:ind w:left="0" w:right="0" w:hanging="0"/>
              <w:rPr/>
            </w:pPr>
            <w:r>
              <w:rPr/>
              <w:t>​</w:t>
            </w:r>
          </w:p>
        </w:tc>
        <w:tc>
          <w:tcPr>
            <w:tcW w:w="303" w:type="dxa"/>
            <w:tcBorders/>
            <w:shd w:fill="CCEEFF" w:val="clear"/>
            <w:vAlign w:val="center"/>
          </w:tcPr>
          <w:p>
            <w:pPr>
              <w:pStyle w:val="TableContents"/>
              <w:spacing w:before="0" w:after="0"/>
              <w:ind w:left="0" w:right="0" w:hanging="0"/>
              <w:rPr/>
            </w:pPr>
            <w:r>
              <w:rPr/>
              <w:t> </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spacing w:before="0" w:after="0"/>
              <w:ind w:left="0" w:right="0" w:hanging="0"/>
              <w:rPr/>
            </w:pPr>
            <w:r>
              <w:rPr/>
              <w:t>​</w:t>
            </w:r>
          </w:p>
        </w:tc>
        <w:tc>
          <w:tcPr>
            <w:tcW w:w="265" w:type="dxa"/>
            <w:tcBorders/>
            <w:shd w:fill="CCEEFF" w:val="clear"/>
            <w:vAlign w:val="center"/>
          </w:tcPr>
          <w:p>
            <w:pPr>
              <w:pStyle w:val="TableContents"/>
              <w:spacing w:before="0" w:after="0"/>
              <w:ind w:left="0" w:right="0" w:hanging="0"/>
              <w:rPr/>
            </w:pPr>
            <w:r>
              <w:rPr/>
              <w:t> </w:t>
            </w:r>
          </w:p>
        </w:tc>
        <w:tc>
          <w:tcPr>
            <w:tcW w:w="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w:t>
            </w:r>
          </w:p>
        </w:tc>
        <w:tc>
          <w:tcPr>
            <w:tcW w:w="326"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pPr>
            <w:r>
              <w:rPr/>
              <w:t> </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69"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pPr>
            <w:r>
              <w:rPr/>
              <w:t> </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auto" w:val="clear"/>
            <w:vAlign w:val="center"/>
          </w:tcPr>
          <w:p>
            <w:pPr>
              <w:pStyle w:val="TableContents"/>
              <w:spacing w:before="0" w:after="0"/>
              <w:ind w:left="0" w:right="0" w:hanging="0"/>
              <w:rPr/>
            </w:pPr>
            <w:r>
              <w:rPr/>
              <w:t>​</w:t>
            </w:r>
          </w:p>
        </w:tc>
        <w:tc>
          <w:tcPr>
            <w:tcW w:w="265" w:type="dxa"/>
            <w:tcBorders/>
            <w:shd w:fill="auto" w:val="clear"/>
            <w:vAlign w:val="center"/>
          </w:tcPr>
          <w:p>
            <w:pPr>
              <w:pStyle w:val="TableContents"/>
              <w:spacing w:before="0" w:after="0"/>
              <w:ind w:left="0" w:right="0" w:hanging="0"/>
              <w:rPr/>
            </w:pPr>
            <w:r>
              <w:rPr/>
              <w:t> </w:t>
            </w:r>
          </w:p>
        </w:tc>
        <w:tc>
          <w:tcPr>
            <w:tcW w:w="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 loss of unconsolidated entity</w:t>
            </w:r>
          </w:p>
        </w:tc>
        <w:tc>
          <w:tcPr>
            <w:tcW w:w="326" w:type="dxa"/>
            <w:tcBorders/>
            <w:shd w:fill="CCEEFF" w:val="clear"/>
            <w:vAlign w:val="center"/>
          </w:tcPr>
          <w:p>
            <w:pPr>
              <w:pStyle w:val="TableContents"/>
              <w:spacing w:before="0" w:after="0"/>
              <w:ind w:left="0" w:right="0" w:hanging="0"/>
              <w:rPr/>
            </w:pPr>
            <w:r>
              <w:rPr/>
              <w:t>​</w:t>
            </w:r>
          </w:p>
        </w:tc>
        <w:tc>
          <w:tcPr>
            <w:tcW w:w="303" w:type="dxa"/>
            <w:tcBorders/>
            <w:shd w:fill="CCEEFF" w:val="clear"/>
            <w:vAlign w:val="center"/>
          </w:tcPr>
          <w:p>
            <w:pPr>
              <w:pStyle w:val="TableContents"/>
              <w:spacing w:before="0" w:after="0"/>
              <w:ind w:left="0" w:right="0" w:hanging="0"/>
              <w:rPr/>
            </w:pPr>
            <w:r>
              <w:rPr/>
              <w:t> </w:t>
            </w:r>
          </w:p>
        </w:tc>
        <w:tc>
          <w:tcPr>
            <w:tcW w:w="692" w:type="dxa"/>
            <w:tcBorders/>
            <w:shd w:fill="CCEEFF" w:val="clear"/>
            <w:vAlign w:val="center"/>
          </w:tcPr>
          <w:p>
            <w:pPr>
              <w:pStyle w:val="TableContents"/>
              <w:spacing w:before="0" w:after="0"/>
              <w:ind w:left="0" w:right="0" w:hanging="0"/>
              <w:jc w:val="right"/>
              <w:rPr/>
            </w:pPr>
            <w:r>
              <w:rPr/>
              <w:t>—</w:t>
            </w:r>
          </w:p>
        </w:tc>
        <w:tc>
          <w:tcPr>
            <w:tcW w:w="469" w:type="dxa"/>
            <w:tcBorders/>
            <w:shd w:fill="CCEEFF" w:val="clear"/>
            <w:vAlign w:val="center"/>
          </w:tcPr>
          <w:p>
            <w:pPr>
              <w:pStyle w:val="TableContents"/>
              <w:spacing w:before="0" w:after="0"/>
              <w:ind w:left="0" w:right="0" w:hanging="0"/>
              <w:rPr/>
            </w:pPr>
            <w:r>
              <w:rPr/>
              <w:t>​</w:t>
            </w:r>
          </w:p>
        </w:tc>
        <w:tc>
          <w:tcPr>
            <w:tcW w:w="303" w:type="dxa"/>
            <w:tcBorders/>
            <w:shd w:fill="CCEEFF" w:val="clear"/>
            <w:vAlign w:val="center"/>
          </w:tcPr>
          <w:p>
            <w:pPr>
              <w:pStyle w:val="TableContents"/>
              <w:spacing w:before="0" w:after="0"/>
              <w:ind w:left="0" w:right="0" w:hanging="0"/>
              <w:rPr/>
            </w:pPr>
            <w:r>
              <w:rPr/>
              <w:t> </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spacing w:before="0" w:after="0"/>
              <w:ind w:left="0" w:right="0" w:hanging="0"/>
              <w:rPr/>
            </w:pPr>
            <w:r>
              <w:rPr/>
              <w:t>​</w:t>
            </w:r>
          </w:p>
        </w:tc>
        <w:tc>
          <w:tcPr>
            <w:tcW w:w="265" w:type="dxa"/>
            <w:tcBorders/>
            <w:shd w:fill="CCEEFF" w:val="clear"/>
            <w:vAlign w:val="center"/>
          </w:tcPr>
          <w:p>
            <w:pPr>
              <w:pStyle w:val="TableContents"/>
              <w:spacing w:before="0" w:after="0"/>
              <w:ind w:left="0" w:right="0" w:hanging="0"/>
              <w:rPr/>
            </w:pPr>
            <w:r>
              <w:rPr/>
              <w:t> </w:t>
            </w:r>
          </w:p>
        </w:tc>
        <w:tc>
          <w:tcPr>
            <w:tcW w:w="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provision (benefit)</w:t>
            </w:r>
          </w:p>
        </w:tc>
        <w:tc>
          <w:tcPr>
            <w:tcW w:w="326"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pPr>
            <w:r>
              <w:rPr/>
              <w:t> </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69"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pPr>
            <w:r>
              <w:rPr/>
              <w:t> </w:t>
            </w:r>
          </w:p>
        </w:tc>
        <w:tc>
          <w:tcPr>
            <w:tcW w:w="6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0"/>
              <w:ind w:left="0" w:right="0" w:hanging="0"/>
              <w:rPr/>
            </w:pPr>
            <w:r>
              <w:rPr/>
              <w:t>​</w:t>
            </w:r>
          </w:p>
        </w:tc>
        <w:tc>
          <w:tcPr>
            <w:tcW w:w="265" w:type="dxa"/>
            <w:tcBorders/>
            <w:shd w:fill="auto" w:val="clear"/>
            <w:vAlign w:val="center"/>
          </w:tcPr>
          <w:p>
            <w:pPr>
              <w:pStyle w:val="TableContents"/>
              <w:spacing w:before="0" w:after="0"/>
              <w:ind w:left="0" w:right="0" w:hanging="0"/>
              <w:rPr/>
            </w:pPr>
            <w:r>
              <w:rPr/>
              <w:t> </w:t>
            </w:r>
          </w:p>
        </w:tc>
        <w:tc>
          <w:tcPr>
            <w:tcW w:w="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(237.1)</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Interest income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in the year ended December 31, 2022 primarily related to deposits with third-party financial institutions, while interest income — related parties stemmed from the interest charged on the shareholder loan.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 related parties were $0.6 million, and $1.6 million for the years ended December 31, 2022 and 2021, respectively. The decrease was due to the distribution of the Shi Loan to Suzhou Snail in April 2022.</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Interest expense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primarily related to our outstanding indebtedness with our third-party lenders. Interest expense increased by $0.5 million for the year ended December 31, 2022 as a result of interest charges on the short-term note issued in January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Income tax provision (benefit)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had an income tax benefit of ($2.4) million for the year ended December 31, 2022 and a provision of $1.8 million for the year ended December 31, 2021 representing a decrease of $4.2 million. Our effective income tax rate was 168.5% and 18.3% for the years ended December 31, 2022 and 2021, respectively.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Capital spending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Liquidity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sources of liquidity are the cash flows generated from our operations, that are currently available unrestricted cash. Our unrestricted cash was $12.9 million and $10.2 million as of December 31, 2022 and 2021,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restricted cash and cash equivalents were $6.4 million and $6.4 million as of December 31, 2022 and 2021, respectively. Our restricted cash primarily consists of time deposits, and is used as security for certain of our debt instruments and to secure standby letters of credit with certain of our landlords.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Cash flows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present a summary of our cash flows for the periods indicated (in millions):</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5078"/>
        <w:gridCol w:w="326"/>
        <w:gridCol w:w="257"/>
        <w:gridCol w:w="562"/>
        <w:gridCol w:w="397"/>
        <w:gridCol w:w="257"/>
        <w:gridCol w:w="690"/>
        <w:gridCol w:w="326"/>
        <w:gridCol w:w="211"/>
        <w:gridCol w:w="585"/>
        <w:gridCol w:w="326"/>
        <w:gridCol w:w="871"/>
        <w:gridCol w:w="319"/>
      </w:tblGrid>
      <w:tr>
        <w:trPr/>
        <w:tc>
          <w:tcPr>
            <w:tcW w:w="50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224530" cy="175260"/>
                      <wp:effectExtent l="0" t="0" r="0" b="0"/>
                      <wp:wrapNone/>
                      <wp:docPr id="103" name="Frame102"/>
                      <a:graphic xmlns:a="http://schemas.openxmlformats.org/drawingml/2006/main">
                        <a:graphicData uri="http://schemas.microsoft.com/office/word/2010/wordprocessingShape">
                          <wps:wsp>
                            <wps:cNvSpPr txBox="1"/>
                            <wps:spPr>
                              <a:xfrm>
                                <a:off x="0" y="0"/>
                                <a:ext cx="3224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4" name="Frame1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63195" cy="175260"/>
                      <wp:effectExtent l="0" t="0" r="0" b="0"/>
                      <wp:wrapNone/>
                      <wp:docPr id="105" name="Frame104"/>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56870" cy="175260"/>
                      <wp:effectExtent l="0" t="0" r="0" b="0"/>
                      <wp:wrapNone/>
                      <wp:docPr id="106" name="Frame105"/>
                      <a:graphic xmlns:a="http://schemas.openxmlformats.org/drawingml/2006/main">
                        <a:graphicData uri="http://schemas.microsoft.com/office/word/2010/wordprocessingShape">
                          <wps:wsp>
                            <wps:cNvSpPr txBox="1"/>
                            <wps:spPr>
                              <a:xfrm>
                                <a:off x="0" y="0"/>
                                <a:ext cx="356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52095" cy="175260"/>
                      <wp:effectExtent l="0" t="0" r="0" b="0"/>
                      <wp:wrapNone/>
                      <wp:docPr id="107" name="Frame106"/>
                      <a:graphic xmlns:a="http://schemas.openxmlformats.org/drawingml/2006/main">
                        <a:graphicData uri="http://schemas.microsoft.com/office/word/2010/wordprocessingShape">
                          <wps:wsp>
                            <wps:cNvSpPr txBox="1"/>
                            <wps:spPr>
                              <a:xfrm>
                                <a:off x="0" y="0"/>
                                <a:ext cx="252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3195" cy="175260"/>
                      <wp:effectExtent l="0" t="0" r="0" b="0"/>
                      <wp:wrapNone/>
                      <wp:docPr id="108" name="Frame107"/>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8150" cy="175260"/>
                      <wp:effectExtent l="0" t="0" r="0" b="0"/>
                      <wp:wrapNone/>
                      <wp:docPr id="109" name="Frame108"/>
                      <a:graphic xmlns:a="http://schemas.openxmlformats.org/drawingml/2006/main">
                        <a:graphicData uri="http://schemas.microsoft.com/office/word/2010/wordprocessingShape">
                          <wps:wsp>
                            <wps:cNvSpPr txBox="1"/>
                            <wps:spPr>
                              <a:xfrm>
                                <a:off x="0" y="0"/>
                                <a:ext cx="438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1" name="Frame1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71475" cy="175260"/>
                      <wp:effectExtent l="0" t="0" r="0" b="0"/>
                      <wp:wrapNone/>
                      <wp:docPr id="112" name="Frame111"/>
                      <a:graphic xmlns:a="http://schemas.openxmlformats.org/drawingml/2006/main">
                        <a:graphicData uri="http://schemas.microsoft.com/office/word/2010/wordprocessingShape">
                          <wps:wsp>
                            <wps:cNvSpPr txBox="1"/>
                            <wps:spPr>
                              <a:xfrm>
                                <a:off x="0" y="0"/>
                                <a:ext cx="3714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53085" cy="175260"/>
                      <wp:effectExtent l="0" t="0" r="0" b="0"/>
                      <wp:wrapNone/>
                      <wp:docPr id="114" name="Frame113"/>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2565" cy="175260"/>
                      <wp:effectExtent l="0" t="0" r="0" b="0"/>
                      <wp:wrapNone/>
                      <wp:docPr id="115" name="Frame114"/>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07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6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years ended December 31,</w:t>
            </w:r>
          </w:p>
        </w:tc>
        <w:tc>
          <w:tcPr>
            <w:tcW w:w="326" w:type="dxa"/>
            <w:tcBorders/>
            <w:shd w:fill="auto" w:val="clear"/>
            <w:vAlign w:val="center"/>
          </w:tcPr>
          <w:p>
            <w:pPr>
              <w:pStyle w:val="TableContents"/>
              <w:spacing w:before="0" w:after="0"/>
              <w:ind w:left="0" w:right="0" w:hanging="0"/>
              <w:jc w:val="center"/>
              <w:rPr/>
            </w:pPr>
            <w:r>
              <w:rPr/>
              <w:t>​</w:t>
            </w:r>
          </w:p>
        </w:tc>
        <w:tc>
          <w:tcPr>
            <w:tcW w:w="1993" w:type="dxa"/>
            <w:gridSpan w:val="4"/>
            <w:tcBorders/>
            <w:shd w:fill="auto" w:val="clear"/>
            <w:vAlign w:val="center"/>
          </w:tcPr>
          <w:p>
            <w:pPr>
              <w:pStyle w:val="TableContents"/>
              <w:spacing w:before="0" w:after="0"/>
              <w:ind w:left="0" w:right="0" w:hanging="0"/>
              <w:jc w:val="center"/>
              <w:rPr/>
            </w:pPr>
            <w:r>
              <w:rPr/>
              <w:t>​</w:t>
            </w:r>
          </w:p>
        </w:tc>
        <w:tc>
          <w:tcPr>
            <w:tcW w:w="319" w:type="dxa"/>
            <w:tcBorders/>
            <w:shd w:fill="auto" w:val="clear"/>
            <w:vAlign w:val="center"/>
          </w:tcPr>
          <w:p>
            <w:pPr>
              <w:pStyle w:val="TableContents"/>
              <w:spacing w:before="0" w:after="0"/>
              <w:ind w:left="0" w:right="0" w:hanging="0"/>
              <w:rPr/>
            </w:pPr>
            <w:r>
              <w:rPr/>
              <w:t> </w:t>
            </w:r>
          </w:p>
        </w:tc>
      </w:tr>
      <w:tr>
        <w:trPr/>
        <w:tc>
          <w:tcPr>
            <w:tcW w:w="507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97"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9" w:type="dxa"/>
            <w:tcBorders/>
            <w:shd w:fill="auto" w:val="clear"/>
            <w:vAlign w:val="center"/>
          </w:tcPr>
          <w:p>
            <w:pPr>
              <w:pStyle w:val="TableContents"/>
              <w:spacing w:before="0" w:after="0"/>
              <w:ind w:left="0" w:right="0" w:hanging="0"/>
              <w:rPr/>
            </w:pPr>
            <w:r>
              <w:rPr/>
              <w:t> </w:t>
            </w:r>
          </w:p>
        </w:tc>
      </w:tr>
      <w:tr>
        <w:trPr/>
        <w:tc>
          <w:tcPr>
            <w:tcW w:w="1020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507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82" w:type="dxa"/>
            <w:gridSpan w:val="1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19" w:type="dxa"/>
            <w:tcBorders/>
            <w:shd w:fill="auto" w:val="clear"/>
            <w:vAlign w:val="center"/>
          </w:tcPr>
          <w:p>
            <w:pPr>
              <w:pStyle w:val="TableContents"/>
              <w:spacing w:before="0" w:after="0"/>
              <w:ind w:left="0" w:right="0" w:hanging="0"/>
              <w:rPr/>
            </w:pPr>
            <w:r>
              <w:rPr/>
              <w:t> </w:t>
            </w:r>
          </w:p>
        </w:tc>
      </w:tr>
      <w:tr>
        <w:trPr/>
        <w:tc>
          <w:tcPr>
            <w:tcW w:w="5078"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cash flows (used in) provided by operating activities</w:t>
            </w:r>
          </w:p>
        </w:tc>
        <w:tc>
          <w:tcPr>
            <w:tcW w:w="326" w:type="dxa"/>
            <w:tcBorders/>
            <w:shd w:fill="CCEEFF" w:val="clear"/>
            <w:vAlign w:val="center"/>
          </w:tcPr>
          <w:p>
            <w:pPr>
              <w:pStyle w:val="TableContents"/>
              <w:spacing w:before="0" w:after="0"/>
              <w:ind w:left="0" w:right="0" w:hanging="0"/>
              <w:rPr/>
            </w:pPr>
            <w:r>
              <w:rPr/>
              <w:t>    </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6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97" w:type="dxa"/>
            <w:tcBorders/>
            <w:shd w:fill="CCEEFF" w:val="clear"/>
            <w:vAlign w:val="center"/>
          </w:tcPr>
          <w:p>
            <w:pPr>
              <w:pStyle w:val="TableContents"/>
              <w:spacing w:before="0" w:after="0"/>
              <w:ind w:left="0" w:right="0" w:hanging="0"/>
              <w:rPr/>
            </w:pPr>
            <w:r>
              <w:rPr/>
              <w:t>    </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(121.2)</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7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cash flows provided by (used in) investing activities</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 </w:t>
            </w:r>
          </w:p>
        </w:tc>
        <w:tc>
          <w:tcPr>
            <w:tcW w:w="56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97"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 </w:t>
            </w:r>
          </w:p>
        </w:tc>
        <w:tc>
          <w:tcPr>
            <w:tcW w:w="6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78"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cash flows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6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97"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spacing w:before="0" w:after="0"/>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7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increase (decrease) in cash and cash equivalents and restricted cash and cash equivalents</w:t>
            </w:r>
          </w:p>
        </w:tc>
        <w:tc>
          <w:tcPr>
            <w:tcW w:w="326" w:type="dxa"/>
            <w:tcBorders/>
            <w:shd w:fill="auto" w:val="clear"/>
            <w:vAlign w:val="center"/>
          </w:tcPr>
          <w:p>
            <w:pPr>
              <w:pStyle w:val="TableContents"/>
              <w:spacing w:before="0" w:after="0"/>
              <w:ind w:left="0" w:right="0" w:hanging="0"/>
              <w:rPr/>
            </w:pPr>
            <w:r>
              <w:rPr/>
              <w:t>​</w:t>
            </w:r>
          </w:p>
        </w:tc>
        <w:tc>
          <w:tcPr>
            <w:tcW w:w="25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6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97" w:type="dxa"/>
            <w:tcBorders/>
            <w:shd w:fill="auto" w:val="clear"/>
            <w:vAlign w:val="center"/>
          </w:tcPr>
          <w:p>
            <w:pPr>
              <w:pStyle w:val="TableContents"/>
              <w:spacing w:before="0" w:after="0"/>
              <w:ind w:left="0" w:right="0" w:hanging="0"/>
              <w:rPr/>
            </w:pPr>
            <w:r>
              <w:rPr/>
              <w:t>​</w:t>
            </w:r>
          </w:p>
        </w:tc>
        <w:tc>
          <w:tcPr>
            <w:tcW w:w="25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8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flows provided by operating activities for the year ended December 31, 2022 decreased $19.3 million as compared to the year ended December 31, 2021, which resulted primarily from a period-over-period decrease in net income of $6.9 million and a decrease of $19.3 million in non-cash reconciling items, offset by $7.0 million net increase in change in net operating assets and liabilities.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income was $1.0 million and $7.9 million for the years ended December 31, 2022 and 2021, respectively, representing a decrease of $6.9 million. The decrease was primarily due to a decrease in revenue of $32.3 million, an increase in general and administrative expenses of $5.9 million, an increase in research and development expense of $2.1 million, a net decrease in interest income of $0.9 million, an increase in interest expense of $0.5 million, offset by a decrease in license cost and license right amortization of $7.7 million, a decrease in merchant and engine fees of $2.5 million, decrease in impairment expense of $16.3 million related to </w:t>
      </w:r>
      <w:r>
        <w:rPr>
          <w:rFonts w:ascii="Times New Roman;Times;serif" w:hAnsi="Times New Roman;Times;serif"/>
          <w:i/>
          <w:sz w:val="20"/>
        </w:rPr>
        <w:t>Atlas</w:t>
      </w:r>
      <w:r>
        <w:rPr>
          <w:rFonts w:ascii="Times New Roman;Times;serif" w:hAnsi="Times New Roman;Times;serif"/>
          <w:sz w:val="20"/>
        </w:rPr>
        <w:t xml:space="preserve"> in 2021 and a decrease in the Company’s tax provision of $4.2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Non-cash reconciling items were $8.2 million and $27.5 million for the years ended December 31, 2022 and 2021, respectively, representing a decrease of $19.3 million. The decrease in the non-cash reconciling items was primarily due to a decrease of $7.6 million in amortization and $16.3 million in impairments that were the result of the </w:t>
      </w:r>
      <w:r>
        <w:rPr>
          <w:rFonts w:ascii="Times New Roman;Times;serif" w:hAnsi="Times New Roman;Times;serif"/>
          <w:i/>
          <w:sz w:val="20"/>
        </w:rPr>
        <w:t>Atlas</w:t>
      </w:r>
      <w:r>
        <w:rPr>
          <w:rFonts w:ascii="Times New Roman;Times;serif" w:hAnsi="Times New Roman;Times;serif"/>
          <w:sz w:val="20"/>
        </w:rPr>
        <w:t xml:space="preserve"> impairment loss recognized at the end of fiscal year 2021, partially offset by decrease in the interest income from shareholder loan of $0.9 million and deferred taxes of $3.7 million.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increase in our net operating assets and liabilities between the years ended December 31, 2022 and 2021 of $7.0 million was primarily the result of a net increase in accounts receivables and accounts receivable — related party of $0.6 million due to timing of receipts and payments from customers and a related party, a net increase in prepaid expenses related party and prepaid expenses and other current assets of $1.1 million primarily driven by timing of payments of federal and state taxes and development costs, an increase in accounts payable and accounts payable – related party of $2.8 million resulting from increased vendor accruals near the end of the year that were offset by royalty payments made to our related party during 2022, an increase in accrued expenses of $3.0 million due to timing of payments increasing in 2022 and the payoff of the accrued litigation in 2022, partially offset by an increase in deferred revenue of $3.5 million.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accounts receivable — related party represent revenues attributable to certain mobile games that, for administrative reasons, were collected on our behalf by SDE Inc. (“SDE”), an affiliated entity. SDE no longer collects such payments on our behalf; all such payments are received directly from the platforms through which we offer the relevant games. As of December 31, 2022 and 2021, the net outstanding balances of receivables due from SDE were $11.3 million and $8.4 million, respectively. We expect accounts receivables owed to us by SDE will be repaid within a commercially reasonable period of time. In the event we do not receive timely remittance from SDE, we may hold back amounts owed to SDE from future licensing costs payable to SDE pursuant to our existing contractual relationship. See Note 5- </w:t>
      </w:r>
      <w:r>
        <w:rPr>
          <w:rFonts w:ascii="Times New Roman;Times;serif" w:hAnsi="Times New Roman;Times;serif"/>
          <w:i/>
          <w:sz w:val="20"/>
        </w:rPr>
        <w:t>Accounts Receivable — Related Party</w:t>
      </w:r>
      <w:r>
        <w:rPr>
          <w:rFonts w:ascii="Times New Roman;Times;serif" w:hAnsi="Times New Roman;Times;serif"/>
          <w:sz w:val="20"/>
        </w:rPr>
        <w:t xml:space="preserve"> to our audited consolidated financial statements included in this Annual Report.</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Cash provided by investing activities for the year ended December 31, 2022 increased $37.1 million compared to the year ended December 31, 2021 due to payments for the acquisition of license rights relating to the release of </w:t>
      </w:r>
      <w:r>
        <w:rPr>
          <w:rFonts w:ascii="Times New Roman;Times;serif" w:hAnsi="Times New Roman;Times;serif"/>
          <w:i/>
          <w:sz w:val="20"/>
        </w:rPr>
        <w:t>Genesis II</w:t>
      </w:r>
      <w:r>
        <w:rPr>
          <w:rFonts w:ascii="Times New Roman;Times;serif" w:hAnsi="Times New Roman;Times;serif"/>
          <w:sz w:val="20"/>
        </w:rPr>
        <w:t xml:space="preserve"> of $5.0 million in 2021, the additional funding of the Shi Loan of $30.6 million in 2021 and the receipt by the Company of $1.5 million on the Pound Sand note in 2022.</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flows provided by financing activities for the year ended December 31, 2022 was $4.8 million compared to net cash flows provided by financing activities of $2.6 million for the year ended December 31, 2021. Financing activities for the year ended December 31, 2022 included borrowings of $10.0 million on a short term note, partially offset by repayments on the short-term note of $4.2 million, a cash dividend that was declared and paid of $8.2 million, net proceeds from the IPO of $12.0 million that was partially offset by $3.4 million spent on the open market purchase of treasury stock pursuant to our Share Repurchase Program and $1.2 million to pay capitalized offering costs. Financing activities for the year ended December 31, 2021 included $9.5 million of borrowings under our Revolver and Term Loan, which was partially offset by repayments on our Term Loan in the amount of $6.8 million.</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Registered Offering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2022, we filed a Form S-1 Registration Statement with the United States Securities and Exchange Commission in connection with our IPO. As of the effective date of the Registration Statement, we became the parent company of Snail Games USA and a holding company, with our principal asset consisting of all the shares of common stock of Snail Games USA.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is held to provide a source of funding for our indemnification obligations to the underwriters. The amount in escrow will be reported as a restricted escrow deposit for 12 months from the date of the IPO, at which time the restrictions will be removed and the balance will be reverted to unrestricted cash.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Loans to related parties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Snail Games USA was party to a line of credit note with Mr. Hai Shi, our Founder, Chief Strategy Officer and Chairman, which provided for loans to Mr. Shi up to a maximum aggregate principal amount of $100.0 million (the “shareholder loan” or “Shi Loan”). Interest accrued on outstanding amounts at a rate of 2.00% per year, and all outstanding amounts were due and payable on demand. As of December 31, 2021, outstanding borrowings (including interest receivable) under the line of credit amounted to $94.4 million. In April 2022, Snail Games USA distributed the Shi Loan to Suzhou Snail, our former corporate parent, which assumed the loan as creditor. At the time of the distribution, $94.9 million was outstanding, including interest. As a result of this distribution, the total withholding taxes amounted to $8.2 million, which amount was distributed to Suzhou Snail in connection with the distribution of the Shi Loan and subsequently paid on April 29, 2022. As of April 2022, as a result of the distribution, the Shi Loan is no longer reflected on our consolidated balance sheet.</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Capital resources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primarily fund our operations from our net cash flows provided by operating activities. In addition to these cash flows, we have entered into certain debt arrangements to provide additional liquidity and to finance our operations.</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Revolving Loan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2018, we entered into a revolving loan and security agreement with a financial institution for a revolving note in the amount of $5.5 million. On June 17, 2021, we amended and restated our revolving loan and security agreement (the “Revolver”) to increase our revolving line of credit to $9.0 million. As amended, the Revolver matures on December 31, 2023 and bears interest at a rate equal to the prime rate less 0.25%. Interest is due and payable under the Revolver on a monthly basis, and borrowings under the revolver are secured by certain deposit accounts. The revolver is partially secured by the certificate of deposit accounts held with the financial institution, and reported as restricted cash, in the amounts of $5.3 million as of December 31, 2022. As of December 31, 2022, we had borrowings of $9.0 million outstanding under our Revolver. We intend to extend the Revolver prior to its maturity date. There is no guarantee that we will be able to extend the Revolver on terms acceptable to us in the future, or at all.</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Term Loan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 The Term Loan replaced and refinanced a previously outstanding $3.0 million promissory note due September 2021.</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2022, we amended and restated our Revolver and we executed a promissory note to obtain an additional long-term loan with a principal balance of $10.0 million which was set to mature on January 26, 2023 (the “New Term Loan”). In November 2022, the maturity date was extended to January 26, 2024. Interest is equal to the higher of 5.75% and the Wall Street Journal prime rate plus 0.50%. The New Term Loan is secured and collateralized by our existing assets.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we had borrowings of $5.8 million outstanding under the New Term Loan.</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Cares Act PPP Loan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2020, we applied for, and received, funds under the PPP in the amount of $0.8 million. In December 2020, $0.1 million of the PPP loan was forgiven by the SBA. In March 2021, an additional $0.4 million principal amount of the PPP loan balance was forgiven by the SBA. As of April 2022, all outstanding amounts under the PPP loan have either been repaid or forgiven.</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Financial covenants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Revolver, Term Loan and the New Term Loan require us to maintain a minimum service coverage ratio of 1.5 to 1.0. We were in compliance with or received a waiver in the event of noncompliance, with its debt covenants under our debt facilities as of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additional information regarding our indebtedness, see Note 15, </w:t>
      </w:r>
      <w:r>
        <w:rPr>
          <w:rFonts w:ascii="Times New Roman;Times;serif" w:hAnsi="Times New Roman;Times;serif"/>
          <w:i/>
          <w:sz w:val="20"/>
        </w:rPr>
        <w:t xml:space="preserve">Revolving Loan, Short Term Note and Long-Term Debt </w:t>
      </w:r>
      <w:r>
        <w:rPr>
          <w:rFonts w:ascii="Times New Roman;Times;serif" w:hAnsi="Times New Roman;Times;serif"/>
          <w:sz w:val="20"/>
        </w:rPr>
        <w:t>to our consolidated financial statements included in this Annual Report.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discussion and analysis of results of operations, financial condition, and liquidity are based upon our consolidated financial statements, which have been prepared in accordance with U.S. GAAP. The preparation of these consolidated financial statements requires us to make estimates and judgements that affect the reported amounts of assets and liabilities and disclosure of contingent assets and liabilities at the date of the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Times;serif" w:hAnsi="Times New Roman;Times;serif"/>
          <w:i/>
          <w:sz w:val="20"/>
        </w:rPr>
        <w:t>Summary of Significant Accounting Policies</w:t>
      </w:r>
      <w:r>
        <w:rPr>
          <w:rFonts w:ascii="Times New Roman;Times;serif" w:hAnsi="Times New Roman;Times;serif"/>
          <w:sz w:val="20"/>
        </w:rPr>
        <w:t> to our consolidated financial statements included in this Annual Report. We believe that the following critical accounting policies and estimates have the greatest potential impact on our financial statements.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Intangible Assets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publishing and development business requires significant investments in intangible assets such as licensing rights. The carrying values of these intangibles are periodically reviewed and adjusted, as appropriate, based on estimates of their useful lives, futures cash flows and fair values. Estimates of futures cash flows may vary from period to period depending on market factors such as media and gaming trends and current sales trends. If these estimates result in a reduction in cash flows the Company may recognize an impairment loss on the intangible asset, similar to what occurred with the Company’s </w:t>
      </w:r>
      <w:r>
        <w:rPr>
          <w:rFonts w:ascii="Times New Roman;Times;serif" w:hAnsi="Times New Roman;Times;serif"/>
          <w:i/>
          <w:sz w:val="20"/>
        </w:rPr>
        <w:t xml:space="preserve">Atlas </w:t>
      </w:r>
      <w:r>
        <w:rPr>
          <w:rFonts w:ascii="Times New Roman;Times;serif" w:hAnsi="Times New Roman;Times;serif"/>
          <w:sz w:val="20"/>
        </w:rPr>
        <w:t>license in fiscal year 2021. The Company did not have any material changes in these estimates during the year ended December 31, 2022 but believe it is reasonably possible that changes may occur in future periods.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Deferred 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recognizes, defers, and classifies the timing of deferred revenues from the sale of its products based on the release date, technical support obligations and timing of its performance obligations. The technical support obligations are estimated based on our internal estimates of the average period a player is expected to play the game. These estimates will vary by platform and could change from period to period depending on user trends. An increase in use estimate could result in a reclassification of deferred revenues from short term to long term and extend the period over which we would recognize said revenue resulting in a lower net income in future periods. Changes in estimates of our release schedule may also affect the classification of short and long term deferred revenues and the rate at which deferred revenue is recognized, which could have a material impact on the Company’s consolidated financial statements.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Estimated Service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no history of online player data is available, we consider other factors to determine the user life, such as the estimated service period of other games actively being sold with similar characteristics. We also consider known online trends, the service periods of our previously released software products, and, to the extent publicly available, the service periods of our competitors’ software products that are similar in nature to ours.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this provides a reasonable depiction of the use of games by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virtual goods are generally approximately 30 to 100 days.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Deferred Income Taxes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recognizes deferred income taxes based on estimates of future taxable income and the utilization of tax loss carryforwards. Changes in tax laws or the level of future taxable income could affect the realizability of deferred income tax assets. The Company’s deferred income tax assets reflect the net tax effects of temporary differences between the carrying amounts of assets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liabilities for financial reporting purposes and the amounts used for income tax purposes. The Company’s estimates of deferred income taxes are based on its assessment of the likelihood of realizing the benefits of the tax assets and are reviewed annually. Changes in these estimates may have a material impact on the Company’s financial statements.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a description of recently issued and adopted accounting pronouncements, including the respective dates of adoption and expected effects on our results of operations and financial condition, please see Note 2 - </w:t>
      </w:r>
      <w:r>
        <w:rPr>
          <w:rFonts w:ascii="Times New Roman;Times;serif" w:hAnsi="Times New Roman;Times;serif"/>
          <w:i/>
          <w:sz w:val="20"/>
        </w:rPr>
        <w:t xml:space="preserve">Summary of Significant Accounting Policies </w:t>
      </w:r>
      <w:r>
        <w:rPr>
          <w:rFonts w:ascii="Times New Roman;Times;serif" w:hAnsi="Times New Roman;Times;serif"/>
          <w:sz w:val="20"/>
        </w:rPr>
        <w:t>to our Consolidated Financial Statements included in this Annual Report.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spacing w:before="0" w:after="240"/>
        <w:ind w:left="0" w:right="0" w:hanging="0"/>
        <w:jc w:val="both"/>
        <w:rPr>
          <w:rFonts w:ascii="Times New Roman;Times;serif" w:hAnsi="Times New Roman;Times;serif"/>
          <w:b/>
          <w:sz w:val="20"/>
        </w:rPr>
      </w:pPr>
      <w:bookmarkStart w:id="76" w:name="Item7AQuantitativeandQualitativeDisclosu"/>
      <w:bookmarkStart w:id="77" w:name="_9c92a9d9_26e3_436c_bb11_5b25ca9e5362"/>
      <w:bookmarkEnd w:id="76"/>
      <w:bookmarkEnd w:id="77"/>
      <w:r>
        <w:rPr>
          <w:rFonts w:ascii="Times New Roman;Times;serif" w:hAnsi="Times New Roman;Times;serif"/>
          <w:b/>
          <w:sz w:val="20"/>
        </w:rPr>
        <w:t>Item 7A. Quantitative and Qualitative Disclosures About Market Risk.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 “smaller reporting company” as defined by Item 10 of Regulation S-K, the Company is not required to provide the information required by this item.</w:t>
      </w:r>
    </w:p>
    <w:p>
      <w:pPr>
        <w:pStyle w:val="TextBody"/>
        <w:spacing w:before="0" w:after="0"/>
        <w:ind w:left="0" w:right="0" w:hanging="0"/>
        <w:jc w:val="both"/>
        <w:rPr>
          <w:rFonts w:ascii="Times New Roman;Times;serif" w:hAnsi="Times New Roman;Times;serif"/>
          <w:b/>
          <w:sz w:val="20"/>
        </w:rPr>
      </w:pPr>
      <w:bookmarkStart w:id="78" w:name="Item8FinancialStatementsandSupplementary"/>
      <w:bookmarkStart w:id="79" w:name="_61a8ff68_8458_48ff_8fc5_f1727f41f5b4"/>
      <w:bookmarkEnd w:id="78"/>
      <w:bookmarkEnd w:id="79"/>
      <w:r>
        <w:rPr>
          <w:rFonts w:ascii="Times New Roman;Times;serif" w:hAnsi="Times New Roman;Times;serif"/>
          <w:b/>
          <w:sz w:val="20"/>
        </w:rPr>
        <w:t>Item 8. Financial Statements and Supplementary Data.</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80" w:name="_e441f6d8_ac94_4f2a_8892_feadc2c50a2e"/>
      <w:bookmarkEnd w:id="80"/>
      <w:r>
        <w:rPr>
          <w:rFonts w:ascii="Times New Roman;Times;serif" w:hAnsi="Times New Roman;Times;serif"/>
          <w:b/>
          <w:sz w:val="20"/>
        </w:rPr>
        <w:t>INDEX TO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w:t>
      </w:r>
    </w:p>
    <w:p>
      <w:pPr>
        <w:pStyle w:val="TextBody"/>
        <w:spacing w:before="0" w:after="240"/>
        <w:ind w:left="0" w:right="0" w:hanging="0"/>
        <w:jc w:val="center"/>
        <w:rPr>
          <w:rFonts w:ascii="Times New Roman;Times;serif" w:hAnsi="Times New Roman;Times;serif"/>
          <w:b/>
          <w:sz w:val="20"/>
        </w:rPr>
      </w:pPr>
      <w:bookmarkStart w:id="81" w:name="ConsolidatedFinancialStatements_361309"/>
      <w:bookmarkEnd w:id="81"/>
      <w:r>
        <w:rPr>
          <w:rFonts w:ascii="Times New Roman;Times;serif" w:hAnsi="Times New Roman;Times;serif"/>
          <w:b/>
          <w:sz w:val="20"/>
        </w:rPr>
        <w:t xml:space="preserve">Consolidated Financial Statements </w:t>
      </w:r>
    </w:p>
    <w:tbl>
      <w:tblPr>
        <w:tblW w:w="10205" w:type="dxa"/>
        <w:jc w:val="left"/>
        <w:tblInd w:w="0" w:type="dxa"/>
        <w:tblCellMar>
          <w:top w:w="0" w:type="dxa"/>
          <w:left w:w="0" w:type="dxa"/>
          <w:bottom w:w="0" w:type="dxa"/>
          <w:right w:w="0" w:type="dxa"/>
        </w:tblCellMar>
      </w:tblPr>
      <w:tblGrid>
        <w:gridCol w:w="9634"/>
        <w:gridCol w:w="571"/>
      </w:tblGrid>
      <w:tr>
        <w:trPr/>
        <w:tc>
          <w:tcPr>
            <w:tcW w:w="96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117590" cy="175260"/>
                      <wp:effectExtent l="0" t="0" r="0" b="0"/>
                      <wp:wrapNone/>
                      <wp:docPr id="116" name="Frame115"/>
                      <a:graphic xmlns:a="http://schemas.openxmlformats.org/drawingml/2006/main">
                        <a:graphicData uri="http://schemas.microsoft.com/office/word/2010/wordprocessingShape">
                          <wps:wsp>
                            <wps:cNvSpPr txBox="1"/>
                            <wps:spPr>
                              <a:xfrm>
                                <a:off x="0" y="0"/>
                                <a:ext cx="6117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62585" cy="175260"/>
                      <wp:effectExtent l="0" t="0" r="0" b="0"/>
                      <wp:wrapNone/>
                      <wp:docPr id="117" name="Frame11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634"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tcBorders/>
            <w:shd w:fill="auto" w:val="clear"/>
            <w:vAlign w:val="center"/>
          </w:tcPr>
          <w:p>
            <w:pPr>
              <w:pStyle w:val="TableContents"/>
              <w:pBdr/>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(BDO USA, LLP; Costa Mesa, California; PCAOB ID No. 243)</w:t>
            </w:r>
          </w:p>
        </w:tc>
        <w:tc>
          <w:tcPr>
            <w:tcW w:w="57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634" w:type="dxa"/>
            <w:tcBorders/>
            <w:shd w:fill="auto" w:val="clear"/>
            <w:vAlign w:val="center"/>
          </w:tcPr>
          <w:p>
            <w:pPr>
              <w:pStyle w:val="TableContents"/>
              <w:spacing w:before="0" w:after="0"/>
              <w:ind w:left="0" w:right="0" w:hanging="0"/>
              <w:rPr/>
            </w:pPr>
            <w:hyperlink w:anchor="ConsolidatedBalanceSheets_111746">
              <w:r>
                <w:rPr>
                  <w:rStyle w:val="InternetLink"/>
                  <w:rFonts w:ascii="Times New Roman;Times;serif" w:hAnsi="Times New Roman;Times;serif"/>
                  <w:b w:val="false"/>
                  <w:i w:val="false"/>
                  <w:caps w:val="false"/>
                  <w:smallCaps w:val="false"/>
                  <w:sz w:val="20"/>
                </w:rPr>
                <w:t>Consolidated Balance Sheets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634" w:type="dxa"/>
            <w:tcBorders/>
            <w:shd w:fill="auto" w:val="clear"/>
            <w:vAlign w:val="center"/>
          </w:tcPr>
          <w:p>
            <w:pPr>
              <w:pStyle w:val="TableContents"/>
              <w:spacing w:before="0" w:after="0"/>
              <w:ind w:left="0" w:right="0" w:hanging="0"/>
              <w:rPr/>
            </w:pPr>
            <w:hyperlink w:anchor="ConsolidatedStatementsofOperations_94275">
              <w:r>
                <w:rPr>
                  <w:rStyle w:val="InternetLink"/>
                  <w:rFonts w:ascii="Times New Roman;Times;serif" w:hAnsi="Times New Roman;Times;serif"/>
                  <w:b w:val="false"/>
                  <w:i w:val="false"/>
                  <w:caps w:val="false"/>
                  <w:smallCaps w:val="false"/>
                  <w:sz w:val="20"/>
                </w:rPr>
                <w:t>Consolidated Statements of Comprehensive Income</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634" w:type="dxa"/>
            <w:tcBorders/>
            <w:shd w:fill="auto" w:val="clear"/>
            <w:vAlign w:val="center"/>
          </w:tcPr>
          <w:p>
            <w:pPr>
              <w:pStyle w:val="TableContents"/>
              <w:spacing w:before="0" w:after="0"/>
              <w:ind w:left="0" w:right="0" w:hanging="0"/>
              <w:rPr/>
            </w:pPr>
            <w:hyperlink w:anchor="ConsolidatedStatementsofEquity_527222">
              <w:r>
                <w:rPr>
                  <w:rStyle w:val="InternetLink"/>
                  <w:rFonts w:ascii="Times New Roman;Times;serif" w:hAnsi="Times New Roman;Times;serif"/>
                  <w:b w:val="false"/>
                  <w:i w:val="false"/>
                  <w:caps w:val="false"/>
                  <w:smallCaps w:val="false"/>
                  <w:sz w:val="20"/>
                </w:rPr>
                <w:t>Consolidated Statements of Equity</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634" w:type="dxa"/>
            <w:tcBorders/>
            <w:shd w:fill="auto" w:val="clear"/>
            <w:vAlign w:val="center"/>
          </w:tcPr>
          <w:p>
            <w:pPr>
              <w:pStyle w:val="TableContents"/>
              <w:spacing w:before="0" w:after="0"/>
              <w:ind w:left="0" w:right="0" w:hanging="0"/>
              <w:rPr/>
            </w:pPr>
            <w:hyperlink w:anchor="ConsolidatedStatementsofCashFlows_61120">
              <w:r>
                <w:rPr>
                  <w:rStyle w:val="InternetLink"/>
                  <w:rFonts w:ascii="Times New Roman;Times;serif" w:hAnsi="Times New Roman;Times;serif"/>
                  <w:b w:val="false"/>
                  <w:i w:val="false"/>
                  <w:caps w:val="false"/>
                  <w:smallCaps w:val="false"/>
                  <w:sz w:val="20"/>
                </w:rPr>
                <w:t>Consolidated Statements of Cash Flows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634" w:type="dxa"/>
            <w:tcBorders/>
            <w:shd w:fill="auto" w:val="clear"/>
            <w:vAlign w:val="center"/>
          </w:tcPr>
          <w:p>
            <w:pPr>
              <w:pStyle w:val="TableContents"/>
              <w:spacing w:before="0" w:after="0"/>
              <w:ind w:left="0" w:right="0" w:hanging="0"/>
              <w:rPr/>
            </w:pPr>
            <w:hyperlink w:anchor="PRESENTATIONANDNATUREOFOPERATIONS_49572">
              <w:r>
                <w:rPr>
                  <w:rStyle w:val="InternetLink"/>
                  <w:rFonts w:ascii="Times New Roman;Times;serif" w:hAnsi="Times New Roman;Times;serif"/>
                  <w:b w:val="false"/>
                  <w:i w:val="false"/>
                  <w:caps w:val="false"/>
                  <w:smallCaps w:val="false"/>
                  <w:sz w:val="20"/>
                </w:rPr>
                <w:t>Notes to Consolidated Financial Statements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400"/>
        <w:ind w:left="0" w:right="0" w:hanging="0"/>
        <w:jc w:val="center"/>
        <w:rPr>
          <w:rFonts w:ascii="Times New Roman;Times;serif" w:hAnsi="Times New Roman;Times;serif"/>
          <w:b/>
          <w:sz w:val="20"/>
        </w:rPr>
      </w:pPr>
      <w:bookmarkStart w:id="82" w:name="ReportofIndependentRegisteredPublicAccou"/>
      <w:bookmarkStart w:id="83" w:name="_9a10c6e0_8d4b_477a_a377_bc238aab3a9c"/>
      <w:bookmarkEnd w:id="82"/>
      <w:bookmarkEnd w:id="83"/>
      <w:r>
        <w:rPr>
          <w:rFonts w:ascii="Times New Roman;Times;serif" w:hAnsi="Times New Roman;Times;serif"/>
          <w:b/>
          <w:sz w:val="20"/>
        </w:rPr>
        <w:t>Report of Independent Registered Public Accounting Firm</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Stockholders and Board of Directors </w:t>
        <w:br/>
        <w:t xml:space="preserve">Snail, Inc. and Subsidiaries </w:t>
        <w:br/>
        <w:t>Culver City, California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Opinion on the Consolidated Financial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audited the accompanying consolidated balance sheets of Snail, Inc. and its subsidiaries (the “Company”) as of December 31, 2022 and 2021, the related consolidated statements of comprehensive income,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Normal"/>
        <w:spacing w:before="0" w:after="0"/>
        <w:rPr>
          <w:sz w:val="4"/>
          <w:szCs w:val="4"/>
        </w:rPr>
      </w:pPr>
      <w:r>
        <w:rPr>
          <w:sz w:val="4"/>
          <w:szCs w:val="4"/>
        </w:rPr>
      </w:r>
      <w:bookmarkStart w:id="84" w:name="Tc_wlWhcSwgBU22k1_wdv6JDA_4_0"/>
      <w:bookmarkStart w:id="85" w:name="Tc_0sm8UMEEYUmUSkx89PAeYQ_2_0"/>
      <w:bookmarkStart w:id="86" w:name="Tc_-TQdycN-kEWzyiI6fDx7RQ_1_0"/>
      <w:bookmarkStart w:id="87" w:name="_b6a78647_cfb8_4465_9174_c78bcd15c66e"/>
      <w:bookmarkStart w:id="88" w:name="Tc_wlWhcSwgBU22k1_wdv6JDA_4_0"/>
      <w:bookmarkStart w:id="89" w:name="Tc_0sm8UMEEYUmUSkx89PAeYQ_2_0"/>
      <w:bookmarkStart w:id="90" w:name="Tc_-TQdycN-kEWzyiI6fDx7RQ_1_0"/>
      <w:bookmarkStart w:id="91" w:name="_b6a78647_cfb8_4465_9174_c78bcd15c66e"/>
      <w:bookmarkEnd w:id="88"/>
      <w:bookmarkEnd w:id="89"/>
      <w:bookmarkEnd w:id="90"/>
      <w:bookmarkEnd w:id="91"/>
    </w:p>
    <w:tbl>
      <w:tblPr>
        <w:tblW w:w="4966" w:type="dxa"/>
        <w:jc w:val="left"/>
        <w:tblInd w:w="0" w:type="dxa"/>
        <w:tblCellMar>
          <w:top w:w="0" w:type="dxa"/>
          <w:left w:w="0" w:type="dxa"/>
          <w:bottom w:w="0" w:type="dxa"/>
          <w:right w:w="0" w:type="dxa"/>
        </w:tblCellMar>
      </w:tblPr>
      <w:tblGrid>
        <w:gridCol w:w="4486"/>
        <w:gridCol w:w="326"/>
        <w:gridCol w:w="154"/>
      </w:tblGrid>
      <w:tr>
        <w:trPr/>
        <w:tc>
          <w:tcPr>
            <w:tcW w:w="4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848610" cy="29210"/>
                      <wp:effectExtent l="0" t="0" r="0" b="0"/>
                      <wp:wrapNone/>
                      <wp:docPr id="118" name="Frame117"/>
                      <a:graphic xmlns:a="http://schemas.openxmlformats.org/drawingml/2006/main">
                        <a:graphicData uri="http://schemas.microsoft.com/office/word/2010/wordprocessingShape">
                          <wps:wsp>
                            <wps:cNvSpPr txBox="1"/>
                            <wps:spPr>
                              <a:xfrm>
                                <a:off x="0" y="0"/>
                                <a:ext cx="28486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29210"/>
                      <wp:effectExtent l="0" t="0" r="0" b="0"/>
                      <wp:wrapNone/>
                      <wp:docPr id="119" name="Frame118"/>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97790" cy="29210"/>
                      <wp:effectExtent l="0" t="0" r="0" b="0"/>
                      <wp:wrapNone/>
                      <wp:docPr id="120" name="Frame119"/>
                      <a:graphic xmlns:a="http://schemas.openxmlformats.org/drawingml/2006/main">
                        <a:graphicData uri="http://schemas.microsoft.com/office/word/2010/wordprocessingShape">
                          <wps:wsp>
                            <wps:cNvSpPr txBox="1"/>
                            <wps:spPr>
                              <a:xfrm>
                                <a:off x="0" y="0"/>
                                <a:ext cx="9779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4486"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/s/ BDO USA, LLP</w:t>
            </w:r>
          </w:p>
        </w:tc>
        <w:tc>
          <w:tcPr>
            <w:tcW w:w="326" w:type="dxa"/>
            <w:tcBorders/>
            <w:shd w:fill="auto" w:val="clear"/>
            <w:vAlign w:val="center"/>
          </w:tcPr>
          <w:p>
            <w:pPr>
              <w:pStyle w:val="TableContents"/>
              <w:spacing w:lineRule="auto" w:line="304" w:before="0" w:after="0"/>
              <w:ind w:left="0" w:right="0" w:hanging="0"/>
              <w:rPr/>
            </w:pPr>
            <w:r>
              <w:rPr/>
              <w:t>    </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4486"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We have served as the Company’s auditor since 2021.</w:t>
            </w:r>
          </w:p>
        </w:tc>
        <w:tc>
          <w:tcPr>
            <w:tcW w:w="326" w:type="dxa"/>
            <w:tcBorders/>
            <w:shd w:fill="auto" w:val="clear"/>
            <w:vAlign w:val="center"/>
          </w:tcPr>
          <w:p>
            <w:pPr>
              <w:pStyle w:val="TableContents"/>
              <w:spacing w:lineRule="auto" w:line="304" w:before="0" w:after="0"/>
              <w:ind w:left="0" w:right="0" w:hanging="0"/>
              <w:rPr/>
            </w:pPr>
            <w:r>
              <w:rPr/>
              <w:t>​</w:t>
            </w:r>
          </w:p>
        </w:tc>
        <w:tc>
          <w:tcPr>
            <w:tcW w:w="154" w:type="dxa"/>
            <w:tcBorders/>
            <w:shd w:fill="auto" w:val="clear"/>
            <w:vAlign w:val="center"/>
          </w:tcPr>
          <w:p>
            <w:pPr>
              <w:pStyle w:val="TableContents"/>
              <w:spacing w:lineRule="auto" w:line="304" w:before="0" w:after="0"/>
              <w:ind w:left="0" w:right="0" w:hanging="0"/>
              <w:rPr/>
            </w:pPr>
            <w:r>
              <w:rPr/>
              <w:t>​</w:t>
            </w:r>
          </w:p>
        </w:tc>
      </w:tr>
      <w:tr>
        <w:trPr/>
        <w:tc>
          <w:tcPr>
            <w:tcW w:w="4486"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Costa Mesa, California</w:t>
            </w:r>
          </w:p>
        </w:tc>
        <w:tc>
          <w:tcPr>
            <w:tcW w:w="326" w:type="dxa"/>
            <w:tcBorders/>
            <w:shd w:fill="auto" w:val="clear"/>
            <w:vAlign w:val="center"/>
          </w:tcPr>
          <w:p>
            <w:pPr>
              <w:pStyle w:val="TableContents"/>
              <w:spacing w:lineRule="auto" w:line="304" w:before="0" w:after="0"/>
              <w:ind w:left="0" w:right="0" w:hanging="0"/>
              <w:rPr/>
            </w:pPr>
            <w:r>
              <w:rPr/>
              <w:t>​</w:t>
            </w:r>
          </w:p>
        </w:tc>
        <w:tc>
          <w:tcPr>
            <w:tcW w:w="154" w:type="dxa"/>
            <w:tcBorders/>
            <w:shd w:fill="auto" w:val="clear"/>
            <w:vAlign w:val="center"/>
          </w:tcPr>
          <w:p>
            <w:pPr>
              <w:pStyle w:val="TableContents"/>
              <w:spacing w:lineRule="auto" w:line="304" w:before="0" w:after="0"/>
              <w:ind w:left="0" w:right="0" w:hanging="0"/>
              <w:rPr/>
            </w:pPr>
            <w:r>
              <w:rPr/>
              <w:t>​</w:t>
            </w:r>
          </w:p>
        </w:tc>
      </w:tr>
      <w:tr>
        <w:trPr/>
        <w:tc>
          <w:tcPr>
            <w:tcW w:w="4486" w:type="dxa"/>
            <w:tcBorders/>
            <w:shd w:fill="auto" w:val="clear"/>
            <w:vAlign w:val="center"/>
          </w:tcPr>
          <w:p>
            <w:pPr>
              <w:pStyle w:val="TableContents"/>
              <w:pBdr/>
              <w:spacing w:lineRule="auto" w:line="304" w:before="0" w:after="0"/>
              <w:ind w:left="0" w:right="0" w:hanging="0"/>
              <w:rPr>
                <w:rFonts w:ascii="Times New Roman;Times;serif" w:hAnsi="Times New Roman;Times;serif"/>
                <w:sz w:val="20"/>
              </w:rPr>
            </w:pPr>
            <w:r>
              <w:rPr>
                <w:rFonts w:ascii="Times New Roman;Times;serif" w:hAnsi="Times New Roman;Times;serif"/>
                <w:sz w:val="20"/>
              </w:rPr>
              <w:t xml:space="preserve">March </w:t>
            </w:r>
            <w:r>
              <w:rPr>
                <w:rFonts w:ascii="Times New Roman;Times;serif" w:hAnsi="Times New Roman;Times;serif"/>
                <w:spacing w:val="4"/>
                <w:sz w:val="20"/>
              </w:rPr>
              <w:t xml:space="preserve">29, </w:t>
            </w:r>
            <w:r>
              <w:rPr>
                <w:rFonts w:ascii="Times New Roman;Times;serif" w:hAnsi="Times New Roman;Times;serif"/>
                <w:sz w:val="20"/>
              </w:rPr>
              <w:t>2023</w:t>
            </w:r>
          </w:p>
        </w:tc>
        <w:tc>
          <w:tcPr>
            <w:tcW w:w="326" w:type="dxa"/>
            <w:tcBorders/>
            <w:shd w:fill="auto" w:val="clear"/>
            <w:vAlign w:val="center"/>
          </w:tcPr>
          <w:p>
            <w:pPr>
              <w:pStyle w:val="TableContents"/>
              <w:spacing w:lineRule="auto" w:line="304" w:before="0" w:after="0"/>
              <w:ind w:left="0" w:right="0" w:hanging="0"/>
              <w:rPr/>
            </w:pPr>
            <w:r>
              <w:rPr/>
              <w:t>​</w:t>
            </w:r>
          </w:p>
        </w:tc>
        <w:tc>
          <w:tcPr>
            <w:tcW w:w="154" w:type="dxa"/>
            <w:tcBorders/>
            <w:shd w:fill="auto" w:val="clear"/>
            <w:vAlign w:val="center"/>
          </w:tcPr>
          <w:p>
            <w:pPr>
              <w:pStyle w:val="TableContents"/>
              <w:spacing w:lineRule="auto" w:line="304"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92" w:name="ConsolidatedBalanceSheets_111746"/>
      <w:bookmarkStart w:id="93" w:name="_9c1af28d_bd80_4b49_ba18_6c66a177ab2d"/>
      <w:bookmarkEnd w:id="92"/>
      <w:bookmarkEnd w:id="93"/>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Consolidated Balance Sheets as of December 31, 2022 and 2021</w:t>
      </w:r>
    </w:p>
    <w:p>
      <w:pPr>
        <w:pStyle w:val="Normal"/>
        <w:spacing w:before="0" w:after="0"/>
        <w:rPr>
          <w:sz w:val="4"/>
          <w:szCs w:val="4"/>
        </w:rPr>
      </w:pPr>
      <w:r>
        <w:rPr>
          <w:sz w:val="4"/>
          <w:szCs w:val="4"/>
        </w:rPr>
      </w:r>
      <w:bookmarkStart w:id="94" w:name="Tc_buzzqLEhnUKk6OyexKqdSQ_56_5"/>
      <w:bookmarkStart w:id="95" w:name="Tc_YlMt63cQYkCqd3F0IDLEYg_56_2"/>
      <w:bookmarkStart w:id="96" w:name="Tc_-YRRYD-_20uPiv5qin--HA_56_0"/>
      <w:bookmarkStart w:id="97" w:name="Tc_ev7n_wJgeEGmWyjrGw35Ew_55_0"/>
      <w:bookmarkStart w:id="98" w:name="Tc_vN86G0IO60a8ReJzXQX-pg_54_0"/>
      <w:bookmarkStart w:id="99" w:name="Tc_H0V8utMpAEuGZCRhmyBI0Q_53_0"/>
      <w:bookmarkStart w:id="100" w:name="Tc_UysjP0FJGkKzcADaxpblRg_52_6"/>
      <w:bookmarkStart w:id="101" w:name="Tc_ofXR_lS8wEyomyX7tnHgjg_52_0"/>
      <w:bookmarkStart w:id="102" w:name="Tc_lI_exYWwGEKLm5zpepKgsQ_50_0"/>
      <w:bookmarkStart w:id="103" w:name="Tc_T047DpW6TEiqtaIknO3Lew_49_0"/>
      <w:bookmarkStart w:id="104" w:name="Tc_o71XuVPji0yDM5eUvYJt6g_48_3"/>
      <w:bookmarkStart w:id="105" w:name="Tc_C_GkiiNBxkq1FpDT2OdxxA_48_0"/>
      <w:bookmarkStart w:id="106" w:name="Tc_Bw85En5pdkuwSGMRFzjV3Q_47_3"/>
      <w:bookmarkStart w:id="107" w:name="Tc_EfbTGvmXyUqTPMRZfgQJDw_47_0"/>
      <w:bookmarkStart w:id="108" w:name="Tc_urT4r6IQpU2Ul0flfuhP0A_46_0"/>
      <w:bookmarkStart w:id="109" w:name="Tc_onB91FL-4EGC1sN7xhAJFA_45_6"/>
      <w:bookmarkStart w:id="110" w:name="Tc_w4Swhr_OFUioQfYaMBxzvA_45_0"/>
      <w:bookmarkStart w:id="111" w:name="Tc_z_49n7HFDUWabDQYLSLnhQ_44_6"/>
      <w:bookmarkStart w:id="112" w:name="Tc_Cd4pxncKl0aYBm_pASA5VA_44_0"/>
      <w:bookmarkStart w:id="113" w:name="Tc_zRUl-nFkjEC_be2Mosi5kw_43_3"/>
      <w:bookmarkStart w:id="114" w:name="Tc_ucDvppFbKEaPw4rN-UT_Wg_43_0"/>
      <w:bookmarkStart w:id="115" w:name="Tc_hroHNt_vcEmt9KQJGfcqdw_42_0"/>
      <w:bookmarkStart w:id="116" w:name="Tc_bUyyXgX8FU-GaTq2McxP4Q_41_0"/>
      <w:bookmarkStart w:id="117" w:name="Tc_Wv6HcPQ4skKmdiSBXoIGTg_40_0"/>
      <w:bookmarkStart w:id="118" w:name="Tc_1W99zAB43kaOLccSSiLvGQ_39_0"/>
      <w:bookmarkStart w:id="119" w:name="Tc_IlaumwdvlEaPiLb2__IL5A_38_0"/>
      <w:bookmarkStart w:id="120" w:name="Tc_CqhcVVZ49EK2WnFCTUynNA_37_0"/>
      <w:bookmarkStart w:id="121" w:name="Tc_sgxuMwm2jUuLy5or691i0Q_36_6"/>
      <w:bookmarkStart w:id="122" w:name="Tc_WHp8sv3tO0GayZmPsPKZ8w_36_0"/>
      <w:bookmarkStart w:id="123" w:name="Tc_UupYayWb6Um5z5PGp8qQ7A_35_0"/>
      <w:bookmarkStart w:id="124" w:name="Tc_5GnyL4rz3kmDwNfkDun6iw_34_0"/>
      <w:bookmarkStart w:id="125" w:name="Tc_8-3hCXivHkm38Gc7gGtwhA_33_0"/>
      <w:bookmarkStart w:id="126" w:name="Tc_-uqfMWVlrEyx37XupAEFUQ_32_0"/>
      <w:bookmarkStart w:id="127" w:name="Tc_Zg7iDi2r0EihKbzZQutT2Q_31_3"/>
      <w:bookmarkStart w:id="128" w:name="Tc_ByU01ptwxEm3CNv7nj-RhA_31_0"/>
      <w:bookmarkStart w:id="129" w:name="Tc_ofUrVu_61Em1utd9LgslOg_30_6"/>
      <w:bookmarkStart w:id="130" w:name="Tc_-aORSSJPQ06_nO9hNJuv2Q_30_0"/>
      <w:bookmarkStart w:id="131" w:name="Tc_BXRznH6h-EWtBFe4XAwN3Q_29_0"/>
      <w:bookmarkStart w:id="132" w:name="Tc_7QwL0DysjkSexq6D5VjeSg_28_0"/>
      <w:bookmarkStart w:id="133" w:name="Tc_bUlhM7kahE-VUyMod6ujGw_27_3"/>
      <w:bookmarkStart w:id="134" w:name="Tc_WzdK33LZe0K30b2fhouA6Q_27_0"/>
      <w:bookmarkStart w:id="135" w:name="Tc_VnBLXZta9kOOeW9f7XBPxA_26_0"/>
      <w:bookmarkStart w:id="136" w:name="Tc_rh5g4IhZCEmY-Zq7UWVamA_25_0"/>
      <w:bookmarkStart w:id="137" w:name="Tc_6sff3SrvWUKqBIo5437hAA_24_5"/>
      <w:bookmarkStart w:id="138" w:name="Tc_h428CMaruEW2bI0rY04p_g_24_2"/>
      <w:bookmarkStart w:id="139" w:name="Tc_9Z4E_4bFNkyYSgiQBUpTjA_24_0"/>
      <w:bookmarkStart w:id="140" w:name="Tc_STFUM_GMOkWcV7nKgOF52w_23_0"/>
      <w:bookmarkStart w:id="141" w:name="Tc_Cem5RLSyDk2holZpGVfqrw_22_0"/>
      <w:bookmarkStart w:id="142" w:name="Tc_02K7hK0uAEeuC81L6QEn3w_21_5"/>
      <w:bookmarkStart w:id="143" w:name="Tc_bT8UOOuFQ0GgvTLGB4c2vQ_21_2"/>
      <w:bookmarkStart w:id="144" w:name="Tc_jmcSsDH_oU-fDZWBnuhKdw_21_0"/>
      <w:bookmarkStart w:id="145" w:name="Tc_fJdnnbzg8E2dmSX3UY380w_20_0"/>
      <w:bookmarkStart w:id="146" w:name="Tc_i4rwoGZ9G0Cm8PwZqQ8wFw_19_0"/>
      <w:bookmarkStart w:id="147" w:name="Tc__cawQkBOrk6Q5eXLxylang_18_0"/>
      <w:bookmarkStart w:id="148" w:name="Tc_OAz6TFdE00CPFSFP5H9-Ig_17_0"/>
      <w:bookmarkStart w:id="149" w:name="Tc_vSpxyy8t80ebrgylWyG1wg_16_3"/>
      <w:bookmarkStart w:id="150" w:name="Tc_P6HI1_HUDk6svGtv6PPhyQ_16_0"/>
      <w:bookmarkStart w:id="151" w:name="Tc_zMZEDrx8O0CoT0G8YQhTsw_15_0"/>
      <w:bookmarkStart w:id="152" w:name="Tc_FKG7G87HJkq5RT7oC6SXhQ_14_0"/>
      <w:bookmarkStart w:id="153" w:name="Tc_d6VBunMRGkmRSZuG8ErIJA_13_6"/>
      <w:bookmarkStart w:id="154" w:name="Tc_JKPb9VLIiUOuc6jYFMEVRg_13_0"/>
      <w:bookmarkStart w:id="155" w:name="Tc_Z8LazFt5nUSooXB86QSZIw_12_0"/>
      <w:bookmarkStart w:id="156" w:name="Tc_BgavJ0jzmEyDAJ1o1ZBG5w_11_0"/>
      <w:bookmarkStart w:id="157" w:name="Tc_F8_3jZmsFkiumSBGruWx-A_10_0"/>
      <w:bookmarkStart w:id="158" w:name="Tc_uFAIXrRcjkaWngUdIxODSA_9_3"/>
      <w:bookmarkStart w:id="159" w:name="Tc_m4XNrLuNG0Cl_a8xuXwong_9_0"/>
      <w:bookmarkStart w:id="160" w:name="Tc_EAfvFsteBUu5_LCx8qqIOQ_8_0"/>
      <w:bookmarkStart w:id="161" w:name="Tc_fUhg5wwpQEmS5gPrc2iUWw_7_0"/>
      <w:bookmarkStart w:id="162" w:name="Tc_8Kz6e4Xu2EG_Xzmq_I6pHA_6_0"/>
      <w:bookmarkStart w:id="163" w:name="Tc_dIIA49vJQkaI3nJKO-u5dw_5_6"/>
      <w:bookmarkStart w:id="164" w:name="Tc_fQ7KzuZG9UmzmN40cuPkIw_5_0"/>
      <w:bookmarkStart w:id="165" w:name="Tc_JCkisbAZ5UC-pHDkM-IM7g_4_5"/>
      <w:bookmarkStart w:id="166" w:name="Tc_As0NzXH510ai8nxGiyGLJQ_4_2"/>
      <w:bookmarkStart w:id="167" w:name="Tc_pz4FBrIO2063v8YHXSm3Dw_4_0"/>
      <w:bookmarkStart w:id="168" w:name="Tc_zQQuh9lvHk6B4eEmuwcBuA_3_0"/>
      <w:bookmarkStart w:id="169" w:name="Tc_uSfjkchitEeS9dv8nQRI9A_2_0"/>
      <w:bookmarkStart w:id="170" w:name="Tc_aOXK6sRTRE6aAjHhZEcgTA_1_5"/>
      <w:bookmarkStart w:id="171" w:name="Tc_MT8zYRHacUyDhBBbFPDD1w_1_2"/>
      <w:bookmarkStart w:id="172" w:name="_a81f0ccb_1820_4341_9333_e085b40ff00a"/>
      <w:bookmarkStart w:id="173" w:name="Tc_buzzqLEhnUKk6OyexKqdSQ_56_5"/>
      <w:bookmarkStart w:id="174" w:name="Tc_YlMt63cQYkCqd3F0IDLEYg_56_2"/>
      <w:bookmarkStart w:id="175" w:name="Tc_-YRRYD-_20uPiv5qin--HA_56_0"/>
      <w:bookmarkStart w:id="176" w:name="Tc_ev7n_wJgeEGmWyjrGw35Ew_55_0"/>
      <w:bookmarkStart w:id="177" w:name="Tc_vN86G0IO60a8ReJzXQX-pg_54_0"/>
      <w:bookmarkStart w:id="178" w:name="Tc_H0V8utMpAEuGZCRhmyBI0Q_53_0"/>
      <w:bookmarkStart w:id="179" w:name="Tc_UysjP0FJGkKzcADaxpblRg_52_6"/>
      <w:bookmarkStart w:id="180" w:name="Tc_ofXR_lS8wEyomyX7tnHgjg_52_0"/>
      <w:bookmarkStart w:id="181" w:name="Tc_lI_exYWwGEKLm5zpepKgsQ_50_0"/>
      <w:bookmarkStart w:id="182" w:name="Tc_T047DpW6TEiqtaIknO3Lew_49_0"/>
      <w:bookmarkStart w:id="183" w:name="Tc_o71XuVPji0yDM5eUvYJt6g_48_3"/>
      <w:bookmarkStart w:id="184" w:name="Tc_C_GkiiNBxkq1FpDT2OdxxA_48_0"/>
      <w:bookmarkStart w:id="185" w:name="Tc_Bw85En5pdkuwSGMRFzjV3Q_47_3"/>
      <w:bookmarkStart w:id="186" w:name="Tc_EfbTGvmXyUqTPMRZfgQJDw_47_0"/>
      <w:bookmarkStart w:id="187" w:name="Tc_urT4r6IQpU2Ul0flfuhP0A_46_0"/>
      <w:bookmarkStart w:id="188" w:name="Tc_onB91FL-4EGC1sN7xhAJFA_45_6"/>
      <w:bookmarkStart w:id="189" w:name="Tc_w4Swhr_OFUioQfYaMBxzvA_45_0"/>
      <w:bookmarkStart w:id="190" w:name="Tc_z_49n7HFDUWabDQYLSLnhQ_44_6"/>
      <w:bookmarkStart w:id="191" w:name="Tc_Cd4pxncKl0aYBm_pASA5VA_44_0"/>
      <w:bookmarkStart w:id="192" w:name="Tc_zRUl-nFkjEC_be2Mosi5kw_43_3"/>
      <w:bookmarkStart w:id="193" w:name="Tc_ucDvppFbKEaPw4rN-UT_Wg_43_0"/>
      <w:bookmarkStart w:id="194" w:name="Tc_hroHNt_vcEmt9KQJGfcqdw_42_0"/>
      <w:bookmarkStart w:id="195" w:name="Tc_bUyyXgX8FU-GaTq2McxP4Q_41_0"/>
      <w:bookmarkStart w:id="196" w:name="Tc_Wv6HcPQ4skKmdiSBXoIGTg_40_0"/>
      <w:bookmarkStart w:id="197" w:name="Tc_1W99zAB43kaOLccSSiLvGQ_39_0"/>
      <w:bookmarkStart w:id="198" w:name="Tc_IlaumwdvlEaPiLb2__IL5A_38_0"/>
      <w:bookmarkStart w:id="199" w:name="Tc_CqhcVVZ49EK2WnFCTUynNA_37_0"/>
      <w:bookmarkStart w:id="200" w:name="Tc_sgxuMwm2jUuLy5or691i0Q_36_6"/>
      <w:bookmarkStart w:id="201" w:name="Tc_WHp8sv3tO0GayZmPsPKZ8w_36_0"/>
      <w:bookmarkStart w:id="202" w:name="Tc_UupYayWb6Um5z5PGp8qQ7A_35_0"/>
      <w:bookmarkStart w:id="203" w:name="Tc_5GnyL4rz3kmDwNfkDun6iw_34_0"/>
      <w:bookmarkStart w:id="204" w:name="Tc_8-3hCXivHkm38Gc7gGtwhA_33_0"/>
      <w:bookmarkStart w:id="205" w:name="Tc_-uqfMWVlrEyx37XupAEFUQ_32_0"/>
      <w:bookmarkStart w:id="206" w:name="Tc_Zg7iDi2r0EihKbzZQutT2Q_31_3"/>
      <w:bookmarkStart w:id="207" w:name="Tc_ByU01ptwxEm3CNv7nj-RhA_31_0"/>
      <w:bookmarkStart w:id="208" w:name="Tc_ofUrVu_61Em1utd9LgslOg_30_6"/>
      <w:bookmarkStart w:id="209" w:name="Tc_-aORSSJPQ06_nO9hNJuv2Q_30_0"/>
      <w:bookmarkStart w:id="210" w:name="Tc_BXRznH6h-EWtBFe4XAwN3Q_29_0"/>
      <w:bookmarkStart w:id="211" w:name="Tc_7QwL0DysjkSexq6D5VjeSg_28_0"/>
      <w:bookmarkStart w:id="212" w:name="Tc_bUlhM7kahE-VUyMod6ujGw_27_3"/>
      <w:bookmarkStart w:id="213" w:name="Tc_WzdK33LZe0K30b2fhouA6Q_27_0"/>
      <w:bookmarkStart w:id="214" w:name="Tc_VnBLXZta9kOOeW9f7XBPxA_26_0"/>
      <w:bookmarkStart w:id="215" w:name="Tc_rh5g4IhZCEmY-Zq7UWVamA_25_0"/>
      <w:bookmarkStart w:id="216" w:name="Tc_6sff3SrvWUKqBIo5437hAA_24_5"/>
      <w:bookmarkStart w:id="217" w:name="Tc_h428CMaruEW2bI0rY04p_g_24_2"/>
      <w:bookmarkStart w:id="218" w:name="Tc_9Z4E_4bFNkyYSgiQBUpTjA_24_0"/>
      <w:bookmarkStart w:id="219" w:name="Tc_STFUM_GMOkWcV7nKgOF52w_23_0"/>
      <w:bookmarkStart w:id="220" w:name="Tc_Cem5RLSyDk2holZpGVfqrw_22_0"/>
      <w:bookmarkStart w:id="221" w:name="Tc_02K7hK0uAEeuC81L6QEn3w_21_5"/>
      <w:bookmarkStart w:id="222" w:name="Tc_bT8UOOuFQ0GgvTLGB4c2vQ_21_2"/>
      <w:bookmarkStart w:id="223" w:name="Tc_jmcSsDH_oU-fDZWBnuhKdw_21_0"/>
      <w:bookmarkStart w:id="224" w:name="Tc_fJdnnbzg8E2dmSX3UY380w_20_0"/>
      <w:bookmarkStart w:id="225" w:name="Tc_i4rwoGZ9G0Cm8PwZqQ8wFw_19_0"/>
      <w:bookmarkStart w:id="226" w:name="Tc__cawQkBOrk6Q5eXLxylang_18_0"/>
      <w:bookmarkStart w:id="227" w:name="Tc_OAz6TFdE00CPFSFP5H9-Ig_17_0"/>
      <w:bookmarkStart w:id="228" w:name="Tc_vSpxyy8t80ebrgylWyG1wg_16_3"/>
      <w:bookmarkStart w:id="229" w:name="Tc_P6HI1_HUDk6svGtv6PPhyQ_16_0"/>
      <w:bookmarkStart w:id="230" w:name="Tc_zMZEDrx8O0CoT0G8YQhTsw_15_0"/>
      <w:bookmarkStart w:id="231" w:name="Tc_FKG7G87HJkq5RT7oC6SXhQ_14_0"/>
      <w:bookmarkStart w:id="232" w:name="Tc_d6VBunMRGkmRSZuG8ErIJA_13_6"/>
      <w:bookmarkStart w:id="233" w:name="Tc_JKPb9VLIiUOuc6jYFMEVRg_13_0"/>
      <w:bookmarkStart w:id="234" w:name="Tc_Z8LazFt5nUSooXB86QSZIw_12_0"/>
      <w:bookmarkStart w:id="235" w:name="Tc_BgavJ0jzmEyDAJ1o1ZBG5w_11_0"/>
      <w:bookmarkStart w:id="236" w:name="Tc_F8_3jZmsFkiumSBGruWx-A_10_0"/>
      <w:bookmarkStart w:id="237" w:name="Tc_uFAIXrRcjkaWngUdIxODSA_9_3"/>
      <w:bookmarkStart w:id="238" w:name="Tc_m4XNrLuNG0Cl_a8xuXwong_9_0"/>
      <w:bookmarkStart w:id="239" w:name="Tc_EAfvFsteBUu5_LCx8qqIOQ_8_0"/>
      <w:bookmarkStart w:id="240" w:name="Tc_fUhg5wwpQEmS5gPrc2iUWw_7_0"/>
      <w:bookmarkStart w:id="241" w:name="Tc_8Kz6e4Xu2EG_Xzmq_I6pHA_6_0"/>
      <w:bookmarkStart w:id="242" w:name="Tc_dIIA49vJQkaI3nJKO-u5dw_5_6"/>
      <w:bookmarkStart w:id="243" w:name="Tc_fQ7KzuZG9UmzmN40cuPkIw_5_0"/>
      <w:bookmarkStart w:id="244" w:name="Tc_JCkisbAZ5UC-pHDkM-IM7g_4_5"/>
      <w:bookmarkStart w:id="245" w:name="Tc_As0NzXH510ai8nxGiyGLJQ_4_2"/>
      <w:bookmarkStart w:id="246" w:name="Tc_pz4FBrIO2063v8YHXSm3Dw_4_0"/>
      <w:bookmarkStart w:id="247" w:name="Tc_zQQuh9lvHk6B4eEmuwcBuA_3_0"/>
      <w:bookmarkStart w:id="248" w:name="Tc_uSfjkchitEeS9dv8nQRI9A_2_0"/>
      <w:bookmarkStart w:id="249" w:name="Tc_aOXK6sRTRE6aAjHhZEcgTA_1_5"/>
      <w:bookmarkStart w:id="250" w:name="Tc_MT8zYRHacUyDhBBbFPDD1w_1_2"/>
      <w:bookmarkStart w:id="251" w:name="_a81f0ccb_1820_4341_9333_e085b40ff00a"/>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tbl>
      <w:tblPr>
        <w:tblW w:w="10205" w:type="dxa"/>
        <w:jc w:val="left"/>
        <w:tblInd w:w="0" w:type="dxa"/>
        <w:tblCellMar>
          <w:top w:w="0" w:type="dxa"/>
          <w:left w:w="0" w:type="dxa"/>
          <w:bottom w:w="0" w:type="dxa"/>
          <w:right w:w="0" w:type="dxa"/>
        </w:tblCellMar>
      </w:tblPr>
      <w:tblGrid>
        <w:gridCol w:w="6506"/>
        <w:gridCol w:w="326"/>
        <w:gridCol w:w="264"/>
        <w:gridCol w:w="1237"/>
        <w:gridCol w:w="326"/>
        <w:gridCol w:w="248"/>
        <w:gridCol w:w="1298"/>
      </w:tblGrid>
      <w:tr>
        <w:trPr/>
        <w:tc>
          <w:tcPr>
            <w:tcW w:w="6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131310" cy="175260"/>
                      <wp:effectExtent l="0" t="0" r="0" b="0"/>
                      <wp:wrapNone/>
                      <wp:docPr id="121" name="Frame120"/>
                      <a:graphic xmlns:a="http://schemas.openxmlformats.org/drawingml/2006/main">
                        <a:graphicData uri="http://schemas.microsoft.com/office/word/2010/wordprocessingShape">
                          <wps:wsp>
                            <wps:cNvSpPr txBox="1"/>
                            <wps:spPr>
                              <a:xfrm>
                                <a:off x="0" y="0"/>
                                <a:ext cx="4131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7640" cy="175260"/>
                      <wp:effectExtent l="0" t="0" r="0" b="0"/>
                      <wp:wrapNone/>
                      <wp:docPr id="123" name="Frame122"/>
                      <a:graphic xmlns:a="http://schemas.openxmlformats.org/drawingml/2006/main">
                        <a:graphicData uri="http://schemas.microsoft.com/office/word/2010/wordprocessingShape">
                          <wps:wsp>
                            <wps:cNvSpPr txBox="1"/>
                            <wps:spPr>
                              <a:xfrm>
                                <a:off x="0" y="0"/>
                                <a:ext cx="1676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85495" cy="175260"/>
                      <wp:effectExtent l="0" t="0" r="0" b="0"/>
                      <wp:wrapNone/>
                      <wp:docPr id="124" name="Frame123"/>
                      <a:graphic xmlns:a="http://schemas.openxmlformats.org/drawingml/2006/main">
                        <a:graphicData uri="http://schemas.microsoft.com/office/word/2010/wordprocessingShape">
                          <wps:wsp>
                            <wps:cNvSpPr txBox="1"/>
                            <wps:spPr>
                              <a:xfrm>
                                <a:off x="0" y="0"/>
                                <a:ext cx="7854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57480" cy="175260"/>
                      <wp:effectExtent l="0" t="0" r="0" b="0"/>
                      <wp:wrapNone/>
                      <wp:docPr id="126" name="Frame125"/>
                      <a:graphic xmlns:a="http://schemas.openxmlformats.org/drawingml/2006/main">
                        <a:graphicData uri="http://schemas.microsoft.com/office/word/2010/wordprocessingShape">
                          <wps:wsp>
                            <wps:cNvSpPr txBox="1"/>
                            <wps:spPr>
                              <a:xfrm>
                                <a:off x="0" y="0"/>
                                <a:ext cx="157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824230" cy="175260"/>
                      <wp:effectExtent l="0" t="0" r="0" b="0"/>
                      <wp:wrapNone/>
                      <wp:docPr id="127" name="Frame126"/>
                      <a:graphic xmlns:a="http://schemas.openxmlformats.org/drawingml/2006/main">
                        <a:graphicData uri="http://schemas.microsoft.com/office/word/2010/wordprocessingShape">
                          <wps:wsp>
                            <wps:cNvSpPr txBox="1"/>
                            <wps:spPr>
                              <a:xfrm>
                                <a:off x="0" y="0"/>
                                <a:ext cx="824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5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1"/>
              <w:ind w:left="0" w:right="0" w:hanging="0"/>
              <w:jc w:val="center"/>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 xml:space="preserve">ASSETS </w:t>
            </w:r>
          </w:p>
        </w:tc>
        <w:tc>
          <w:tcPr>
            <w:tcW w:w="326" w:type="dxa"/>
            <w:tcBorders/>
            <w:shd w:fill="CCEEFF" w:val="clear"/>
            <w:vAlign w:val="center"/>
          </w:tcPr>
          <w:p>
            <w:pPr>
              <w:pStyle w:val="TableContents"/>
              <w:spacing w:before="0" w:after="1"/>
              <w:ind w:left="0" w:right="0" w:hanging="0"/>
              <w:rPr/>
            </w:pPr>
            <w:r>
              <w:rPr/>
              <w:t> </w:t>
            </w:r>
          </w:p>
        </w:tc>
        <w:tc>
          <w:tcPr>
            <w:tcW w:w="264" w:type="dxa"/>
            <w:tcBorders/>
            <w:shd w:fill="CCEEFF" w:val="clear"/>
            <w:vAlign w:val="center"/>
          </w:tcPr>
          <w:p>
            <w:pPr>
              <w:pStyle w:val="TableContents"/>
              <w:spacing w:before="0" w:after="1"/>
              <w:ind w:left="0" w:right="0" w:hanging="0"/>
              <w:rPr/>
            </w:pPr>
            <w:r>
              <w:rPr/>
              <w:t>​</w:t>
            </w:r>
          </w:p>
        </w:tc>
        <w:tc>
          <w:tcPr>
            <w:tcW w:w="1237"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48" w:type="dxa"/>
            <w:tcBorders/>
            <w:shd w:fill="CCEEFF" w:val="clear"/>
            <w:vAlign w:val="center"/>
          </w:tcPr>
          <w:p>
            <w:pPr>
              <w:pStyle w:val="TableContents"/>
              <w:spacing w:before="0" w:after="1"/>
              <w:ind w:left="0" w:right="0" w:hanging="0"/>
              <w:rPr/>
            </w:pPr>
            <w:r>
              <w:rPr/>
              <w:t>​</w:t>
            </w:r>
          </w:p>
        </w:tc>
        <w:tc>
          <w:tcPr>
            <w:tcW w:w="1298" w:type="dxa"/>
            <w:tcBorders/>
            <w:shd w:fill="CCEEFF" w:val="clear"/>
            <w:vAlign w:val="center"/>
          </w:tcPr>
          <w:p>
            <w:pPr>
              <w:pStyle w:val="TableContents"/>
              <w:spacing w:before="0" w:after="1"/>
              <w:ind w:left="0" w:right="0" w:hanging="0"/>
              <w:jc w:val="right"/>
              <w:rPr/>
            </w:pPr>
            <w:r>
              <w:rPr/>
              <w:t>  </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 xml:space="preserve">Current Assets: </w:t>
            </w:r>
          </w:p>
        </w:tc>
        <w:tc>
          <w:tcPr>
            <w:tcW w:w="326" w:type="dxa"/>
            <w:tcBorders/>
            <w:shd w:fill="auto" w:val="clear"/>
            <w:vAlign w:val="center"/>
          </w:tcPr>
          <w:p>
            <w:pPr>
              <w:pStyle w:val="TableContents"/>
              <w:spacing w:before="0" w:after="1"/>
              <w:ind w:left="0" w:right="0" w:hanging="0"/>
              <w:rPr/>
            </w:pPr>
            <w:r>
              <w:rPr/>
              <w:t> </w:t>
            </w:r>
          </w:p>
        </w:tc>
        <w:tc>
          <w:tcPr>
            <w:tcW w:w="264" w:type="dxa"/>
            <w:tcBorders/>
            <w:shd w:fill="auto" w:val="clear"/>
            <w:vAlign w:val="center"/>
          </w:tcPr>
          <w:p>
            <w:pPr>
              <w:pStyle w:val="TableContents"/>
              <w:spacing w:before="0" w:after="1"/>
              <w:ind w:left="0" w:right="0" w:hanging="0"/>
              <w:rPr/>
            </w:pPr>
            <w:r>
              <w:rPr/>
              <w:t>​</w:t>
            </w:r>
          </w:p>
        </w:tc>
        <w:tc>
          <w:tcPr>
            <w:tcW w:w="1237"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48" w:type="dxa"/>
            <w:tcBorders/>
            <w:shd w:fill="auto" w:val="clear"/>
            <w:vAlign w:val="center"/>
          </w:tcPr>
          <w:p>
            <w:pPr>
              <w:pStyle w:val="TableContents"/>
              <w:spacing w:before="0" w:after="1"/>
              <w:ind w:left="0" w:right="0" w:hanging="0"/>
              <w:rPr/>
            </w:pPr>
            <w:r>
              <w:rPr/>
              <w:t>​</w:t>
            </w:r>
          </w:p>
        </w:tc>
        <w:tc>
          <w:tcPr>
            <w:tcW w:w="1298" w:type="dxa"/>
            <w:tcBorders/>
            <w:shd w:fill="auto" w:val="clear"/>
            <w:vAlign w:val="center"/>
          </w:tcPr>
          <w:p>
            <w:pPr>
              <w:pStyle w:val="TableContents"/>
              <w:spacing w:before="0" w:after="1"/>
              <w:ind w:left="0" w:right="0" w:hanging="0"/>
              <w:jc w:val="right"/>
              <w:rPr/>
            </w:pPr>
            <w:r>
              <w:rPr/>
              <w:t>  </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12,863,817</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10,164,338</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Restricted escrow deposit</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1,003,804</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1298" w:type="dxa"/>
            <w:tcBorders/>
            <w:shd w:fill="auto" w:val="clear"/>
            <w:vAlign w:val="center"/>
          </w:tcPr>
          <w:p>
            <w:pPr>
              <w:pStyle w:val="TableContents"/>
              <w:spacing w:before="0" w:after="1"/>
              <w:ind w:left="0" w:right="0" w:hanging="0"/>
              <w:jc w:val="right"/>
              <w:rPr/>
            </w:pPr>
            <w:r>
              <w:rPr/>
              <w:t>—</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Accounts receivable, net of allowances for doubtful accounts of $19,929 and $31,525, respectively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6,758,024</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12,244,785</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Accounts receivable - related party, net</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11,344,184</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8,435,823</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Loan and interest receivable - related party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101,753</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203,408</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Prepaid expenses - related party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3,145,000</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spacing w:before="0" w:after="1"/>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3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10,565,141</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11,017,007</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Total current assets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42,636,723</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45,210,361</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Restricted cash and cash equivalents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6,374,368</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6,389,777</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Prepaid expenses - related party</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5,582,500</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1298" w:type="dxa"/>
            <w:tcBorders/>
            <w:shd w:fill="auto" w:val="clear"/>
            <w:vAlign w:val="center"/>
          </w:tcPr>
          <w:p>
            <w:pPr>
              <w:pStyle w:val="TableContents"/>
              <w:spacing w:before="0" w:after="1"/>
              <w:ind w:left="0" w:right="0" w:hanging="0"/>
              <w:jc w:val="right"/>
              <w:rPr/>
            </w:pPr>
            <w:r>
              <w:rPr/>
              <w:t>—</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Property, plant and equipment, net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5,114,799</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5,678,701</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Intangible assets, net - license - related parties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1,384,058</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8,787,976</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Intangible assets, net - license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250,000</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Intangible assets, net - other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272,521</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277,148</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Deferred income taxes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7,602,536</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8,191,051</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Other noncurrent assets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198,668</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199,919</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Operating lease right-of-use assets, net </w:t>
            </w:r>
          </w:p>
        </w:tc>
        <w:tc>
          <w:tcPr>
            <w:tcW w:w="326" w:type="dxa"/>
            <w:tcBorders/>
            <w:shd w:fill="CCEEFF" w:val="clear"/>
            <w:vAlign w:val="center"/>
          </w:tcPr>
          <w:p>
            <w:pPr>
              <w:pStyle w:val="TableContents"/>
              <w:spacing w:before="0" w:after="1"/>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3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3,606,398</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5,100,912</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assets</w:t>
            </w:r>
          </w:p>
        </w:tc>
        <w:tc>
          <w:tcPr>
            <w:tcW w:w="326" w:type="dxa"/>
            <w:tcBorders/>
            <w:shd w:fill="auto" w:val="clear"/>
            <w:vAlign w:val="center"/>
          </w:tcPr>
          <w:p>
            <w:pPr>
              <w:pStyle w:val="TableContents"/>
              <w:spacing w:before="0" w:after="1"/>
              <w:ind w:left="0" w:right="0" w:hanging="0"/>
              <w:rPr/>
            </w:pPr>
            <w:r>
              <w:rPr/>
              <w:t>​</w:t>
            </w:r>
          </w:p>
        </w:tc>
        <w:tc>
          <w:tcPr>
            <w:tcW w:w="26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23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72,772,571</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29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80,085,845</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 xml:space="preserve">LIABILITIES, NONCONTROLLING INTERESTS AND STOCKHOLDERS' EQUITY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pPr>
            <w:r>
              <w:rPr/>
              <w:t>  </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 xml:space="preserve">Current Liabilities: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pPr>
            <w:r>
              <w:rPr/>
              <w:t>  </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Accounts payable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9,452,391</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3,871,510</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Accounts payable - related party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19,918,259</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23,733,572</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Accrued expenses and other liabilities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1,474,088</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2,975,475</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Loan payable - related parties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Interest payable - related parties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527,770</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528,439</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Revolving loan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9,000,000</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9,000,000</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Short term note</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5,416,666</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w:t>
            </w:r>
          </w:p>
        </w:tc>
        <w:tc>
          <w:tcPr>
            <w:tcW w:w="1298" w:type="dxa"/>
            <w:tcBorders/>
            <w:shd w:fill="CCEEFF" w:val="clear"/>
            <w:vAlign w:val="center"/>
          </w:tcPr>
          <w:p>
            <w:pPr>
              <w:pStyle w:val="TableContents"/>
              <w:spacing w:before="0" w:after="1"/>
              <w:ind w:left="0" w:right="0" w:hanging="0"/>
              <w:jc w:val="right"/>
              <w:rPr/>
            </w:pPr>
            <w:r>
              <w:rPr/>
              <w:t>—</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Notes payable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216,329</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Current portion of long-term debt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86,524</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77,348</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Current portion of deferred revenue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4,335,404</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11,005,517</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Current portion of operating lease liabilities </w:t>
            </w:r>
          </w:p>
        </w:tc>
        <w:tc>
          <w:tcPr>
            <w:tcW w:w="326" w:type="dxa"/>
            <w:tcBorders/>
            <w:shd w:fill="CCEEFF" w:val="clear"/>
            <w:vAlign w:val="center"/>
          </w:tcPr>
          <w:p>
            <w:pPr>
              <w:pStyle w:val="TableContents"/>
              <w:spacing w:before="0" w:after="1"/>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3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1,371,227</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1,688,965</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Total current liabilities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51,582,329</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53,497,155</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Accrued expenses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457,024</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pPr>
            <w:r>
              <w:rPr/>
              <w:t>—</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Long-term debt, net of current portion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3,221,963</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2,885,434</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Deferred revenue, net of current portion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5,216,042</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9,275,417</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Operating lease liabilities, net of current portion </w:t>
            </w:r>
          </w:p>
        </w:tc>
        <w:tc>
          <w:tcPr>
            <w:tcW w:w="326" w:type="dxa"/>
            <w:tcBorders/>
            <w:shd w:fill="auto" w:val="clear"/>
            <w:vAlign w:val="center"/>
          </w:tcPr>
          <w:p>
            <w:pPr>
              <w:pStyle w:val="TableContents"/>
              <w:spacing w:before="0" w:after="1"/>
              <w:ind w:left="0" w:right="0" w:hanging="0"/>
              <w:rPr/>
            </w:pPr>
            <w:r>
              <w:rPr/>
              <w:t>​</w:t>
            </w:r>
          </w:p>
        </w:tc>
        <w:tc>
          <w:tcPr>
            <w:tcW w:w="26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3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2,930,529</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4,375,786</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Total liabilities </w:t>
            </w:r>
          </w:p>
        </w:tc>
        <w:tc>
          <w:tcPr>
            <w:tcW w:w="326" w:type="dxa"/>
            <w:tcBorders/>
            <w:shd w:fill="CCEEFF" w:val="clear"/>
            <w:vAlign w:val="center"/>
          </w:tcPr>
          <w:p>
            <w:pPr>
              <w:pStyle w:val="TableContents"/>
              <w:spacing w:before="0" w:after="1"/>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3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63,407,887</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70,033,792</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 xml:space="preserve">Commitments and contingencies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pPr>
            <w:r>
              <w:rPr/>
              <w:t>  </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 xml:space="preserve">Stockholders' Equity: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pPr>
            <w:r>
              <w:rPr/>
              <w:t>  </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16"/>
              </w:rPr>
              <w:t>Common stock of Snail Games USA, $0.01</w:t>
            </w:r>
            <w:r>
              <w:rPr>
                <w:rFonts w:ascii="Times New Roman;Times;serif" w:hAnsi="Times New Roman;Times;serif"/>
                <w:sz w:val="20"/>
              </w:rPr>
              <w:t xml:space="preserve"> </w:t>
            </w:r>
            <w:r>
              <w:rPr>
                <w:rFonts w:ascii="Times New Roman;Times;serif" w:hAnsi="Times New Roman;Times;serif"/>
                <w:sz w:val="16"/>
              </w:rPr>
              <w:t>par value per share; 1,000,000</w:t>
            </w:r>
            <w:r>
              <w:rPr>
                <w:rFonts w:ascii="Times New Roman;Times;serif" w:hAnsi="Times New Roman;Times;serif"/>
                <w:sz w:val="20"/>
              </w:rPr>
              <w:t xml:space="preserve"> </w:t>
            </w:r>
            <w:r>
              <w:rPr>
                <w:rFonts w:ascii="Times New Roman;Times;serif" w:hAnsi="Times New Roman;Times;serif"/>
                <w:sz w:val="16"/>
              </w:rPr>
              <w:t>shares authorized, 500,000</w:t>
            </w:r>
            <w:r>
              <w:rPr>
                <w:rFonts w:ascii="Times New Roman;Times;serif" w:hAnsi="Times New Roman;Times;serif"/>
                <w:sz w:val="20"/>
              </w:rPr>
              <w:t xml:space="preserve"> </w:t>
            </w:r>
            <w:r>
              <w:rPr>
                <w:rFonts w:ascii="Times New Roman;Times;serif" w:hAnsi="Times New Roman;Times;serif"/>
                <w:sz w:val="16"/>
              </w:rPr>
              <w:t xml:space="preserve">shares issued and </w:t>
            </w:r>
            <w:r>
              <w:rPr>
                <w:rFonts w:ascii="Times New Roman;Times;serif" w:hAnsi="Times New Roman;Times;serif"/>
                <w:b w:val="false"/>
                <w:i w:val="false"/>
                <w:caps w:val="false"/>
                <w:smallCaps w:val="false"/>
                <w:sz w:val="16"/>
              </w:rPr>
              <w:t>outstanding</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123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Class A common stock, $0.0001 par value, 500,000,000 and 0 shares authorized, 9,251,420 and 0 shares issued, and 8,053,771 and 0 shares outstanding, respectively</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925</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pPr>
            <w:r>
              <w:rPr/>
              <w:t>—</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16"/>
              </w:rPr>
              <w:t>Class B common stock, $0.0001</w:t>
            </w:r>
            <w:r>
              <w:rPr>
                <w:rFonts w:ascii="Times New Roman;Times;serif" w:hAnsi="Times New Roman;Times;serif"/>
                <w:sz w:val="20"/>
              </w:rPr>
              <w:t xml:space="preserve"> </w:t>
            </w:r>
            <w:r>
              <w:rPr>
                <w:rFonts w:ascii="Times New Roman;Times;serif" w:hAnsi="Times New Roman;Times;serif"/>
                <w:sz w:val="16"/>
              </w:rPr>
              <w:t>par value, 100,000,000</w:t>
            </w:r>
            <w:r>
              <w:rPr>
                <w:rFonts w:ascii="Times New Roman;Times;serif" w:hAnsi="Times New Roman;Times;serif"/>
                <w:sz w:val="20"/>
              </w:rPr>
              <w:t xml:space="preserve"> </w:t>
            </w:r>
            <w:r>
              <w:rPr>
                <w:rFonts w:ascii="Times New Roman;Times;serif" w:hAnsi="Times New Roman;Times;serif"/>
                <w:sz w:val="16"/>
              </w:rPr>
              <w:t>and 0</w:t>
            </w:r>
            <w:r>
              <w:rPr>
                <w:rFonts w:ascii="Times New Roman;Times;serif" w:hAnsi="Times New Roman;Times;serif"/>
                <w:sz w:val="20"/>
              </w:rPr>
              <w:t xml:space="preserve"> </w:t>
            </w:r>
            <w:r>
              <w:rPr>
                <w:rFonts w:ascii="Times New Roman;Times;serif" w:hAnsi="Times New Roman;Times;serif"/>
                <w:sz w:val="16"/>
              </w:rPr>
              <w:t>shares authorized, 28,748,580</w:t>
            </w:r>
            <w:r>
              <w:rPr>
                <w:rFonts w:ascii="Times New Roman;Times;serif" w:hAnsi="Times New Roman;Times;serif"/>
                <w:sz w:val="20"/>
              </w:rPr>
              <w:t xml:space="preserve"> </w:t>
            </w:r>
            <w:r>
              <w:rPr>
                <w:rFonts w:ascii="Times New Roman;Times;serif" w:hAnsi="Times New Roman;Times;serif"/>
                <w:sz w:val="16"/>
              </w:rPr>
              <w:t>and 0</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2,875</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1298" w:type="dxa"/>
            <w:tcBorders/>
            <w:shd w:fill="auto" w:val="clear"/>
            <w:vAlign w:val="center"/>
          </w:tcPr>
          <w:p>
            <w:pPr>
              <w:pStyle w:val="TableContents"/>
              <w:spacing w:before="0" w:after="1"/>
              <w:ind w:left="0" w:right="0" w:hanging="0"/>
              <w:jc w:val="right"/>
              <w:rPr/>
            </w:pPr>
            <w:r>
              <w:rPr/>
              <w:t>—</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Additional paid-in capital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23,436,942</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94,159,167</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Due from shareholder - loan receivable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(91,388,176)</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Due from shareholder - interest receivable </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pPr>
            <w:r>
              <w:rPr/>
              <w:t> </w:t>
            </w:r>
          </w:p>
        </w:tc>
        <w:tc>
          <w:tcPr>
            <w:tcW w:w="123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12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(2,965,346)</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Accumulated other comprehensive loss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(307,200)</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(266,557)</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Retained earnings (accumulated deficit)</w:t>
            </w:r>
          </w:p>
        </w:tc>
        <w:tc>
          <w:tcPr>
            <w:tcW w:w="326" w:type="dxa"/>
            <w:tcBorders/>
            <w:shd w:fill="CCEEFF" w:val="clear"/>
            <w:vAlign w:val="center"/>
          </w:tcPr>
          <w:p>
            <w:pPr>
              <w:pStyle w:val="TableContents"/>
              <w:spacing w:before="0" w:after="1"/>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3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(4,863,250)</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16,045,231</w:t>
            </w:r>
          </w:p>
        </w:tc>
      </w:tr>
      <w:tr>
        <w:trPr/>
        <w:tc>
          <w:tcPr>
            <w:tcW w:w="65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18,270,292</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15,589,319</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Treasury stock at cost (1,197,649 and 0 shares, respectively)</w:t>
            </w:r>
          </w:p>
        </w:tc>
        <w:tc>
          <w:tcPr>
            <w:tcW w:w="326" w:type="dxa"/>
            <w:tcBorders/>
            <w:shd w:fill="CCEEFF" w:val="clear"/>
            <w:vAlign w:val="center"/>
          </w:tcPr>
          <w:p>
            <w:pPr>
              <w:pStyle w:val="TableContents"/>
              <w:spacing w:before="0" w:after="1"/>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23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(3,414,713)</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29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Total Snail, Inc. and Snail Games USA Inc. equity </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 </w:t>
            </w:r>
          </w:p>
        </w:tc>
        <w:tc>
          <w:tcPr>
            <w:tcW w:w="123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14,855,579</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12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15,589,319</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Noncontrolling interests </w:t>
            </w:r>
          </w:p>
        </w:tc>
        <w:tc>
          <w:tcPr>
            <w:tcW w:w="326" w:type="dxa"/>
            <w:tcBorders/>
            <w:shd w:fill="CCEEFF" w:val="clear"/>
            <w:vAlign w:val="center"/>
          </w:tcPr>
          <w:p>
            <w:pPr>
              <w:pStyle w:val="TableContents"/>
              <w:spacing w:before="0" w:after="1"/>
              <w:ind w:left="0" w:right="0" w:hanging="0"/>
              <w:rPr/>
            </w:pPr>
            <w:r>
              <w:rPr/>
              <w:t>​</w:t>
            </w:r>
          </w:p>
        </w:tc>
        <w:tc>
          <w:tcPr>
            <w:tcW w:w="26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3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(5,490,895)</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9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(5,537,266)</w:t>
            </w:r>
          </w:p>
        </w:tc>
      </w:tr>
      <w:tr>
        <w:trPr/>
        <w:tc>
          <w:tcPr>
            <w:tcW w:w="6506"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Total stockholders' equity </w:t>
            </w:r>
          </w:p>
        </w:tc>
        <w:tc>
          <w:tcPr>
            <w:tcW w:w="326" w:type="dxa"/>
            <w:tcBorders/>
            <w:shd w:fill="auto" w:val="clear"/>
            <w:vAlign w:val="center"/>
          </w:tcPr>
          <w:p>
            <w:pPr>
              <w:pStyle w:val="TableContents"/>
              <w:spacing w:before="0" w:after="1"/>
              <w:ind w:left="0" w:right="0" w:hanging="0"/>
              <w:rPr/>
            </w:pPr>
            <w:r>
              <w:rPr/>
              <w:t>​</w:t>
            </w:r>
          </w:p>
        </w:tc>
        <w:tc>
          <w:tcPr>
            <w:tcW w:w="26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3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9,364,684</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10,052,053</w:t>
            </w:r>
          </w:p>
        </w:tc>
      </w:tr>
      <w:tr>
        <w:trPr/>
        <w:tc>
          <w:tcPr>
            <w:tcW w:w="6506"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Total liabilities, noncontrolling interests and stockholders' equity </w:t>
            </w:r>
          </w:p>
        </w:tc>
        <w:tc>
          <w:tcPr>
            <w:tcW w:w="326" w:type="dxa"/>
            <w:tcBorders/>
            <w:shd w:fill="CCEEFF" w:val="clear"/>
            <w:vAlign w:val="center"/>
          </w:tcPr>
          <w:p>
            <w:pPr>
              <w:pStyle w:val="TableContents"/>
              <w:spacing w:before="0" w:after="1"/>
              <w:ind w:left="0" w:right="0" w:hanging="0"/>
              <w:rPr/>
            </w:pPr>
            <w:r>
              <w:rPr/>
              <w:t>​</w:t>
            </w:r>
          </w:p>
        </w:tc>
        <w:tc>
          <w:tcPr>
            <w:tcW w:w="26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23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72,772,571</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298"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80,085,845</w:t>
            </w:r>
          </w:p>
        </w:tc>
      </w:tr>
    </w:tbl>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spacing w:before="24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52" w:name="ConsolidatedStatementsofOperations_94275"/>
      <w:bookmarkStart w:id="253" w:name="_8b05e00a_e1e5_401b_a302_c6a98a95853b"/>
      <w:bookmarkEnd w:id="252"/>
      <w:bookmarkEnd w:id="253"/>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 for the Years Ended December 31, 2022 and 2021</w:t>
      </w:r>
    </w:p>
    <w:p>
      <w:pPr>
        <w:pStyle w:val="Normal"/>
        <w:spacing w:before="0" w:after="0"/>
        <w:rPr>
          <w:sz w:val="4"/>
          <w:szCs w:val="4"/>
        </w:rPr>
      </w:pPr>
      <w:r>
        <w:rPr>
          <w:sz w:val="4"/>
          <w:szCs w:val="4"/>
        </w:rPr>
      </w:r>
      <w:bookmarkStart w:id="254" w:name="Tc_94u7waEdWEif9fMlwP_qnw_45_6"/>
      <w:bookmarkStart w:id="255" w:name="Tc_5CfxF0T7gkuWmuA9uhC2KQ_45_0"/>
      <w:bookmarkStart w:id="256" w:name="Tc_3rucCdj7102IjZkxjEvimA_44_6"/>
      <w:bookmarkStart w:id="257" w:name="Tc_N5xEnAmOb0i_DgZeHK7MCQ_44_0"/>
      <w:bookmarkStart w:id="258" w:name="Tc_nnt7XzbQLkGp3llLjCZFGA_43_0"/>
      <w:bookmarkStart w:id="259" w:name="Tc_S410KYyv8UiCrvHLBRpQtw_42_0"/>
      <w:bookmarkStart w:id="260" w:name="Tc_g4RuyBr2aU-_HJJlem68Uw_41_0"/>
      <w:bookmarkStart w:id="261" w:name="Tc_tkYfgw17aUSPo1VOT_HORA_40_0"/>
      <w:bookmarkStart w:id="262" w:name="Tc_uSkxuwxtxkqpFP71l-o-Lw_39_5"/>
      <w:bookmarkStart w:id="263" w:name="Tc_6l8wUS6oTkiXWGPzNpVlsg_39_2"/>
      <w:bookmarkStart w:id="264" w:name="Tc_kQ5sq2GkbkCKo3wRgEExFA_39_0"/>
      <w:bookmarkStart w:id="265" w:name="Tc_uJw3ZqUoOkiig8eTAVgFUQ_38_5"/>
      <w:bookmarkStart w:id="266" w:name="Tc_Q13f1WQ9-kudaH1IFwgP4w_38_2"/>
      <w:bookmarkStart w:id="267" w:name="Tc_ez1aTWIgmUGHonj6_07DoA_38_0"/>
      <w:bookmarkStart w:id="268" w:name="Tc_gDQNAgzqtEWIzEEA147xxg_37_0"/>
      <w:bookmarkStart w:id="269" w:name="Tc_KF_13-ehQUmRHfYxajAyNw_36_6"/>
      <w:bookmarkStart w:id="270" w:name="Tc_URFN_-53dUG_ayqlKcwEGQ_36_5"/>
      <w:bookmarkStart w:id="271" w:name="Tc_fi8Hl49stEiJRhTp5z4JeA_36_2"/>
      <w:bookmarkStart w:id="272" w:name="Tc_nFcG0TaYZ0mhaiCMzihexQ_36_0"/>
      <w:bookmarkStart w:id="273" w:name="Tc_7OqBaNcHLkaujm9Z9ceXFQ_35_6"/>
      <w:bookmarkStart w:id="274" w:name="Tc_7oSSQF5CgkaWz8v3UTcKbw_35_5"/>
      <w:bookmarkStart w:id="275" w:name="Tc_1_dLrLBtBkOmdMPh3m4XJA_35_2"/>
      <w:bookmarkStart w:id="276" w:name="Tc_M0Xqs2GHxUi71vGHy-lB6A_35_0"/>
      <w:bookmarkStart w:id="277" w:name="Tc_dZUMCL4eYEiCT6dPc3e5BQ_34_0"/>
      <w:bookmarkStart w:id="278" w:name="Tc_G-Tpad-V0kOIfVKxCXyKRQ_33_5"/>
      <w:bookmarkStart w:id="279" w:name="Tc_n9e151IDPkyM5TgfYRkGSw_33_2"/>
      <w:bookmarkStart w:id="280" w:name="Tc_747U7pR470Cpvvo2ZC2Hvg_33_0"/>
      <w:bookmarkStart w:id="281" w:name="Tc_Lg5k6YnyFkOWdQYPrTXEFg_32_5"/>
      <w:bookmarkStart w:id="282" w:name="Tc_Im00ERPOhkGsu7XQF3rqmg_32_2"/>
      <w:bookmarkStart w:id="283" w:name="Tc_vkh4tCSRAEeqwoEt1zrgKw_32_0"/>
      <w:bookmarkStart w:id="284" w:name="Tc_nYlV1kHf30S5rNICGkM2PQ_31_0"/>
      <w:bookmarkStart w:id="285" w:name="Tc_kM5W4ye940iPDnnc4FO7jA_30_5"/>
      <w:bookmarkStart w:id="286" w:name="Tc_Gouu93YmXUSFfvMbTkygLg_30_2"/>
      <w:bookmarkStart w:id="287" w:name="Tc_7OWbc5utR0CEyRbHgbBqNQ_30_0"/>
      <w:bookmarkStart w:id="288" w:name="Tc_T8Uq-niuKUKLEYb3dPpvMQ_29_0"/>
      <w:bookmarkStart w:id="289" w:name="Tc_z9zErjr5KEu-i7cwKwHqdw_28_0"/>
      <w:bookmarkStart w:id="290" w:name="Tc_4mKzZlcXW0Cj7s3yH44knQ_27_0"/>
      <w:bookmarkStart w:id="291" w:name="Tc_i8krQmw5Oku6lzBO222XPw_26_0"/>
      <w:bookmarkStart w:id="292" w:name="Tc_74jDloSfk0-upbN8C9XbVw_25_0"/>
      <w:bookmarkStart w:id="293" w:name="Tc_9qbjBodsKE6LYk7OuNRuZg_24_0"/>
      <w:bookmarkStart w:id="294" w:name="Tc_wZJZipfN10K4Rb2lMbA_3A_23_0"/>
      <w:bookmarkStart w:id="295" w:name="Tc_n6UB687T60iBMnfOKRnx6w_22_0"/>
      <w:bookmarkStart w:id="296" w:name="Tc_vhx9JEvQEUeUJ-p0YoR77w_21_3"/>
      <w:bookmarkStart w:id="297" w:name="Tc_-rFsG-BSIEGkF1HSq8WFRg_21_0"/>
      <w:bookmarkStart w:id="298" w:name="Tc_oZwb8N_jl0KSpTeGopbOoQ_20_0"/>
      <w:bookmarkStart w:id="299" w:name="Tc_DQrGPSG7l0K8c95a3JGxPg_19_0"/>
      <w:bookmarkStart w:id="300" w:name="Tc_9SiFQsLci0qpJwI7f2nZDw_18_0"/>
      <w:bookmarkStart w:id="301" w:name="Tc_fcZKvEXfT0mVe3T2bfIzow_17_0"/>
      <w:bookmarkStart w:id="302" w:name="Tc_O50xWv3yR0GeCO26zQgBzg_16_0"/>
      <w:bookmarkStart w:id="303" w:name="Tc_ba-_osKJI0icDmED2HurpA_15_0"/>
      <w:bookmarkStart w:id="304" w:name="Tc_T-xgXW4eF0-kad0PlaFk9Q_14_0"/>
      <w:bookmarkStart w:id="305" w:name="Tc_EwNk_UDQ1U61TYF-w5hqdg_13_0"/>
      <w:bookmarkStart w:id="306" w:name="Tc_mjVEAW9FzkSSaCCR9t7HTg_12_0"/>
      <w:bookmarkStart w:id="307" w:name="Tc_9slt5LRYN0Kig8fcdk4Vjw_11_3"/>
      <w:bookmarkStart w:id="308" w:name="Tc_lmORhypcaUOajC4qz3P95Q_11_0"/>
      <w:bookmarkStart w:id="309" w:name="Tc_jEZ5KxRXJ0iT85lnq_77_g_10_0"/>
      <w:bookmarkStart w:id="310" w:name="Tc_Q6IsjWe7eUa56ls4A2MpDw_9_0"/>
      <w:bookmarkStart w:id="311" w:name="Tc_mK7wLr91bU2IelzxN4dtfA_8_0"/>
      <w:bookmarkStart w:id="312" w:name="Tc_DDAQlr0s1EaO_pfEXbBctA_7_0"/>
      <w:bookmarkStart w:id="313" w:name="Tc_39AYXW7QlE6bnCsuBD4gCw_6_0"/>
      <w:bookmarkStart w:id="314" w:name="Tc_qWIxYHsvskSX1AjXIQi_Ag_5_0"/>
      <w:bookmarkStart w:id="315" w:name="Tc_BRnArv4QXkmQLoNamIsJqw_4_0"/>
      <w:bookmarkStart w:id="316" w:name="Tc_IQz9EUucLkWRT6qKnFofYA_3_0"/>
      <w:bookmarkStart w:id="317" w:name="Tc_DjNYc8yTDkibArYN8On56g_2_5"/>
      <w:bookmarkStart w:id="318" w:name="Tc_OVAfzYlMZkmzyNbm5MgNOQ_2_2"/>
      <w:bookmarkStart w:id="319" w:name="Tc_77cKNmADAE21ovJJKMJF8g_2_0"/>
      <w:bookmarkStart w:id="320" w:name="Tc_PBALikJOjEebw422NJp84g_1_5"/>
      <w:bookmarkStart w:id="321" w:name="Tc_IBtMOtALr0iE-A0NYZuCpg_1_2"/>
      <w:bookmarkStart w:id="322" w:name="_66d32595_c80b_4db3_820a_5af4b3589cf9"/>
      <w:bookmarkStart w:id="323" w:name="Tc_94u7waEdWEif9fMlwP_qnw_45_6"/>
      <w:bookmarkStart w:id="324" w:name="Tc_5CfxF0T7gkuWmuA9uhC2KQ_45_0"/>
      <w:bookmarkStart w:id="325" w:name="Tc_3rucCdj7102IjZkxjEvimA_44_6"/>
      <w:bookmarkStart w:id="326" w:name="Tc_N5xEnAmOb0i_DgZeHK7MCQ_44_0"/>
      <w:bookmarkStart w:id="327" w:name="Tc_nnt7XzbQLkGp3llLjCZFGA_43_0"/>
      <w:bookmarkStart w:id="328" w:name="Tc_S410KYyv8UiCrvHLBRpQtw_42_0"/>
      <w:bookmarkStart w:id="329" w:name="Tc_g4RuyBr2aU-_HJJlem68Uw_41_0"/>
      <w:bookmarkStart w:id="330" w:name="Tc_tkYfgw17aUSPo1VOT_HORA_40_0"/>
      <w:bookmarkStart w:id="331" w:name="Tc_uSkxuwxtxkqpFP71l-o-Lw_39_5"/>
      <w:bookmarkStart w:id="332" w:name="Tc_6l8wUS6oTkiXWGPzNpVlsg_39_2"/>
      <w:bookmarkStart w:id="333" w:name="Tc_kQ5sq2GkbkCKo3wRgEExFA_39_0"/>
      <w:bookmarkStart w:id="334" w:name="Tc_uJw3ZqUoOkiig8eTAVgFUQ_38_5"/>
      <w:bookmarkStart w:id="335" w:name="Tc_Q13f1WQ9-kudaH1IFwgP4w_38_2"/>
      <w:bookmarkStart w:id="336" w:name="Tc_ez1aTWIgmUGHonj6_07DoA_38_0"/>
      <w:bookmarkStart w:id="337" w:name="Tc_gDQNAgzqtEWIzEEA147xxg_37_0"/>
      <w:bookmarkStart w:id="338" w:name="Tc_KF_13-ehQUmRHfYxajAyNw_36_6"/>
      <w:bookmarkStart w:id="339" w:name="Tc_URFN_-53dUG_ayqlKcwEGQ_36_5"/>
      <w:bookmarkStart w:id="340" w:name="Tc_fi8Hl49stEiJRhTp5z4JeA_36_2"/>
      <w:bookmarkStart w:id="341" w:name="Tc_nFcG0TaYZ0mhaiCMzihexQ_36_0"/>
      <w:bookmarkStart w:id="342" w:name="Tc_7OqBaNcHLkaujm9Z9ceXFQ_35_6"/>
      <w:bookmarkStart w:id="343" w:name="Tc_7oSSQF5CgkaWz8v3UTcKbw_35_5"/>
      <w:bookmarkStart w:id="344" w:name="Tc_1_dLrLBtBkOmdMPh3m4XJA_35_2"/>
      <w:bookmarkStart w:id="345" w:name="Tc_M0Xqs2GHxUi71vGHy-lB6A_35_0"/>
      <w:bookmarkStart w:id="346" w:name="Tc_dZUMCL4eYEiCT6dPc3e5BQ_34_0"/>
      <w:bookmarkStart w:id="347" w:name="Tc_G-Tpad-V0kOIfVKxCXyKRQ_33_5"/>
      <w:bookmarkStart w:id="348" w:name="Tc_n9e151IDPkyM5TgfYRkGSw_33_2"/>
      <w:bookmarkStart w:id="349" w:name="Tc_747U7pR470Cpvvo2ZC2Hvg_33_0"/>
      <w:bookmarkStart w:id="350" w:name="Tc_Lg5k6YnyFkOWdQYPrTXEFg_32_5"/>
      <w:bookmarkStart w:id="351" w:name="Tc_Im00ERPOhkGsu7XQF3rqmg_32_2"/>
      <w:bookmarkStart w:id="352" w:name="Tc_vkh4tCSRAEeqwoEt1zrgKw_32_0"/>
      <w:bookmarkStart w:id="353" w:name="Tc_nYlV1kHf30S5rNICGkM2PQ_31_0"/>
      <w:bookmarkStart w:id="354" w:name="Tc_kM5W4ye940iPDnnc4FO7jA_30_5"/>
      <w:bookmarkStart w:id="355" w:name="Tc_Gouu93YmXUSFfvMbTkygLg_30_2"/>
      <w:bookmarkStart w:id="356" w:name="Tc_7OWbc5utR0CEyRbHgbBqNQ_30_0"/>
      <w:bookmarkStart w:id="357" w:name="Tc_T8Uq-niuKUKLEYb3dPpvMQ_29_0"/>
      <w:bookmarkStart w:id="358" w:name="Tc_z9zErjr5KEu-i7cwKwHqdw_28_0"/>
      <w:bookmarkStart w:id="359" w:name="Tc_4mKzZlcXW0Cj7s3yH44knQ_27_0"/>
      <w:bookmarkStart w:id="360" w:name="Tc_i8krQmw5Oku6lzBO222XPw_26_0"/>
      <w:bookmarkStart w:id="361" w:name="Tc_74jDloSfk0-upbN8C9XbVw_25_0"/>
      <w:bookmarkStart w:id="362" w:name="Tc_9qbjBodsKE6LYk7OuNRuZg_24_0"/>
      <w:bookmarkStart w:id="363" w:name="Tc_wZJZipfN10K4Rb2lMbA_3A_23_0"/>
      <w:bookmarkStart w:id="364" w:name="Tc_n6UB687T60iBMnfOKRnx6w_22_0"/>
      <w:bookmarkStart w:id="365" w:name="Tc_vhx9JEvQEUeUJ-p0YoR77w_21_3"/>
      <w:bookmarkStart w:id="366" w:name="Tc_-rFsG-BSIEGkF1HSq8WFRg_21_0"/>
      <w:bookmarkStart w:id="367" w:name="Tc_oZwb8N_jl0KSpTeGopbOoQ_20_0"/>
      <w:bookmarkStart w:id="368" w:name="Tc_DQrGPSG7l0K8c95a3JGxPg_19_0"/>
      <w:bookmarkStart w:id="369" w:name="Tc_9SiFQsLci0qpJwI7f2nZDw_18_0"/>
      <w:bookmarkStart w:id="370" w:name="Tc_fcZKvEXfT0mVe3T2bfIzow_17_0"/>
      <w:bookmarkStart w:id="371" w:name="Tc_O50xWv3yR0GeCO26zQgBzg_16_0"/>
      <w:bookmarkStart w:id="372" w:name="Tc_ba-_osKJI0icDmED2HurpA_15_0"/>
      <w:bookmarkStart w:id="373" w:name="Tc_T-xgXW4eF0-kad0PlaFk9Q_14_0"/>
      <w:bookmarkStart w:id="374" w:name="Tc_EwNk_UDQ1U61TYF-w5hqdg_13_0"/>
      <w:bookmarkStart w:id="375" w:name="Tc_mjVEAW9FzkSSaCCR9t7HTg_12_0"/>
      <w:bookmarkStart w:id="376" w:name="Tc_9slt5LRYN0Kig8fcdk4Vjw_11_3"/>
      <w:bookmarkStart w:id="377" w:name="Tc_lmORhypcaUOajC4qz3P95Q_11_0"/>
      <w:bookmarkStart w:id="378" w:name="Tc_jEZ5KxRXJ0iT85lnq_77_g_10_0"/>
      <w:bookmarkStart w:id="379" w:name="Tc_Q6IsjWe7eUa56ls4A2MpDw_9_0"/>
      <w:bookmarkStart w:id="380" w:name="Tc_mK7wLr91bU2IelzxN4dtfA_8_0"/>
      <w:bookmarkStart w:id="381" w:name="Tc_DDAQlr0s1EaO_pfEXbBctA_7_0"/>
      <w:bookmarkStart w:id="382" w:name="Tc_39AYXW7QlE6bnCsuBD4gCw_6_0"/>
      <w:bookmarkStart w:id="383" w:name="Tc_qWIxYHsvskSX1AjXIQi_Ag_5_0"/>
      <w:bookmarkStart w:id="384" w:name="Tc_BRnArv4QXkmQLoNamIsJqw_4_0"/>
      <w:bookmarkStart w:id="385" w:name="Tc_IQz9EUucLkWRT6qKnFofYA_3_0"/>
      <w:bookmarkStart w:id="386" w:name="Tc_DjNYc8yTDkibArYN8On56g_2_5"/>
      <w:bookmarkStart w:id="387" w:name="Tc_OVAfzYlMZkmzyNbm5MgNOQ_2_2"/>
      <w:bookmarkStart w:id="388" w:name="Tc_77cKNmADAE21ovJJKMJF8g_2_0"/>
      <w:bookmarkStart w:id="389" w:name="Tc_PBALikJOjEebw422NJp84g_1_5"/>
      <w:bookmarkStart w:id="390" w:name="Tc_IBtMOtALr0iE-A0NYZuCpg_1_2"/>
      <w:bookmarkStart w:id="391" w:name="_66d32595_c80b_4db3_820a_5af4b3589cf9"/>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tbl>
      <w:tblPr>
        <w:tblW w:w="10205" w:type="dxa"/>
        <w:jc w:val="left"/>
        <w:tblInd w:w="0" w:type="dxa"/>
        <w:tblCellMar>
          <w:top w:w="0" w:type="dxa"/>
          <w:left w:w="0" w:type="dxa"/>
          <w:bottom w:w="0" w:type="dxa"/>
          <w:right w:w="0" w:type="dxa"/>
        </w:tblCellMar>
      </w:tblPr>
      <w:tblGrid>
        <w:gridCol w:w="7166"/>
        <w:gridCol w:w="326"/>
        <w:gridCol w:w="196"/>
        <w:gridCol w:w="943"/>
        <w:gridCol w:w="326"/>
        <w:gridCol w:w="196"/>
        <w:gridCol w:w="1052"/>
      </w:tblGrid>
      <w:tr>
        <w:trPr/>
        <w:tc>
          <w:tcPr>
            <w:tcW w:w="7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550410" cy="175260"/>
                      <wp:effectExtent l="0" t="0" r="0" b="0"/>
                      <wp:wrapNone/>
                      <wp:docPr id="128" name="Frame127"/>
                      <a:graphic xmlns:a="http://schemas.openxmlformats.org/drawingml/2006/main">
                        <a:graphicData uri="http://schemas.microsoft.com/office/word/2010/wordprocessingShape">
                          <wps:wsp>
                            <wps:cNvSpPr txBox="1"/>
                            <wps:spPr>
                              <a:xfrm>
                                <a:off x="0" y="0"/>
                                <a:ext cx="4550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4460" cy="175260"/>
                      <wp:effectExtent l="0" t="0" r="0" b="0"/>
                      <wp:wrapNone/>
                      <wp:docPr id="130" name="Frame12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98805" cy="175260"/>
                      <wp:effectExtent l="0" t="0" r="0" b="0"/>
                      <wp:wrapNone/>
                      <wp:docPr id="131" name="Frame130"/>
                      <a:graphic xmlns:a="http://schemas.openxmlformats.org/drawingml/2006/main">
                        <a:graphicData uri="http://schemas.microsoft.com/office/word/2010/wordprocessingShape">
                          <wps:wsp>
                            <wps:cNvSpPr txBox="1"/>
                            <wps:spPr>
                              <a:xfrm>
                                <a:off x="0" y="0"/>
                                <a:ext cx="598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2"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4460" cy="175260"/>
                      <wp:effectExtent l="0" t="0" r="0" b="0"/>
                      <wp:wrapNone/>
                      <wp:docPr id="133" name="Frame13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68020" cy="175260"/>
                      <wp:effectExtent l="0" t="0" r="0" b="0"/>
                      <wp:wrapNone/>
                      <wp:docPr id="134" name="Frame133"/>
                      <a:graphic xmlns:a="http://schemas.openxmlformats.org/drawingml/2006/main">
                        <a:graphicData uri="http://schemas.microsoft.com/office/word/2010/wordprocessingShape">
                          <wps:wsp>
                            <wps:cNvSpPr txBox="1"/>
                            <wps:spPr>
                              <a:xfrm>
                                <a:off x="0" y="0"/>
                                <a:ext cx="668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2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Revenues, net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74,444,141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106,734,149</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Cost of revenues </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49,507,888</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63,686,242</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Gross profit </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24,936,253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43,047,907</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Operating expenses: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43"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52" w:type="dxa"/>
            <w:tcBorders/>
            <w:shd w:fill="auto" w:val="clear"/>
            <w:vAlign w:val="center"/>
          </w:tcPr>
          <w:p>
            <w:pPr>
              <w:pStyle w:val="TableContents"/>
              <w:spacing w:before="0" w:after="0"/>
              <w:ind w:left="0" w:right="0" w:hanging="0"/>
              <w:jc w:val="right"/>
              <w:rPr/>
            </w:pPr>
            <w:r>
              <w:rPr/>
              <w:t>  </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General and administrative (including stock-based compensation expense of $223,250 and $0, respectively)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22,327,746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16,396,958</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Research and development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4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2,955,592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834,818</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Advertising and marketing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714,492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275,370</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Depreciation and amortization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4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565,906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798,813</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(Gain) loss on disposal of fixed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(17,067)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117,316</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Impairment of intangible assets </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16,325,000</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Total operating expenses </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26,546,669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34,748,275</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Income (loss) from operations </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(1,610,416)</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8,299,632</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Other income (expense):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43"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52" w:type="dxa"/>
            <w:tcBorders/>
            <w:shd w:fill="CCEEFF" w:val="clear"/>
            <w:vAlign w:val="center"/>
          </w:tcPr>
          <w:p>
            <w:pPr>
              <w:pStyle w:val="TableContents"/>
              <w:spacing w:before="0" w:after="0"/>
              <w:ind w:left="0" w:right="0" w:hanging="0"/>
              <w:jc w:val="right"/>
              <w:rPr/>
            </w:pPr>
            <w:r>
              <w:rPr/>
              <w:t>  </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Interest income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4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200,913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85,276</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Interest income - related parties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582,632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1,595,372</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Interest expense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4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(922,293)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(415,793)</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Interest expense - related parties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(3,222)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(8,000)</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Other income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4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302,086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493,687</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Foreign currency transaction (loss)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4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5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(41,579)</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Equity in loss of unconsolidated entity </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(314,515)</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Total other income, net </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158,171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1,394,448</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Income (loss) before provision for income taxes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4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(1,452,245)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9,694,080</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 (benefit) provision</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(2,446,423)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1,784,549</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4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994,178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7,909,531</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Net gain (loss) attributable to non-controlling interests </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4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46,371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(558,865)</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income attributable to Snail, Inc. and Snail Games USA Inc</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43"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947,807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52" w:type="dxa"/>
            <w:tcBorders/>
            <w:shd w:fill="auto" w:val="cle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8,468,396</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Comprehensive income statement: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43"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52" w:type="dxa"/>
            <w:tcBorders/>
            <w:shd w:fill="CCEEFF" w:val="clear"/>
            <w:vAlign w:val="center"/>
          </w:tcPr>
          <w:p>
            <w:pPr>
              <w:pStyle w:val="TableContents"/>
              <w:spacing w:before="0" w:after="0"/>
              <w:ind w:left="0" w:right="0" w:hanging="0"/>
              <w:jc w:val="right"/>
              <w:rPr/>
            </w:pPr>
            <w:r>
              <w:rPr/>
              <w:t>  </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comprehensive loss related to currency translation adjustments, net of tax</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(40,643)</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(69,383)</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comprehensive income</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907,164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0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8,399,013</w:t>
            </w:r>
          </w:p>
        </w:tc>
      </w:tr>
      <w:tr>
        <w:trPr/>
        <w:tc>
          <w:tcPr>
            <w:tcW w:w="7166" w:type="dxa"/>
            <w:tcBorders/>
            <w:shd w:fill="auto" w:val="clear"/>
            <w:vAlign w:val="center"/>
          </w:tcPr>
          <w:p>
            <w:pPr>
              <w:pStyle w:val="TableContents"/>
              <w:spacing w:lineRule="auto" w:line="240" w:before="0" w:after="0"/>
              <w:ind w:left="0" w:right="0" w:hanging="0"/>
              <w:rPr>
                <w:rFonts w:ascii="Times New Roman;Times;serif" w:hAnsi="Times New Roman;Times;serif"/>
                <w:sz w:val="16"/>
              </w:rPr>
            </w:pPr>
            <w:r>
              <w:rPr>
                <w:rFonts w:ascii="Times New Roman;Times;serif" w:hAnsi="Times New Roman;Times;serif"/>
                <w:b/>
                <w:sz w:val="16"/>
              </w:rPr>
              <w:t>Net income attributable to Class A common stockholders</w:t>
            </w:r>
            <w:r>
              <w:rPr>
                <w:rFonts w:ascii="Times New Roman;Times;serif" w:hAnsi="Times New Roman;Times;serif"/>
                <w:b/>
                <w:sz w:val="12"/>
              </w:rPr>
              <w:t>(1)</w:t>
            </w: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4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pPr>
            <w:r>
              <w:rPr/>
              <w:t>​</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228,482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0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8,468,396</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4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228,482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0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8,468,396</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income attributable to Class B common stockholders: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4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pPr>
            <w:r>
              <w:rPr/>
              <w:t>​</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4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719,325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052"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719,325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05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Income per share attributable to Class A and B common stockholders: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pPr>
            <w:r>
              <w:rPr/>
              <w:t>​</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0.03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0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0.24</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94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0.03</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0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0.24</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Weighted-average shares used to compute income per share attributable to Class A common stockholders: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4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052" w:type="dxa"/>
            <w:tcBorders/>
            <w:shd w:fill="CCEEFF" w:val="clear"/>
            <w:vAlign w:val="center"/>
          </w:tcPr>
          <w:p>
            <w:pPr>
              <w:pStyle w:val="TableContents"/>
              <w:spacing w:before="0" w:after="0"/>
              <w:ind w:left="0" w:right="0" w:hanging="0"/>
              <w:jc w:val="right"/>
              <w:rPr/>
            </w:pPr>
            <w:r>
              <w:rPr/>
              <w:t>​</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94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9,131,512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5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35,000,000</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9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9,131,512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35,000,000</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Weighted-average shares used to compute income per share attributable to Class B common stockholders: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4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1052" w:type="dxa"/>
            <w:tcBorders/>
            <w:shd w:fill="auto" w:val="clear"/>
            <w:vAlign w:val="center"/>
          </w:tcPr>
          <w:p>
            <w:pPr>
              <w:pStyle w:val="TableContents"/>
              <w:spacing w:before="0" w:after="0"/>
              <w:ind w:left="0" w:right="0" w:hanging="0"/>
              <w:jc w:val="right"/>
              <w:rPr/>
            </w:pPr>
            <w:r>
              <w:rPr/>
              <w:t>​</w:t>
            </w:r>
          </w:p>
        </w:tc>
      </w:tr>
      <w:tr>
        <w:trPr/>
        <w:tc>
          <w:tcPr>
            <w:tcW w:w="716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9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28,748,580</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5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71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94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28,748,580</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52" w:type="dxa"/>
            <w:tcBorders>
              <w:bottom w:val="double" w:sz="6" w:space="0" w:color="000000"/>
            </w:tcBorders>
            <w:shd w:fill="auto" w:val="clear"/>
            <w:tcMar>
              <w:bottom w:w="28" w:type="dxa"/>
            </w:tcMar>
            <w:vAlign w:val="center"/>
          </w:tcPr>
          <w:p>
            <w:pPr>
              <w:pStyle w:val="TableContents"/>
              <w:spacing w:before="0" w:after="0"/>
              <w:ind w:left="0" w:right="60" w:hanging="0"/>
              <w:jc w:val="right"/>
              <w:rPr/>
            </w:pPr>
            <w:r>
              <w:rPr/>
              <w:t>—</w:t>
            </w:r>
          </w:p>
        </w:tc>
      </w:tr>
    </w:tbl>
    <w:tbl>
      <w:tblPr>
        <w:tblW w:w="10205" w:type="dxa"/>
        <w:jc w:val="left"/>
        <w:tblInd w:w="0" w:type="dxa"/>
        <w:tblCellMar>
          <w:top w:w="0" w:type="dxa"/>
          <w:left w:w="0" w:type="dxa"/>
          <w:bottom w:w="0" w:type="dxa"/>
          <w:right w:w="0" w:type="dxa"/>
        </w:tblCellMar>
      </w:tblPr>
      <w:tblGrid>
        <w:gridCol w:w="313"/>
        <w:gridCol w:w="9892"/>
      </w:tblGrid>
      <w:tr>
        <w:trPr/>
        <w:tc>
          <w:tcPr>
            <w:tcW w:w="313"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(1)</w:t>
            </w:r>
          </w:p>
        </w:tc>
        <w:tc>
          <w:tcPr>
            <w:tcW w:w="9892"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shares used for the denominator in the calculation of EPS are the number of shares transferred in the reorganization transaction for comparative purposes. Snail Games USA did not have Class A common stock as of December 31, 2021.</w:t>
            </w:r>
          </w:p>
        </w:tc>
      </w:tr>
    </w:tbl>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spacing w:before="24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92" w:name="ConsolidatedStatementsofEquity_527222"/>
      <w:bookmarkStart w:id="393" w:name="_8d065f1d_07b1_4109_9453_5b23c6deeec6"/>
      <w:bookmarkEnd w:id="392"/>
      <w:bookmarkEnd w:id="393"/>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Consolidated Statements of Equity for the Years Ended December 31, 2022 and 2021</w:t>
      </w:r>
    </w:p>
    <w:p>
      <w:pPr>
        <w:pStyle w:val="Normal"/>
        <w:spacing w:before="0" w:after="0"/>
        <w:rPr>
          <w:sz w:val="4"/>
          <w:szCs w:val="4"/>
        </w:rPr>
      </w:pPr>
      <w:r>
        <w:rPr>
          <w:sz w:val="4"/>
          <w:szCs w:val="4"/>
        </w:rPr>
      </w:r>
      <w:bookmarkStart w:id="394" w:name="Tc_54lhydNUY0yJcXQm0FWJRQ_22_40"/>
      <w:bookmarkStart w:id="395" w:name="Tc_yO8pz3ftJEOxdyBcrhO1GA_22_37"/>
      <w:bookmarkStart w:id="396" w:name="Tc_zJcyFD832E6CtAuHijxv_g_22_34"/>
      <w:bookmarkStart w:id="397" w:name="Tc_JsLf9fO4G0mAsI-jO9c7Yg_22_31"/>
      <w:bookmarkStart w:id="398" w:name="Tc_PnwqGMIYakOuIjcOJ4KpwQ_22_26"/>
      <w:bookmarkStart w:id="399" w:name="Tc_4H2hDK1EI0OBjhOUBcMhVw_22_23"/>
      <w:bookmarkStart w:id="400" w:name="Tc_16TsgZDXyUCsS6A5LSwqyQ_22_21"/>
      <w:bookmarkStart w:id="401" w:name="Tc_-x8zRAhLrUq1A2tr3RwYHg_22_20"/>
      <w:bookmarkStart w:id="402" w:name="Tc_a-G727rBo02crv-sebD39A_22_17"/>
      <w:bookmarkStart w:id="403" w:name="Tc_ZrM3GQGZGUmygy2VUZXz9A_22_14"/>
      <w:bookmarkStart w:id="404" w:name="Tc_xRtS9ZAxpEKxuLmz8s84dg_22_9"/>
      <w:bookmarkStart w:id="405" w:name="Tc_BSq7GIx3K0ek7pNv5MyZrA_22_5"/>
      <w:bookmarkStart w:id="406" w:name="Tc_29_JXjDA1EGFqC1PI2qXTQ_22_4"/>
      <w:bookmarkStart w:id="407" w:name="Tc_M5IuZRoPB06T-AQ_a9FUAA_22_2"/>
      <w:bookmarkStart w:id="408" w:name="Tc_K7UggWOZXkiWQDOleR7dPQ_22_0"/>
      <w:bookmarkStart w:id="409" w:name="Tc_csmx0LDsPUqoy-_gVxTdow_21_32"/>
      <w:bookmarkStart w:id="410" w:name="Tc_Mu5gn33-UEGyOMlSsnGT9Q_21_29"/>
      <w:bookmarkStart w:id="411" w:name="Tc_RIxFesGckUCbKul0xr5yIg_21_24"/>
      <w:bookmarkStart w:id="412" w:name="Tc_7lcM3--EmkOn417CYBMOUg_21_21"/>
      <w:bookmarkStart w:id="413" w:name="Tc_BHTwAFa4tkGfltcaOWMKaA_21_18"/>
      <w:bookmarkStart w:id="414" w:name="Tc_eIOAqsf6wEK5_-cUWLGfzA_21_15"/>
      <w:bookmarkStart w:id="415" w:name="Tc_ms2qzHkpgEmtFct2SLYIRQ_21_12"/>
      <w:bookmarkStart w:id="416" w:name="Tc_GiWdTfJ3AEyzKJZ3M0xVdw_21_10"/>
      <w:bookmarkStart w:id="417" w:name="Tc_YiCZ-2QLq0Gxd29rFKqTzA_21_7"/>
      <w:bookmarkStart w:id="418" w:name="Tc_Dzywa3rlFkaSCHPw-FrbIA_21_5"/>
      <w:bookmarkStart w:id="419" w:name="Tc_H1Qyj-3pyU-ST4aPJOGGEg_21_2"/>
      <w:bookmarkStart w:id="420" w:name="Tc_w7QbZ4dsZUaUNaTt8EypyA_21_0"/>
      <w:bookmarkStart w:id="421" w:name="Tc_IYuTeN3ROkC7C7V0kdox7Q_20_38"/>
      <w:bookmarkStart w:id="422" w:name="Tc_V_JJi8JuTEiiD6pXUV0D6w_20_32"/>
      <w:bookmarkStart w:id="423" w:name="Tc_XfnLVbibSkSn-kkaICYuPw_20_29"/>
      <w:bookmarkStart w:id="424" w:name="Tc_sosDGCujqkW6H5akbUIvGw_20_27"/>
      <w:bookmarkStart w:id="425" w:name="Tc_KKBT5oCcsUyjomyhUt38vQ_20_21"/>
      <w:bookmarkStart w:id="426" w:name="Tc_ksdD870-Y0i-w0bocHI2DQ_20_18"/>
      <w:bookmarkStart w:id="427" w:name="Tc_JnB2DBl6gUWNEeJwkOGlMg_20_15"/>
      <w:bookmarkStart w:id="428" w:name="Tc_eIT9C0Onw0K8gunzAUJCXA_20_12"/>
      <w:bookmarkStart w:id="429" w:name="Tc_dZuHUXd4m0KERZ969KQoeg_20_10"/>
      <w:bookmarkStart w:id="430" w:name="Tc_JxHCQXiK_0Gc_zlWw00u0g_20_7"/>
      <w:bookmarkStart w:id="431" w:name="Tc_fvTcnrmK8EqbomZt8ophpA_20_5"/>
      <w:bookmarkStart w:id="432" w:name="Tc_GMorSgEq70-EoBFMoPLIwQ_20_2"/>
      <w:bookmarkStart w:id="433" w:name="Tc_-BqzEWB9yEekA3JmW_Quiw_20_0"/>
      <w:bookmarkStart w:id="434" w:name="Tc_0s0up5wx70e4KMa_8Zav4A_19_38"/>
      <w:bookmarkStart w:id="435" w:name="Tc_Cw3tybdCPU6xTor9m9UQ2w_19_27"/>
      <w:bookmarkStart w:id="436" w:name="Tc_r30B5_QWN0m654s2lpFX4A_19_24"/>
      <w:bookmarkStart w:id="437" w:name="Tc_uWVj61XuGECZMxoNHf1aBA_19_21"/>
      <w:bookmarkStart w:id="438" w:name="Tc_zj2AD1OVkkS3YcOl30EaSg_19_18"/>
      <w:bookmarkStart w:id="439" w:name="Tc_wcG4cxEWhUmufAWkt-PO3A_19_15"/>
      <w:bookmarkStart w:id="440" w:name="Tc_XQ9oCspIuEqc9SPDXkoPwQ_19_12"/>
      <w:bookmarkStart w:id="441" w:name="Tc_BiunGDmgEkCCGVgM8E0kIA_19_10"/>
      <w:bookmarkStart w:id="442" w:name="Tc_43MGqcfz90Wo3ugKIFfZKg_19_7"/>
      <w:bookmarkStart w:id="443" w:name="Tc_Zx1tAoy5BUis2lXwNIsCgA_19_5"/>
      <w:bookmarkStart w:id="444" w:name="Tc_s7blmYwxxkKiIQiJSzkiEA_19_2"/>
      <w:bookmarkStart w:id="445" w:name="Tc_TwEP4-8qjESg0Q5MhPYTuA_19_0"/>
      <w:bookmarkStart w:id="446" w:name="Tc_Pq64vqvCqUKT5cExRZbyYw_18_38"/>
      <w:bookmarkStart w:id="447" w:name="Tc_FbxEAoNPAUuxxM4RkHSc3Q_18_32"/>
      <w:bookmarkStart w:id="448" w:name="Tc_MkqnvRAOw0-zGB3d1tPSKQ_18_29"/>
      <w:bookmarkStart w:id="449" w:name="Tc_J7Gavf3bokGFrCfkLrS1bA_18_27"/>
      <w:bookmarkStart w:id="450" w:name="Tc_RfV0tRuEiU-uTO-hgxR_tw_18_24"/>
      <w:bookmarkStart w:id="451" w:name="Tc_V5nPR0b1YUujv0i8m2Dljw_18_21"/>
      <w:bookmarkStart w:id="452" w:name="Tc_OCWaBveao0aRG1tcPjkpYA_18_15"/>
      <w:bookmarkStart w:id="453" w:name="Tc_62JYPmCICUSXta5lJ58Aag_18_12"/>
      <w:bookmarkStart w:id="454" w:name="Tc_OEpBgLQ5SkScas6sqfHu3w_18_10"/>
      <w:bookmarkStart w:id="455" w:name="Tc_BU2a36lHoU60oD6zUZxxHw_18_7"/>
      <w:bookmarkStart w:id="456" w:name="Tc_4GFqgJ-L7E2Q4LRXL5LVkg_18_5"/>
      <w:bookmarkStart w:id="457" w:name="Tc_2lM1hDhebUuaMJTUFZlxVw_18_2"/>
      <w:bookmarkStart w:id="458" w:name="Tc_65r3qYRobkSygBIADy8JFA_18_0"/>
      <w:bookmarkStart w:id="459" w:name="Tc_48-0Ykg0Hk-sFKy4mMch1w_17_38"/>
      <w:bookmarkStart w:id="460" w:name="Tc_K-6CNQ7BKEGUpfL14wj78g_17_32"/>
      <w:bookmarkStart w:id="461" w:name="Tc_JCJIxyaFFEmEAvVXT3m7bw_17_29"/>
      <w:bookmarkStart w:id="462" w:name="Tc_xiXXHdl6v0q-UwtezjfBEQ_17_27"/>
      <w:bookmarkStart w:id="463" w:name="Tc_V_dBGaSpV0y9y4WZp5YrdQ_17_24"/>
      <w:bookmarkStart w:id="464" w:name="Tc_3jx5dt_C-k69hbvhQDHkUA_17_21"/>
      <w:bookmarkStart w:id="465" w:name="Tc_hM1_7fd6xEGmA3gUAjv2BQ_17_15"/>
      <w:bookmarkStart w:id="466" w:name="Tc_heERD1DHXUW1TacN72ssCQ_17_12"/>
      <w:bookmarkStart w:id="467" w:name="Tc_bP8E73R_D02l8vZoP1m1Nw_17_5"/>
      <w:bookmarkStart w:id="468" w:name="Tc_Y4bd8GLDwEWmnOfPaVZJpg_17_2"/>
      <w:bookmarkStart w:id="469" w:name="Tc_d4auN7Y4n0O0uZZPsfZzEw_17_0"/>
      <w:bookmarkStart w:id="470" w:name="Tc_-H71U4sF7kub16KYjuQ0rQ_16_38"/>
      <w:bookmarkStart w:id="471" w:name="Tc_vpm8sZoHFUGQqKqkNmDznw_16_32"/>
      <w:bookmarkStart w:id="472" w:name="Tc_i-P1zXVLwE6LZESfscnC1A_16_29"/>
      <w:bookmarkStart w:id="473" w:name="Tc_iXk-BdEZbE-sqevAG_vRtg_16_27"/>
      <w:bookmarkStart w:id="474" w:name="Tc_E7xu0_iw30S6a8_8GYrZKQ_16_24"/>
      <w:bookmarkStart w:id="475" w:name="Tc_Lb8Ct8gjeUe8tOsvgeobQA_16_21"/>
      <w:bookmarkStart w:id="476" w:name="Tc_tctE3oN5WEealJv5UmM9Hg_16_15"/>
      <w:bookmarkStart w:id="477" w:name="Tc_1s5Xe-Oo50C3M1bE0EUlkw_16_12"/>
      <w:bookmarkStart w:id="478" w:name="Tc_oqO3tKv3wECprwlF3Cp1-A_16_10"/>
      <w:bookmarkStart w:id="479" w:name="Tc_fP9NWPEzk064Q3pA-xyTKg_16_7"/>
      <w:bookmarkStart w:id="480" w:name="Tc_Qqc0DtPWZUiCr2nDP3ZgVw_16_5"/>
      <w:bookmarkStart w:id="481" w:name="Tc_U2xgJanu0ECAY872aXzHLQ_16_2"/>
      <w:bookmarkStart w:id="482" w:name="Tc_d86nmuBGAkSFvEKDjhX8hg_16_0"/>
      <w:bookmarkStart w:id="483" w:name="Tc_hWLY0KCBEkOfdpLcR-B28Q_15_41"/>
      <w:bookmarkStart w:id="484" w:name="Tc_vBU7jA7vFk-xVnk3rRPrKQ_15_38"/>
      <w:bookmarkStart w:id="485" w:name="Tc_wl1PieyfPkGS3UjmbfRwxQ_15_35"/>
      <w:bookmarkStart w:id="486" w:name="Tc_7-L93kpIaEWZ6Gog1NeFdA_15_32"/>
      <w:bookmarkStart w:id="487" w:name="Tc_DuEJxHFO7kOSf7fKob2skw_15_29"/>
      <w:bookmarkStart w:id="488" w:name="Tc_raKVHltrHkeIiWT4A886_Q_15_27"/>
      <w:bookmarkStart w:id="489" w:name="Tc_JEZ0yeB3CkyscRGsT6D2OA_15_24"/>
      <w:bookmarkStart w:id="490" w:name="Tc_JyhH1NxGnUGvobAsAlionQ_15_21"/>
      <w:bookmarkStart w:id="491" w:name="Tc_xWJeiiwFzUy82lcMcR0Sag_15_0"/>
      <w:bookmarkStart w:id="492" w:name="Tc_xa74l23DmEGfIRbANZ18cw_14_38"/>
      <w:bookmarkStart w:id="493" w:name="Tc_phaLtzgKnkWvG3XITW3KlQ_14_32"/>
      <w:bookmarkStart w:id="494" w:name="Tc_V5SMdzfWa0yeBA0V8wmFMg_14_29"/>
      <w:bookmarkStart w:id="495" w:name="Tc_WnOz6OOjhkmx2IFuod3tbQ_14_27"/>
      <w:bookmarkStart w:id="496" w:name="Tc_4MQbd9GuPUG9XJMp5Jc4OQ_14_24"/>
      <w:bookmarkStart w:id="497" w:name="Tc_y_YEfdhlakCNerp2L1WO9A_14_21"/>
      <w:bookmarkStart w:id="498" w:name="Tc_4HBTBLPH7UKLuAML0PtMHA_14_15"/>
      <w:bookmarkStart w:id="499" w:name="Tc_TZDzmCiMj0OkDXR_99SzIQ_14_12"/>
      <w:bookmarkStart w:id="500" w:name="Tc_ZCmjgC4tk0SFraPrZN9o0w_14_10"/>
      <w:bookmarkStart w:id="501" w:name="Tc_IRa6JuMGkkyfF-XLsoJSeA_14_7"/>
      <w:bookmarkStart w:id="502" w:name="Tc_prs8ubpztUqr8zVxjpherA_14_5"/>
      <w:bookmarkStart w:id="503" w:name="Tc_HgzOCXVfsUqcW7-LIHfaYg_14_2"/>
      <w:bookmarkStart w:id="504" w:name="Tc_maRHs_g_ZU-8WG4YrXCoeg_14_0"/>
      <w:bookmarkStart w:id="505" w:name="Tc_khxF04fFIEi36fUvf0GRpg_13_41"/>
      <w:bookmarkStart w:id="506" w:name="Tc_A988hFZYoU6iR_sbD8RItQ_13_38"/>
      <w:bookmarkStart w:id="507" w:name="Tc_7LQpr3E8nkCViIW80YgQig_13_35"/>
      <w:bookmarkStart w:id="508" w:name="Tc_eSO1V885eku8892rorak3g_13_32"/>
      <w:bookmarkStart w:id="509" w:name="Tc_-9XwwnIAQEis6tzsH4EsVw_13_29"/>
      <w:bookmarkStart w:id="510" w:name="Tc_6_d8HlohEU2WjDGRrez7fQ_13_24"/>
      <w:bookmarkStart w:id="511" w:name="Tc_V7UtysXl4UCJijYl9yzQlg_13_15"/>
      <w:bookmarkStart w:id="512" w:name="Tc_4YjIfU-o60m0oq5FYGp_sw_13_12"/>
      <w:bookmarkStart w:id="513" w:name="Tc_zfJLCx2raEqBt1okkxYHog_13_10"/>
      <w:bookmarkStart w:id="514" w:name="Tc_X7OoeNEEOk2ssOExJFT1cQ_13_7"/>
      <w:bookmarkStart w:id="515" w:name="Tc_bMskU7BcGkyRpjpyOcxC8g_13_5"/>
      <w:bookmarkStart w:id="516" w:name="Tc_fk0mXC7rlk2PjKAT_GaZ9A_13_2"/>
      <w:bookmarkStart w:id="517" w:name="Tc_c2sFV-VYcUKxeV0ac3A3Lw_13_0"/>
      <w:bookmarkStart w:id="518" w:name="Tc_KPrD6gpUX0uF46clY1bYRA_12_38"/>
      <w:bookmarkStart w:id="519" w:name="Tc_sMthHbPYuEuBbdK69IfdTA_12_32"/>
      <w:bookmarkStart w:id="520" w:name="Tc_4BIrZpoxvEmjHcokQ98w8A_12_29"/>
      <w:bookmarkStart w:id="521" w:name="Tc_xjEUzQkhBUmmSql7S-2WVg_12_27"/>
      <w:bookmarkStart w:id="522" w:name="Tc_KyQhLmSMHU6II6-OPGApuw_12_24"/>
      <w:bookmarkStart w:id="523" w:name="Tc_9YN3UW9XbUWLLNLDMWOFpg_12_18"/>
      <w:bookmarkStart w:id="524" w:name="Tc_QGsuphckr0qSneywwoDc8w_12_15"/>
      <w:bookmarkStart w:id="525" w:name="Tc_jhBpUx_hukGcqGOt_dkrBw_12_12"/>
      <w:bookmarkStart w:id="526" w:name="Tc_LoE2ZGGFO06t5EHba-6zLA_12_10"/>
      <w:bookmarkStart w:id="527" w:name="Tc_dmFulg9pREur0UEINDzLnA_12_7"/>
      <w:bookmarkStart w:id="528" w:name="Tc_lM-nu6Qek0CecElA30wNAg_12_5"/>
      <w:bookmarkStart w:id="529" w:name="Tc_3q5F3Do0VEay5uiZUvsm3Q_12_2"/>
      <w:bookmarkStart w:id="530" w:name="Tc_Ey1GSdTa_EquKELB-Sg1qg_12_0"/>
      <w:bookmarkStart w:id="531" w:name="Tc_AYDB8Y5fgkKvpy_vphkroA_11_32"/>
      <w:bookmarkStart w:id="532" w:name="Tc__bWgLLLVUk24munMB00vLw_11_29"/>
      <w:bookmarkStart w:id="533" w:name="Tc_DZHaH7-N1kuLzLJbrksBjw_11_15"/>
      <w:bookmarkStart w:id="534" w:name="Tc_F7U_syEmxk6A5G-sKwv2uA_11_12"/>
      <w:bookmarkStart w:id="535" w:name="Tc_7LopQg0Ci0uEUyYJlBudmw_11_10"/>
      <w:bookmarkStart w:id="536" w:name="Tc_omhcnfJQq0WyzUjhWBxvww_11_7"/>
      <w:bookmarkStart w:id="537" w:name="Tc_mD_GtwgLG0WhOwEUFjS1Ig_11_0"/>
      <w:bookmarkStart w:id="538" w:name="Tc_IsLwUD2oGkGBbXdX43mQKA_10_32"/>
      <w:bookmarkStart w:id="539" w:name="Tc_XdH_hHCT9EqPRMby0-yxLg_10_29"/>
      <w:bookmarkStart w:id="540" w:name="Tc_HNVglwyzbEG-ALIinAc5hg_10_24"/>
      <w:bookmarkStart w:id="541" w:name="Tc_Wq2WIB3E6EClfzZzplv5Eg_10_21"/>
      <w:bookmarkStart w:id="542" w:name="Tc_4F4qTJb9P0SFUG9bPtYXtQ_10_18"/>
      <w:bookmarkStart w:id="543" w:name="Tc_eCblAzj7g02enQdpPTPBhA_10_15"/>
      <w:bookmarkStart w:id="544" w:name="Tc_Rvk_1cwXSUaqUmb9i3vbYg_10_12"/>
      <w:bookmarkStart w:id="545" w:name="Tc_yI_hG7axKEeNZgc9pTEJoA_10_10"/>
      <w:bookmarkStart w:id="546" w:name="Tc__VsPpwnIXE2JSV-wANNheg_10_7"/>
      <w:bookmarkStart w:id="547" w:name="Tc_Xim232t1Yk-hNuL0EmZInA_10_5"/>
      <w:bookmarkStart w:id="548" w:name="Tc_YK_IZfYLk067FTNTrpn2cw_10_2"/>
      <w:bookmarkStart w:id="549" w:name="Tc_e67dCVRfoEa22r6CvNOMNg_10_0"/>
      <w:bookmarkStart w:id="550" w:name="Tc_BP9vWFgz5Uuo3DhE6mKyoQ_9_35"/>
      <w:bookmarkStart w:id="551" w:name="Tc_XcftAjq1DESpMnpA8askgw_9_32"/>
      <w:bookmarkStart w:id="552" w:name="Tc_E-Lq0PAUqUyJKzrzNyEvCw_9_29"/>
      <w:bookmarkStart w:id="553" w:name="Tc_zJDIQImGjUS8mcix0A23Zw_9_27"/>
      <w:bookmarkStart w:id="554" w:name="Tc_kkUHq-Krm06sEwN_vkIWew_9_24"/>
      <w:bookmarkStart w:id="555" w:name="Tc_j9lsj9BwhEi332Lasln3Ng_9_21"/>
      <w:bookmarkStart w:id="556" w:name="Tc_057P4k5VsES4xuBhtv6u5A_9_18"/>
      <w:bookmarkStart w:id="557" w:name="Tc_pz2z76bgFEuacBFImthtQg_9_15"/>
      <w:bookmarkStart w:id="558" w:name="Tc_UV9KRtmXb0my55nLto6-qg_9_12"/>
      <w:bookmarkStart w:id="559" w:name="Tc_E9ug7KUqzUyn-5yWX5Dngw_9_10"/>
      <w:bookmarkStart w:id="560" w:name="Tc_MJn7HJPHmUuVYpeTiwBKlQ_9_7"/>
      <w:bookmarkStart w:id="561" w:name="Tc_hd2VBRS4UkSMT6IAdKLFzg_9_5"/>
      <w:bookmarkStart w:id="562" w:name="Tc_-_mA2Kcp4kOuGO5JO4YzcA_9_2"/>
      <w:bookmarkStart w:id="563" w:name="Tc_uER8qRota0mJsiNYo3Plig_9_0"/>
      <w:bookmarkStart w:id="564" w:name="Tc_iKR9eSR0J0q5wABscCN_jw_8_38"/>
      <w:bookmarkStart w:id="565" w:name="Tc_vXfO1HS_jEiaKANkMNMk9w_8_32"/>
      <w:bookmarkStart w:id="566" w:name="Tc_Z01OErXff0WhRVGDSbiNIg_8_29"/>
      <w:bookmarkStart w:id="567" w:name="Tc_-QKTEm2I0kKgZm_7wR1WJg_8_27"/>
      <w:bookmarkStart w:id="568" w:name="Tc_CrbYgdYGQEKN6nfmP05OTg_8_21"/>
      <w:bookmarkStart w:id="569" w:name="Tc_imEbscr41UahJnnJDazbGg_8_18"/>
      <w:bookmarkStart w:id="570" w:name="Tc_GX9ESX7heUm2CTLtrkqwqA_8_15"/>
      <w:bookmarkStart w:id="571" w:name="Tc_shfrqJTFO0-9Sz7n76DKPQ_8_12"/>
      <w:bookmarkStart w:id="572" w:name="Tc_7keHU-a4R0iAffugSe9iew_8_10"/>
      <w:bookmarkStart w:id="573" w:name="Tc_aLTyywNl_k6PqotZVcKbQg_8_7"/>
      <w:bookmarkStart w:id="574" w:name="Tc_KI8CS6F96Uq4tCyvp9OwlA_8_5"/>
      <w:bookmarkStart w:id="575" w:name="Tc__hB0fdx4TECeNDZCqJgFKQ_8_2"/>
      <w:bookmarkStart w:id="576" w:name="Tc_b5kujM-XrE-9B2RPFcMRsQ_8_0"/>
      <w:bookmarkStart w:id="577" w:name="Tc_q_MuM_zWAEyKKarvaO4b3g_7_38"/>
      <w:bookmarkStart w:id="578" w:name="Tc_EWZsamtelUyim-Nlohx5pA_7_32"/>
      <w:bookmarkStart w:id="579" w:name="Tc_dtpq_hWsfEiKByDROkCTrw_7_29"/>
      <w:bookmarkStart w:id="580" w:name="Tc_NWg8vbQEXUGGisIdcqumSQ_7_27"/>
      <w:bookmarkStart w:id="581" w:name="Tc_cmg9MAI0a0m7_sJgxgtjBw_7_24"/>
      <w:bookmarkStart w:id="582" w:name="Tc_Q6yIS6iRuU-EEab9K5vi9g_7_18"/>
      <w:bookmarkStart w:id="583" w:name="Tc_xJU8ACLjJE68yX1IbWHp2w_7_15"/>
      <w:bookmarkStart w:id="584" w:name="Tc_ERYTJ71PIUqQ6VIOsr0C7g_7_12"/>
      <w:bookmarkStart w:id="585" w:name="Tc_P_tmEnJW3kmZXO-0mXql_w_7_10"/>
      <w:bookmarkStart w:id="586" w:name="Tc_rVguu9qrMkiNa_M9UIlR2A_7_7"/>
      <w:bookmarkStart w:id="587" w:name="Tc_FZ5lu-NjI067OUUMVErUxg_7_5"/>
      <w:bookmarkStart w:id="588" w:name="Tc_iUNBGKZk6U2BjhdDcP9twg_7_2"/>
      <w:bookmarkStart w:id="589" w:name="Tc_rlLMH_lQJ0i-dZ7aWdVBFA_7_0"/>
      <w:bookmarkStart w:id="590" w:name="Tc_7aXwHug88k2L7S8n9y7E1w_6_40"/>
      <w:bookmarkStart w:id="591" w:name="Tc_X-HtcXrNsEaX1MrLyUJbiQ_6_37"/>
      <w:bookmarkStart w:id="592" w:name="Tc_Uun57BA8EkSZVSBeh25Dbg_6_32"/>
      <w:bookmarkStart w:id="593" w:name="Tc_WVpIHQiyOkWAseUfdO8PAg_6_31"/>
      <w:bookmarkStart w:id="594" w:name="Tc_mVPLqmayFE-NqfrIfrv0sQ_6_29"/>
      <w:bookmarkStart w:id="595" w:name="Tc_Te4r7K9RDkWYm7MJ3sgZBg_6_26"/>
      <w:bookmarkStart w:id="596" w:name="Tc__rVXwePk9kig_al7hOqEtQ_6_23"/>
      <w:bookmarkStart w:id="597" w:name="Tc_f026cZltvE6E_SrMdN206Q_6_20"/>
      <w:bookmarkStart w:id="598" w:name="Tc_TOstmKE95Eycp3ggUIQWYg_6_17"/>
      <w:bookmarkStart w:id="599" w:name="Tc_QnPyJDh-VEGlipUcP_S-2g_6_15"/>
      <w:bookmarkStart w:id="600" w:name="Tc__vx1omobUkORqK-xkLKm3Q_6_14"/>
      <w:bookmarkStart w:id="601" w:name="Tc_Kl2OB1cqy0eLCqt7yj869w_6_12"/>
      <w:bookmarkStart w:id="602" w:name="Tc__G3K7P1XEE29PfkTYxZbAg_6_10"/>
      <w:bookmarkStart w:id="603" w:name="Tc_uwH9fuStV0SuUQj6kAb87g_6_9"/>
      <w:bookmarkStart w:id="604" w:name="Tc_FWN_ek8Saka5taztmSMLBQ_6_7"/>
      <w:bookmarkStart w:id="605" w:name="Tc_qQm2NaxSq0KxLk-1nH3rHA_6_4"/>
      <w:bookmarkStart w:id="606" w:name="Tc_NmJLy_RTGEWi4QARiHwT4w_6_0"/>
      <w:bookmarkStart w:id="607" w:name="Tc_nh_GSIKZGU6eLpajB_bHkA_5_40"/>
      <w:bookmarkStart w:id="608" w:name="Tc_ZsZkIJ9Eb0yK4uUlKIf9Gw_5_37"/>
      <w:bookmarkStart w:id="609" w:name="Tc_utCbUNgMLEi7dq0xC1r_tw_5_34"/>
      <w:bookmarkStart w:id="610" w:name="Tc_Upql1N-TcE2kdS2kZcycHA_5_31"/>
      <w:bookmarkStart w:id="611" w:name="Tc_HQ1L74YOe0-W_Nj_7JbGAg_5_29"/>
      <w:bookmarkStart w:id="612" w:name="Tc_WR0YbbGcPUG_eRKozXlV6w_5_26"/>
      <w:bookmarkStart w:id="613" w:name="Tc_-gwgepU160CInoFUdSi3cQ_5_23"/>
      <w:bookmarkStart w:id="614" w:name="Tc_xrDA09MBiUCOykh28r7prg_5_20"/>
      <w:bookmarkStart w:id="615" w:name="Tc_oh3JX5nhrEaOE0iUU9i19Q_5_17"/>
      <w:bookmarkStart w:id="616" w:name="Tc_1L8RJ8pYHUKL0NtFqoSo0A_5_14"/>
      <w:bookmarkStart w:id="617" w:name="Tc_0guj035M60Wj2zI2ooV1Mw_5_12"/>
      <w:bookmarkStart w:id="618" w:name="Tc_Civb_FPL50WKy9uWTTjpXQ_5_9"/>
      <w:bookmarkStart w:id="619" w:name="Tc__lCcdykqXkG_TgkQF-_gLw_5_7"/>
      <w:bookmarkStart w:id="620" w:name="Tc_5-2q-pCRYUmxJoss717RxA_5_5"/>
      <w:bookmarkStart w:id="621" w:name="Tc_Pyw9liZ8sUKnai-WfyiGdg_5_2"/>
      <w:bookmarkStart w:id="622" w:name="Tc_evee_oyJSU6Th2LJUufzrA_4_37"/>
      <w:bookmarkStart w:id="623" w:name="Tc_OEFhxI47tEKca7aJCXxVcA_4_34"/>
      <w:bookmarkStart w:id="624" w:name="Tc_w4pHEQe4uUuA-hqU6zR-3Q_4_29"/>
      <w:bookmarkStart w:id="625" w:name="Tc_ON8klh6zEUugj6MlhZ6yQA_4_26"/>
      <w:bookmarkStart w:id="626" w:name="Tc_thh01ye1hkCD8fDBVHzO1g_4_23"/>
      <w:bookmarkStart w:id="627" w:name="Tc_xIwRyhhf6UWZQeqd_aXwSQ_4_20"/>
      <w:bookmarkStart w:id="628" w:name="Tc_wUsqxTdMTUeRIIjfmmpGVw_4_17"/>
      <w:bookmarkStart w:id="629" w:name="Tc_3KIM8QLTDk-TKusgkpG6sw_4_12"/>
      <w:bookmarkStart w:id="630" w:name="Tc_h6VBkF_hmEKkdZRdiDi8VA_4_7"/>
      <w:bookmarkStart w:id="631" w:name="Tc_R_bP3Lfx_EKCLo1X3OMRbA_4_2"/>
      <w:bookmarkStart w:id="632" w:name="Tc_5l7NXAZDTE6kMGKCgV8e4w_3_37"/>
      <w:bookmarkStart w:id="633" w:name="Tc_--KmElBjGEyXHHLPrO-Q2Q_3_34"/>
      <w:bookmarkStart w:id="634" w:name="Tc_pkjLGpVGfkWz5KntYIEd7w_3_23"/>
      <w:bookmarkStart w:id="635" w:name="Tc_xiZCxATVCEKOxNHnLR-exA_3_20"/>
      <w:bookmarkStart w:id="636" w:name="Tc_VqteYbdR4EqoaEP9x_2czQ_3_17"/>
      <w:bookmarkStart w:id="637" w:name="Tc_4Xn7QQSEB0OPSnjXMiFsTg_2_34"/>
      <w:bookmarkStart w:id="638" w:name="Tc_5omjJN3YhU2ps3vkVGMytw_2_23"/>
      <w:bookmarkStart w:id="639" w:name="Tc_WEHAhXC1TE2jaop8ZL41rw_2_20"/>
      <w:bookmarkStart w:id="640" w:name="Tc_5gnYPiqNF0Cy_CYi13X1UA_1_20"/>
      <w:bookmarkStart w:id="641" w:name="_b977fa82_8231_4b1e_8e48_53e4c5792007"/>
      <w:bookmarkStart w:id="642" w:name="Tc_54lhydNUY0yJcXQm0FWJRQ_22_40"/>
      <w:bookmarkStart w:id="643" w:name="Tc_yO8pz3ftJEOxdyBcrhO1GA_22_37"/>
      <w:bookmarkStart w:id="644" w:name="Tc_zJcyFD832E6CtAuHijxv_g_22_34"/>
      <w:bookmarkStart w:id="645" w:name="Tc_JsLf9fO4G0mAsI-jO9c7Yg_22_31"/>
      <w:bookmarkStart w:id="646" w:name="Tc_PnwqGMIYakOuIjcOJ4KpwQ_22_26"/>
      <w:bookmarkStart w:id="647" w:name="Tc_4H2hDK1EI0OBjhOUBcMhVw_22_23"/>
      <w:bookmarkStart w:id="648" w:name="Tc_16TsgZDXyUCsS6A5LSwqyQ_22_21"/>
      <w:bookmarkStart w:id="649" w:name="Tc_-x8zRAhLrUq1A2tr3RwYHg_22_20"/>
      <w:bookmarkStart w:id="650" w:name="Tc_a-G727rBo02crv-sebD39A_22_17"/>
      <w:bookmarkStart w:id="651" w:name="Tc_ZrM3GQGZGUmygy2VUZXz9A_22_14"/>
      <w:bookmarkStart w:id="652" w:name="Tc_xRtS9ZAxpEKxuLmz8s84dg_22_9"/>
      <w:bookmarkStart w:id="653" w:name="Tc_BSq7GIx3K0ek7pNv5MyZrA_22_5"/>
      <w:bookmarkStart w:id="654" w:name="Tc_29_JXjDA1EGFqC1PI2qXTQ_22_4"/>
      <w:bookmarkStart w:id="655" w:name="Tc_M5IuZRoPB06T-AQ_a9FUAA_22_2"/>
      <w:bookmarkStart w:id="656" w:name="Tc_K7UggWOZXkiWQDOleR7dPQ_22_0"/>
      <w:bookmarkStart w:id="657" w:name="Tc_csmx0LDsPUqoy-_gVxTdow_21_32"/>
      <w:bookmarkStart w:id="658" w:name="Tc_Mu5gn33-UEGyOMlSsnGT9Q_21_29"/>
      <w:bookmarkStart w:id="659" w:name="Tc_RIxFesGckUCbKul0xr5yIg_21_24"/>
      <w:bookmarkStart w:id="660" w:name="Tc_7lcM3--EmkOn417CYBMOUg_21_21"/>
      <w:bookmarkStart w:id="661" w:name="Tc_BHTwAFa4tkGfltcaOWMKaA_21_18"/>
      <w:bookmarkStart w:id="662" w:name="Tc_eIOAqsf6wEK5_-cUWLGfzA_21_15"/>
      <w:bookmarkStart w:id="663" w:name="Tc_ms2qzHkpgEmtFct2SLYIRQ_21_12"/>
      <w:bookmarkStart w:id="664" w:name="Tc_GiWdTfJ3AEyzKJZ3M0xVdw_21_10"/>
      <w:bookmarkStart w:id="665" w:name="Tc_YiCZ-2QLq0Gxd29rFKqTzA_21_7"/>
      <w:bookmarkStart w:id="666" w:name="Tc_Dzywa3rlFkaSCHPw-FrbIA_21_5"/>
      <w:bookmarkStart w:id="667" w:name="Tc_H1Qyj-3pyU-ST4aPJOGGEg_21_2"/>
      <w:bookmarkStart w:id="668" w:name="Tc_w7QbZ4dsZUaUNaTt8EypyA_21_0"/>
      <w:bookmarkStart w:id="669" w:name="Tc_IYuTeN3ROkC7C7V0kdox7Q_20_38"/>
      <w:bookmarkStart w:id="670" w:name="Tc_V_JJi8JuTEiiD6pXUV0D6w_20_32"/>
      <w:bookmarkStart w:id="671" w:name="Tc_XfnLVbibSkSn-kkaICYuPw_20_29"/>
      <w:bookmarkStart w:id="672" w:name="Tc_sosDGCujqkW6H5akbUIvGw_20_27"/>
      <w:bookmarkStart w:id="673" w:name="Tc_KKBT5oCcsUyjomyhUt38vQ_20_21"/>
      <w:bookmarkStart w:id="674" w:name="Tc_ksdD870-Y0i-w0bocHI2DQ_20_18"/>
      <w:bookmarkStart w:id="675" w:name="Tc_JnB2DBl6gUWNEeJwkOGlMg_20_15"/>
      <w:bookmarkStart w:id="676" w:name="Tc_eIT9C0Onw0K8gunzAUJCXA_20_12"/>
      <w:bookmarkStart w:id="677" w:name="Tc_dZuHUXd4m0KERZ969KQoeg_20_10"/>
      <w:bookmarkStart w:id="678" w:name="Tc_JxHCQXiK_0Gc_zlWw00u0g_20_7"/>
      <w:bookmarkStart w:id="679" w:name="Tc_fvTcnrmK8EqbomZt8ophpA_20_5"/>
      <w:bookmarkStart w:id="680" w:name="Tc_GMorSgEq70-EoBFMoPLIwQ_20_2"/>
      <w:bookmarkStart w:id="681" w:name="Tc_-BqzEWB9yEekA3JmW_Quiw_20_0"/>
      <w:bookmarkStart w:id="682" w:name="Tc_0s0up5wx70e4KMa_8Zav4A_19_38"/>
      <w:bookmarkStart w:id="683" w:name="Tc_Cw3tybdCPU6xTor9m9UQ2w_19_27"/>
      <w:bookmarkStart w:id="684" w:name="Tc_r30B5_QWN0m654s2lpFX4A_19_24"/>
      <w:bookmarkStart w:id="685" w:name="Tc_uWVj61XuGECZMxoNHf1aBA_19_21"/>
      <w:bookmarkStart w:id="686" w:name="Tc_zj2AD1OVkkS3YcOl30EaSg_19_18"/>
      <w:bookmarkStart w:id="687" w:name="Tc_wcG4cxEWhUmufAWkt-PO3A_19_15"/>
      <w:bookmarkStart w:id="688" w:name="Tc_XQ9oCspIuEqc9SPDXkoPwQ_19_12"/>
      <w:bookmarkStart w:id="689" w:name="Tc_BiunGDmgEkCCGVgM8E0kIA_19_10"/>
      <w:bookmarkStart w:id="690" w:name="Tc_43MGqcfz90Wo3ugKIFfZKg_19_7"/>
      <w:bookmarkStart w:id="691" w:name="Tc_Zx1tAoy5BUis2lXwNIsCgA_19_5"/>
      <w:bookmarkStart w:id="692" w:name="Tc_s7blmYwxxkKiIQiJSzkiEA_19_2"/>
      <w:bookmarkStart w:id="693" w:name="Tc_TwEP4-8qjESg0Q5MhPYTuA_19_0"/>
      <w:bookmarkStart w:id="694" w:name="Tc_Pq64vqvCqUKT5cExRZbyYw_18_38"/>
      <w:bookmarkStart w:id="695" w:name="Tc_FbxEAoNPAUuxxM4RkHSc3Q_18_32"/>
      <w:bookmarkStart w:id="696" w:name="Tc_MkqnvRAOw0-zGB3d1tPSKQ_18_29"/>
      <w:bookmarkStart w:id="697" w:name="Tc_J7Gavf3bokGFrCfkLrS1bA_18_27"/>
      <w:bookmarkStart w:id="698" w:name="Tc_RfV0tRuEiU-uTO-hgxR_tw_18_24"/>
      <w:bookmarkStart w:id="699" w:name="Tc_V5nPR0b1YUujv0i8m2Dljw_18_21"/>
      <w:bookmarkStart w:id="700" w:name="Tc_OCWaBveao0aRG1tcPjkpYA_18_15"/>
      <w:bookmarkStart w:id="701" w:name="Tc_62JYPmCICUSXta5lJ58Aag_18_12"/>
      <w:bookmarkStart w:id="702" w:name="Tc_OEpBgLQ5SkScas6sqfHu3w_18_10"/>
      <w:bookmarkStart w:id="703" w:name="Tc_BU2a36lHoU60oD6zUZxxHw_18_7"/>
      <w:bookmarkStart w:id="704" w:name="Tc_4GFqgJ-L7E2Q4LRXL5LVkg_18_5"/>
      <w:bookmarkStart w:id="705" w:name="Tc_2lM1hDhebUuaMJTUFZlxVw_18_2"/>
      <w:bookmarkStart w:id="706" w:name="Tc_65r3qYRobkSygBIADy8JFA_18_0"/>
      <w:bookmarkStart w:id="707" w:name="Tc_48-0Ykg0Hk-sFKy4mMch1w_17_38"/>
      <w:bookmarkStart w:id="708" w:name="Tc_K-6CNQ7BKEGUpfL14wj78g_17_32"/>
      <w:bookmarkStart w:id="709" w:name="Tc_JCJIxyaFFEmEAvVXT3m7bw_17_29"/>
      <w:bookmarkStart w:id="710" w:name="Tc_xiXXHdl6v0q-UwtezjfBEQ_17_27"/>
      <w:bookmarkStart w:id="711" w:name="Tc_V_dBGaSpV0y9y4WZp5YrdQ_17_24"/>
      <w:bookmarkStart w:id="712" w:name="Tc_3jx5dt_C-k69hbvhQDHkUA_17_21"/>
      <w:bookmarkStart w:id="713" w:name="Tc_hM1_7fd6xEGmA3gUAjv2BQ_17_15"/>
      <w:bookmarkStart w:id="714" w:name="Tc_heERD1DHXUW1TacN72ssCQ_17_12"/>
      <w:bookmarkStart w:id="715" w:name="Tc_bP8E73R_D02l8vZoP1m1Nw_17_5"/>
      <w:bookmarkStart w:id="716" w:name="Tc_Y4bd8GLDwEWmnOfPaVZJpg_17_2"/>
      <w:bookmarkStart w:id="717" w:name="Tc_d4auN7Y4n0O0uZZPsfZzEw_17_0"/>
      <w:bookmarkStart w:id="718" w:name="Tc_-H71U4sF7kub16KYjuQ0rQ_16_38"/>
      <w:bookmarkStart w:id="719" w:name="Tc_vpm8sZoHFUGQqKqkNmDznw_16_32"/>
      <w:bookmarkStart w:id="720" w:name="Tc_i-P1zXVLwE6LZESfscnC1A_16_29"/>
      <w:bookmarkStart w:id="721" w:name="Tc_iXk-BdEZbE-sqevAG_vRtg_16_27"/>
      <w:bookmarkStart w:id="722" w:name="Tc_E7xu0_iw30S6a8_8GYrZKQ_16_24"/>
      <w:bookmarkStart w:id="723" w:name="Tc_Lb8Ct8gjeUe8tOsvgeobQA_16_21"/>
      <w:bookmarkStart w:id="724" w:name="Tc_tctE3oN5WEealJv5UmM9Hg_16_15"/>
      <w:bookmarkStart w:id="725" w:name="Tc_1s5Xe-Oo50C3M1bE0EUlkw_16_12"/>
      <w:bookmarkStart w:id="726" w:name="Tc_oqO3tKv3wECprwlF3Cp1-A_16_10"/>
      <w:bookmarkStart w:id="727" w:name="Tc_fP9NWPEzk064Q3pA-xyTKg_16_7"/>
      <w:bookmarkStart w:id="728" w:name="Tc_Qqc0DtPWZUiCr2nDP3ZgVw_16_5"/>
      <w:bookmarkStart w:id="729" w:name="Tc_U2xgJanu0ECAY872aXzHLQ_16_2"/>
      <w:bookmarkStart w:id="730" w:name="Tc_d86nmuBGAkSFvEKDjhX8hg_16_0"/>
      <w:bookmarkStart w:id="731" w:name="Tc_hWLY0KCBEkOfdpLcR-B28Q_15_41"/>
      <w:bookmarkStart w:id="732" w:name="Tc_vBU7jA7vFk-xVnk3rRPrKQ_15_38"/>
      <w:bookmarkStart w:id="733" w:name="Tc_wl1PieyfPkGS3UjmbfRwxQ_15_35"/>
      <w:bookmarkStart w:id="734" w:name="Tc_7-L93kpIaEWZ6Gog1NeFdA_15_32"/>
      <w:bookmarkStart w:id="735" w:name="Tc_DuEJxHFO7kOSf7fKob2skw_15_29"/>
      <w:bookmarkStart w:id="736" w:name="Tc_raKVHltrHkeIiWT4A886_Q_15_27"/>
      <w:bookmarkStart w:id="737" w:name="Tc_JEZ0yeB3CkyscRGsT6D2OA_15_24"/>
      <w:bookmarkStart w:id="738" w:name="Tc_JyhH1NxGnUGvobAsAlionQ_15_21"/>
      <w:bookmarkStart w:id="739" w:name="Tc_xWJeiiwFzUy82lcMcR0Sag_15_0"/>
      <w:bookmarkStart w:id="740" w:name="Tc_xa74l23DmEGfIRbANZ18cw_14_38"/>
      <w:bookmarkStart w:id="741" w:name="Tc_phaLtzgKnkWvG3XITW3KlQ_14_32"/>
      <w:bookmarkStart w:id="742" w:name="Tc_V5SMdzfWa0yeBA0V8wmFMg_14_29"/>
      <w:bookmarkStart w:id="743" w:name="Tc_WnOz6OOjhkmx2IFuod3tbQ_14_27"/>
      <w:bookmarkStart w:id="744" w:name="Tc_4MQbd9GuPUG9XJMp5Jc4OQ_14_24"/>
      <w:bookmarkStart w:id="745" w:name="Tc_y_YEfdhlakCNerp2L1WO9A_14_21"/>
      <w:bookmarkStart w:id="746" w:name="Tc_4HBTBLPH7UKLuAML0PtMHA_14_15"/>
      <w:bookmarkStart w:id="747" w:name="Tc_TZDzmCiMj0OkDXR_99SzIQ_14_12"/>
      <w:bookmarkStart w:id="748" w:name="Tc_ZCmjgC4tk0SFraPrZN9o0w_14_10"/>
      <w:bookmarkStart w:id="749" w:name="Tc_IRa6JuMGkkyfF-XLsoJSeA_14_7"/>
      <w:bookmarkStart w:id="750" w:name="Tc_prs8ubpztUqr8zVxjpherA_14_5"/>
      <w:bookmarkStart w:id="751" w:name="Tc_HgzOCXVfsUqcW7-LIHfaYg_14_2"/>
      <w:bookmarkStart w:id="752" w:name="Tc_maRHs_g_ZU-8WG4YrXCoeg_14_0"/>
      <w:bookmarkStart w:id="753" w:name="Tc_khxF04fFIEi36fUvf0GRpg_13_41"/>
      <w:bookmarkStart w:id="754" w:name="Tc_A988hFZYoU6iR_sbD8RItQ_13_38"/>
      <w:bookmarkStart w:id="755" w:name="Tc_7LQpr3E8nkCViIW80YgQig_13_35"/>
      <w:bookmarkStart w:id="756" w:name="Tc_eSO1V885eku8892rorak3g_13_32"/>
      <w:bookmarkStart w:id="757" w:name="Tc_-9XwwnIAQEis6tzsH4EsVw_13_29"/>
      <w:bookmarkStart w:id="758" w:name="Tc_6_d8HlohEU2WjDGRrez7fQ_13_24"/>
      <w:bookmarkStart w:id="759" w:name="Tc_V7UtysXl4UCJijYl9yzQlg_13_15"/>
      <w:bookmarkStart w:id="760" w:name="Tc_4YjIfU-o60m0oq5FYGp_sw_13_12"/>
      <w:bookmarkStart w:id="761" w:name="Tc_zfJLCx2raEqBt1okkxYHog_13_10"/>
      <w:bookmarkStart w:id="762" w:name="Tc_X7OoeNEEOk2ssOExJFT1cQ_13_7"/>
      <w:bookmarkStart w:id="763" w:name="Tc_bMskU7BcGkyRpjpyOcxC8g_13_5"/>
      <w:bookmarkStart w:id="764" w:name="Tc_fk0mXC7rlk2PjKAT_GaZ9A_13_2"/>
      <w:bookmarkStart w:id="765" w:name="Tc_c2sFV-VYcUKxeV0ac3A3Lw_13_0"/>
      <w:bookmarkStart w:id="766" w:name="Tc_KPrD6gpUX0uF46clY1bYRA_12_38"/>
      <w:bookmarkStart w:id="767" w:name="Tc_sMthHbPYuEuBbdK69IfdTA_12_32"/>
      <w:bookmarkStart w:id="768" w:name="Tc_4BIrZpoxvEmjHcokQ98w8A_12_29"/>
      <w:bookmarkStart w:id="769" w:name="Tc_xjEUzQkhBUmmSql7S-2WVg_12_27"/>
      <w:bookmarkStart w:id="770" w:name="Tc_KyQhLmSMHU6II6-OPGApuw_12_24"/>
      <w:bookmarkStart w:id="771" w:name="Tc_9YN3UW9XbUWLLNLDMWOFpg_12_18"/>
      <w:bookmarkStart w:id="772" w:name="Tc_QGsuphckr0qSneywwoDc8w_12_15"/>
      <w:bookmarkStart w:id="773" w:name="Tc_jhBpUx_hukGcqGOt_dkrBw_12_12"/>
      <w:bookmarkStart w:id="774" w:name="Tc_LoE2ZGGFO06t5EHba-6zLA_12_10"/>
      <w:bookmarkStart w:id="775" w:name="Tc_dmFulg9pREur0UEINDzLnA_12_7"/>
      <w:bookmarkStart w:id="776" w:name="Tc_lM-nu6Qek0CecElA30wNAg_12_5"/>
      <w:bookmarkStart w:id="777" w:name="Tc_3q5F3Do0VEay5uiZUvsm3Q_12_2"/>
      <w:bookmarkStart w:id="778" w:name="Tc_Ey1GSdTa_EquKELB-Sg1qg_12_0"/>
      <w:bookmarkStart w:id="779" w:name="Tc_AYDB8Y5fgkKvpy_vphkroA_11_32"/>
      <w:bookmarkStart w:id="780" w:name="Tc__bWgLLLVUk24munMB00vLw_11_29"/>
      <w:bookmarkStart w:id="781" w:name="Tc_DZHaH7-N1kuLzLJbrksBjw_11_15"/>
      <w:bookmarkStart w:id="782" w:name="Tc_F7U_syEmxk6A5G-sKwv2uA_11_12"/>
      <w:bookmarkStart w:id="783" w:name="Tc_7LopQg0Ci0uEUyYJlBudmw_11_10"/>
      <w:bookmarkStart w:id="784" w:name="Tc_omhcnfJQq0WyzUjhWBxvww_11_7"/>
      <w:bookmarkStart w:id="785" w:name="Tc_mD_GtwgLG0WhOwEUFjS1Ig_11_0"/>
      <w:bookmarkStart w:id="786" w:name="Tc_IsLwUD2oGkGBbXdX43mQKA_10_32"/>
      <w:bookmarkStart w:id="787" w:name="Tc_XdH_hHCT9EqPRMby0-yxLg_10_29"/>
      <w:bookmarkStart w:id="788" w:name="Tc_HNVglwyzbEG-ALIinAc5hg_10_24"/>
      <w:bookmarkStart w:id="789" w:name="Tc_Wq2WIB3E6EClfzZzplv5Eg_10_21"/>
      <w:bookmarkStart w:id="790" w:name="Tc_4F4qTJb9P0SFUG9bPtYXtQ_10_18"/>
      <w:bookmarkStart w:id="791" w:name="Tc_eCblAzj7g02enQdpPTPBhA_10_15"/>
      <w:bookmarkStart w:id="792" w:name="Tc_Rvk_1cwXSUaqUmb9i3vbYg_10_12"/>
      <w:bookmarkStart w:id="793" w:name="Tc_yI_hG7axKEeNZgc9pTEJoA_10_10"/>
      <w:bookmarkStart w:id="794" w:name="Tc__VsPpwnIXE2JSV-wANNheg_10_7"/>
      <w:bookmarkStart w:id="795" w:name="Tc_Xim232t1Yk-hNuL0EmZInA_10_5"/>
      <w:bookmarkStart w:id="796" w:name="Tc_YK_IZfYLk067FTNTrpn2cw_10_2"/>
      <w:bookmarkStart w:id="797" w:name="Tc_e67dCVRfoEa22r6CvNOMNg_10_0"/>
      <w:bookmarkStart w:id="798" w:name="Tc_BP9vWFgz5Uuo3DhE6mKyoQ_9_35"/>
      <w:bookmarkStart w:id="799" w:name="Tc_XcftAjq1DESpMnpA8askgw_9_32"/>
      <w:bookmarkStart w:id="800" w:name="Tc_E-Lq0PAUqUyJKzrzNyEvCw_9_29"/>
      <w:bookmarkStart w:id="801" w:name="Tc_zJDIQImGjUS8mcix0A23Zw_9_27"/>
      <w:bookmarkStart w:id="802" w:name="Tc_kkUHq-Krm06sEwN_vkIWew_9_24"/>
      <w:bookmarkStart w:id="803" w:name="Tc_j9lsj9BwhEi332Lasln3Ng_9_21"/>
      <w:bookmarkStart w:id="804" w:name="Tc_057P4k5VsES4xuBhtv6u5A_9_18"/>
      <w:bookmarkStart w:id="805" w:name="Tc_pz2z76bgFEuacBFImthtQg_9_15"/>
      <w:bookmarkStart w:id="806" w:name="Tc_UV9KRtmXb0my55nLto6-qg_9_12"/>
      <w:bookmarkStart w:id="807" w:name="Tc_E9ug7KUqzUyn-5yWX5Dngw_9_10"/>
      <w:bookmarkStart w:id="808" w:name="Tc_MJn7HJPHmUuVYpeTiwBKlQ_9_7"/>
      <w:bookmarkStart w:id="809" w:name="Tc_hd2VBRS4UkSMT6IAdKLFzg_9_5"/>
      <w:bookmarkStart w:id="810" w:name="Tc_-_mA2Kcp4kOuGO5JO4YzcA_9_2"/>
      <w:bookmarkStart w:id="811" w:name="Tc_uER8qRota0mJsiNYo3Plig_9_0"/>
      <w:bookmarkStart w:id="812" w:name="Tc_iKR9eSR0J0q5wABscCN_jw_8_38"/>
      <w:bookmarkStart w:id="813" w:name="Tc_vXfO1HS_jEiaKANkMNMk9w_8_32"/>
      <w:bookmarkStart w:id="814" w:name="Tc_Z01OErXff0WhRVGDSbiNIg_8_29"/>
      <w:bookmarkStart w:id="815" w:name="Tc_-QKTEm2I0kKgZm_7wR1WJg_8_27"/>
      <w:bookmarkStart w:id="816" w:name="Tc_CrbYgdYGQEKN6nfmP05OTg_8_21"/>
      <w:bookmarkStart w:id="817" w:name="Tc_imEbscr41UahJnnJDazbGg_8_18"/>
      <w:bookmarkStart w:id="818" w:name="Tc_GX9ESX7heUm2CTLtrkqwqA_8_15"/>
      <w:bookmarkStart w:id="819" w:name="Tc_shfrqJTFO0-9Sz7n76DKPQ_8_12"/>
      <w:bookmarkStart w:id="820" w:name="Tc_7keHU-a4R0iAffugSe9iew_8_10"/>
      <w:bookmarkStart w:id="821" w:name="Tc_aLTyywNl_k6PqotZVcKbQg_8_7"/>
      <w:bookmarkStart w:id="822" w:name="Tc_KI8CS6F96Uq4tCyvp9OwlA_8_5"/>
      <w:bookmarkStart w:id="823" w:name="Tc__hB0fdx4TECeNDZCqJgFKQ_8_2"/>
      <w:bookmarkStart w:id="824" w:name="Tc_b5kujM-XrE-9B2RPFcMRsQ_8_0"/>
      <w:bookmarkStart w:id="825" w:name="Tc_q_MuM_zWAEyKKarvaO4b3g_7_38"/>
      <w:bookmarkStart w:id="826" w:name="Tc_EWZsamtelUyim-Nlohx5pA_7_32"/>
      <w:bookmarkStart w:id="827" w:name="Tc_dtpq_hWsfEiKByDROkCTrw_7_29"/>
      <w:bookmarkStart w:id="828" w:name="Tc_NWg8vbQEXUGGisIdcqumSQ_7_27"/>
      <w:bookmarkStart w:id="829" w:name="Tc_cmg9MAI0a0m7_sJgxgtjBw_7_24"/>
      <w:bookmarkStart w:id="830" w:name="Tc_Q6yIS6iRuU-EEab9K5vi9g_7_18"/>
      <w:bookmarkStart w:id="831" w:name="Tc_xJU8ACLjJE68yX1IbWHp2w_7_15"/>
      <w:bookmarkStart w:id="832" w:name="Tc_ERYTJ71PIUqQ6VIOsr0C7g_7_12"/>
      <w:bookmarkStart w:id="833" w:name="Tc_P_tmEnJW3kmZXO-0mXql_w_7_10"/>
      <w:bookmarkStart w:id="834" w:name="Tc_rVguu9qrMkiNa_M9UIlR2A_7_7"/>
      <w:bookmarkStart w:id="835" w:name="Tc_FZ5lu-NjI067OUUMVErUxg_7_5"/>
      <w:bookmarkStart w:id="836" w:name="Tc_iUNBGKZk6U2BjhdDcP9twg_7_2"/>
      <w:bookmarkStart w:id="837" w:name="Tc_rlLMH_lQJ0i-dZ7aWdVBFA_7_0"/>
      <w:bookmarkStart w:id="838" w:name="Tc_7aXwHug88k2L7S8n9y7E1w_6_40"/>
      <w:bookmarkStart w:id="839" w:name="Tc_X-HtcXrNsEaX1MrLyUJbiQ_6_37"/>
      <w:bookmarkStart w:id="840" w:name="Tc_Uun57BA8EkSZVSBeh25Dbg_6_32"/>
      <w:bookmarkStart w:id="841" w:name="Tc_WVpIHQiyOkWAseUfdO8PAg_6_31"/>
      <w:bookmarkStart w:id="842" w:name="Tc_mVPLqmayFE-NqfrIfrv0sQ_6_29"/>
      <w:bookmarkStart w:id="843" w:name="Tc_Te4r7K9RDkWYm7MJ3sgZBg_6_26"/>
      <w:bookmarkStart w:id="844" w:name="Tc__rVXwePk9kig_al7hOqEtQ_6_23"/>
      <w:bookmarkStart w:id="845" w:name="Tc_f026cZltvE6E_SrMdN206Q_6_20"/>
      <w:bookmarkStart w:id="846" w:name="Tc_TOstmKE95Eycp3ggUIQWYg_6_17"/>
      <w:bookmarkStart w:id="847" w:name="Tc_QnPyJDh-VEGlipUcP_S-2g_6_15"/>
      <w:bookmarkStart w:id="848" w:name="Tc__vx1omobUkORqK-xkLKm3Q_6_14"/>
      <w:bookmarkStart w:id="849" w:name="Tc_Kl2OB1cqy0eLCqt7yj869w_6_12"/>
      <w:bookmarkStart w:id="850" w:name="Tc__G3K7P1XEE29PfkTYxZbAg_6_10"/>
      <w:bookmarkStart w:id="851" w:name="Tc_uwH9fuStV0SuUQj6kAb87g_6_9"/>
      <w:bookmarkStart w:id="852" w:name="Tc_FWN_ek8Saka5taztmSMLBQ_6_7"/>
      <w:bookmarkStart w:id="853" w:name="Tc_qQm2NaxSq0KxLk-1nH3rHA_6_4"/>
      <w:bookmarkStart w:id="854" w:name="Tc_NmJLy_RTGEWi4QARiHwT4w_6_0"/>
      <w:bookmarkStart w:id="855" w:name="Tc_nh_GSIKZGU6eLpajB_bHkA_5_40"/>
      <w:bookmarkStart w:id="856" w:name="Tc_ZsZkIJ9Eb0yK4uUlKIf9Gw_5_37"/>
      <w:bookmarkStart w:id="857" w:name="Tc_utCbUNgMLEi7dq0xC1r_tw_5_34"/>
      <w:bookmarkStart w:id="858" w:name="Tc_Upql1N-TcE2kdS2kZcycHA_5_31"/>
      <w:bookmarkStart w:id="859" w:name="Tc_HQ1L74YOe0-W_Nj_7JbGAg_5_29"/>
      <w:bookmarkStart w:id="860" w:name="Tc_WR0YbbGcPUG_eRKozXlV6w_5_26"/>
      <w:bookmarkStart w:id="861" w:name="Tc_-gwgepU160CInoFUdSi3cQ_5_23"/>
      <w:bookmarkStart w:id="862" w:name="Tc_xrDA09MBiUCOykh28r7prg_5_20"/>
      <w:bookmarkStart w:id="863" w:name="Tc_oh3JX5nhrEaOE0iUU9i19Q_5_17"/>
      <w:bookmarkStart w:id="864" w:name="Tc_1L8RJ8pYHUKL0NtFqoSo0A_5_14"/>
      <w:bookmarkStart w:id="865" w:name="Tc_0guj035M60Wj2zI2ooV1Mw_5_12"/>
      <w:bookmarkStart w:id="866" w:name="Tc_Civb_FPL50WKy9uWTTjpXQ_5_9"/>
      <w:bookmarkStart w:id="867" w:name="Tc__lCcdykqXkG_TgkQF-_gLw_5_7"/>
      <w:bookmarkStart w:id="868" w:name="Tc_5-2q-pCRYUmxJoss717RxA_5_5"/>
      <w:bookmarkStart w:id="869" w:name="Tc_Pyw9liZ8sUKnai-WfyiGdg_5_2"/>
      <w:bookmarkStart w:id="870" w:name="Tc_evee_oyJSU6Th2LJUufzrA_4_37"/>
      <w:bookmarkStart w:id="871" w:name="Tc_OEFhxI47tEKca7aJCXxVcA_4_34"/>
      <w:bookmarkStart w:id="872" w:name="Tc_w4pHEQe4uUuA-hqU6zR-3Q_4_29"/>
      <w:bookmarkStart w:id="873" w:name="Tc_ON8klh6zEUugj6MlhZ6yQA_4_26"/>
      <w:bookmarkStart w:id="874" w:name="Tc_thh01ye1hkCD8fDBVHzO1g_4_23"/>
      <w:bookmarkStart w:id="875" w:name="Tc_xIwRyhhf6UWZQeqd_aXwSQ_4_20"/>
      <w:bookmarkStart w:id="876" w:name="Tc_wUsqxTdMTUeRIIjfmmpGVw_4_17"/>
      <w:bookmarkStart w:id="877" w:name="Tc_3KIM8QLTDk-TKusgkpG6sw_4_12"/>
      <w:bookmarkStart w:id="878" w:name="Tc_h6VBkF_hmEKkdZRdiDi8VA_4_7"/>
      <w:bookmarkStart w:id="879" w:name="Tc_R_bP3Lfx_EKCLo1X3OMRbA_4_2"/>
      <w:bookmarkStart w:id="880" w:name="Tc_5l7NXAZDTE6kMGKCgV8e4w_3_37"/>
      <w:bookmarkStart w:id="881" w:name="Tc_--KmElBjGEyXHHLPrO-Q2Q_3_34"/>
      <w:bookmarkStart w:id="882" w:name="Tc_pkjLGpVGfkWz5KntYIEd7w_3_23"/>
      <w:bookmarkStart w:id="883" w:name="Tc_xiZCxATVCEKOxNHnLR-exA_3_20"/>
      <w:bookmarkStart w:id="884" w:name="Tc_VqteYbdR4EqoaEP9x_2czQ_3_17"/>
      <w:bookmarkStart w:id="885" w:name="Tc_4Xn7QQSEB0OPSnjXMiFsTg_2_34"/>
      <w:bookmarkStart w:id="886" w:name="Tc_5omjJN3YhU2ps3vkVGMytw_2_23"/>
      <w:bookmarkStart w:id="887" w:name="Tc_WEHAhXC1TE2jaop8ZL41rw_2_20"/>
      <w:bookmarkStart w:id="888" w:name="Tc_5gnYPiqNF0Cy_CYi13X1UA_1_20"/>
      <w:bookmarkStart w:id="889" w:name="_b977fa82_8231_4b1e_8e48_53e4c5792007"/>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p>
    <w:tbl>
      <w:tblPr>
        <w:tblW w:w="18895" w:type="dxa"/>
        <w:jc w:val="left"/>
        <w:tblInd w:w="0" w:type="dxa"/>
        <w:tblCellMar>
          <w:top w:w="0" w:type="dxa"/>
          <w:left w:w="0" w:type="dxa"/>
          <w:bottom w:w="0" w:type="dxa"/>
          <w:right w:w="0" w:type="dxa"/>
        </w:tblCellMar>
      </w:tblPr>
      <w:tblGrid>
        <w:gridCol w:w="1231"/>
        <w:gridCol w:w="326"/>
        <w:gridCol w:w="631"/>
        <w:gridCol w:w="326"/>
        <w:gridCol w:w="181"/>
        <w:gridCol w:w="571"/>
        <w:gridCol w:w="326"/>
        <w:gridCol w:w="691"/>
        <w:gridCol w:w="326"/>
        <w:gridCol w:w="196"/>
        <w:gridCol w:w="375"/>
        <w:gridCol w:w="326"/>
        <w:gridCol w:w="766"/>
        <w:gridCol w:w="326"/>
        <w:gridCol w:w="181"/>
        <w:gridCol w:w="436"/>
        <w:gridCol w:w="326"/>
        <w:gridCol w:w="181"/>
        <w:gridCol w:w="811"/>
        <w:gridCol w:w="326"/>
        <w:gridCol w:w="181"/>
        <w:gridCol w:w="811"/>
        <w:gridCol w:w="326"/>
        <w:gridCol w:w="260"/>
        <w:gridCol w:w="911"/>
        <w:gridCol w:w="326"/>
        <w:gridCol w:w="181"/>
        <w:gridCol w:w="811"/>
        <w:gridCol w:w="326"/>
        <w:gridCol w:w="736"/>
        <w:gridCol w:w="326"/>
        <w:gridCol w:w="181"/>
        <w:gridCol w:w="736"/>
        <w:gridCol w:w="326"/>
        <w:gridCol w:w="181"/>
        <w:gridCol w:w="811"/>
        <w:gridCol w:w="326"/>
        <w:gridCol w:w="181"/>
        <w:gridCol w:w="736"/>
        <w:gridCol w:w="326"/>
        <w:gridCol w:w="181"/>
        <w:gridCol w:w="856"/>
      </w:tblGrid>
      <w:tr>
        <w:trPr/>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81685" cy="175260"/>
                      <wp:effectExtent l="0" t="0" r="0" b="0"/>
                      <wp:wrapNone/>
                      <wp:docPr id="135" name="Frame134"/>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00685" cy="175260"/>
                      <wp:effectExtent l="0" t="0" r="0" b="0"/>
                      <wp:wrapNone/>
                      <wp:docPr id="137" name="Frame136"/>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8"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14935" cy="175260"/>
                      <wp:effectExtent l="0" t="0" r="0" b="0"/>
                      <wp:wrapNone/>
                      <wp:docPr id="139" name="Frame138"/>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62585" cy="175260"/>
                      <wp:effectExtent l="0" t="0" r="0" b="0"/>
                      <wp:wrapNone/>
                      <wp:docPr id="140" name="Frame13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1" name="Frame1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8785" cy="175260"/>
                      <wp:effectExtent l="0" t="0" r="0" b="0"/>
                      <wp:wrapNone/>
                      <wp:docPr id="142" name="Frame14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4460" cy="175260"/>
                      <wp:effectExtent l="0" t="0" r="0" b="0"/>
                      <wp:wrapNone/>
                      <wp:docPr id="144" name="Frame14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38125" cy="175260"/>
                      <wp:effectExtent l="0" t="0" r="0" b="0"/>
                      <wp:wrapNone/>
                      <wp:docPr id="145" name="Frame144"/>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86410" cy="175260"/>
                      <wp:effectExtent l="0" t="0" r="0" b="0"/>
                      <wp:wrapNone/>
                      <wp:docPr id="147" name="Frame146"/>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48" name="Frame1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4935" cy="175260"/>
                      <wp:effectExtent l="0" t="0" r="0" b="0"/>
                      <wp:wrapNone/>
                      <wp:docPr id="149" name="Frame148"/>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76860" cy="175260"/>
                      <wp:effectExtent l="0" t="0" r="0" b="0"/>
                      <wp:wrapNone/>
                      <wp:docPr id="150" name="Frame149"/>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14935" cy="175260"/>
                      <wp:effectExtent l="0" t="0" r="0" b="0"/>
                      <wp:wrapNone/>
                      <wp:docPr id="152" name="Frame151"/>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14985" cy="175260"/>
                      <wp:effectExtent l="0" t="0" r="0" b="0"/>
                      <wp:wrapNone/>
                      <wp:docPr id="153" name="Frame152"/>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14935" cy="175260"/>
                      <wp:effectExtent l="0" t="0" r="0" b="0"/>
                      <wp:wrapNone/>
                      <wp:docPr id="155" name="Frame154"/>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14985" cy="175260"/>
                      <wp:effectExtent l="0" t="0" r="0" b="0"/>
                      <wp:wrapNone/>
                      <wp:docPr id="156" name="Frame155"/>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7"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5100" cy="175260"/>
                      <wp:effectExtent l="0" t="0" r="0" b="0"/>
                      <wp:wrapNone/>
                      <wp:docPr id="158" name="Frame157"/>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78485" cy="175260"/>
                      <wp:effectExtent l="0" t="0" r="0" b="0"/>
                      <wp:wrapNone/>
                      <wp:docPr id="159" name="Frame158"/>
                      <a:graphic xmlns:a="http://schemas.openxmlformats.org/drawingml/2006/main">
                        <a:graphicData uri="http://schemas.microsoft.com/office/word/2010/wordprocessingShape">
                          <wps:wsp>
                            <wps:cNvSpPr txBox="1"/>
                            <wps:spPr>
                              <a:xfrm>
                                <a:off x="0" y="0"/>
                                <a:ext cx="578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0"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14935" cy="175260"/>
                      <wp:effectExtent l="0" t="0" r="0" b="0"/>
                      <wp:wrapNone/>
                      <wp:docPr id="161" name="Frame160"/>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14985" cy="175260"/>
                      <wp:effectExtent l="0" t="0" r="0" b="0"/>
                      <wp:wrapNone/>
                      <wp:docPr id="162" name="Frame161"/>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67360" cy="175260"/>
                      <wp:effectExtent l="0" t="0" r="0" b="0"/>
                      <wp:wrapNone/>
                      <wp:docPr id="164" name="Frame163"/>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5" name="Frame1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14935" cy="175260"/>
                      <wp:effectExtent l="0" t="0" r="0" b="0"/>
                      <wp:wrapNone/>
                      <wp:docPr id="166" name="Frame165"/>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67360" cy="175260"/>
                      <wp:effectExtent l="0" t="0" r="0" b="0"/>
                      <wp:wrapNone/>
                      <wp:docPr id="167" name="Frame166"/>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8" name="Frame1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14935" cy="175260"/>
                      <wp:effectExtent l="0" t="0" r="0" b="0"/>
                      <wp:wrapNone/>
                      <wp:docPr id="169" name="Frame168"/>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14985" cy="175260"/>
                      <wp:effectExtent l="0" t="0" r="0" b="0"/>
                      <wp:wrapNone/>
                      <wp:docPr id="170" name="Frame169"/>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14935" cy="175260"/>
                      <wp:effectExtent l="0" t="0" r="0" b="0"/>
                      <wp:wrapNone/>
                      <wp:docPr id="172" name="Frame171"/>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67360" cy="175260"/>
                      <wp:effectExtent l="0" t="0" r="0" b="0"/>
                      <wp:wrapNone/>
                      <wp:docPr id="173" name="Frame172"/>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4" name="Frame1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14935" cy="175260"/>
                      <wp:effectExtent l="0" t="0" r="0" b="0"/>
                      <wp:wrapNone/>
                      <wp:docPr id="175" name="Frame174"/>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43560" cy="175260"/>
                      <wp:effectExtent l="0" t="0" r="0" b="0"/>
                      <wp:wrapNone/>
                      <wp:docPr id="176" name="Frame175"/>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2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37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Due from</w:t>
            </w:r>
          </w:p>
        </w:tc>
        <w:tc>
          <w:tcPr>
            <w:tcW w:w="326" w:type="dxa"/>
            <w:tcBorders/>
            <w:shd w:fill="auto" w:val="clear"/>
            <w:vAlign w:val="center"/>
          </w:tcPr>
          <w:p>
            <w:pPr>
              <w:pStyle w:val="TableContents"/>
              <w:spacing w:before="0" w:after="1"/>
              <w:ind w:left="0" w:right="0" w:hanging="0"/>
              <w:jc w:val="center"/>
              <w:rPr/>
            </w:pPr>
            <w:r>
              <w:rPr/>
              <w:t>​</w:t>
            </w:r>
          </w:p>
        </w:tc>
        <w:tc>
          <w:tcPr>
            <w:tcW w:w="1171"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jc w:val="center"/>
              <w:rPr/>
            </w:pPr>
            <w:r>
              <w:rPr/>
              <w:t>​</w:t>
            </w:r>
          </w:p>
        </w:tc>
        <w:tc>
          <w:tcPr>
            <w:tcW w:w="8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pPr>
            <w:r>
              <w:rPr/>
              <w:t>​</w:t>
            </w:r>
          </w:p>
        </w:tc>
      </w:tr>
      <w:tr>
        <w:trPr/>
        <w:tc>
          <w:tcPr>
            <w:tcW w:w="12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37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Shareholder</w:t>
            </w:r>
          </w:p>
        </w:tc>
        <w:tc>
          <w:tcPr>
            <w:tcW w:w="326" w:type="dxa"/>
            <w:tcBorders/>
            <w:shd w:fill="auto" w:val="clear"/>
            <w:vAlign w:val="center"/>
          </w:tcPr>
          <w:p>
            <w:pPr>
              <w:pStyle w:val="TableContents"/>
              <w:spacing w:before="0" w:after="1"/>
              <w:ind w:left="0" w:right="0" w:hanging="0"/>
              <w:jc w:val="center"/>
              <w:rPr/>
            </w:pPr>
            <w:r>
              <w:rPr/>
              <w:t>​</w:t>
            </w:r>
          </w:p>
        </w:tc>
        <w:tc>
          <w:tcPr>
            <w:tcW w:w="11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17"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Snail, Inc. </w:t>
            </w:r>
          </w:p>
        </w:tc>
        <w:tc>
          <w:tcPr>
            <w:tcW w:w="326" w:type="dxa"/>
            <w:tcBorders/>
            <w:shd w:fill="auto" w:val="clear"/>
            <w:vAlign w:val="center"/>
          </w:tcPr>
          <w:p>
            <w:pPr>
              <w:pStyle w:val="TableContents"/>
              <w:spacing w:before="0" w:after="1"/>
              <w:ind w:left="0" w:right="0" w:hanging="0"/>
              <w:jc w:val="center"/>
              <w:rPr/>
            </w:pPr>
            <w:r>
              <w:rPr/>
              <w:t>​</w:t>
            </w:r>
          </w:p>
        </w:tc>
        <w:tc>
          <w:tcPr>
            <w:tcW w:w="917"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pPr>
            <w:r>
              <w:rPr/>
              <w:t>​</w:t>
            </w:r>
          </w:p>
        </w:tc>
      </w:tr>
      <w:tr>
        <w:trPr/>
        <w:tc>
          <w:tcPr>
            <w:tcW w:w="12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37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Loan and</w:t>
            </w:r>
          </w:p>
        </w:tc>
        <w:tc>
          <w:tcPr>
            <w:tcW w:w="326" w:type="dxa"/>
            <w:tcBorders/>
            <w:shd w:fill="auto" w:val="clear"/>
            <w:vAlign w:val="center"/>
          </w:tcPr>
          <w:p>
            <w:pPr>
              <w:pStyle w:val="TableContents"/>
              <w:spacing w:before="0" w:after="1"/>
              <w:ind w:left="0" w:right="0" w:hanging="0"/>
              <w:jc w:val="center"/>
              <w:rPr/>
            </w:pPr>
            <w:r>
              <w:rPr/>
              <w:t>​</w:t>
            </w:r>
          </w:p>
        </w:tc>
        <w:tc>
          <w:tcPr>
            <w:tcW w:w="11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1" w:type="dxa"/>
            <w:tcBorders/>
            <w:shd w:fill="auto" w:val="clear"/>
            <w:vAlign w:val="center"/>
          </w:tcPr>
          <w:p>
            <w:pPr>
              <w:pStyle w:val="TableContents"/>
              <w:spacing w:before="0" w:after="1"/>
              <w:ind w:left="0" w:right="0" w:hanging="0"/>
              <w:jc w:val="center"/>
              <w:rPr/>
            </w:pPr>
            <w:r>
              <w:rPr/>
              <w:t>​</w:t>
            </w:r>
          </w:p>
        </w:tc>
        <w:tc>
          <w:tcPr>
            <w:tcW w:w="7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and Snail Games</w:t>
            </w:r>
          </w:p>
        </w:tc>
        <w:tc>
          <w:tcPr>
            <w:tcW w:w="326" w:type="dxa"/>
            <w:tcBorders/>
            <w:shd w:fill="auto" w:val="clear"/>
            <w:vAlign w:val="center"/>
          </w:tcPr>
          <w:p>
            <w:pPr>
              <w:pStyle w:val="TableContents"/>
              <w:spacing w:before="0" w:after="1"/>
              <w:ind w:left="0" w:right="0" w:hanging="0"/>
              <w:jc w:val="center"/>
              <w:rPr/>
            </w:pPr>
            <w:r>
              <w:rPr/>
              <w:t>​</w:t>
            </w:r>
          </w:p>
        </w:tc>
        <w:tc>
          <w:tcPr>
            <w:tcW w:w="91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Non</w:t>
            </w:r>
          </w:p>
        </w:tc>
        <w:tc>
          <w:tcPr>
            <w:tcW w:w="326" w:type="dxa"/>
            <w:tcBorders/>
            <w:shd w:fill="auto" w:val="clear"/>
            <w:vAlign w:val="center"/>
          </w:tcPr>
          <w:p>
            <w:pPr>
              <w:pStyle w:val="TableContents"/>
              <w:spacing w:before="0" w:after="1"/>
              <w:ind w:left="0" w:right="0" w:hanging="0"/>
              <w:jc w:val="center"/>
              <w:rPr/>
            </w:pPr>
            <w:r>
              <w:rPr/>
              <w:t>​</w:t>
            </w:r>
          </w:p>
        </w:tc>
        <w:tc>
          <w:tcPr>
            <w:tcW w:w="1037" w:type="dxa"/>
            <w:gridSpan w:val="2"/>
            <w:tcBorders/>
            <w:shd w:fill="auto" w:val="clear"/>
            <w:vAlign w:val="center"/>
          </w:tcPr>
          <w:p>
            <w:pPr>
              <w:pStyle w:val="TableContents"/>
              <w:spacing w:before="0" w:after="1"/>
              <w:ind w:left="0" w:right="0" w:hanging="0"/>
              <w:jc w:val="center"/>
              <w:rPr/>
            </w:pPr>
            <w:r>
              <w:rPr/>
              <w:t>​</w:t>
            </w:r>
          </w:p>
        </w:tc>
      </w:tr>
      <w:tr>
        <w:trPr/>
        <w:tc>
          <w:tcPr>
            <w:tcW w:w="12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70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 - Snail Games USA Inc.</w:t>
            </w:r>
          </w:p>
        </w:tc>
        <w:tc>
          <w:tcPr>
            <w:tcW w:w="326" w:type="dxa"/>
            <w:tcBorders/>
            <w:shd w:fill="auto" w:val="clear"/>
            <w:vAlign w:val="center"/>
          </w:tcPr>
          <w:p>
            <w:pPr>
              <w:pStyle w:val="TableContents"/>
              <w:spacing w:before="0" w:after="1"/>
              <w:ind w:left="0" w:right="0" w:hanging="0"/>
              <w:rPr/>
            </w:pPr>
            <w:r>
              <w:rPr/>
              <w:t>    </w:t>
            </w:r>
          </w:p>
        </w:tc>
        <w:tc>
          <w:tcPr>
            <w:tcW w:w="1588"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A Common Stock</w:t>
            </w:r>
          </w:p>
        </w:tc>
        <w:tc>
          <w:tcPr>
            <w:tcW w:w="326" w:type="dxa"/>
            <w:tcBorders/>
            <w:shd w:fill="auto" w:val="clear"/>
            <w:vAlign w:val="center"/>
          </w:tcPr>
          <w:p>
            <w:pPr>
              <w:pStyle w:val="TableContents"/>
              <w:spacing w:before="0" w:after="1"/>
              <w:ind w:left="0" w:right="0" w:hanging="0"/>
              <w:jc w:val="center"/>
              <w:rPr/>
            </w:pPr>
            <w:r>
              <w:rPr/>
              <w:t>​</w:t>
            </w:r>
          </w:p>
        </w:tc>
        <w:tc>
          <w:tcPr>
            <w:tcW w:w="170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Class B Common Stock</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sz w:val="14"/>
              </w:rPr>
            </w:pPr>
            <w:r>
              <w:rPr>
                <w:rFonts w:ascii="Times New Roman;Times;serif" w:hAnsi="Times New Roman;Times;serif"/>
                <w:b/>
                <w:sz w:val="14"/>
              </w:rPr>
              <w:t>Interest </w:t>
            </w:r>
            <w:r>
              <w:rPr>
                <w:rFonts w:ascii="Times New Roman;Times;serif" w:hAnsi="Times New Roman;Times;serif"/>
                <w:sz w:val="14"/>
              </w:rPr>
              <w:t> </w:t>
            </w:r>
          </w:p>
        </w:tc>
        <w:tc>
          <w:tcPr>
            <w:tcW w:w="326" w:type="dxa"/>
            <w:tcBorders/>
            <w:shd w:fill="auto" w:val="clear"/>
            <w:vAlign w:val="center"/>
          </w:tcPr>
          <w:p>
            <w:pPr>
              <w:pStyle w:val="TableContents"/>
              <w:spacing w:before="0" w:after="1"/>
              <w:ind w:left="0" w:right="0" w:hanging="0"/>
              <w:jc w:val="center"/>
              <w:rPr/>
            </w:pPr>
            <w:r>
              <w:rPr/>
              <w:t>​</w:t>
            </w:r>
          </w:p>
        </w:tc>
        <w:tc>
          <w:tcPr>
            <w:tcW w:w="1171"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4"/>
              </w:rPr>
              <w:t>Comprehensive </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sz w:val="14"/>
              </w:rPr>
            </w:pPr>
            <w:r>
              <w:rPr>
                <w:rFonts w:ascii="Times New Roman;Times;serif" w:hAnsi="Times New Roman;Times;serif"/>
                <w:b/>
                <w:sz w:val="14"/>
              </w:rPr>
              <w:t>Retained </w:t>
            </w:r>
            <w:r>
              <w:rPr>
                <w:rFonts w:ascii="Times New Roman;Times;serif" w:hAnsi="Times New Roman;Times;serif"/>
                <w:sz w:val="14"/>
              </w:rPr>
              <w:t> </w:t>
            </w:r>
          </w:p>
        </w:tc>
        <w:tc>
          <w:tcPr>
            <w:tcW w:w="326" w:type="dxa"/>
            <w:tcBorders/>
            <w:shd w:fill="auto" w:val="clear"/>
            <w:vAlign w:val="center"/>
          </w:tcPr>
          <w:p>
            <w:pPr>
              <w:pStyle w:val="TableContents"/>
              <w:spacing w:before="0" w:after="1"/>
              <w:ind w:left="0" w:right="0" w:hanging="0"/>
              <w:jc w:val="center"/>
              <w:rPr/>
            </w:pPr>
            <w:r>
              <w:rPr/>
              <w:t>​</w:t>
            </w:r>
          </w:p>
        </w:tc>
        <w:tc>
          <w:tcPr>
            <w:tcW w:w="197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4"/>
              </w:rPr>
              <w:t>USA, Inc. </w:t>
            </w:r>
          </w:p>
        </w:tc>
        <w:tc>
          <w:tcPr>
            <w:tcW w:w="326" w:type="dxa"/>
            <w:tcBorders/>
            <w:shd w:fill="auto" w:val="clear"/>
            <w:vAlign w:val="center"/>
          </w:tcPr>
          <w:p>
            <w:pPr>
              <w:pStyle w:val="TableContents"/>
              <w:spacing w:before="0" w:after="1"/>
              <w:ind w:left="0" w:right="0" w:hanging="0"/>
              <w:jc w:val="center"/>
              <w:rPr/>
            </w:pPr>
            <w:r>
              <w:rPr/>
              <w:t>​</w:t>
            </w:r>
          </w:p>
        </w:tc>
        <w:tc>
          <w:tcPr>
            <w:tcW w:w="917"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4"/>
              </w:rPr>
              <w:t>controlling </w:t>
            </w:r>
            <w:r>
              <w:rPr>
                <w:rFonts w:ascii="Times New Roman;Times;serif" w:hAnsi="Times New Roman;Times;serif"/>
                <w:sz w:val="14"/>
              </w:rPr>
              <w:t> </w:t>
            </w:r>
          </w:p>
        </w:tc>
        <w:tc>
          <w:tcPr>
            <w:tcW w:w="326" w:type="dxa"/>
            <w:tcBorders/>
            <w:shd w:fill="auto" w:val="clear"/>
            <w:vAlign w:val="center"/>
          </w:tcPr>
          <w:p>
            <w:pPr>
              <w:pStyle w:val="TableContents"/>
              <w:spacing w:before="0" w:after="1"/>
              <w:ind w:left="0" w:right="0" w:hanging="0"/>
              <w:jc w:val="center"/>
              <w:rPr/>
            </w:pPr>
            <w:r>
              <w:rPr/>
              <w:t>​</w:t>
            </w:r>
          </w:p>
        </w:tc>
        <w:tc>
          <w:tcPr>
            <w:tcW w:w="1037" w:type="dxa"/>
            <w:gridSpan w:val="2"/>
            <w:tcBorders/>
            <w:shd w:fill="auto" w:val="clear"/>
            <w:vAlign w:val="center"/>
          </w:tcPr>
          <w:p>
            <w:pPr>
              <w:pStyle w:val="TableContents"/>
              <w:spacing w:before="0" w:after="1"/>
              <w:ind w:left="0" w:right="0" w:hanging="0"/>
              <w:jc w:val="center"/>
              <w:rPr/>
            </w:pPr>
            <w:r>
              <w:rPr/>
              <w:t>​</w:t>
            </w:r>
          </w:p>
        </w:tc>
      </w:tr>
      <w:tr>
        <w:trPr/>
        <w:tc>
          <w:tcPr>
            <w:tcW w:w="12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1"/>
              <w:ind w:left="0" w:right="0" w:hanging="0"/>
              <w:rPr/>
            </w:pPr>
            <w:r>
              <w:rPr/>
              <w:t>    </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1"/>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before="0" w:after="1"/>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1"/>
              <w:ind w:left="0" w:right="0" w:hanging="0"/>
              <w:rPr/>
            </w:pPr>
            <w:r>
              <w:rPr/>
              <w:t>    </w:t>
            </w:r>
          </w:p>
        </w:tc>
        <w:tc>
          <w:tcPr>
            <w:tcW w:w="61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Receivable</w:t>
            </w:r>
          </w:p>
        </w:tc>
        <w:tc>
          <w:tcPr>
            <w:tcW w:w="326" w:type="dxa"/>
            <w:tcBorders/>
            <w:shd w:fill="auto" w:val="clear"/>
            <w:vAlign w:val="center"/>
          </w:tcPr>
          <w:p>
            <w:pPr>
              <w:pStyle w:val="TableContents"/>
              <w:spacing w:before="0" w:after="1"/>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shd w:fill="auto" w:val="cle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1"/>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26" w:type="dxa"/>
            <w:tcBorders/>
            <w:shd w:fill="auto" w:val="clear"/>
            <w:vAlign w:val="center"/>
          </w:tcPr>
          <w:p>
            <w:pPr>
              <w:pStyle w:val="TableContents"/>
              <w:spacing w:before="0" w:after="1"/>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26" w:type="dxa"/>
            <w:tcBorders/>
            <w:shd w:fill="auto" w:val="clear"/>
            <w:vAlign w:val="center"/>
          </w:tcPr>
          <w:p>
            <w:pPr>
              <w:pStyle w:val="TableContents"/>
              <w:spacing w:before="0" w:after="1"/>
              <w:ind w:left="0" w:right="0" w:hanging="0"/>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Total Equity</w:t>
            </w:r>
          </w:p>
        </w:tc>
      </w:tr>
      <w:tr>
        <w:trPr/>
        <w:tc>
          <w:tcPr>
            <w:tcW w:w="1231" w:type="dxa"/>
            <w:tcBorders/>
            <w:shd w:fill="CCEEFF" w:val="clear"/>
            <w:vAlign w:val="center"/>
          </w:tcPr>
          <w:p>
            <w:pPr>
              <w:pStyle w:val="TableContents"/>
              <w:pBdr/>
              <w:spacing w:before="0" w:after="1"/>
              <w:ind w:left="0" w:right="0" w:hanging="0"/>
              <w:rPr>
                <w:rFonts w:ascii="Times New Roman;Times;serif" w:hAnsi="Times New Roman;Times;serif"/>
                <w:b/>
                <w:sz w:val="14"/>
              </w:rPr>
            </w:pPr>
            <w:r>
              <w:rPr>
                <w:rFonts w:ascii="Times New Roman;Times;serif" w:hAnsi="Times New Roman;Times;serif"/>
                <w:b/>
                <w:sz w:val="14"/>
              </w:rPr>
              <w:t>Balance at January 1, 2021</w:t>
            </w:r>
          </w:p>
        </w:tc>
        <w:tc>
          <w:tcPr>
            <w:tcW w:w="326"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500,000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5,000</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94,159,167</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(62,186,331)</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(197,174)</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7,576,835</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39,357,497</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(5,017,741)</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34,339,756</w:t>
            </w:r>
          </w:p>
        </w:tc>
      </w:tr>
      <w:tr>
        <w:trPr/>
        <w:tc>
          <w:tcPr>
            <w:tcW w:w="1231"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Loan to shareholder</w:t>
            </w:r>
          </w:p>
        </w:tc>
        <w:tc>
          <w:tcPr>
            <w:tcW w:w="326" w:type="dxa"/>
            <w:tcBorders/>
            <w:shd w:fill="auto" w:val="clear"/>
            <w:vAlign w:val="center"/>
          </w:tcPr>
          <w:p>
            <w:pPr>
              <w:pStyle w:val="TableContents"/>
              <w:spacing w:before="0" w:after="1"/>
              <w:ind w:left="0" w:right="0" w:hanging="0"/>
              <w:rPr/>
            </w:pPr>
            <w:r>
              <w:rPr/>
              <w:t> </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(32,167,191)</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 </w:t>
            </w:r>
          </w:p>
        </w:tc>
        <w:tc>
          <w:tcPr>
            <w:tcW w:w="9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(32,167,191)</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(32,167,191)</w:t>
            </w:r>
          </w:p>
        </w:tc>
      </w:tr>
      <w:tr>
        <w:trPr/>
        <w:tc>
          <w:tcPr>
            <w:tcW w:w="1231"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Foreign currency translation</w:t>
            </w:r>
          </w:p>
        </w:tc>
        <w:tc>
          <w:tcPr>
            <w:tcW w:w="326" w:type="dxa"/>
            <w:tcBorders/>
            <w:shd w:fill="CCEEFF" w:val="clear"/>
            <w:vAlign w:val="center"/>
          </w:tcPr>
          <w:p>
            <w:pPr>
              <w:pStyle w:val="TableContents"/>
              <w:spacing w:before="0" w:after="1"/>
              <w:ind w:left="0" w:right="0" w:hanging="0"/>
              <w:rPr/>
            </w:pPr>
            <w:r>
              <w:rPr/>
              <w:t> </w:t>
            </w:r>
          </w:p>
        </w:tc>
        <w:tc>
          <w:tcPr>
            <w:tcW w:w="6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pPr>
            <w:r>
              <w:rPr/>
              <w:t> </w:t>
            </w:r>
          </w:p>
        </w:tc>
        <w:tc>
          <w:tcPr>
            <w:tcW w:w="9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(69,383)</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(69,383)</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(69,383)</w:t>
            </w:r>
          </w:p>
        </w:tc>
      </w:tr>
      <w:tr>
        <w:trPr/>
        <w:tc>
          <w:tcPr>
            <w:tcW w:w="1231"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Dissolution of subsidiary</w:t>
            </w:r>
          </w:p>
        </w:tc>
        <w:tc>
          <w:tcPr>
            <w:tcW w:w="326"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w:t>
            </w:r>
          </w:p>
        </w:tc>
        <w:tc>
          <w:tcPr>
            <w:tcW w:w="9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39,340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39,340</w:t>
            </w:r>
          </w:p>
        </w:tc>
      </w:tr>
      <w:tr>
        <w:trPr/>
        <w:tc>
          <w:tcPr>
            <w:tcW w:w="1231"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Net income</w:t>
            </w:r>
          </w:p>
        </w:tc>
        <w:tc>
          <w:tcPr>
            <w:tcW w:w="326" w:type="dxa"/>
            <w:tcBorders/>
            <w:shd w:fill="CCEEFF" w:val="clear"/>
            <w:vAlign w:val="center"/>
          </w:tcPr>
          <w:p>
            <w:pPr>
              <w:pStyle w:val="TableContents"/>
              <w:spacing w:before="0" w:after="1"/>
              <w:ind w:left="0" w:right="0" w:hanging="0"/>
              <w:rPr/>
            </w:pPr>
            <w:r>
              <w:rPr/>
              <w:t> </w:t>
            </w:r>
          </w:p>
        </w:tc>
        <w:tc>
          <w:tcPr>
            <w:tcW w:w="6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37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8,468,396</w:t>
            </w:r>
          </w:p>
        </w:tc>
        <w:tc>
          <w:tcPr>
            <w:tcW w:w="326" w:type="dxa"/>
            <w:tcBorders/>
            <w:shd w:fill="CCEEFF" w:val="clear"/>
            <w:vAlign w:val="center"/>
          </w:tcPr>
          <w:p>
            <w:pPr>
              <w:pStyle w:val="TableContents"/>
              <w:spacing w:before="0" w:after="1"/>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8,468,396</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(558,865)</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7,909,531</w:t>
            </w:r>
          </w:p>
        </w:tc>
      </w:tr>
      <w:tr>
        <w:trPr/>
        <w:tc>
          <w:tcPr>
            <w:tcW w:w="1231" w:type="dxa"/>
            <w:tcBorders/>
            <w:shd w:fill="auto" w:val="clear"/>
            <w:vAlign w:val="center"/>
          </w:tcPr>
          <w:p>
            <w:pPr>
              <w:pStyle w:val="TableContents"/>
              <w:pBdr/>
              <w:spacing w:before="0" w:after="1"/>
              <w:ind w:left="0" w:right="0" w:hanging="0"/>
              <w:rPr>
                <w:rFonts w:ascii="Times New Roman;Times;serif" w:hAnsi="Times New Roman;Times;serif"/>
                <w:b/>
                <w:sz w:val="14"/>
              </w:rPr>
            </w:pPr>
            <w:r>
              <w:rPr>
                <w:rFonts w:ascii="Times New Roman;Times;serif" w:hAnsi="Times New Roman;Times;serif"/>
                <w:b/>
                <w:sz w:val="14"/>
              </w:rPr>
              <w:t>Balance at December 31, 2021</w:t>
            </w:r>
          </w:p>
        </w:tc>
        <w:tc>
          <w:tcPr>
            <w:tcW w:w="326" w:type="dxa"/>
            <w:tcBorders/>
            <w:shd w:fill="auto" w:val="clear"/>
            <w:vAlign w:val="center"/>
          </w:tcPr>
          <w:p>
            <w:pPr>
              <w:pStyle w:val="TableContents"/>
              <w:spacing w:before="0" w:after="1"/>
              <w:ind w:left="0" w:right="0" w:hanging="0"/>
              <w:rPr/>
            </w:pPr>
            <w:r>
              <w:rPr/>
              <w:t> </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500,000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5,000</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94,159,167</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(94,353,522)</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 </w:t>
            </w:r>
          </w:p>
        </w:tc>
        <w:tc>
          <w:tcPr>
            <w:tcW w:w="911" w:type="dxa"/>
            <w:tcBorders/>
            <w:shd w:fill="auto" w:val="cle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(266,557)</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16,045,231</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15,589,319</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(5,537,266)</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10,052,053</w:t>
            </w:r>
          </w:p>
        </w:tc>
      </w:tr>
      <w:tr>
        <w:trPr/>
        <w:tc>
          <w:tcPr>
            <w:tcW w:w="1231"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Loan to shareholder</w:t>
            </w:r>
          </w:p>
        </w:tc>
        <w:tc>
          <w:tcPr>
            <w:tcW w:w="326" w:type="dxa"/>
            <w:tcBorders/>
            <w:shd w:fill="CCEEFF" w:val="clear"/>
            <w:vAlign w:val="center"/>
          </w:tcPr>
          <w:p>
            <w:pPr>
              <w:pStyle w:val="TableContents"/>
              <w:spacing w:before="0" w:after="1"/>
              <w:ind w:left="0" w:right="0" w:hanging="0"/>
              <w:rPr/>
            </w:pPr>
            <w:r>
              <w:rPr/>
              <w:t> </w:t>
            </w:r>
          </w:p>
        </w:tc>
        <w:tc>
          <w:tcPr>
            <w:tcW w:w="6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(580,878)</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pPr>
            <w:r>
              <w:rPr/>
              <w:t> </w:t>
            </w:r>
          </w:p>
        </w:tc>
        <w:tc>
          <w:tcPr>
            <w:tcW w:w="9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(580,878)</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(580,878)</w:t>
            </w:r>
          </w:p>
        </w:tc>
      </w:tr>
      <w:tr>
        <w:trPr/>
        <w:tc>
          <w:tcPr>
            <w:tcW w:w="1231"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Dividend distribution</w:t>
            </w:r>
          </w:p>
        </w:tc>
        <w:tc>
          <w:tcPr>
            <w:tcW w:w="326"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(73,078,112)</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94,934,400</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w:t>
            </w:r>
          </w:p>
        </w:tc>
        <w:tc>
          <w:tcPr>
            <w:tcW w:w="9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(21,856,288)</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r>
      <w:tr>
        <w:trPr/>
        <w:tc>
          <w:tcPr>
            <w:tcW w:w="1231"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Withholding tax distribution</w:t>
            </w:r>
          </w:p>
        </w:tc>
        <w:tc>
          <w:tcPr>
            <w:tcW w:w="326"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(8,200,000)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pPr>
            <w:r>
              <w:rPr/>
              <w:t>​</w:t>
            </w:r>
          </w:p>
        </w:tc>
        <w:tc>
          <w:tcPr>
            <w:tcW w:w="9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(8,200,000)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(8,200,000)</w:t>
            </w:r>
          </w:p>
        </w:tc>
      </w:tr>
      <w:tr>
        <w:trPr/>
        <w:tc>
          <w:tcPr>
            <w:tcW w:w="1231"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Reclass of common stock due to IPO reorganization</w:t>
            </w:r>
          </w:p>
        </w:tc>
        <w:tc>
          <w:tcPr>
            <w:tcW w:w="326"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(500,000)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(5,000)</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6,251,420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625</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28,748,580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2,875</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1,500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w:t>
            </w:r>
          </w:p>
        </w:tc>
        <w:tc>
          <w:tcPr>
            <w:tcW w:w="9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r>
      <w:tr>
        <w:trPr/>
        <w:tc>
          <w:tcPr>
            <w:tcW w:w="1231"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Warrants issued to underwriters</w:t>
            </w:r>
          </w:p>
        </w:tc>
        <w:tc>
          <w:tcPr>
            <w:tcW w:w="326"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193,927</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pPr>
            <w:r>
              <w:rPr/>
              <w:t>​</w:t>
            </w:r>
          </w:p>
        </w:tc>
        <w:tc>
          <w:tcPr>
            <w:tcW w:w="9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193,927</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193,927</w:t>
            </w:r>
          </w:p>
        </w:tc>
      </w:tr>
      <w:tr>
        <w:trPr/>
        <w:tc>
          <w:tcPr>
            <w:tcW w:w="1231"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IPO, net of offering costs</w:t>
            </w:r>
          </w:p>
        </w:tc>
        <w:tc>
          <w:tcPr>
            <w:tcW w:w="326"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3,000,000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300</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10,137,210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w:t>
            </w:r>
          </w:p>
        </w:tc>
        <w:tc>
          <w:tcPr>
            <w:tcW w:w="9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10,137,510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10,137,510</w:t>
            </w:r>
          </w:p>
        </w:tc>
      </w:tr>
      <w:tr>
        <w:trPr/>
        <w:tc>
          <w:tcPr>
            <w:tcW w:w="1231"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Stock based compensation related to restricted stock units</w:t>
            </w:r>
          </w:p>
        </w:tc>
        <w:tc>
          <w:tcPr>
            <w:tcW w:w="326"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223,250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pPr>
            <w:r>
              <w:rPr/>
              <w:t>​</w:t>
            </w:r>
          </w:p>
        </w:tc>
        <w:tc>
          <w:tcPr>
            <w:tcW w:w="9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223,250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223,250</w:t>
            </w:r>
          </w:p>
        </w:tc>
      </w:tr>
      <w:tr>
        <w:trPr/>
        <w:tc>
          <w:tcPr>
            <w:tcW w:w="1231"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Repurchase of common stock</w:t>
            </w:r>
          </w:p>
        </w:tc>
        <w:tc>
          <w:tcPr>
            <w:tcW w:w="326"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w:t>
            </w:r>
          </w:p>
        </w:tc>
        <w:tc>
          <w:tcPr>
            <w:tcW w:w="9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(1,197,649)</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(3,414,713)</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(3,414,713)</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(3,414,713)</w:t>
            </w:r>
          </w:p>
        </w:tc>
      </w:tr>
      <w:tr>
        <w:trPr/>
        <w:tc>
          <w:tcPr>
            <w:tcW w:w="1231"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Foreign currency translation</w:t>
            </w:r>
          </w:p>
        </w:tc>
        <w:tc>
          <w:tcPr>
            <w:tcW w:w="326" w:type="dxa"/>
            <w:tcBorders/>
            <w:shd w:fill="CCEEFF" w:val="clear"/>
            <w:vAlign w:val="center"/>
          </w:tcPr>
          <w:p>
            <w:pPr>
              <w:pStyle w:val="TableContents"/>
              <w:spacing w:before="0" w:after="1"/>
              <w:ind w:left="0" w:right="0" w:hanging="0"/>
              <w:rPr/>
            </w:pPr>
            <w:r>
              <w:rPr/>
              <w:t> </w:t>
            </w:r>
          </w:p>
        </w:tc>
        <w:tc>
          <w:tcPr>
            <w:tcW w:w="6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37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pPr>
            <w:r>
              <w:rPr/>
              <w:t> </w:t>
            </w:r>
          </w:p>
        </w:tc>
        <w:tc>
          <w:tcPr>
            <w:tcW w:w="9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(40,643)</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(40,643)</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(40,643)</w:t>
            </w:r>
          </w:p>
        </w:tc>
      </w:tr>
      <w:tr>
        <w:trPr/>
        <w:tc>
          <w:tcPr>
            <w:tcW w:w="1231"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Net income</w:t>
            </w:r>
          </w:p>
        </w:tc>
        <w:tc>
          <w:tcPr>
            <w:tcW w:w="326" w:type="dxa"/>
            <w:tcBorders/>
            <w:shd w:fill="auto" w:val="clear"/>
            <w:vAlign w:val="center"/>
          </w:tcPr>
          <w:p>
            <w:pPr>
              <w:pStyle w:val="TableContents"/>
              <w:spacing w:before="0" w:after="1"/>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375"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947,807</w:t>
            </w:r>
          </w:p>
        </w:tc>
        <w:tc>
          <w:tcPr>
            <w:tcW w:w="326" w:type="dxa"/>
            <w:tcBorders/>
            <w:shd w:fill="auto" w:val="clear"/>
            <w:vAlign w:val="center"/>
          </w:tcPr>
          <w:p>
            <w:pPr>
              <w:pStyle w:val="TableContents"/>
              <w:spacing w:before="0" w:after="1"/>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947,807</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46,371</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994,178</w:t>
            </w:r>
          </w:p>
        </w:tc>
      </w:tr>
      <w:tr>
        <w:trPr/>
        <w:tc>
          <w:tcPr>
            <w:tcW w:w="1231" w:type="dxa"/>
            <w:tcBorders/>
            <w:shd w:fill="CCEEFF" w:val="clear"/>
            <w:vAlign w:val="center"/>
          </w:tcPr>
          <w:p>
            <w:pPr>
              <w:pStyle w:val="TableContents"/>
              <w:pBdr/>
              <w:spacing w:before="0" w:after="1"/>
              <w:ind w:left="0" w:right="0" w:hanging="0"/>
              <w:rPr>
                <w:rFonts w:ascii="Times New Roman;Times;serif" w:hAnsi="Times New Roman;Times;serif"/>
                <w:b/>
                <w:sz w:val="14"/>
              </w:rPr>
            </w:pPr>
            <w:r>
              <w:rPr>
                <w:rFonts w:ascii="Times New Roman;Times;serif" w:hAnsi="Times New Roman;Times;serif"/>
                <w:b/>
                <w:sz w:val="14"/>
              </w:rPr>
              <w:t>Balance at December 31, 2022</w:t>
            </w:r>
          </w:p>
        </w:tc>
        <w:tc>
          <w:tcPr>
            <w:tcW w:w="326" w:type="dxa"/>
            <w:tcBorders/>
            <w:shd w:fill="CCEEFF" w:val="clear"/>
            <w:vAlign w:val="center"/>
          </w:tcPr>
          <w:p>
            <w:pPr>
              <w:pStyle w:val="TableContents"/>
              <w:spacing w:before="0" w:after="1"/>
              <w:ind w:left="0" w:right="0" w:hanging="0"/>
              <w:rPr/>
            </w:pPr>
            <w:r>
              <w:rPr/>
              <w:t> </w:t>
            </w:r>
          </w:p>
        </w:tc>
        <w:tc>
          <w:tcPr>
            <w:tcW w:w="63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57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9,251,420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37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925</w:t>
            </w:r>
          </w:p>
        </w:tc>
        <w:tc>
          <w:tcPr>
            <w:tcW w:w="326" w:type="dxa"/>
            <w:tcBorders/>
            <w:shd w:fill="CCEEFF" w:val="clear"/>
            <w:vAlign w:val="center"/>
          </w:tcPr>
          <w:p>
            <w:pPr>
              <w:pStyle w:val="TableContents"/>
              <w:spacing w:before="0" w:after="1"/>
              <w:ind w:left="0" w:right="0" w:hanging="0"/>
              <w:rPr/>
            </w:pPr>
            <w:r>
              <w:rPr/>
              <w:t>​</w:t>
            </w:r>
          </w:p>
        </w:tc>
        <w:tc>
          <w:tcPr>
            <w:tcW w:w="7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28,748,580</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4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2,875</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23,436,942</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9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(307,200)</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(4,863,250)</w:t>
            </w:r>
          </w:p>
        </w:tc>
        <w:tc>
          <w:tcPr>
            <w:tcW w:w="326" w:type="dxa"/>
            <w:tcBorders/>
            <w:shd w:fill="CCEEFF" w:val="clear"/>
            <w:vAlign w:val="center"/>
          </w:tcPr>
          <w:p>
            <w:pPr>
              <w:pStyle w:val="TableContents"/>
              <w:spacing w:before="0" w:after="1"/>
              <w:ind w:left="0" w:right="0" w:hanging="0"/>
              <w:rPr/>
            </w:pPr>
            <w:r>
              <w:rPr/>
              <w:t>​</w:t>
            </w:r>
          </w:p>
        </w:tc>
        <w:tc>
          <w:tcPr>
            <w:tcW w:w="7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(1,197,649)</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7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(3,414,713)</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14,855,579</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7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(5,490,895)</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856" w:type="dxa"/>
            <w:tcBorders>
              <w:bottom w:val="double" w:sz="6" w:space="0" w:color="000000"/>
            </w:tcBorders>
            <w:shd w:fill="CCEEFF" w:val="clear"/>
            <w:tcMar>
              <w:bottom w:w="28" w:type="dxa"/>
            </w:tcMar>
            <w:vAlign w:val="center"/>
          </w:tcPr>
          <w:p>
            <w:pPr>
              <w:pStyle w:val="TableContents"/>
              <w:spacing w:before="0" w:after="1"/>
              <w:ind w:left="0" w:right="45" w:hanging="0"/>
              <w:jc w:val="right"/>
              <w:rPr>
                <w:rFonts w:ascii="Times New Roman;Times;serif" w:hAnsi="Times New Roman;Times;serif"/>
                <w:b/>
                <w:sz w:val="14"/>
              </w:rPr>
            </w:pPr>
            <w:r>
              <w:rPr>
                <w:rFonts w:ascii="Times New Roman;Times;serif" w:hAnsi="Times New Roman;Times;serif"/>
                <w:b/>
                <w:sz w:val="14"/>
              </w:rPr>
              <w:t>9,364,684</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spacing w:before="24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890" w:name="ConsolidatedStatementsofCashFlows_61120"/>
      <w:bookmarkStart w:id="891" w:name="_0c83abfe_eca1_45bc_840c_68c0390ae783"/>
      <w:bookmarkEnd w:id="890"/>
      <w:bookmarkEnd w:id="891"/>
      <w:r>
        <w:rPr>
          <w:rFonts w:ascii="Times New Roman;Times;serif" w:hAnsi="Times New Roman;Times;serif"/>
          <w:b/>
          <w:sz w:val="20"/>
        </w:rPr>
        <w:t>Snail, Inc. and Subsidiaries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 for the years ended December 31, 2022 and 2021</w:t>
      </w:r>
    </w:p>
    <w:p>
      <w:pPr>
        <w:pStyle w:val="Normal"/>
        <w:spacing w:before="0" w:after="0"/>
        <w:rPr>
          <w:sz w:val="4"/>
          <w:szCs w:val="4"/>
        </w:rPr>
      </w:pPr>
      <w:r>
        <w:rPr>
          <w:sz w:val="4"/>
          <w:szCs w:val="4"/>
        </w:rPr>
      </w:r>
      <w:bookmarkStart w:id="892" w:name="Tc_2ioPlp22IEutuEVmyYJptA_73_6"/>
      <w:bookmarkStart w:id="893" w:name="Tc_YbI5fFmFq0SYVD5cUndH5g_73_5"/>
      <w:bookmarkStart w:id="894" w:name="Tc_iVXOHbCt2UCT0vmN-myBxA_73_2"/>
      <w:bookmarkStart w:id="895" w:name="Tc_gWxkQWQSvEmrJoej0WVt-w_73_0"/>
      <w:bookmarkStart w:id="896" w:name="Tc_uZzZrUBGWUaAoH83boHm0w_72_6"/>
      <w:bookmarkStart w:id="897" w:name="Tc_3388za82z0KOmina3_JF4A_72_5"/>
      <w:bookmarkStart w:id="898" w:name="Tc_pBly3NXC10aQQhJDM5ujgw_72_2"/>
      <w:bookmarkStart w:id="899" w:name="Tc_o1Zy4TIJ8EmdIpOBeFM6Og_72_0"/>
      <w:bookmarkStart w:id="900" w:name="Tc_py_eGUkDiUmv1SyE3jFghA_71_6"/>
      <w:bookmarkStart w:id="901" w:name="Tc_2424sl_dCkWD_1lX7zmdRg_71_5"/>
      <w:bookmarkStart w:id="902" w:name="Tc_D1hcHcl3Oke3scH8MqGwrw_71_2"/>
      <w:bookmarkStart w:id="903" w:name="Tc_qP71C0KzyEqSgkm5hjFH-w_71_0"/>
      <w:bookmarkStart w:id="904" w:name="Tc_3vUSpBFLzkewJiRxc6nCJQ_70_6"/>
      <w:bookmarkStart w:id="905" w:name="Tc_Zv9ibEd7H0SC3IZa2MV34g_70_5"/>
      <w:bookmarkStart w:id="906" w:name="Tc_Fxsz0YBcI0qq-Bzs2EC33A_70_2"/>
      <w:bookmarkStart w:id="907" w:name="Tc_Z8wS_emdxUWGKKZ3nxayFg_70_0"/>
      <w:bookmarkStart w:id="908" w:name="Tc_VecC_YuIXUWUwgUkoIia6g_69_5"/>
      <w:bookmarkStart w:id="909" w:name="Tc_I9K7A1ZjmUa3vUwXCLlUFw_69_2"/>
      <w:bookmarkStart w:id="910" w:name="Tc_3aU2bEFfdkKNAyBG4VUsFA_69_0"/>
      <w:bookmarkStart w:id="911" w:name="Tc_oN2ghCzmbUiKAsbL7iv7Gw_68_0"/>
      <w:bookmarkStart w:id="912" w:name="Tc_wKgrkn3GXUSLChsI3VZTHg_67_6"/>
      <w:bookmarkStart w:id="913" w:name="Tc_8Gz3HO2-okaLZH2uzNywPA_67_5"/>
      <w:bookmarkStart w:id="914" w:name="Tc_AQuFYFXWL0Cs6CYb3xjmCQ_67_2"/>
      <w:bookmarkStart w:id="915" w:name="Tc_YGC7luDxkE2owYZRraJ2Yw_67_0"/>
      <w:bookmarkStart w:id="916" w:name="Tc_0LIGleynoUCeIHbzqKA7og_66_6"/>
      <w:bookmarkStart w:id="917" w:name="Tc_EHgYJeo3k0uNgOQbv7RNcQ_66_5"/>
      <w:bookmarkStart w:id="918" w:name="Tc_d3ihbBbCmkm3OsG1g24fww_66_2"/>
      <w:bookmarkStart w:id="919" w:name="Tc_PO1gLLwxz0KtZuO132UQRw_66_0"/>
      <w:bookmarkStart w:id="920" w:name="Tc_5lqzV2EGvkmj1zAs6W6OXA_65_6"/>
      <w:bookmarkStart w:id="921" w:name="Tc_iagiLvVMQUW4-lJY64YK2w_65_5"/>
      <w:bookmarkStart w:id="922" w:name="Tc_lnu94jPlrUytRBlQ160ktQ_65_2"/>
      <w:bookmarkStart w:id="923" w:name="Tc_6pczswvJaEC0KeAIkZ-DAw_65_0"/>
      <w:bookmarkStart w:id="924" w:name="Tc_bn5ZmkK_ZUi_BOtjFxZhVg_64_6"/>
      <w:bookmarkStart w:id="925" w:name="Tc_ENDezlUY8UezNVmzO7nCcg_64_5"/>
      <w:bookmarkStart w:id="926" w:name="Tc_9FSKu4vQNkie-GgCy9ySKQ_64_2"/>
      <w:bookmarkStart w:id="927" w:name="Tc_ZgFIl1dmI0ubqX2pztcSRQ_64_0"/>
      <w:bookmarkStart w:id="928" w:name="Tc_xuzn9fJjJE-x8b63qulApA_63_0"/>
      <w:bookmarkStart w:id="929" w:name="Tc_9iAJrm9w8UumtvKfW4HDCQ_62_5"/>
      <w:bookmarkStart w:id="930" w:name="Tc_2gPJsN7l7k-r4obZkzCFPw_62_2"/>
      <w:bookmarkStart w:id="931" w:name="Tc_jIeFJnyhL0Ke2XJNcGVG2w_62_0"/>
      <w:bookmarkStart w:id="932" w:name="Tc_BpFDKVK9-k-iegLaH7z1XQ_61_5"/>
      <w:bookmarkStart w:id="933" w:name="Tc_fpp5_ex4IUmOwhix7VftCg_61_2"/>
      <w:bookmarkStart w:id="934" w:name="Tc_xmwULyQhYUq2aK2XYJkYtA_61_0"/>
      <w:bookmarkStart w:id="935" w:name="Tc_8FjsG7DDrE6drGRQpxqFVQ_60_0"/>
      <w:bookmarkStart w:id="936" w:name="Tc_wJCGUBMKqE6sKD7FCOrzYA_59_0"/>
      <w:bookmarkStart w:id="937" w:name="Tc_wQCGnPnPYkuFbkL-k21AtQ_58_5"/>
      <w:bookmarkStart w:id="938" w:name="Tc_9Uu9hSP5UEmPyam_LjzM3A_58_2"/>
      <w:bookmarkStart w:id="939" w:name="Tc_e8xOsxatMECZCK8uMCovsg_58_0"/>
      <w:bookmarkStart w:id="940" w:name="Tc_4x3zNpU8f0iWtUa_EKEWLA_57_0"/>
      <w:bookmarkStart w:id="941" w:name="Tc_-vmPc7C5X0yHo_2idNgjFA_56_0"/>
      <w:bookmarkStart w:id="942" w:name="Tc_iwC_PBuoZEqKIN6mCCx73g_55_0"/>
      <w:bookmarkStart w:id="943" w:name="Tc_tsTVUdBA70y6m14kJ3o0PA_54_0"/>
      <w:bookmarkStart w:id="944" w:name="Tc_bKQvZooutk2de1LZjJ7KrQ_53_6"/>
      <w:bookmarkStart w:id="945" w:name="Tc_w8E5pdmmOkydmKX2-rrqaQ_53_0"/>
      <w:bookmarkStart w:id="946" w:name="Tc_cpxUL7vDk0-UExwSvno8QA_52_6"/>
      <w:bookmarkStart w:id="947" w:name="Tc_Ao84spc1zU63apXsj3rZzw_52_0"/>
      <w:bookmarkStart w:id="948" w:name="Tc_2206iRhP-06kIzmIojVpGw_51_6"/>
      <w:bookmarkStart w:id="949" w:name="Tc_Srq-rYSRbEOS7elDptv9Lg_51_0"/>
      <w:bookmarkStart w:id="950" w:name="Tc_OEkD2x4gQECEQJZ-vzrHpw_50_6"/>
      <w:bookmarkStart w:id="951" w:name="Tc_QS5aO13kxUe5Hif_jFYlbg_50_0"/>
      <w:bookmarkStart w:id="952" w:name="Tc_1RI8DpO7oUORMVawbIF1Ew_49_6"/>
      <w:bookmarkStart w:id="953" w:name="Tc_hQnbavdIIE6npc3Eeyt1CA_49_0"/>
      <w:bookmarkStart w:id="954" w:name="Tc_n9yt_QQJH0W_dIpSNUGLIA_48_3"/>
      <w:bookmarkStart w:id="955" w:name="Tc_a_I_qQWpE0OBSILel733Xg_48_0"/>
      <w:bookmarkStart w:id="956" w:name="Tc_TfdDdfzEiEaie94xSfzhoA_47_6"/>
      <w:bookmarkStart w:id="957" w:name="Tc_FTB9j7yKvkSr1-3Ek4mk3w_47_0"/>
      <w:bookmarkStart w:id="958" w:name="Tc_n-qUhhB07UaRY2i-3gydPw_46_0"/>
      <w:bookmarkStart w:id="959" w:name="Tc_YaaVu4ARRkWwQwr21EkAdw_45_6"/>
      <w:bookmarkStart w:id="960" w:name="Tc_udcmW3M1LkmiTyKOA0dHCg_45_0"/>
      <w:bookmarkStart w:id="961" w:name="Tc_QS8dB5_Ae0ig40MNQQWpSA_44_3"/>
      <w:bookmarkStart w:id="962" w:name="Tc_AiS8QFdVkkKd5qfy7RXJaA_44_0"/>
      <w:bookmarkStart w:id="963" w:name="Tc_wjuGhx0g4EWyoMLJaPZb-A_43_6"/>
      <w:bookmarkStart w:id="964" w:name="Tc_eBeH7LVBVkqzd4XbnUi6Xw_43_0"/>
      <w:bookmarkStart w:id="965" w:name="Tc_NzUSu_ThVUCjWqU29a2hHQ_42_0"/>
      <w:bookmarkStart w:id="966" w:name="Tc_SBLgXwDyCU2sbY12HlLWzA_41_0"/>
      <w:bookmarkStart w:id="967" w:name="Tc_9mwRtzqQBECloAWO7MqciQ_40_0"/>
      <w:bookmarkStart w:id="968" w:name="Tc_C09b_gXKA02EPffbCYuPGw_39_6"/>
      <w:bookmarkStart w:id="969" w:name="Tc_KAzdmv2gkE6_9_bvcqpAxQ_39_0"/>
      <w:bookmarkStart w:id="970" w:name="Tc_cZ3VC5JWXkOXqdixAhLUAA_38_6"/>
      <w:bookmarkStart w:id="971" w:name="Tc_h6Rg3KExEkWzvkZTBGzxjw_38_0"/>
      <w:bookmarkStart w:id="972" w:name="Tc_E1LX2SHqVUChz4mhy2D8NA_37_6"/>
      <w:bookmarkStart w:id="973" w:name="Tc_3TjSPPQG70eOnaNs2CdjRw_37_0"/>
      <w:bookmarkStart w:id="974" w:name="Tc_CMMAO5fa8Uq5Qg1O5jS1Pg_36_3"/>
      <w:bookmarkStart w:id="975" w:name="Tc_vCyPa9tVlUGojW9MPkUZ5g_36_0"/>
      <w:bookmarkStart w:id="976" w:name="Tc_z6LRV6dLyESwPYCStem7hA_35_6"/>
      <w:bookmarkStart w:id="977" w:name="Tc_rObZ-fynkUOl3ivzeQWAGQ_35_0"/>
      <w:bookmarkStart w:id="978" w:name="Tc_goyasp7kwkiriTrs6mRH3g_34_3"/>
      <w:bookmarkStart w:id="979" w:name="Tc_NQLxwWf-pEGUC5YAE4Pa-w_34_0"/>
      <w:bookmarkStart w:id="980" w:name="Tc_J4joaq9vmkSoVCjCsi03ZQ_33_3"/>
      <w:bookmarkStart w:id="981" w:name="Tc_NLs0_-qJI0uGXWxWF1BoiA_33_0"/>
      <w:bookmarkStart w:id="982" w:name="Tc_tFOL4E-Rx0WClv_oKrMCBQ_32_0"/>
      <w:bookmarkStart w:id="983" w:name="Tc_k-vKPxjpOUOiML1lc_g4rg_31_0"/>
      <w:bookmarkStart w:id="984" w:name="Tc_WO9tPTkUW0GxUdeoKOMi7A_30_0"/>
      <w:bookmarkStart w:id="985" w:name="Tc_Lu1i6iZwFUuASUNPm_RneA_29_0"/>
      <w:bookmarkStart w:id="986" w:name="Tc_XEUJEj9n9EiNbcIk1nVG5Q_28_0"/>
      <w:bookmarkStart w:id="987" w:name="Tc_HSJy0_F-c0Chfbbr0WoQTA_27_0"/>
      <w:bookmarkStart w:id="988" w:name="Tc_E3zbEruHYkmPVFLBUowoFg_26_0"/>
      <w:bookmarkStart w:id="989" w:name="Tc_JDqFIzY82Ei1O76YcLIlWA_25_0"/>
      <w:bookmarkStart w:id="990" w:name="Tc_DvjjoSR-SUGPGulUMdtadA_24_0"/>
      <w:bookmarkStart w:id="991" w:name="Tc_AQ86MYDzwkKOlxMtXrAy6A_23_0"/>
      <w:bookmarkStart w:id="992" w:name="Tc_9E_4OHc14k6NpkM5c_n09g_22_0"/>
      <w:bookmarkStart w:id="993" w:name="Tc_ZQyF0n3xJ0CiJl_5fc1kGw_21_0"/>
      <w:bookmarkStart w:id="994" w:name="Tc_nEZhJ_J4r0y0Dio5WUmiYA_20_0"/>
      <w:bookmarkStart w:id="995" w:name="Tc_T0IwocFFrEKL09XHUpV5lA_19_0"/>
      <w:bookmarkStart w:id="996" w:name="Tc_vh0ZTAl5a0C7qDiVPzteRg_18_3"/>
      <w:bookmarkStart w:id="997" w:name="Tc_w8J30fQnlEOTL0FpDezH1Q_18_0"/>
      <w:bookmarkStart w:id="998" w:name="Tc_WyqDJlZl5E21io-zIBtOgQ_17_0"/>
      <w:bookmarkStart w:id="999" w:name="Tc_cc8a0Jr_jEaI2ORjoeTYOQ_16_6"/>
      <w:bookmarkStart w:id="1000" w:name="Tc_qiCf7CzNokus_cFcD_5Qag_16_0"/>
      <w:bookmarkStart w:id="1001" w:name="Tc_2pHSO9lidUySlSZT5HswNw_15_0"/>
      <w:bookmarkStart w:id="1002" w:name="Tc_N71Mw9npq0GY4PE0JuqqHA_14_3"/>
      <w:bookmarkStart w:id="1003" w:name="Tc_lbOoBHXFr0KXimNfcKYHKg_14_0"/>
      <w:bookmarkStart w:id="1004" w:name="Tc_DtkhqGJkjEG174lN9pt6TQ_13_0"/>
      <w:bookmarkStart w:id="1005" w:name="Tc_app8dNfsE0-76rdH4thQ9w_12_0"/>
      <w:bookmarkStart w:id="1006" w:name="Tc_yVN-hzD7Xkupndpv7MMOgQ_11_6"/>
      <w:bookmarkStart w:id="1007" w:name="Tc_Cs1o8MRWW0mz-Z9FoP_TxA_11_0"/>
      <w:bookmarkStart w:id="1008" w:name="Tc_RLvTuo_qAEKzTU6le_3CEA_10_6"/>
      <w:bookmarkStart w:id="1009" w:name="Tc_21cqs3KGfkqC0fgO8YDYzA_10_0"/>
      <w:bookmarkStart w:id="1010" w:name="Tc_26WjQ7yMDkCWcCkxGWm7Uw_9_0"/>
      <w:bookmarkStart w:id="1011" w:name="Tc_TUikB7wBFU2i7dPzAog3Ow_8_0"/>
      <w:bookmarkStart w:id="1012" w:name="Tc_L6BIQjZ-606Ro-X5lt8z_A_7_0"/>
      <w:bookmarkStart w:id="1013" w:name="Tc_AWfRnOcOrUmXrAG2swIglg_6_0"/>
      <w:bookmarkStart w:id="1014" w:name="Tc_mFjnIp6CykyB8JR_mZVbnw_5_0"/>
      <w:bookmarkStart w:id="1015" w:name="Tc_eAdxvZfyQ0aKGyiT5IQiqA_4_0"/>
      <w:bookmarkStart w:id="1016" w:name="Tc_Ql8eDCSL7U-mIYtDhJWN5Q_3_5"/>
      <w:bookmarkStart w:id="1017" w:name="Tc_3fEzvKMjEEGSO2mYa9PFFQ_3_2"/>
      <w:bookmarkStart w:id="1018" w:name="Tc_dARQVzK4Ik-eeXltL8o6VQ_3_0"/>
      <w:bookmarkStart w:id="1019" w:name="Tc_XL59u-vNqka1kYnQ---99w_2_0"/>
      <w:bookmarkStart w:id="1020" w:name="Tc_ewSg9FCxR02I00vYgbxZFg_1_5"/>
      <w:bookmarkStart w:id="1021" w:name="Tc_AVlH8x4mtkq1YOPypVONNA_1_2"/>
      <w:bookmarkStart w:id="1022" w:name="_18ada9d1_ebd0_4a6f_a035_4c227ec3675b"/>
      <w:bookmarkStart w:id="1023" w:name="Tc_2ioPlp22IEutuEVmyYJptA_73_6"/>
      <w:bookmarkStart w:id="1024" w:name="Tc_YbI5fFmFq0SYVD5cUndH5g_73_5"/>
      <w:bookmarkStart w:id="1025" w:name="Tc_iVXOHbCt2UCT0vmN-myBxA_73_2"/>
      <w:bookmarkStart w:id="1026" w:name="Tc_gWxkQWQSvEmrJoej0WVt-w_73_0"/>
      <w:bookmarkStart w:id="1027" w:name="Tc_uZzZrUBGWUaAoH83boHm0w_72_6"/>
      <w:bookmarkStart w:id="1028" w:name="Tc_3388za82z0KOmina3_JF4A_72_5"/>
      <w:bookmarkStart w:id="1029" w:name="Tc_pBly3NXC10aQQhJDM5ujgw_72_2"/>
      <w:bookmarkStart w:id="1030" w:name="Tc_o1Zy4TIJ8EmdIpOBeFM6Og_72_0"/>
      <w:bookmarkStart w:id="1031" w:name="Tc_py_eGUkDiUmv1SyE3jFghA_71_6"/>
      <w:bookmarkStart w:id="1032" w:name="Tc_2424sl_dCkWD_1lX7zmdRg_71_5"/>
      <w:bookmarkStart w:id="1033" w:name="Tc_D1hcHcl3Oke3scH8MqGwrw_71_2"/>
      <w:bookmarkStart w:id="1034" w:name="Tc_qP71C0KzyEqSgkm5hjFH-w_71_0"/>
      <w:bookmarkStart w:id="1035" w:name="Tc_3vUSpBFLzkewJiRxc6nCJQ_70_6"/>
      <w:bookmarkStart w:id="1036" w:name="Tc_Zv9ibEd7H0SC3IZa2MV34g_70_5"/>
      <w:bookmarkStart w:id="1037" w:name="Tc_Fxsz0YBcI0qq-Bzs2EC33A_70_2"/>
      <w:bookmarkStart w:id="1038" w:name="Tc_Z8wS_emdxUWGKKZ3nxayFg_70_0"/>
      <w:bookmarkStart w:id="1039" w:name="Tc_VecC_YuIXUWUwgUkoIia6g_69_5"/>
      <w:bookmarkStart w:id="1040" w:name="Tc_I9K7A1ZjmUa3vUwXCLlUFw_69_2"/>
      <w:bookmarkStart w:id="1041" w:name="Tc_3aU2bEFfdkKNAyBG4VUsFA_69_0"/>
      <w:bookmarkStart w:id="1042" w:name="Tc_oN2ghCzmbUiKAsbL7iv7Gw_68_0"/>
      <w:bookmarkStart w:id="1043" w:name="Tc_wKgrkn3GXUSLChsI3VZTHg_67_6"/>
      <w:bookmarkStart w:id="1044" w:name="Tc_8Gz3HO2-okaLZH2uzNywPA_67_5"/>
      <w:bookmarkStart w:id="1045" w:name="Tc_AQuFYFXWL0Cs6CYb3xjmCQ_67_2"/>
      <w:bookmarkStart w:id="1046" w:name="Tc_YGC7luDxkE2owYZRraJ2Yw_67_0"/>
      <w:bookmarkStart w:id="1047" w:name="Tc_0LIGleynoUCeIHbzqKA7og_66_6"/>
      <w:bookmarkStart w:id="1048" w:name="Tc_EHgYJeo3k0uNgOQbv7RNcQ_66_5"/>
      <w:bookmarkStart w:id="1049" w:name="Tc_d3ihbBbCmkm3OsG1g24fww_66_2"/>
      <w:bookmarkStart w:id="1050" w:name="Tc_PO1gLLwxz0KtZuO132UQRw_66_0"/>
      <w:bookmarkStart w:id="1051" w:name="Tc_5lqzV2EGvkmj1zAs6W6OXA_65_6"/>
      <w:bookmarkStart w:id="1052" w:name="Tc_iagiLvVMQUW4-lJY64YK2w_65_5"/>
      <w:bookmarkStart w:id="1053" w:name="Tc_lnu94jPlrUytRBlQ160ktQ_65_2"/>
      <w:bookmarkStart w:id="1054" w:name="Tc_6pczswvJaEC0KeAIkZ-DAw_65_0"/>
      <w:bookmarkStart w:id="1055" w:name="Tc_bn5ZmkK_ZUi_BOtjFxZhVg_64_6"/>
      <w:bookmarkStart w:id="1056" w:name="Tc_ENDezlUY8UezNVmzO7nCcg_64_5"/>
      <w:bookmarkStart w:id="1057" w:name="Tc_9FSKu4vQNkie-GgCy9ySKQ_64_2"/>
      <w:bookmarkStart w:id="1058" w:name="Tc_ZgFIl1dmI0ubqX2pztcSRQ_64_0"/>
      <w:bookmarkStart w:id="1059" w:name="Tc_xuzn9fJjJE-x8b63qulApA_63_0"/>
      <w:bookmarkStart w:id="1060" w:name="Tc_9iAJrm9w8UumtvKfW4HDCQ_62_5"/>
      <w:bookmarkStart w:id="1061" w:name="Tc_2gPJsN7l7k-r4obZkzCFPw_62_2"/>
      <w:bookmarkStart w:id="1062" w:name="Tc_jIeFJnyhL0Ke2XJNcGVG2w_62_0"/>
      <w:bookmarkStart w:id="1063" w:name="Tc_BpFDKVK9-k-iegLaH7z1XQ_61_5"/>
      <w:bookmarkStart w:id="1064" w:name="Tc_fpp5_ex4IUmOwhix7VftCg_61_2"/>
      <w:bookmarkStart w:id="1065" w:name="Tc_xmwULyQhYUq2aK2XYJkYtA_61_0"/>
      <w:bookmarkStart w:id="1066" w:name="Tc_8FjsG7DDrE6drGRQpxqFVQ_60_0"/>
      <w:bookmarkStart w:id="1067" w:name="Tc_wJCGUBMKqE6sKD7FCOrzYA_59_0"/>
      <w:bookmarkStart w:id="1068" w:name="Tc_wQCGnPnPYkuFbkL-k21AtQ_58_5"/>
      <w:bookmarkStart w:id="1069" w:name="Tc_9Uu9hSP5UEmPyam_LjzM3A_58_2"/>
      <w:bookmarkStart w:id="1070" w:name="Tc_e8xOsxatMECZCK8uMCovsg_58_0"/>
      <w:bookmarkStart w:id="1071" w:name="Tc_4x3zNpU8f0iWtUa_EKEWLA_57_0"/>
      <w:bookmarkStart w:id="1072" w:name="Tc_-vmPc7C5X0yHo_2idNgjFA_56_0"/>
      <w:bookmarkStart w:id="1073" w:name="Tc_iwC_PBuoZEqKIN6mCCx73g_55_0"/>
      <w:bookmarkStart w:id="1074" w:name="Tc_tsTVUdBA70y6m14kJ3o0PA_54_0"/>
      <w:bookmarkStart w:id="1075" w:name="Tc_bKQvZooutk2de1LZjJ7KrQ_53_6"/>
      <w:bookmarkStart w:id="1076" w:name="Tc_w8E5pdmmOkydmKX2-rrqaQ_53_0"/>
      <w:bookmarkStart w:id="1077" w:name="Tc_cpxUL7vDk0-UExwSvno8QA_52_6"/>
      <w:bookmarkStart w:id="1078" w:name="Tc_Ao84spc1zU63apXsj3rZzw_52_0"/>
      <w:bookmarkStart w:id="1079" w:name="Tc_2206iRhP-06kIzmIojVpGw_51_6"/>
      <w:bookmarkStart w:id="1080" w:name="Tc_Srq-rYSRbEOS7elDptv9Lg_51_0"/>
      <w:bookmarkStart w:id="1081" w:name="Tc_OEkD2x4gQECEQJZ-vzrHpw_50_6"/>
      <w:bookmarkStart w:id="1082" w:name="Tc_QS5aO13kxUe5Hif_jFYlbg_50_0"/>
      <w:bookmarkStart w:id="1083" w:name="Tc_1RI8DpO7oUORMVawbIF1Ew_49_6"/>
      <w:bookmarkStart w:id="1084" w:name="Tc_hQnbavdIIE6npc3Eeyt1CA_49_0"/>
      <w:bookmarkStart w:id="1085" w:name="Tc_n9yt_QQJH0W_dIpSNUGLIA_48_3"/>
      <w:bookmarkStart w:id="1086" w:name="Tc_a_I_qQWpE0OBSILel733Xg_48_0"/>
      <w:bookmarkStart w:id="1087" w:name="Tc_TfdDdfzEiEaie94xSfzhoA_47_6"/>
      <w:bookmarkStart w:id="1088" w:name="Tc_FTB9j7yKvkSr1-3Ek4mk3w_47_0"/>
      <w:bookmarkStart w:id="1089" w:name="Tc_n-qUhhB07UaRY2i-3gydPw_46_0"/>
      <w:bookmarkStart w:id="1090" w:name="Tc_YaaVu4ARRkWwQwr21EkAdw_45_6"/>
      <w:bookmarkStart w:id="1091" w:name="Tc_udcmW3M1LkmiTyKOA0dHCg_45_0"/>
      <w:bookmarkStart w:id="1092" w:name="Tc_QS8dB5_Ae0ig40MNQQWpSA_44_3"/>
      <w:bookmarkStart w:id="1093" w:name="Tc_AiS8QFdVkkKd5qfy7RXJaA_44_0"/>
      <w:bookmarkStart w:id="1094" w:name="Tc_wjuGhx0g4EWyoMLJaPZb-A_43_6"/>
      <w:bookmarkStart w:id="1095" w:name="Tc_eBeH7LVBVkqzd4XbnUi6Xw_43_0"/>
      <w:bookmarkStart w:id="1096" w:name="Tc_NzUSu_ThVUCjWqU29a2hHQ_42_0"/>
      <w:bookmarkStart w:id="1097" w:name="Tc_SBLgXwDyCU2sbY12HlLWzA_41_0"/>
      <w:bookmarkStart w:id="1098" w:name="Tc_9mwRtzqQBECloAWO7MqciQ_40_0"/>
      <w:bookmarkStart w:id="1099" w:name="Tc_C09b_gXKA02EPffbCYuPGw_39_6"/>
      <w:bookmarkStart w:id="1100" w:name="Tc_KAzdmv2gkE6_9_bvcqpAxQ_39_0"/>
      <w:bookmarkStart w:id="1101" w:name="Tc_cZ3VC5JWXkOXqdixAhLUAA_38_6"/>
      <w:bookmarkStart w:id="1102" w:name="Tc_h6Rg3KExEkWzvkZTBGzxjw_38_0"/>
      <w:bookmarkStart w:id="1103" w:name="Tc_E1LX2SHqVUChz4mhy2D8NA_37_6"/>
      <w:bookmarkStart w:id="1104" w:name="Tc_3TjSPPQG70eOnaNs2CdjRw_37_0"/>
      <w:bookmarkStart w:id="1105" w:name="Tc_CMMAO5fa8Uq5Qg1O5jS1Pg_36_3"/>
      <w:bookmarkStart w:id="1106" w:name="Tc_vCyPa9tVlUGojW9MPkUZ5g_36_0"/>
      <w:bookmarkStart w:id="1107" w:name="Tc_z6LRV6dLyESwPYCStem7hA_35_6"/>
      <w:bookmarkStart w:id="1108" w:name="Tc_rObZ-fynkUOl3ivzeQWAGQ_35_0"/>
      <w:bookmarkStart w:id="1109" w:name="Tc_goyasp7kwkiriTrs6mRH3g_34_3"/>
      <w:bookmarkStart w:id="1110" w:name="Tc_NQLxwWf-pEGUC5YAE4Pa-w_34_0"/>
      <w:bookmarkStart w:id="1111" w:name="Tc_J4joaq9vmkSoVCjCsi03ZQ_33_3"/>
      <w:bookmarkStart w:id="1112" w:name="Tc_NLs0_-qJI0uGXWxWF1BoiA_33_0"/>
      <w:bookmarkStart w:id="1113" w:name="Tc_tFOL4E-Rx0WClv_oKrMCBQ_32_0"/>
      <w:bookmarkStart w:id="1114" w:name="Tc_k-vKPxjpOUOiML1lc_g4rg_31_0"/>
      <w:bookmarkStart w:id="1115" w:name="Tc_WO9tPTkUW0GxUdeoKOMi7A_30_0"/>
      <w:bookmarkStart w:id="1116" w:name="Tc_Lu1i6iZwFUuASUNPm_RneA_29_0"/>
      <w:bookmarkStart w:id="1117" w:name="Tc_XEUJEj9n9EiNbcIk1nVG5Q_28_0"/>
      <w:bookmarkStart w:id="1118" w:name="Tc_HSJy0_F-c0Chfbbr0WoQTA_27_0"/>
      <w:bookmarkStart w:id="1119" w:name="Tc_E3zbEruHYkmPVFLBUowoFg_26_0"/>
      <w:bookmarkStart w:id="1120" w:name="Tc_JDqFIzY82Ei1O76YcLIlWA_25_0"/>
      <w:bookmarkStart w:id="1121" w:name="Tc_DvjjoSR-SUGPGulUMdtadA_24_0"/>
      <w:bookmarkStart w:id="1122" w:name="Tc_AQ86MYDzwkKOlxMtXrAy6A_23_0"/>
      <w:bookmarkStart w:id="1123" w:name="Tc_9E_4OHc14k6NpkM5c_n09g_22_0"/>
      <w:bookmarkStart w:id="1124" w:name="Tc_ZQyF0n3xJ0CiJl_5fc1kGw_21_0"/>
      <w:bookmarkStart w:id="1125" w:name="Tc_nEZhJ_J4r0y0Dio5WUmiYA_20_0"/>
      <w:bookmarkStart w:id="1126" w:name="Tc_T0IwocFFrEKL09XHUpV5lA_19_0"/>
      <w:bookmarkStart w:id="1127" w:name="Tc_vh0ZTAl5a0C7qDiVPzteRg_18_3"/>
      <w:bookmarkStart w:id="1128" w:name="Tc_w8J30fQnlEOTL0FpDezH1Q_18_0"/>
      <w:bookmarkStart w:id="1129" w:name="Tc_WyqDJlZl5E21io-zIBtOgQ_17_0"/>
      <w:bookmarkStart w:id="1130" w:name="Tc_cc8a0Jr_jEaI2ORjoeTYOQ_16_6"/>
      <w:bookmarkStart w:id="1131" w:name="Tc_qiCf7CzNokus_cFcD_5Qag_16_0"/>
      <w:bookmarkStart w:id="1132" w:name="Tc_2pHSO9lidUySlSZT5HswNw_15_0"/>
      <w:bookmarkStart w:id="1133" w:name="Tc_N71Mw9npq0GY4PE0JuqqHA_14_3"/>
      <w:bookmarkStart w:id="1134" w:name="Tc_lbOoBHXFr0KXimNfcKYHKg_14_0"/>
      <w:bookmarkStart w:id="1135" w:name="Tc_DtkhqGJkjEG174lN9pt6TQ_13_0"/>
      <w:bookmarkStart w:id="1136" w:name="Tc_app8dNfsE0-76rdH4thQ9w_12_0"/>
      <w:bookmarkStart w:id="1137" w:name="Tc_yVN-hzD7Xkupndpv7MMOgQ_11_6"/>
      <w:bookmarkStart w:id="1138" w:name="Tc_Cs1o8MRWW0mz-Z9FoP_TxA_11_0"/>
      <w:bookmarkStart w:id="1139" w:name="Tc_RLvTuo_qAEKzTU6le_3CEA_10_6"/>
      <w:bookmarkStart w:id="1140" w:name="Tc_21cqs3KGfkqC0fgO8YDYzA_10_0"/>
      <w:bookmarkStart w:id="1141" w:name="Tc_26WjQ7yMDkCWcCkxGWm7Uw_9_0"/>
      <w:bookmarkStart w:id="1142" w:name="Tc_TUikB7wBFU2i7dPzAog3Ow_8_0"/>
      <w:bookmarkStart w:id="1143" w:name="Tc_L6BIQjZ-606Ro-X5lt8z_A_7_0"/>
      <w:bookmarkStart w:id="1144" w:name="Tc_AWfRnOcOrUmXrAG2swIglg_6_0"/>
      <w:bookmarkStart w:id="1145" w:name="Tc_mFjnIp6CykyB8JR_mZVbnw_5_0"/>
      <w:bookmarkStart w:id="1146" w:name="Tc_eAdxvZfyQ0aKGyiT5IQiqA_4_0"/>
      <w:bookmarkStart w:id="1147" w:name="Tc_Ql8eDCSL7U-mIYtDhJWN5Q_3_5"/>
      <w:bookmarkStart w:id="1148" w:name="Tc_3fEzvKMjEEGSO2mYa9PFFQ_3_2"/>
      <w:bookmarkStart w:id="1149" w:name="Tc_dARQVzK4Ik-eeXltL8o6VQ_3_0"/>
      <w:bookmarkStart w:id="1150" w:name="Tc_XL59u-vNqka1kYnQ---99w_2_0"/>
      <w:bookmarkStart w:id="1151" w:name="Tc_ewSg9FCxR02I00vYgbxZFg_1_5"/>
      <w:bookmarkStart w:id="1152" w:name="Tc_AVlH8x4mtkq1YOPypVONNA_1_2"/>
      <w:bookmarkStart w:id="1153" w:name="_18ada9d1_ebd0_4a6f_a035_4c227ec3675b"/>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p>
    <w:tbl>
      <w:tblPr>
        <w:tblW w:w="8202" w:type="dxa"/>
        <w:jc w:val="left"/>
        <w:tblInd w:w="0" w:type="dxa"/>
        <w:tblCellMar>
          <w:top w:w="0" w:type="dxa"/>
          <w:left w:w="0" w:type="dxa"/>
          <w:bottom w:w="0" w:type="dxa"/>
          <w:right w:w="0" w:type="dxa"/>
        </w:tblCellMar>
      </w:tblPr>
      <w:tblGrid>
        <w:gridCol w:w="5431"/>
        <w:gridCol w:w="326"/>
        <w:gridCol w:w="181"/>
        <w:gridCol w:w="856"/>
        <w:gridCol w:w="326"/>
        <w:gridCol w:w="181"/>
        <w:gridCol w:w="901"/>
      </w:tblGrid>
      <w:tr>
        <w:trPr/>
        <w:tc>
          <w:tcPr>
            <w:tcW w:w="5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448685" cy="175260"/>
                      <wp:effectExtent l="0" t="0" r="0" b="0"/>
                      <wp:wrapNone/>
                      <wp:docPr id="177" name="Frame176"/>
                      <a:graphic xmlns:a="http://schemas.openxmlformats.org/drawingml/2006/main">
                        <a:graphicData uri="http://schemas.microsoft.com/office/word/2010/wordprocessingShape">
                          <wps:wsp>
                            <wps:cNvSpPr txBox="1"/>
                            <wps:spPr>
                              <a:xfrm>
                                <a:off x="0" y="0"/>
                                <a:ext cx="3448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14935" cy="175260"/>
                      <wp:effectExtent l="0" t="0" r="0" b="0"/>
                      <wp:wrapNone/>
                      <wp:docPr id="179" name="Frame178"/>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43560" cy="175260"/>
                      <wp:effectExtent l="0" t="0" r="0" b="0"/>
                      <wp:wrapNone/>
                      <wp:docPr id="180" name="Frame179"/>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1"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14935" cy="175260"/>
                      <wp:effectExtent l="0" t="0" r="0" b="0"/>
                      <wp:wrapNone/>
                      <wp:docPr id="182" name="Frame181"/>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72135" cy="175260"/>
                      <wp:effectExtent l="0" t="0" r="0" b="0"/>
                      <wp:wrapNone/>
                      <wp:docPr id="183" name="Frame18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4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shd w:fill="auto" w:val="clear"/>
            <w:vAlign w:val="center"/>
          </w:tcPr>
          <w:p>
            <w:pPr>
              <w:pStyle w:val="TableContents"/>
              <w:spacing w:before="0" w:after="1"/>
              <w:ind w:left="0" w:right="0" w:hanging="0"/>
              <w:jc w:val="center"/>
              <w:rPr/>
            </w:pPr>
            <w:r>
              <w:rPr/>
              <w:t>    </w:t>
            </w:r>
          </w:p>
        </w:tc>
        <w:tc>
          <w:tcPr>
            <w:tcW w:w="10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2021</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 xml:space="preserve">Cash flows from operating activities: </w:t>
            </w:r>
          </w:p>
        </w:tc>
        <w:tc>
          <w:tcPr>
            <w:tcW w:w="326" w:type="dxa"/>
            <w:tcBorders/>
            <w:shd w:fill="CCEEFF" w:val="clear"/>
            <w:vAlign w:val="center"/>
          </w:tcPr>
          <w:p>
            <w:pPr>
              <w:pStyle w:val="TableContents"/>
              <w:spacing w:before="0" w:after="1"/>
              <w:ind w:left="0" w:right="0" w:hanging="0"/>
              <w:rPr/>
            </w:pPr>
            <w:r>
              <w:rPr/>
              <w:t> </w:t>
            </w:r>
          </w:p>
        </w:tc>
        <w:tc>
          <w:tcPr>
            <w:tcW w:w="18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8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  </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Net income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994,178</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7,909,531</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Adjustments to reconcile net income to net cash (used in) provided by operating activities: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Amortization – intangible assets – license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250,000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600,000</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Amortization – intangible assets – license, related parties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7,403,918</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14,655,520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Amortization – intangible assets – other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3,751</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7,039</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Amortization – loan origination fees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26,514</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22,951</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Depreciation and amortization – property and equipment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565,906</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798,813</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223,250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Gain on lease termination</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(122,533)</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Gain on paycheck protection program and economic injury disaster loan forgiveness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(174,436)</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(392,200)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(Gain) loss on disposal of fixed assets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(17,067)</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117,316</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Impairment or loss on impaired intangible asset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16,325,000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Interest income from shareholder loan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(580,878)</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(1,523,149)</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Interest income from restricted escrow deposit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(3,804)</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Deferred taxes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588,478</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(3,159,791)</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Decrease in non-controlling interest – dissolution of subsidiary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39,340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Changes in assets and liabilities: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  </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Accounts receivable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5,486,716</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693,981</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Accounts receivable – related party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(2,908,361)</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1,256,970</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Prepaid expenses – related party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(2,437,500)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980,000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Prepaid expenses and other current assets</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(1,875,919)</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(4,167,621)</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Other noncurrent assets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(26,052)</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1,785,730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Accounts payable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4,976,192</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(1,538,468)</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Accounts payable  – related party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(3,815,313)</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(92,948)</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Accrued expenses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(1,039,927)</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(4,045,216)</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Interest payable – related parties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986</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8,000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Lease liabilities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(145,949)</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(182,895)</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Deferred revenue </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(10,729,488)</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(14,248,401)</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Net cash (used in) provided by operating activities </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(3,357,338)</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15,849,502</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 xml:space="preserve">Cash flows from investing activities: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Debt extended to related party</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(203,408)</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Loan provided to related party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(30,644,042)</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Repayment on loan provided by related party</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(300,000)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Acquisition of license rights – related party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(5,000,000)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Purchases of property and equipment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(5,256)</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Proceeds from sale of property and equipment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19,500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Repayment on Pound Sand note</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1,496,063</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Net cash provided by (used in) investing activities</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1,210,307</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(35,847,450)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 xml:space="preserve">Cash flows from financing activities: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  </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Repayments on long-term debt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(70,961)</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(6,845,545)</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Repayments on short-term note</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(4,166,667)</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Borrowings on long-term debt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3,000,000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Borrowings on short-term note</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10,000,000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Payments on paycheck protection program and economic injury disaster loan</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(90,198)</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(26,281)</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Refund of payments on paycheck protection program and economic injury disaster loan</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48,305</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Borrowings on revolving loan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6,500,000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Cash dividend declared and paid</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(8,200,000)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Purchase of treasury stock</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(3,414,713)</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Proceeds from initial public offering, net of offering costs</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11,791,705</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Warrants issued to underwriters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193,927</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Payment of capitalized offering costs</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(1,247,567)</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Net cash provided by financing activities </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4,843,831</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2,628,174</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Effect of currency translation on cash and cash equivalents </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(12,730)</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21,182</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Net increase (decrease) in cash and cash equivalents, and restricted cash and cash equivalents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2,684,070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(17,348,592)</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Cash and cash equivalents, and restricted cash and cash equivalents - beginning of year</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16,554,115</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33,902,707</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Cash and cash equivalents, and restricted cash and cash equivalents – end of year</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19,238,185</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4"/>
              </w:rPr>
            </w:pPr>
            <w:r>
              <w:rPr>
                <w:rFonts w:ascii="Times New Roman;Times;serif" w:hAnsi="Times New Roman;Times;serif"/>
                <w:b/>
                <w:sz w:val="14"/>
              </w:rPr>
              <w:t>16,554,115</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 xml:space="preserve">Supplemental disclosures of cash flow information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  </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 xml:space="preserve">Cash paid during the year for: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pPr>
            <w:r>
              <w:rPr/>
              <w:t>  </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Interest </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788,063</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405,251</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 xml:space="preserve">Income taxes </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888,303</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6,577,000</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Noncash transactions during the year for:</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pPr>
            <w:r>
              <w:rPr/>
              <w:t>  </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Loan and interest payable - related parties</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103,890</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Loan and interest receivable - related parties</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(103,890)</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Loan and interest from shareholder</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94,934,400</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Dividend distribution</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(94,934,400)</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b/>
                <w:sz w:val="14"/>
              </w:rPr>
            </w:pPr>
            <w:r>
              <w:rPr>
                <w:rFonts w:ascii="Times New Roman;Times;serif" w:hAnsi="Times New Roman;Times;serif"/>
                <w:b/>
                <w:sz w:val="14"/>
              </w:rPr>
              <w:t>Noncash financing activity during the year:</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Gain on paycheck protection program and economic injury disaster loan forgiveness</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(174,436)</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(392,200)</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Snail Games USA common stock transferred due to reorganization</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(5,000)</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Snail, Inc. common stock and additional paid-in capital transferred due to reorganization</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5,000</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43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Offering costs included in accounts payable</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605,295</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431"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Funding of the escrow deposit</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(1,000,000)</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1" w:type="dxa"/>
            <w:tcBorders>
              <w:bottom w:val="double" w:sz="6" w:space="0" w:color="000000"/>
            </w:tcBorders>
            <w:shd w:fill="auto" w:val="clear"/>
            <w:tcMar>
              <w:bottom w:w="28" w:type="dxa"/>
            </w:tcMar>
            <w:vAlign w:val="center"/>
          </w:tcPr>
          <w:p>
            <w:pPr>
              <w:pStyle w:val="TableContents"/>
              <w:spacing w:before="0" w:after="1"/>
              <w:ind w:left="0" w:right="45" w:hanging="0"/>
              <w:jc w:val="right"/>
              <w:rPr/>
            </w:pPr>
            <w:r>
              <w:rPr/>
              <w:t>—</w:t>
            </w:r>
          </w:p>
        </w:tc>
      </w:tr>
    </w:tbl>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spacing w:before="24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b/>
          <w:sz w:val="20"/>
        </w:rPr>
      </w:pPr>
      <w:bookmarkStart w:id="1154" w:name="PRESENTATIONANDNATUREOFOPERATIONS_49572"/>
      <w:bookmarkEnd w:id="1154"/>
      <w:r>
        <w:rPr>
          <w:rFonts w:ascii="Times New Roman;Times;serif" w:hAnsi="Times New Roman;Times;serif"/>
          <w:b/>
          <w:sz w:val="20"/>
        </w:rPr>
        <w:t>NOTE 1 – PRESENTATION AND NATURE OF OPERATIONS</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 was incorporated under the laws of Delaware in January 2022. The Registrant’s fiscal year end is December 31. The Registrant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Snail Games USA Inc. is devoted to researching, developing, marketing, publishing, and distributing games, content and support that can be played on a variety of platforms including game consoles, PCs, mobile phones and tablets. The terms “Snail, Inc,” “Snail Games,” “we,” “our” and the “Company” are used to refer collectively to Snail, Inc. and its subsidiaries. The Company is a global developer and publisher of interactive entertainment content and support on video game consoles, personal computers, mobile devices, and other platforms.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On July 13, 2022, Suzhou Snail transferred all of its right, title, and interest to all of the 500,000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shares of common stock of the Company (“Shares”) to Snail Technology (HK) Limited (“Snail Technology”), an entity organized under the laws of Hong Kong, pursuant to the certain Share Transfer Agreement dated July 13, 2022 between Suzhou Snail and Snail Technology. Subsequently, Snail Technology transferred all of its right, title, and interest in the shares to certain individuals per the Share Transfer Agreement. In connection with the reorganization transaction described below the individuals contributed their interest in the Company to Snail, Inc. in return for common stock of Snail, Inc in connection with Snail, Inc.’s IPO. Because the Company and Suzhou Snail are owned by the same shareholders, Suzhou Snail is considered a related party to the Company.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Reorganization Transaction and IPO</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16, 2022, Snail, Inc., filed a Registration Statement on Form S-1 with the United States Securities and Exchange Commission in connection with its IPO. On November 9, 2022, effective as of the IPO pricing, Snail Games USA Inc.’s existing shareholders transferred their 500,000 shares of common stock of Snail Games USA Inc. to Snail, Inc. in exchange for 6,251,420 shares of Class A common stock and 28,748,580 shares of Class B common stock of Snail, Inc., and Snail, Inc. became the parent of Snail Games USA Inc. Because the reorganization transaction was considered a transaction between entities under common control, the financial statements for periods prior to the reorganization transaction and the IPO have been adjusted to combine the previously separate entities for presentation purposes. On November 9, 2022, Snail, Inc. priced its IPO, and on November 10, 2022, Snail, Inc.’s Class A common stock began trading on The Nasdaq Capital Market under the ticker symbol SNAL. In the IPO, Snail, Inc. issued 3,000,000 shares of Class A common stock at $5.00 per share and net proceeds from the IPO were distributed to the Snail Games USA Inc. in November 2022 in the amount of approximately $12.0 million, net of the underwriting discount and offering costs of $3.0 million. In connection with the IPO, $1.0 million of IPO proceeds were remitted to an escrow account which is held to provide a source of funding for certain indemnification obligations of Snail, Inc. to the underwriters. The amount in escrow is reported as a restricted escrow deposit in the consolidated balance sheets for 12 months from the date of the offering, at which time the restrictions will be removed and the balance will be reverted to unrestricted cash.</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 and Consolidation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accompanying consolidated financial statements have been prepared in accordance with generally accepted accounting principles as promulgated in the United States of America (“U.S. GAAP”).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opinion of management, all adjustments considered necessary for the fair presentation of the Company’s financial position and its results of operations in accordance with U.S. GAAP (consisting of normal recurring adjustments) have been included in the accompanying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comparative amounts have been reclassified to conform with the current period presentation. The common stock of Snail Games USA Inc., as of December 31, 2021, has been reclassified as Class A common stock as the stockholders of the Snail Games USA Inc. common stock had their shares converted to Class A shares of Snail Inc. during the reorganization transaction that occurred amongst a common controlled group. For more information regarding the reorganization transaction see Note 20 – </w:t>
      </w:r>
      <w:r>
        <w:rPr>
          <w:rFonts w:ascii="Times New Roman;Times;serif" w:hAnsi="Times New Roman;Times;serif"/>
          <w:i/>
          <w:sz w:val="20"/>
        </w:rPr>
        <w:t>Equity.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both"/>
        <w:rPr>
          <w:rFonts w:ascii="Times New Roman;Times;serif" w:hAnsi="Times New Roman;Times;serif"/>
          <w:sz w:val="20"/>
        </w:rPr>
      </w:pPr>
      <w:bookmarkStart w:id="1155" w:name="Tc_G0JwA-JvoEW4cglWlF9LtA_12_3"/>
      <w:bookmarkStart w:id="1156" w:name="Tc_lTtxaYP3lkSWfPxGhVivBA_12_0"/>
      <w:bookmarkStart w:id="1157" w:name="Tc_29UwCSCymEqw0UKov99otw_11_3"/>
      <w:bookmarkStart w:id="1158" w:name="Tc_lshU3YmzVEafA_tYLM7Vnw_11_0"/>
      <w:bookmarkStart w:id="1159" w:name="Tc_-Do7livVcUaMgkgBZa0_4Q_10_3"/>
      <w:bookmarkStart w:id="1160" w:name="Tc_TImTmbfaz0GSNOixBBXJgg_10_0"/>
      <w:bookmarkStart w:id="1161" w:name="Tc_h7IoBuVvkEG3f64f2gNRKA_9_3"/>
      <w:bookmarkStart w:id="1162" w:name="Tc_K2pKtwtlEU-DdYSJ4_sqNg_9_0"/>
      <w:bookmarkStart w:id="1163" w:name="Tc_tYWr70NLk0a5yGRgEVA_vw_8_3"/>
      <w:bookmarkStart w:id="1164" w:name="Tc_7N2NWastpku8KxtI0chH7g_8_0"/>
      <w:bookmarkStart w:id="1165" w:name="Tc_J1MOhKNiZEOw7DOq581cCQ_7_3"/>
      <w:bookmarkStart w:id="1166" w:name="Tc_iV0Rs1jbzEqg4VpRC0octg_7_0"/>
      <w:bookmarkStart w:id="1167" w:name="Tc_EXuxCEL9JkOvqlqCQA59MA_6_3"/>
      <w:bookmarkStart w:id="1168" w:name="Tc_irnS7JPIfkeYyBCcIetcwg_6_0"/>
      <w:bookmarkStart w:id="1169" w:name="Tc_8B4vJsxR_EWz7PikyrMyHg_5_3"/>
      <w:bookmarkStart w:id="1170" w:name="Tc_orlOBw7ynEqkwpBtwx90SQ_5_0"/>
      <w:bookmarkStart w:id="1171" w:name="Tc_eeukzALwqU-QNyGOCX90BQ_4_3"/>
      <w:bookmarkStart w:id="1172" w:name="Tc_M-l9ZiBZm02FdgqnNJ0Kbw_4_0"/>
      <w:bookmarkStart w:id="1173" w:name="Tc_t98yqNOZrE6K0rU7UpcIDQ_3_3"/>
      <w:bookmarkStart w:id="1174" w:name="Tc_MOXKO3_qLkKLu9b5w1Dj-A_3_0"/>
      <w:bookmarkStart w:id="1175" w:name="Tc_EXoj9VUeR0KTx9YpCpawfA_2_2"/>
      <w:bookmarkStart w:id="1176" w:name="Tc_g8EoHx6Pi02Q8IEZNx6sVw_2_0"/>
      <w:bookmarkStart w:id="1177" w:name="Tc_HR79mv7YP02PXcPn5P2w5A_1_2"/>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r>
        <w:rPr>
          <w:rFonts w:ascii="Times New Roman;Times;serif" w:hAnsi="Times New Roman;Times;serif"/>
          <w:sz w:val="20"/>
        </w:rPr>
        <w:t>The consolidated financial statements include the accounts of Snail, Inc. and the following subsidiaries:</w:t>
      </w:r>
    </w:p>
    <w:p>
      <w:pPr>
        <w:pStyle w:val="TextBody"/>
        <w:spacing w:before="0" w:after="240"/>
        <w:ind w:left="0" w:right="0" w:hanging="0"/>
        <w:jc w:val="both"/>
        <w:rPr/>
      </w:pPr>
      <w:r>
        <w:rPr/>
        <w:t>​</w:t>
      </w:r>
    </w:p>
    <w:tbl>
      <w:tblPr>
        <w:tblW w:w="5264" w:type="dxa"/>
        <w:jc w:val="left"/>
        <w:tblInd w:w="0" w:type="dxa"/>
        <w:tblCellMar>
          <w:top w:w="0" w:type="dxa"/>
          <w:left w:w="0" w:type="dxa"/>
          <w:bottom w:w="0" w:type="dxa"/>
          <w:right w:w="0" w:type="dxa"/>
        </w:tblCellMar>
      </w:tblPr>
      <w:tblGrid>
        <w:gridCol w:w="3826"/>
        <w:gridCol w:w="326"/>
        <w:gridCol w:w="796"/>
        <w:gridCol w:w="316"/>
      </w:tblGrid>
      <w:tr>
        <w:trPr/>
        <w:tc>
          <w:tcPr>
            <w:tcW w:w="3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29510" cy="175260"/>
                      <wp:effectExtent l="0" t="0" r="0" b="0"/>
                      <wp:wrapNone/>
                      <wp:docPr id="184" name="Frame183"/>
                      <a:graphic xmlns:a="http://schemas.openxmlformats.org/drawingml/2006/main">
                        <a:graphicData uri="http://schemas.microsoft.com/office/word/2010/wordprocessingShape">
                          <wps:wsp>
                            <wps:cNvSpPr txBox="1"/>
                            <wps:spPr>
                              <a:xfrm>
                                <a:off x="0" y="0"/>
                                <a:ext cx="2429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5" name="Frame1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05460" cy="175260"/>
                      <wp:effectExtent l="0" t="0" r="0" b="0"/>
                      <wp:wrapNone/>
                      <wp:docPr id="186" name="Frame18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0660" cy="175260"/>
                      <wp:effectExtent l="0" t="0" r="0" b="0"/>
                      <wp:wrapNone/>
                      <wp:docPr id="187" name="Frame18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w:t>
            </w:r>
          </w:p>
        </w:tc>
        <w:tc>
          <w:tcPr>
            <w:tcW w:w="316" w:type="dxa"/>
            <w:tcBorders/>
            <w:shd w:fill="auto" w:val="clear"/>
            <w:vAlign w:val="center"/>
          </w:tcPr>
          <w:p>
            <w:pPr>
              <w:pStyle w:val="TableContents"/>
              <w:spacing w:before="0" w:after="0"/>
              <w:ind w:left="0" w:right="0" w:hanging="0"/>
              <w:jc w:val="center"/>
              <w:rPr/>
            </w:pPr>
            <w:r>
              <w:rPr/>
              <w:t> </w:t>
            </w:r>
          </w:p>
        </w:tc>
      </w:tr>
      <w:tr>
        <w:trPr/>
        <w:tc>
          <w:tcPr>
            <w:tcW w:w="38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Subsidiary Name </w:t>
            </w:r>
          </w:p>
        </w:tc>
        <w:tc>
          <w:tcPr>
            <w:tcW w:w="326" w:type="dxa"/>
            <w:tcBorders/>
            <w:shd w:fill="auto" w:val="clear"/>
            <w:vAlign w:val="center"/>
          </w:tcPr>
          <w:p>
            <w:pPr>
              <w:pStyle w:val="TableContents"/>
              <w:spacing w:before="0" w:after="0"/>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Owned</w:t>
            </w:r>
          </w:p>
        </w:tc>
        <w:tc>
          <w:tcPr>
            <w:tcW w:w="316" w:type="dxa"/>
            <w:tcBorders/>
            <w:shd w:fill="auto" w:val="clear"/>
            <w:vAlign w:val="center"/>
          </w:tcPr>
          <w:p>
            <w:pPr>
              <w:pStyle w:val="TableContents"/>
              <w:spacing w:before="0" w:after="0"/>
              <w:ind w:left="0" w:right="0" w:hanging="0"/>
              <w:jc w:val="center"/>
              <w:rPr/>
            </w:pPr>
            <w:r>
              <w:rPr/>
              <w:t>​</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Snail Games USA Inc</w:t>
            </w:r>
          </w:p>
        </w:tc>
        <w:tc>
          <w:tcPr>
            <w:tcW w:w="326" w:type="dxa"/>
            <w:tcBorders/>
            <w:shd w:fill="CCEEFF" w:val="clear"/>
            <w:vAlign w:val="center"/>
          </w:tcPr>
          <w:p>
            <w:pPr>
              <w:pStyle w:val="TableContents"/>
              <w:spacing w:before="0" w:after="0"/>
              <w:ind w:left="0" w:right="0" w:hanging="0"/>
              <w:jc w:val="center"/>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Snail Innovation Institute</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Frostkeep Studios, Inc.</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Eminence Corp</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Wandering Wizard, LLC</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Donkey Crew, LLC</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Interactive Films, LLC</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Project AWK Productions, LLC</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BTBX.IO, LLC</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Elephant Snail, LLC (through April 15, 2021)</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All intercompany accounts, transactions, and profits have been eliminated upon consolidation.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consolidated financial statements in conformity with U.S. GAAP requires the Company to make estimates and assumptions that affect the amounts reported in our consolidated financial statements and the accompanying notes. Such estimates include revenue recognition, provisions for doubtful accounts, deferred income tax assets and associated valuation allowances, deferred revenue, income taxes, valuation of intangibles, including those with related parties, impairment of intangible assets, stock-based compensation and fair value of warrants.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one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 Our operations involve similar products and customers worldwide. Revenue earned is primarily derived from the sale of software titles, which are developed internally or licensed from related parties. Financial information about our segment and geographic regions is included in Note 3 – </w:t>
      </w:r>
      <w:r>
        <w:rPr>
          <w:rFonts w:ascii="Times New Roman;Times;serif" w:hAnsi="Times New Roman;Times;serif"/>
          <w:i/>
          <w:sz w:val="20"/>
        </w:rPr>
        <w:t>Revenue from Contracts with Customers</w:t>
      </w:r>
      <w:r>
        <w:rPr>
          <w:rFonts w:ascii="Times New Roman;Times;serif" w:hAnsi="Times New Roman;Times;serif"/>
          <w:sz w:val="20"/>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COVID-19</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Since the start of the coronavirus pandemic early in 2020, the Company has made sustained efforts to ensure the health and safety of the workforce while ensuring continuity of the business. In the workplace, the Company has designed and implemented protocols for social distancing, made provisions for the workforce to work remotely where possible, and established quarantine policies for those who present COVID-like symptoms or may have been in contact with those who have. Further, the Company keeps current with local, state, federal and international laws and restrictions that could affect the business and provide real-time information to the workforce. The Company has its own policies relating to health and is committed to compliance with COVID-19 policies.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has been the case with many other employers, since the start of 2021, the Company has encouraged its workforce to receive vaccinations against COVID-19 through various means, including incentive programs. However, new variants, particularly the Delta and Omicron variants, have engendered a resurgence of the virus in many regions particularly among the unvaccinated. In-the-midst of changing conditions, the Company has nevertheless been able to manage its business with minimal impact during the years ended December 31, 2022 and 2021.</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 SUMMARY OF SIGNIFICANT ACCOUNTING POLICIES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revenue includes the publishing of software games delivered digitally and through physical discs (e.g., packaged goods). The Company’s digital games may include additional downloadable content that are new feature releases to digital full-game downloads. Revenue also includes sales of mobile in-app purchases that require the Company’s hosting support in order to utilize the game or related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content. Such games include virtual goods that can be purchased by the end users, as desired. When control of the promised products and services is transferred to the customers, the Company recognizes revenue in the amount that reflects the consideration it expects to receive in exchange for these products and services. Revenue from delivery of products is recognized at a point in time when the end consumers download the games and the control of the license is transferred to them.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revenue using the following five steps as provided by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1) 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net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to 75 days terms.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Principal vs Agent Consideration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offers certain software products via third-party digital storefronts, such as Microsoft’s Xbox Live, Sony’s PlayStation Network, Valve’s Steam, Epic Games Store, My Nintendo Store, Apple’s App Store, the Google Play Store, and retail distributors. For sales of our software products via third-party digital storefronts and retail distributor, we determine whether or not we are acting as the principal in the sale to the end user, which we consider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we use in evaluating these sales transactions include, but are not limited to, the following:</w:t>
      </w:r>
    </w:p>
    <w:tbl>
      <w:tblPr>
        <w:tblW w:w="8001" w:type="dxa"/>
        <w:jc w:val="left"/>
        <w:tblInd w:w="0" w:type="dxa"/>
        <w:tblCellMar>
          <w:top w:w="28" w:type="dxa"/>
          <w:left w:w="28" w:type="dxa"/>
          <w:bottom w:w="28" w:type="dxa"/>
          <w:right w:w="28" w:type="dxa"/>
        </w:tblCellMar>
      </w:tblPr>
      <w:tblGrid>
        <w:gridCol w:w="124"/>
        <w:gridCol w:w="256"/>
        <w:gridCol w:w="7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contract terms and conditions between the various parties to the transaction;</w:t>
            </w:r>
          </w:p>
        </w:tc>
      </w:tr>
    </w:tbl>
    <w:tbl>
      <w:tblPr>
        <w:tblW w:w="9186" w:type="dxa"/>
        <w:jc w:val="left"/>
        <w:tblInd w:w="0" w:type="dxa"/>
        <w:tblCellMar>
          <w:top w:w="28" w:type="dxa"/>
          <w:left w:w="28" w:type="dxa"/>
          <w:bottom w:w="28" w:type="dxa"/>
          <w:right w:w="28" w:type="dxa"/>
        </w:tblCellMar>
      </w:tblPr>
      <w:tblGrid>
        <w:gridCol w:w="124"/>
        <w:gridCol w:w="256"/>
        <w:gridCol w:w="88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party is primarily responsible for fulfilling the promise to provide the specified good or service; and</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party has discretion in establishing the price for the specified good or service.</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Based on our evaluation of the above indicators, for sales arrangements via Microsoft’s Xbox Live, Sony’s PlayStation Network, Valve’s Steam, Epic Games Store, and retail distributor, the digital platforms and distributors have discretion in establishing the price for the specified good or service and we have determined we are the agent in the sales transaction to the end user and therefore we report revenue on a net basis based on the consideration received from the digital storefront. For sales arrangements via Apple’s App Store and the Google Play Store, we have discretion in establishing the price for the specified good or service and we have determined that we are the principal to the end user and thus report revenue on a gross basis and mobile platform fees charged by these digital storefronts are expensed as incurred and reported within cost of revenues.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 Balance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records deferred revenue when cash payments are received or due in advance of its performance, even if amounts are refundable.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Deferred revenue is comprised of the transaction price allocable to the Company’s performance obligation on technical support and the sale of virtual goods available for in-app purchases, and payments received from customers prior to launching the games on the platforms. The Company categorizes the virtual goods as either “consumable” or “durable.” Consumable virtual goods represent goods that can be consumed by a specific player action; accordingly, the Company recognizes revenues from the sale of consumable virtual goods as the goods are consumed and the performance obligation is satisfied. Durable virtual goods represent goods that are accessible to the players over an extended period of time; accordingly, the Company recognize revenues from the sale of durable virtual goods ratably over the period of time the goods are available to the player and the performance obligation is satisfied, which is generally the estimated service period, 30 to 90 days from date of activation.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also has a long-term title license agreement with a platform for a period of three years. The Company recognizes deferred revenue and amortizes this revenue according to the terms of the relevant agreement. The agreement was initially made between the parties in November 2018 and valid through December 31, 2021. The agreement was subsequently amended in June 2020 to extend the </w:t>
      </w:r>
      <w:r>
        <w:rPr>
          <w:rFonts w:ascii="Times New Roman;Times;serif" w:hAnsi="Times New Roman;Times;serif"/>
          <w:i/>
          <w:sz w:val="20"/>
        </w:rPr>
        <w:t>ARK 1</w:t>
      </w:r>
      <w:r>
        <w:rPr>
          <w:rFonts w:ascii="Times New Roman;Times;serif" w:hAnsi="Times New Roman;Times;serif"/>
          <w:sz w:val="20"/>
        </w:rPr>
        <w:t xml:space="preserve"> availability on the platform perpetually, effective January 1, 2022 and to put </w:t>
      </w:r>
      <w:r>
        <w:rPr>
          <w:rFonts w:ascii="Times New Roman;Times;serif" w:hAnsi="Times New Roman;Times;serif"/>
          <w:i/>
          <w:sz w:val="20"/>
        </w:rPr>
        <w:t>ARK 2</w:t>
      </w:r>
      <w:r>
        <w:rPr>
          <w:rFonts w:ascii="Times New Roman;Times;serif" w:hAnsi="Times New Roman;Times;serif"/>
          <w:sz w:val="20"/>
        </w:rPr>
        <w:t xml:space="preserve"> on the platform for three years upon release. The Company recognized $2.5 million in revenue related to </w:t>
      </w:r>
      <w:r>
        <w:rPr>
          <w:rFonts w:ascii="Times New Roman;Times;serif" w:hAnsi="Times New Roman;Times;serif"/>
          <w:i/>
          <w:sz w:val="20"/>
        </w:rPr>
        <w:t>ARK 1</w:t>
      </w:r>
      <w:r>
        <w:rPr>
          <w:rFonts w:ascii="Times New Roman;Times;serif" w:hAnsi="Times New Roman;Times;serif"/>
          <w:sz w:val="20"/>
        </w:rPr>
        <w:t xml:space="preserve"> perpetual license during the year ended December 31, 2022 and deferred $2.3 million related to </w:t>
      </w:r>
      <w:r>
        <w:rPr>
          <w:rFonts w:ascii="Times New Roman;Times;serif" w:hAnsi="Times New Roman;Times;serif"/>
          <w:i/>
          <w:sz w:val="20"/>
        </w:rPr>
        <w:t>ARK</w:t>
      </w:r>
      <w:r>
        <w:rPr>
          <w:rFonts w:ascii="Times New Roman;Times;serif" w:hAnsi="Times New Roman;Times;serif"/>
          <w:sz w:val="20"/>
        </w:rPr>
        <w:t xml:space="preserve"> </w:t>
      </w:r>
      <w:r>
        <w:rPr>
          <w:rFonts w:ascii="Times New Roman;Times;serif" w:hAnsi="Times New Roman;Times;serif"/>
          <w:i/>
          <w:sz w:val="20"/>
        </w:rPr>
        <w:t>2</w:t>
      </w:r>
      <w:r>
        <w:rPr>
          <w:rFonts w:ascii="Times New Roman;Times;serif" w:hAnsi="Times New Roman;Times;serif"/>
          <w:sz w:val="20"/>
        </w:rPr>
        <w:t xml:space="preserve"> that is included in the long-term portion of deferred revenue.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sz w:val="20"/>
        </w:rPr>
      </w:pPr>
      <w:bookmarkStart w:id="1178" w:name="Tc_DEri8sNinUS0NZoAeeFQww_11_5"/>
      <w:bookmarkStart w:id="1179" w:name="Tc_cgQ3smE83U-fTB7MlQT9hw_11_2"/>
      <w:bookmarkStart w:id="1180" w:name="Tc_j_QCwZyA0EChHVac4TWKLQ_11_0"/>
      <w:bookmarkStart w:id="1181" w:name="Tc__XlT088oEE6savUeDemIjg_10_6"/>
      <w:bookmarkStart w:id="1182" w:name="Tc_g6XiMy0pekO8nb0QL3eKfw_10_0"/>
      <w:bookmarkStart w:id="1183" w:name="Tc_S7q1mY2yHkOGHdArKrmeVQ_9_0"/>
      <w:bookmarkStart w:id="1184" w:name="Tc_Trrp7qBs-ECD9B_o7PWXAg_8_0"/>
      <w:bookmarkStart w:id="1185" w:name="Tc_h73vwq5KlES9ax463DRIKw_7_0"/>
      <w:bookmarkStart w:id="1186" w:name="Tc_RWuzL8o3s0G_fUMe6SVFFA_6_0"/>
      <w:bookmarkStart w:id="1187" w:name="Tc_ue-uZdxoSUevyKXYrA7vgQ_5_0"/>
      <w:bookmarkStart w:id="1188" w:name="Tc_c_XRvUnxFUmVwyvYXWoJnQ_4_0"/>
      <w:bookmarkStart w:id="1189" w:name="Tc_nSHzhQkGxUWEE7kH2Zq5jQ_3_6"/>
      <w:bookmarkStart w:id="1190" w:name="Tc_DcGQsB5GMkGoH3BPPX0wZA_3_0"/>
      <w:bookmarkStart w:id="1191" w:name="Tc_ALFbbbuEAUWo5fmNjJC1gQ_2_5"/>
      <w:bookmarkStart w:id="1192" w:name="Tc_L09fc7Dji0-vp6E_ZFdWtA_2_2"/>
      <w:bookmarkStart w:id="1193" w:name="Tc_tqbEH32NVUi_eGbb5hdZiQ_2_0"/>
      <w:bookmarkStart w:id="1194" w:name="Tc_wN2JnkK0c0KYs8zdAFAY8A_1_5"/>
      <w:bookmarkStart w:id="1195" w:name="Tc_8xpfSK9W2Ei8p1gG9pdeiw_1_2"/>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r>
        <w:rPr>
          <w:rFonts w:ascii="Times New Roman;Times;serif" w:hAnsi="Times New Roman;Times;serif"/>
          <w:sz w:val="20"/>
        </w:rPr>
        <w:t xml:space="preserve">In November 2021, the Company entered an agreement with a platform to make </w:t>
      </w:r>
      <w:r>
        <w:rPr>
          <w:rFonts w:ascii="Times New Roman;Times;serif" w:hAnsi="Times New Roman;Times;serif"/>
          <w:i/>
          <w:sz w:val="20"/>
        </w:rPr>
        <w:t>ARK 1</w:t>
      </w:r>
      <w:r>
        <w:rPr>
          <w:rFonts w:ascii="Times New Roman;Times;serif" w:hAnsi="Times New Roman;Times;serif"/>
          <w:sz w:val="20"/>
        </w:rPr>
        <w:t xml:space="preserve"> available on a platform for a period of 5 weeks in exchange for $3.5 million. The platform launched the 5-week program on March 1, 2022 and the Company recognized the full amount of revenue from this contract during the year ended December 31, 2022, as the significant performance obligation of making the game available on the platform was met on the first day of the contract period.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entered into a non-exclusive license agreement with a platform in February 2020 to make </w:t>
      </w:r>
      <w:r>
        <w:rPr>
          <w:rFonts w:ascii="Times New Roman;Times;serif" w:hAnsi="Times New Roman;Times;serif"/>
          <w:i/>
          <w:sz w:val="20"/>
        </w:rPr>
        <w:t>ARK 1</w:t>
      </w:r>
      <w:r>
        <w:rPr>
          <w:rFonts w:ascii="Times New Roman;Times;serif" w:hAnsi="Times New Roman;Times;serif"/>
          <w:sz w:val="20"/>
        </w:rPr>
        <w:t xml:space="preserve"> available on the platform, exclusive of all available downloadable content (“DLC”), for a period of 2 weeks in exchange for $8.0 million. During the 2 weeks the platform offered digital rights to </w:t>
      </w:r>
      <w:r>
        <w:rPr>
          <w:rFonts w:ascii="Times New Roman;Times;serif" w:hAnsi="Times New Roman;Times;serif"/>
          <w:i/>
          <w:sz w:val="20"/>
        </w:rPr>
        <w:t>ARK 1</w:t>
      </w:r>
      <w:r>
        <w:rPr>
          <w:rFonts w:ascii="Times New Roman;Times;serif" w:hAnsi="Times New Roman;Times;serif"/>
          <w:sz w:val="20"/>
        </w:rPr>
        <w:t xml:space="preserve"> to its end users for free. The platform launched the first free week in June of 2020 and the Company recognized $4.0 million of the advanced payment as revenue during the year ended December 31, 2020. In September 2022, the platform launched the second free week and the Company recognized the remaining $4.0 million of revenue during the year ended December 31,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entered into a long-term license agreement with a platform in May 2020 to make </w:t>
      </w:r>
      <w:r>
        <w:rPr>
          <w:rFonts w:ascii="Times New Roman;Times;serif" w:hAnsi="Times New Roman;Times;serif"/>
          <w:i/>
          <w:sz w:val="20"/>
        </w:rPr>
        <w:t>ARK 1</w:t>
      </w:r>
      <w:r>
        <w:rPr>
          <w:rFonts w:ascii="Times New Roman;Times;serif" w:hAnsi="Times New Roman;Times;serif"/>
          <w:sz w:val="20"/>
        </w:rPr>
        <w:t xml:space="preserve"> and </w:t>
      </w:r>
      <w:r>
        <w:rPr>
          <w:rFonts w:ascii="Times New Roman;Times;serif" w:hAnsi="Times New Roman;Times;serif"/>
          <w:i/>
          <w:sz w:val="20"/>
        </w:rPr>
        <w:t xml:space="preserve">ARK II </w:t>
      </w:r>
      <w:r>
        <w:rPr>
          <w:rFonts w:ascii="Times New Roman;Times;serif" w:hAnsi="Times New Roman;Times;serif"/>
          <w:sz w:val="20"/>
        </w:rPr>
        <w:t xml:space="preserve">available to the platform’s end users in exchange for $7.5 million. </w:t>
      </w:r>
      <w:r>
        <w:rPr>
          <w:rFonts w:ascii="Times New Roman;Times;serif" w:hAnsi="Times New Roman;Times;serif"/>
          <w:i/>
          <w:sz w:val="20"/>
        </w:rPr>
        <w:t>ARK I</w:t>
      </w:r>
      <w:r>
        <w:rPr>
          <w:rFonts w:ascii="Times New Roman;Times;serif" w:hAnsi="Times New Roman;Times;serif"/>
          <w:sz w:val="20"/>
        </w:rPr>
        <w:t xml:space="preserve"> launched on the platform in September 2021 and the Company recognized $3.8 million of the advanced payment as revenue during the year ended December 31, 2021. In November 2022, the platform terminated the agreement due to its ceasing operations. The Company recognized the remaining $3.8 million of revenue during the year ended December 31, 2022 according to a clause in the agreement which determined that the </w:t>
      </w:r>
      <w:r>
        <w:rPr>
          <w:rFonts w:ascii="Times New Roman;Times;serif" w:hAnsi="Times New Roman;Times;serif"/>
          <w:i/>
          <w:sz w:val="20"/>
        </w:rPr>
        <w:t xml:space="preserve">ARK II </w:t>
      </w:r>
      <w:r>
        <w:rPr>
          <w:rFonts w:ascii="Times New Roman;Times;serif" w:hAnsi="Times New Roman;Times;serif"/>
          <w:sz w:val="20"/>
        </w:rPr>
        <w:t>deliverable was met when the platform terminated the agreement for ease.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Estimated Service Period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certain performance obligations satisfied over time, we have determined that the estimated service period is the time period in which an average user plays our software products (“user life”) which most faithfully depicts the timing of satisfying our performance obligation.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Shipping and Handling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distributor, as the principal, is responsible for the shipping of the game discs to the retail stores and incurring the shipping costs. The Company is paid the net sales amount after deducting shipping costs and other related expenses by the distributor.</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include software license royalty fees, merchant fees, server and database center costs, game localization costs, game licenses, engine fees and amortization costs. Cost of revenues for the years ended December 31, 2022 and 2021 were comprised of the following:</w:t>
      </w:r>
    </w:p>
    <w:p>
      <w:pPr>
        <w:pStyle w:val="TextBody"/>
        <w:spacing w:before="0" w:after="0"/>
        <w:ind w:left="0" w:right="0" w:hanging="0"/>
        <w:rPr/>
      </w:pPr>
      <w:r>
        <w:rPr/>
        <w:t>​</w:t>
      </w:r>
    </w:p>
    <w:tbl>
      <w:tblPr>
        <w:tblW w:w="6777" w:type="dxa"/>
        <w:jc w:val="left"/>
        <w:tblInd w:w="0" w:type="dxa"/>
        <w:tblCellMar>
          <w:top w:w="0" w:type="dxa"/>
          <w:left w:w="0" w:type="dxa"/>
          <w:bottom w:w="0" w:type="dxa"/>
          <w:right w:w="0" w:type="dxa"/>
        </w:tblCellMar>
      </w:tblPr>
      <w:tblGrid>
        <w:gridCol w:w="3526"/>
        <w:gridCol w:w="326"/>
        <w:gridCol w:w="211"/>
        <w:gridCol w:w="1036"/>
        <w:gridCol w:w="326"/>
        <w:gridCol w:w="211"/>
        <w:gridCol w:w="1141"/>
      </w:tblGrid>
      <w:tr>
        <w:trPr/>
        <w:tc>
          <w:tcPr>
            <w:tcW w:w="3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239010" cy="175260"/>
                      <wp:effectExtent l="0" t="0" r="0" b="0"/>
                      <wp:wrapNone/>
                      <wp:docPr id="188" name="Frame187"/>
                      <a:graphic xmlns:a="http://schemas.openxmlformats.org/drawingml/2006/main">
                        <a:graphicData uri="http://schemas.microsoft.com/office/word/2010/wordprocessingShape">
                          <wps:wsp>
                            <wps:cNvSpPr txBox="1"/>
                            <wps:spPr>
                              <a:xfrm>
                                <a:off x="0" y="0"/>
                                <a:ext cx="2239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0" name="Frame1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57860" cy="175260"/>
                      <wp:effectExtent l="0" t="0" r="0" b="0"/>
                      <wp:wrapNone/>
                      <wp:docPr id="191" name="Frame19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2" name="Frame1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724535" cy="175260"/>
                      <wp:effectExtent l="0" t="0" r="0" b="0"/>
                      <wp:wrapNone/>
                      <wp:docPr id="194" name="Frame193"/>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license royalties – related parties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16,963,388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21,451,888</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license royalties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145,055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License and amortization – related parties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25,407,002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32,655,520</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License and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250,876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600,895</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Game localization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47,100</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Merchant fees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2,424,832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3,751,658</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Engine fees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1,972,126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3,107,032</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Internet, server and data center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2,179,179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2,072,149</w:t>
            </w:r>
          </w:p>
        </w:tc>
      </w:tr>
      <w:tr>
        <w:trPr/>
        <w:tc>
          <w:tcPr>
            <w:tcW w:w="3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Costs related to advertising revenue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164,590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49,507,888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63,686,242</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and Administrative Costs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costs include rents, salaries, stock based compensation, legal and professional expenses, internet and server, contractor costs, insurance expense, licenses and permits, other taxes and travel expenses. These costs are expensed as they are incurred. For the years ended December 31, 2022 and 2021, general and administrative expenses totaled $22,327,746 and $16,396,958, respectively. Stock based compensation of $223,250 was incurred during the year ended December 31, 2022; no such compensation was paid in the year ended December 31,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b/>
          <w:i/>
          <w:sz w:val="20"/>
        </w:rPr>
      </w:pPr>
      <w:bookmarkStart w:id="1196" w:name="Tc_SU6yn_Ies0y7G3BFmrwjZQ_4_5"/>
      <w:bookmarkStart w:id="1197" w:name="Tc_ZKA8waXmF0iNXVGZHp_A1g_4_3"/>
      <w:bookmarkStart w:id="1198" w:name="Tc_F6RGDMz_D0yc14S5J7pa2Q_4_0"/>
      <w:bookmarkStart w:id="1199" w:name="Tc_W1bEFmvgiU63r2rsyaSWGg_3_5"/>
      <w:bookmarkStart w:id="1200" w:name="Tc_1Id97DNRTUC_NSswzb0Mpw_3_3"/>
      <w:bookmarkStart w:id="1201" w:name="Tc_8Wt6aYgpOU-cPR-wcyPBTQ_3_0"/>
      <w:bookmarkStart w:id="1202" w:name="Tc_OSeHW06ajESVYJiM7qTH_A_2_5"/>
      <w:bookmarkStart w:id="1203" w:name="Tc_MhBkIzLnBkyTsK7jmGKZbQ_2_3"/>
      <w:bookmarkStart w:id="1204" w:name="Tc_qYwRJZ6XKkaiBJA9Vz9SiA_2_0"/>
      <w:bookmarkStart w:id="1205" w:name="Tc_iw2AzEIjLEalu3KlGFyoKg_1_4"/>
      <w:bookmarkStart w:id="1206" w:name="Tc_ts41hIOfW069N7bmShc5uw_1_2"/>
      <w:bookmarkStart w:id="1207" w:name="Tc_wsDFqMPegUKd9-FiOyd-MA_1_0"/>
      <w:bookmarkStart w:id="1208" w:name="_fdb5940e_1f1c_4816_bb54_3784963a5197"/>
      <w:bookmarkEnd w:id="1196"/>
      <w:bookmarkEnd w:id="1197"/>
      <w:bookmarkEnd w:id="1198"/>
      <w:bookmarkEnd w:id="1199"/>
      <w:bookmarkEnd w:id="1200"/>
      <w:bookmarkEnd w:id="1201"/>
      <w:bookmarkEnd w:id="1202"/>
      <w:bookmarkEnd w:id="1203"/>
      <w:bookmarkEnd w:id="1204"/>
      <w:bookmarkEnd w:id="1205"/>
      <w:bookmarkEnd w:id="1206"/>
      <w:bookmarkEnd w:id="1207"/>
      <w:bookmarkEnd w:id="1208"/>
      <w:r>
        <w:rPr>
          <w:rFonts w:ascii="Times New Roman;Times;serif" w:hAnsi="Times New Roman;Times;serif"/>
          <w:b/>
          <w:i/>
          <w:sz w:val="20"/>
        </w:rPr>
        <w:t>Advertising and Marketing Costs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advertising costs as incurred. For the years ended December 31, 2022 and 2021, advertising expenses totaled $714,492 and $275,370, respectively.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costs are expensed as incurred. Research and development costs include travel, payroll, and other general expenses specific to research and development activities. Research and development costs for the years ended December 31, 2022 and 2021 were $2,955,592 and $834,818, respectively.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Non-controlling Interests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Non-controlling interests on the consolidated balance sheets and consolidated statements of comprehensive income include the equity allocated to non-controlling interest holders. As of December 31, 2022 and 2021, there were non-controlling interests with the following subsidiaries:</w:t>
      </w:r>
    </w:p>
    <w:p>
      <w:pPr>
        <w:pStyle w:val="TextBody"/>
        <w:spacing w:before="0" w:after="240"/>
        <w:ind w:left="0" w:right="0" w:hanging="0"/>
        <w:jc w:val="both"/>
        <w:rPr/>
      </w:pPr>
      <w:r>
        <w:rPr/>
        <w:t>​</w:t>
      </w:r>
    </w:p>
    <w:tbl>
      <w:tblPr>
        <w:tblW w:w="6061" w:type="dxa"/>
        <w:jc w:val="left"/>
        <w:tblInd w:w="0" w:type="dxa"/>
        <w:tblCellMar>
          <w:top w:w="0" w:type="dxa"/>
          <w:left w:w="0" w:type="dxa"/>
          <w:bottom w:w="0" w:type="dxa"/>
          <w:right w:w="0" w:type="dxa"/>
        </w:tblCellMar>
      </w:tblPr>
      <w:tblGrid>
        <w:gridCol w:w="2191"/>
        <w:gridCol w:w="326"/>
        <w:gridCol w:w="1351"/>
        <w:gridCol w:w="361"/>
        <w:gridCol w:w="1516"/>
        <w:gridCol w:w="316"/>
      </w:tblGrid>
      <w:tr>
        <w:trPr/>
        <w:tc>
          <w:tcPr>
            <w:tcW w:w="2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91285" cy="175260"/>
                      <wp:effectExtent l="0" t="0" r="0" b="0"/>
                      <wp:wrapNone/>
                      <wp:docPr id="195" name="Frame194"/>
                      <a:graphic xmlns:a="http://schemas.openxmlformats.org/drawingml/2006/main">
                        <a:graphicData uri="http://schemas.microsoft.com/office/word/2010/wordprocessingShape">
                          <wps:wsp>
                            <wps:cNvSpPr txBox="1"/>
                            <wps:spPr>
                              <a:xfrm>
                                <a:off x="0" y="0"/>
                                <a:ext cx="139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6" name="Frame1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857885" cy="175260"/>
                      <wp:effectExtent l="0" t="0" r="0" b="0"/>
                      <wp:wrapNone/>
                      <wp:docPr id="197" name="Frame196"/>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29235" cy="175260"/>
                      <wp:effectExtent l="0" t="0" r="0" b="0"/>
                      <wp:wrapNone/>
                      <wp:docPr id="198" name="Frame19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62660" cy="175260"/>
                      <wp:effectExtent l="0" t="0" r="0" b="0"/>
                      <wp:wrapNone/>
                      <wp:docPr id="199" name="Frame198"/>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0660" cy="175260"/>
                      <wp:effectExtent l="0" t="0" r="0" b="0"/>
                      <wp:wrapNone/>
                      <wp:docPr id="200" name="Frame199"/>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Subsidiary Name </w:t>
            </w:r>
          </w:p>
        </w:tc>
        <w:tc>
          <w:tcPr>
            <w:tcW w:w="326" w:type="dxa"/>
            <w:tcBorders/>
            <w:shd w:fill="auto" w:val="clear"/>
            <w:vAlign w:val="center"/>
          </w:tcPr>
          <w:p>
            <w:pPr>
              <w:pStyle w:val="TableContents"/>
              <w:spacing w:before="0" w:after="0"/>
              <w:ind w:left="0" w:right="0" w:hanging="0"/>
              <w:jc w:val="center"/>
              <w:rPr/>
            </w:pPr>
            <w:r>
              <w:rPr/>
              <w:t>    </w:t>
            </w:r>
          </w:p>
        </w:tc>
        <w:tc>
          <w:tcPr>
            <w:tcW w:w="13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 Owned</w:t>
            </w:r>
          </w:p>
        </w:tc>
        <w:tc>
          <w:tcPr>
            <w:tcW w:w="361" w:type="dxa"/>
            <w:tcBorders/>
            <w:shd w:fill="auto" w:val="clear"/>
            <w:vAlign w:val="center"/>
          </w:tcPr>
          <w:p>
            <w:pPr>
              <w:pStyle w:val="TableContents"/>
              <w:spacing w:before="0" w:after="0"/>
              <w:ind w:left="0" w:right="0" w:hanging="0"/>
              <w:jc w:val="center"/>
              <w:rPr/>
            </w:pPr>
            <w:r>
              <w:rPr/>
              <w:t>    </w:t>
            </w:r>
          </w:p>
        </w:tc>
        <w:tc>
          <w:tcPr>
            <w:tcW w:w="15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 %</w:t>
            </w:r>
          </w:p>
        </w:tc>
        <w:tc>
          <w:tcPr>
            <w:tcW w:w="316" w:type="dxa"/>
            <w:tcBorders/>
            <w:shd w:fill="auto" w:val="clear"/>
            <w:vAlign w:val="center"/>
          </w:tcPr>
          <w:p>
            <w:pPr>
              <w:pStyle w:val="TableContents"/>
              <w:spacing w:before="0" w:after="0"/>
              <w:ind w:left="0" w:right="0" w:hanging="0"/>
              <w:jc w:val="center"/>
              <w:rPr/>
            </w:pPr>
            <w:r>
              <w:rPr/>
              <w:t>​</w:t>
            </w:r>
          </w:p>
        </w:tc>
      </w:tr>
      <w:tr>
        <w:trPr/>
        <w:tc>
          <w:tcPr>
            <w:tcW w:w="2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Snail Innovative Institute</w:t>
            </w:r>
          </w:p>
        </w:tc>
        <w:tc>
          <w:tcPr>
            <w:tcW w:w="326" w:type="dxa"/>
            <w:tcBorders/>
            <w:shd w:fill="CCEEFF" w:val="clear"/>
            <w:vAlign w:val="center"/>
          </w:tcPr>
          <w:p>
            <w:pPr>
              <w:pStyle w:val="TableContents"/>
              <w:spacing w:before="0" w:after="0"/>
              <w:ind w:left="0" w:right="0" w:hanging="0"/>
              <w:rPr/>
            </w:pPr>
            <w:r>
              <w:rPr/>
              <w:t> </w:t>
            </w:r>
          </w:p>
        </w:tc>
        <w:tc>
          <w:tcPr>
            <w:tcW w:w="13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BTBX.IO, LLC</w:t>
            </w:r>
          </w:p>
        </w:tc>
        <w:tc>
          <w:tcPr>
            <w:tcW w:w="326" w:type="dxa"/>
            <w:tcBorders/>
            <w:shd w:fill="auto" w:val="clear"/>
            <w:vAlign w:val="center"/>
          </w:tcPr>
          <w:p>
            <w:pPr>
              <w:pStyle w:val="TableContents"/>
              <w:spacing w:before="0" w:after="0"/>
              <w:ind w:left="0" w:right="0" w:hanging="0"/>
              <w:rPr/>
            </w:pPr>
            <w:r>
              <w:rPr/>
              <w:t> </w:t>
            </w:r>
          </w:p>
        </w:tc>
        <w:tc>
          <w:tcPr>
            <w:tcW w:w="13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Donkey Crew, LLC</w:t>
            </w:r>
          </w:p>
        </w:tc>
        <w:tc>
          <w:tcPr>
            <w:tcW w:w="326" w:type="dxa"/>
            <w:tcBorders/>
            <w:shd w:fill="CCEEFF" w:val="clear"/>
            <w:vAlign w:val="center"/>
          </w:tcPr>
          <w:p>
            <w:pPr>
              <w:pStyle w:val="TableContents"/>
              <w:spacing w:before="0" w:after="0"/>
              <w:ind w:left="0" w:right="0" w:hanging="0"/>
              <w:rPr/>
            </w:pPr>
            <w:r>
              <w:rPr/>
              <w:t>​</w:t>
            </w:r>
          </w:p>
        </w:tc>
        <w:tc>
          <w:tcPr>
            <w:tcW w:w="13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Restricted Cash and Cash Equivalents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Cash is available for use in current operations or other activities such as capital expenditures and business combinations. Restricted cash and cash equivalents are time deposits, that are currently provided as security to our debts with a financial institution and the issuance of a standby letter of credit to landlords.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Escrow Deposits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restricted deposits held in escrow are to provide a source of funding for certain indemnification obligations of Snail, Inc. to our underwriters in connection with our public issuance. The deposit and related interest earnings are restricted for one year from the IPO date.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Accounts Receivable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generally records a receivable related to revenue when it has an unconditional right to invoice and receive payment. Accounts receivable are carried at original invoice amount less a reserve made for doubtful accounts based on a review of all outstanding amounts on a periodic basis. The Company determines the allowance for doubtful accounts by evaluating customers’ creditworthiness; historical experience; age of current accounts receivable balances; and changes in financial condition or payment terms of our customers. The allowance for doubtful accounts is typically immaterial and, if required, are based on management’s best estimate. In estimating the allowance for doubtful accounts, the Company analyzes the age of current outstanding account balances, historical bad debts, and customer concentrations. The provision for doubtful accounts is recorded as a charge to general and administrative expense when a potential loss is identified. Losses are written off against the allowance when the receivable is determined to be uncollectible. Management judgment is required to estimate our allowance for doubtful accounts in any accounting period. The amount and timing of our bad debt expense and cash collection could change significantly as a result of a change in any of the risk factors mentioned above.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b/>
          <w:i/>
          <w:sz w:val="20"/>
        </w:rPr>
      </w:pPr>
      <w:bookmarkStart w:id="1209" w:name="Tc_ZngNoCp4rEy7TXQfMaSUAg_6_0"/>
      <w:bookmarkStart w:id="1210" w:name="Tc_vtVOS1tKEUq-FvXZHyF0EQ_5_0"/>
      <w:bookmarkStart w:id="1211" w:name="Tc_RYCTJjEpEECJAw7FQlvbVw_4_2"/>
      <w:bookmarkStart w:id="1212" w:name="Tc_gDu01y98X0C2Kc-HbJAQtQ_4_0"/>
      <w:bookmarkStart w:id="1213" w:name="Tc_jsLcLUm1X0SWMpK4mYEZag_3_2"/>
      <w:bookmarkStart w:id="1214" w:name="Tc_XhMWB6qjVUS7u3ki__vNFA_3_0"/>
      <w:bookmarkStart w:id="1215" w:name="Tc_FjBdPb7EvUGt5Obrlfr85A_2_0"/>
      <w:bookmarkStart w:id="1216" w:name="Tc_vmTX4KmRJ0-6XiJJ0LK9pg_1_0"/>
      <w:bookmarkEnd w:id="1209"/>
      <w:bookmarkEnd w:id="1210"/>
      <w:bookmarkEnd w:id="1211"/>
      <w:bookmarkEnd w:id="1212"/>
      <w:bookmarkEnd w:id="1213"/>
      <w:bookmarkEnd w:id="1214"/>
      <w:bookmarkEnd w:id="1215"/>
      <w:bookmarkEnd w:id="1216"/>
      <w:r>
        <w:rPr>
          <w:rFonts w:ascii="Times New Roman;Times;serif" w:hAnsi="Times New Roman;Times;serif"/>
          <w:b/>
          <w:i/>
          <w:sz w:val="20"/>
        </w:rPr>
        <w:t>Property, Plant and Equipment, Net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Property, plant and equipment, net, are stated at cost. Depreciation is calculated using the straight-line method over the following useful lives:</w:t>
      </w:r>
    </w:p>
    <w:p>
      <w:pPr>
        <w:pStyle w:val="TextBody"/>
        <w:spacing w:before="0" w:after="240"/>
        <w:ind w:left="0" w:right="0" w:hanging="0"/>
        <w:jc w:val="center"/>
        <w:rPr/>
      </w:pPr>
      <w:r>
        <w:rPr/>
        <w:t>​</w:t>
      </w:r>
    </w:p>
    <w:tbl>
      <w:tblPr>
        <w:tblW w:w="10205" w:type="dxa"/>
        <w:jc w:val="left"/>
        <w:tblInd w:w="0" w:type="dxa"/>
        <w:tblCellMar>
          <w:top w:w="0" w:type="dxa"/>
          <w:left w:w="0" w:type="dxa"/>
          <w:bottom w:w="0" w:type="dxa"/>
          <w:right w:w="0" w:type="dxa"/>
        </w:tblCellMar>
      </w:tblPr>
      <w:tblGrid>
        <w:gridCol w:w="2742"/>
        <w:gridCol w:w="326"/>
        <w:gridCol w:w="7137"/>
      </w:tblGrid>
      <w:tr>
        <w:trPr/>
        <w:tc>
          <w:tcPr>
            <w:tcW w:w="27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1" name="Frame2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531995" cy="175260"/>
                      <wp:effectExtent l="0" t="0" r="0" b="0"/>
                      <wp:wrapNone/>
                      <wp:docPr id="202" name="Frame201"/>
                      <a:graphic xmlns:a="http://schemas.openxmlformats.org/drawingml/2006/main">
                        <a:graphicData uri="http://schemas.microsoft.com/office/word/2010/wordprocessingShape">
                          <wps:wsp>
                            <wps:cNvSpPr txBox="1"/>
                            <wps:spPr>
                              <a:xfrm>
                                <a:off x="0" y="0"/>
                                <a:ext cx="4531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Buildings </w:t>
            </w:r>
          </w:p>
        </w:tc>
        <w:tc>
          <w:tcPr>
            <w:tcW w:w="326" w:type="dxa"/>
            <w:tcBorders/>
            <w:shd w:fill="CCEEFF" w:val="clear"/>
            <w:vAlign w:val="center"/>
          </w:tcPr>
          <w:p>
            <w:pPr>
              <w:pStyle w:val="TableContents"/>
              <w:spacing w:before="0" w:after="0"/>
              <w:ind w:left="0" w:right="0" w:hanging="0"/>
              <w:rPr/>
            </w:pPr>
            <w:r>
              <w:rPr/>
              <w:t>    </w:t>
            </w:r>
          </w:p>
        </w:tc>
        <w:tc>
          <w:tcPr>
            <w:tcW w:w="71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39 years</w:t>
            </w:r>
          </w:p>
        </w:tc>
      </w:tr>
      <w:tr>
        <w:trPr/>
        <w:tc>
          <w:tcPr>
            <w:tcW w:w="27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Building improvements </w:t>
            </w:r>
          </w:p>
        </w:tc>
        <w:tc>
          <w:tcPr>
            <w:tcW w:w="326" w:type="dxa"/>
            <w:tcBorders/>
            <w:shd w:fill="auto" w:val="clear"/>
            <w:vAlign w:val="center"/>
          </w:tcPr>
          <w:p>
            <w:pPr>
              <w:pStyle w:val="TableContents"/>
              <w:spacing w:before="0" w:after="0"/>
              <w:ind w:left="0" w:right="0" w:hanging="0"/>
              <w:rPr/>
            </w:pPr>
            <w:r>
              <w:rPr/>
              <w:t> </w:t>
            </w:r>
          </w:p>
        </w:tc>
        <w:tc>
          <w:tcPr>
            <w:tcW w:w="71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7 years</w:t>
            </w:r>
          </w:p>
        </w:tc>
      </w:tr>
      <w:tr>
        <w:trPr/>
        <w:tc>
          <w:tcPr>
            <w:tcW w:w="27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Leasehold improvements </w:t>
            </w:r>
          </w:p>
        </w:tc>
        <w:tc>
          <w:tcPr>
            <w:tcW w:w="326" w:type="dxa"/>
            <w:tcBorders/>
            <w:shd w:fill="CCEEFF" w:val="clear"/>
            <w:vAlign w:val="center"/>
          </w:tcPr>
          <w:p>
            <w:pPr>
              <w:pStyle w:val="TableContents"/>
              <w:spacing w:before="0" w:after="0"/>
              <w:ind w:left="0" w:right="0" w:hanging="0"/>
              <w:rPr/>
            </w:pPr>
            <w:r>
              <w:rPr/>
              <w:t> </w:t>
            </w:r>
          </w:p>
        </w:tc>
        <w:tc>
          <w:tcPr>
            <w:tcW w:w="71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Lesser of the lease term or the estimated useful lives of the improvements, generally 5 to 15 years</w:t>
            </w:r>
          </w:p>
        </w:tc>
      </w:tr>
      <w:tr>
        <w:trPr/>
        <w:tc>
          <w:tcPr>
            <w:tcW w:w="27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Computer equipment and software </w:t>
            </w:r>
          </w:p>
        </w:tc>
        <w:tc>
          <w:tcPr>
            <w:tcW w:w="326" w:type="dxa"/>
            <w:tcBorders/>
            <w:shd w:fill="auto" w:val="clear"/>
            <w:vAlign w:val="center"/>
          </w:tcPr>
          <w:p>
            <w:pPr>
              <w:pStyle w:val="TableContents"/>
              <w:spacing w:before="0" w:after="0"/>
              <w:ind w:left="0" w:right="0" w:hanging="0"/>
              <w:rPr/>
            </w:pPr>
            <w:r>
              <w:rPr/>
              <w:t> </w:t>
            </w:r>
          </w:p>
        </w:tc>
        <w:tc>
          <w:tcPr>
            <w:tcW w:w="71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 to 5 years</w:t>
            </w:r>
          </w:p>
        </w:tc>
      </w:tr>
      <w:tr>
        <w:trPr/>
        <w:tc>
          <w:tcPr>
            <w:tcW w:w="27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Furniture and fixtures </w:t>
            </w:r>
          </w:p>
        </w:tc>
        <w:tc>
          <w:tcPr>
            <w:tcW w:w="326" w:type="dxa"/>
            <w:tcBorders/>
            <w:shd w:fill="CCEEFF" w:val="clear"/>
            <w:vAlign w:val="center"/>
          </w:tcPr>
          <w:p>
            <w:pPr>
              <w:pStyle w:val="TableContents"/>
              <w:spacing w:before="0" w:after="0"/>
              <w:ind w:left="0" w:right="0" w:hanging="0"/>
              <w:rPr/>
            </w:pPr>
            <w:r>
              <w:rPr/>
              <w:t> </w:t>
            </w:r>
          </w:p>
        </w:tc>
        <w:tc>
          <w:tcPr>
            <w:tcW w:w="713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 years</w:t>
            </w:r>
          </w:p>
        </w:tc>
      </w:tr>
      <w:tr>
        <w:trPr/>
        <w:tc>
          <w:tcPr>
            <w:tcW w:w="27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Auto and trucks </w:t>
            </w:r>
          </w:p>
        </w:tc>
        <w:tc>
          <w:tcPr>
            <w:tcW w:w="326" w:type="dxa"/>
            <w:tcBorders/>
            <w:shd w:fill="auto" w:val="clear"/>
            <w:vAlign w:val="center"/>
          </w:tcPr>
          <w:p>
            <w:pPr>
              <w:pStyle w:val="TableContents"/>
              <w:spacing w:before="0" w:after="0"/>
              <w:ind w:left="0" w:right="0" w:hanging="0"/>
              <w:rPr/>
            </w:pPr>
            <w:r>
              <w:rPr/>
              <w:t> </w:t>
            </w:r>
          </w:p>
        </w:tc>
        <w:tc>
          <w:tcPr>
            <w:tcW w:w="713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 years</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When assets are retired or disposed of, the cost and accumulated depreciation thereon are removed, and any resulting gains or losses are included in the consolidated statements of comprehensive income. Leasehold improvements are amortized using the straight-line method over the estimated life of the asset, not to exceed the length of the lease. Repairs and maintenance costs are expensed as incurred.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Foreign Currency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functional currency for our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the translation are included in accumulated other comprehensive loss. Realized and unrealized transaction gains and losses arising from transactions denominated in foreign currencies different than the relevant functional currency are included in our consolidated statements of comprehensive income in the period in which they occur.</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Intangible Assets – License Usage Rights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enters into license agreements with third-party developers and related party developers that require the Company to make payments for license usage rights and game development and production services. These license agreements grant the Company the exclusive publishing and distribution rights to game titles as well as, in some cases, the underlying intellectual property rights. These license agreements also specify the payment schedules, royalty rates and the relevant licensing period. The Company capitalizes the cost of license usage rights as intangible assets and amortizes them over the terms of the respective licensing rights.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Measurements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describes the hierarchy of inputs used to measure fair value and the primary valuation methodologies used by the Company for financial instruments measured at fair value.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three levels of inputs are as follows: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 Quoted prices in active markets for identical assets or liabilities that the Company has an ability to access as of the measurement date.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Inputs that are observable, either directly or indirectly, such as quoted prices for similar assets or liabilities, quoted prices in markets that are not active, or other inputs that are observable or can be corroborated by observable market data for substantially the same term of the assets or liabilities.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Unobservable inputs that are supported by little or no market activity and that are significant to the fair value of the assets or liabilities.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accounts payable and current liabilities. The carrying values of these financial instruments approximate their fair value due to their short maturities. The carrying amount of our debt approximates fair value because the interest rates on these instruments approximate the interest rate on debt with similar terms available to us for a similar duration with the exception of the Company’s promissory note which has a fixed rate for 5 years, then a floating rate that approximates the Wall Street Journal Prime Rate plus 0.50%. The Company considers the carrying amount of the loan to approximate fair value as the discounted cost in comparison to market rates would not be materially different than the cost to acquire a loan with similar terms. The Company re-measured the fair value of one of its intangible assets, </w:t>
      </w:r>
      <w:r>
        <w:rPr>
          <w:rFonts w:ascii="Times New Roman;Times;serif" w:hAnsi="Times New Roman;Times;serif"/>
          <w:i/>
          <w:sz w:val="20"/>
        </w:rPr>
        <w:t>Atlas</w:t>
      </w:r>
      <w:r>
        <w:rPr>
          <w:rFonts w:ascii="Times New Roman;Times;serif" w:hAnsi="Times New Roman;Times;serif"/>
          <w:sz w:val="20"/>
        </w:rPr>
        <w:t xml:space="preserve">, as of December 31, 2021, using level 3 inputs. Please refer to Note 11 – </w:t>
      </w:r>
      <w:r>
        <w:rPr>
          <w:rFonts w:ascii="Times New Roman;Times;serif" w:hAnsi="Times New Roman;Times;serif"/>
          <w:i/>
          <w:sz w:val="20"/>
        </w:rPr>
        <w:t>Intangible Assets</w:t>
      </w:r>
      <w:r>
        <w:rPr>
          <w:rFonts w:ascii="Times New Roman;Times;serif" w:hAnsi="Times New Roman;Times;serif"/>
          <w:sz w:val="20"/>
        </w:rPr>
        <w:t xml:space="preserve"> for more details. The Company does not have any other assets or liabilities measured at fair value on a recurring or non-recurring basis as of December 31, 2022 and 2021.</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Amortizable Intangibles and Other Long-lived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long-lived assets and other assets consisting of property, plant and equipment and purchased intangible assets, are reviewed for impairment in accordance with the guidance of the FASB Topic ASC 360, Property, Plant,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 Fair value is determined through various valuation techniques including discounted cash flow models, quoted market values and third-party independent appraisals, as considered necessary. For the years ended December 31, 2022 and 2021, the Company recorded $0 and $16,325,000 as impairment loss related to the </w:t>
      </w:r>
      <w:r>
        <w:rPr>
          <w:rFonts w:ascii="Times New Roman;Times;serif" w:hAnsi="Times New Roman;Times;serif"/>
          <w:i/>
          <w:sz w:val="20"/>
        </w:rPr>
        <w:t>Atlas</w:t>
      </w:r>
      <w:r>
        <w:rPr>
          <w:rFonts w:ascii="Times New Roman;Times;serif" w:hAnsi="Times New Roman;Times;serif"/>
          <w:sz w:val="20"/>
        </w:rPr>
        <w:t xml:space="preserve"> game license rights from a related party.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Income taxes are provided for the tax effects of transactions reported in the financial statements and consisted of taxes currently due and deferred taxes. Deferred taxes are recognized for the differences between the basis of assets and liabilities for financial statement and income tax purposes.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follows FASB Topic ASC 740, Income Taxes, which requires the recognition of deferred tax assets and liabilities for the expected future tax consequences of events that have been included in the consolidated financial statements or tax returns.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recognized liabilities for uncertain tax positions pursuant to FASB ASC 740-10-25. Such amounts are included in the current and long term accrued expenses on the accompanying consolidated balance sheets </w:t>
      </w:r>
      <w:r>
        <w:rPr>
          <w:rFonts w:ascii="Times New Roman;Times;serif" w:hAnsi="Times New Roman;Times;serif"/>
          <w:sz w:val="20"/>
          <w:highlight w:val="white"/>
        </w:rPr>
        <w:t>in the amount of $457,024 and $454,438 as of December 31, 2022 and 2021, respectively.</w:t>
      </w:r>
      <w:r>
        <w:rPr>
          <w:rFonts w:ascii="Times New Roman;Times;serif" w:hAnsi="Times New Roman;Times;serif"/>
          <w:sz w:val="20"/>
        </w:rPr>
        <w:t xml:space="preserve"> </w:t>
      </w:r>
      <w:r>
        <w:rPr>
          <w:rFonts w:ascii="Times New Roman;Times;serif" w:hAnsi="Times New Roman;Times;serif"/>
          <w:sz w:val="20"/>
          <w:highlight w:val="white"/>
        </w:rPr>
        <w:t>The Company accrued and recognized interest and penalties related to unrecognized tax benefits in operating expenses.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Concentration of Credit Risk and Significant Customers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maintains cash balances at several major financial institutions. While the Company attempts to limit credit exposure with any single institution, balances often exceed insurable amounts. As of December 31, 2022 and 2021, the Company had deposits of $17,929,308 and $15,135,863, respectively, that were not insured by the Federal Deposit Insurance Corporation.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extends credit to various digital resellers and partners. Collection of trade receivables may be affected by changes in economic or other industry conditions and may, accordingly, impact our overall credit risk. The Company performs ongoing credit evaluations of customers and maintains reserves for potentially uncollectible accounts. As of December 31, 2022 and 2021, the Company had two customers who accounted for approximately 57% and four customers who accounted for approximately 86% of consolidated gross receivables, respectively. Among the two customers as of December 31, 2022 and four customers as of December 31, 2021, each customer accounted for 29% and 28% as of December 31, 2022, and 29%, 28%, 17%, and 12% as of December 31, 2021 of the consolidated gross receivables outstanding. Of the 86% consolidated gross receivables accounted for by the four customers, as of December 31, 2021, 12% was due from a customer located in Canada. During the years ended December 31, 2022 and 2021, approximately 54% and 68%, respectively, of net revenue was derived from these customers.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and 2021, the Company had two customers who accounted for approximately 55% and two customers who accounted for approximately 64% of consolidated gross payables, respectively. Among the two customers as of December 31, 2022 and 2021, each customer accounted for 43% and 12% as of December 31, 2022, and 53% and 11% as of December 31, 2021 of our consolidated gross payables outstanding. Amounts payable to SDE are netted with receivables from them and presented as accounts receivable - related party in the consolidated balance sheets as of December 31, 2022 and 2021. The expenses paid to SDE during the years ended December 31, 2022 and 2021 accounted for 47% and 40% of the Company’s combined gross cost of revenues and operating expenses,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2022, the Company received approximately $1,500,000 from Pound Sand, LLC in connection with the Company’s sale of its membership interest in Pound Sand, LLC on December 3, 2020; this amount was included as a receivable in the other current assets as of December 31, 2021 in the accompanying consolidated balance sheets.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Leases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several leases relating primarily to office facilities. The Company determines if an arrangement is or contains a lease at contract inception. Right-of-use assets represent the Company’s right to use an underlying asset for the lease term, and lease liabilities represent the Company’s obligation to make lease payments arising from the lease. The lease liability is measured as the present value of the unpaid lease payments, and the right-of-use asset value is derived from the calculation of the lease liability. Lease payments include fixed and in-substance fixed payments, variable payments based on an index or rate, reasonably certain purchase options, and termination penalties. Variable lease payments are recognized as lease expenses as incurred, and generally relate to variable payments made based on the level of services provided by the landlords of our leases. For leased assets with similar lease terms and asset types, we applied a portfolio approach in determining a single incremental borrowing rate for the leased assets. The Company uses its estimated incremental borrowing rate, which is derived from information available at the lease commencement date, in determining the present value of lease payments because the Company does not have the information necessary to determine the rate implicit in the lease. Lease expense for operating lease payments is recognized on a straight-line basis over the lease term. The Company’s lease term includes any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option to extend the lease when it is reasonably certain to be exercised based on considering all relevant factors. Leases with an initial term of 12 months or less are not recorded on the consolidated balance sheets and we recognize lease expense for these leases on a straight-line basis over the lease term. Operating leases are included in operating lease right-of-use assets, net, current portion of operating lease liabilities, and operating lease liabilities, net of current portion on the consolidated balance sheets.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June 2016, the FASB issued ASU 2016-13, </w:t>
      </w:r>
      <w:r>
        <w:rPr>
          <w:rFonts w:ascii="Times New Roman;Times;serif" w:hAnsi="Times New Roman;Times;serif"/>
          <w:i/>
          <w:sz w:val="20"/>
        </w:rPr>
        <w:t>Financial Instruments – Credit Losses</w:t>
      </w:r>
      <w:r>
        <w:rPr>
          <w:rFonts w:ascii="Times New Roman;Times;serif" w:hAnsi="Times New Roman;Times;serif"/>
          <w:sz w:val="20"/>
        </w:rPr>
        <w:t>, which replaces the incurred loss impairment methodology in current US GAAP with a methodology that requires the reflection of expected credit losses and also requires consideration of a broader range of reasonable and supportable information to determine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For most financial instruments, the standard requires the use of a forward-looking expected loss model rather than the incurred loss model for recognizing credit losses, which generally results in the earlier recognition of credit losses on financial instruments. The Company expects to adopt ASC 2016-13 on January 1, 2023. The impact of adopting the new standard is not anticipated to have a material impact on the Company’s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2020, the FASB issued ASU 2020-06, </w:t>
      </w:r>
      <w:r>
        <w:rPr>
          <w:rFonts w:ascii="Times New Roman;Times;serif" w:hAnsi="Times New Roman;Times;serif"/>
          <w:i/>
          <w:sz w:val="20"/>
        </w:rPr>
        <w:t>Contracts in Entity’s Own Equity (Subtopic 815-40) – Accounting for Convertible Instruments and Contracts in an Entity’s Own Equity</w:t>
      </w:r>
      <w:r>
        <w:rPr>
          <w:rFonts w:ascii="Times New Roman;Times;serif" w:hAnsi="Times New Roman;Times;serif"/>
          <w:sz w:val="20"/>
        </w:rPr>
        <w:t>, to simplify the application of GAAP for certain financial instruments with characteristics of liabilities and equity. The FASB decided to eliminate certain accounting models to simplify the accounting for convertible instruments, reduce complexity for preparers and practitioners, and improve the decision usefulness and relevance of the information provided to financial statement users. The GASB also amended the guidance for derivatives scope exception for contracts in an entity’s own equity to reduce form-over-substance-based accounting conclusion and amended the related earnings per share guidance. The Company has elected to delay implementation of this standard until January 1, 2024 based on its emerging growth status. The impact of adopting the new accounting standard is being evaluated.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2021, the FASB issued ASU 2021-10, </w:t>
      </w:r>
      <w:r>
        <w:rPr>
          <w:rFonts w:ascii="Times New Roman;Times;serif" w:hAnsi="Times New Roman;Times;serif"/>
          <w:i/>
          <w:sz w:val="20"/>
        </w:rPr>
        <w:t>Government Assistance (Topic 832) – Disclosures by Business Entities about Government Assistance</w:t>
      </w:r>
      <w:r>
        <w:rPr>
          <w:rFonts w:ascii="Times New Roman;Times;serif" w:hAnsi="Times New Roman;Times;serif"/>
          <w:sz w:val="20"/>
        </w:rPr>
        <w:t xml:space="preserve">, to provide guidance on the disclosures of forgivable loan transactions with a government that are accounted for by applying a grant or contribution accounting model, by analogy. It seeks to provide increased transparency for financial statement users to better assess the nature of the transactions, the related accounting policies used to account for the transactions, the effect of the transaction on an entities financial statements and significant terms and conditions of the transactions. The Company adopted this standard beginning on January 1, 2022. The adoption of the standard affected the disclosures of the Paycheck Protection Program (“PPP”) loan and related loan forgiveness in the Company’s consolidated financial statements. Please see Note 15 – </w:t>
      </w:r>
      <w:r>
        <w:rPr>
          <w:rFonts w:ascii="Times New Roman;Times;serif" w:hAnsi="Times New Roman;Times;serif"/>
          <w:i/>
          <w:sz w:val="20"/>
        </w:rPr>
        <w:t>Revolving Loan, Short Term Note and Long-Term Debt</w:t>
      </w:r>
      <w:r>
        <w:rPr>
          <w:rFonts w:ascii="Times New Roman;Times;serif" w:hAnsi="Times New Roman;Times;serif"/>
          <w:sz w:val="20"/>
        </w:rPr>
        <w:t xml:space="preserve"> for more information.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Employee Savings Plans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maintains a 401(k) for its United States based employees. The plan is offered to all eligible employees to make voluntary contributions. Employer contributions to the plan are reported under general and administrative costs in the amounts of $65,908 and $38,470 for the years ended December 31, 2022 and 2021.</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Based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recognize compensation cost for stock-based awards to employees based on the awards’ estimated grant-date fair value using a straight-line approach over the service period for which such awards are expected to vest. We account for forfeitures as they occur. We issued restricted stock units (“Restricted Stock Units” or “restricted stock units”) during the year ended December 31, 2022. The fair value of Restricted Stock Units is determined based on the quoted market price of our common stock on the date of grant.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5,718,000 shares. Stock options may be granted to employees and officers and non-qualified options may be granted to employees, officers, and directors, at not less than the fair market value on the date of grant.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Stock Units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grant restricted stock units under our 2022 Omnibus Incentive Plan to employees and directors.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IPO, offering costs related to legal, accounting, and underwriting costs were net with the proceeds and recorded as a reduction in additional paid in capital, in the stockholders’ equity section of the balance sheet. The Company also issued Underwriters Warrants (as defined below) for services provided during the IPO to purchase 120,000 shares of Class A common stock. The Underwriters Warrants are accounted for as equity instruments and are included in the stockholders’ equity section of the balance sheet. The fair value of the Underwriters Warrants has been estimated using the Black-Scholes option pricing model.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 Repurchase Program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10, 2022, the Company’s board of directors authorized a share repurchase program under which the Company may repurchase up to $5 million of outstanding shares of Class A common stock of the Company, subject to ongoing compliance with the Nasdaq listing rules. The program does not have a fixed expiration date. Repurchased shares are accounted for at cost and reported as a reduction of equity in the consolidated balance sheets under treasury stock. No treasury stock was sold during the year ended December 31, 2022. As of December 31, 2022, 1,197,649 shares of Class A common stock were repurchased pursuant to the Share Repurchase Program for an aggregate purchase price of approximately $3.4 million. The average price paid per share was $2.85 and approximately $1.6 million aggregate amount of shares of Class A common stock remain available for repurchase under the Share Repurchase Program.</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Earnings Per Share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Earnings per share (“EPS”) is calculated by dividing the net income that is applicable to the common stockholders for the period by the weighted average number of shares of common stock during that period. The diluted EPS for the period is calculated by dividing the net income applicable to common stockholders for the period by the weighted average number of shares of common stock and common stock equivalents outstanding during the period. The Company’s common stock equivalents are measured using the treasury stock method and represent unvested RSUs and warrants. For comparative purposes the Company has presented EPS for the year ended December 31, 2021 using the number of shares exchanged in the reorganization of the Company as the denominator. For more information see Note 19 – </w:t>
      </w:r>
      <w:r>
        <w:rPr>
          <w:rFonts w:ascii="Times New Roman;Times;serif" w:hAnsi="Times New Roman;Times;serif"/>
          <w:i/>
          <w:sz w:val="20"/>
        </w:rPr>
        <w:t>Earnings Per Share.</w:t>
      </w:r>
      <w:r>
        <w:rPr>
          <w:rFonts w:ascii="Times New Roman;Times;serif" w:hAnsi="Times New Roman;Times;serif"/>
          <w:sz w:val="20"/>
        </w:rPr>
        <w:t xml:space="preserve">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CARES Act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Company did not result in a material cash benefit as a result of these provision.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CARES Act is a stimulus package that provides various forms of relief through, among other things, grants, loans and tax incentives to certain businesses and individuals. In particular, the CARES Act created an emergency lending facility known as the PPP, which is administered by the U.S. Small Business Administration (“SBA”) and provides federally insured and, in some cases, forgivable loans to certain eligible businesses so that those businesses can continue to cover certain of their near-term operating expenses and retain employees. See Note 15 – </w:t>
      </w:r>
      <w:r>
        <w:rPr>
          <w:rFonts w:ascii="Times New Roman;Times;serif" w:hAnsi="Times New Roman;Times;serif"/>
          <w:i/>
          <w:sz w:val="20"/>
        </w:rPr>
        <w:t>Revolving Loan, Short Term Note, and Long-Term Debt</w:t>
      </w:r>
      <w:r>
        <w:rPr>
          <w:rFonts w:ascii="Times New Roman;Times;serif" w:hAnsi="Times New Roman;Times;serif"/>
          <w:sz w:val="20"/>
        </w:rPr>
        <w:t xml:space="preserve"> for additional information.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 Restrictions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pay cash dividends is currently restricted by the terms of our credit facilities.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b/>
          <w:sz w:val="20"/>
        </w:rPr>
      </w:pPr>
      <w:bookmarkStart w:id="1217" w:name="Tc_coV2iE8ePEqqdJoMQLxyQw_5_5"/>
      <w:bookmarkStart w:id="1218" w:name="Tc_M4oZaR_BG0elgiqPvFaLdg_5_2"/>
      <w:bookmarkStart w:id="1219" w:name="Tc_yGouB-cV4EKtKO44OY-63A_5_0"/>
      <w:bookmarkStart w:id="1220" w:name="Tc_L3tEUWk5dkCHgiFT7Xs4-Q_4_0"/>
      <w:bookmarkStart w:id="1221" w:name="Tc_VDf7kU5C3USr03RDQwnk7Q_3_0"/>
      <w:bookmarkStart w:id="1222" w:name="Tc_bRonNgsS0kOU-j_zHoNLbg_2_5"/>
      <w:bookmarkStart w:id="1223" w:name="Tc_ER3nGV_dHkS0d08dmynIhw_2_2"/>
      <w:bookmarkStart w:id="1224" w:name="Tc_tmQRB2fEhkuJ6gMoQUbE-A_2_0"/>
      <w:bookmarkStart w:id="1225" w:name="Tc_ZMYNq4u6-0uYnv-SZ15Yrg_1_5"/>
      <w:bookmarkStart w:id="1226" w:name="Tc_dGO-x-SERk6xFB2zuZGFng_1_2"/>
      <w:bookmarkStart w:id="1227" w:name="Tc_PXfmkfvQp0KLbAVLJgXmaw_6_5"/>
      <w:bookmarkStart w:id="1228" w:name="Tc_MwFLnMDVGkSfX3ZrIRm2yw_6_2"/>
      <w:bookmarkStart w:id="1229" w:name="Tc_GDYZErR5nUGSXqfYa9OF1Q_6_0"/>
      <w:bookmarkStart w:id="1230" w:name="Tc_wAAuff6KCEy3soEW6J0hDg_5_0"/>
      <w:bookmarkStart w:id="1231" w:name="Tc_fd968tLILEqbMtynTYNmjA_4_0"/>
      <w:bookmarkStart w:id="1232" w:name="Tc_gTUDOgY5BU6uYzls4EsEOQ_3_0"/>
      <w:bookmarkStart w:id="1233" w:name="Tc_SkuK_ARaTkuaoRUdRMv6RA_2_5"/>
      <w:bookmarkStart w:id="1234" w:name="Tc_0ZiiUKAKpUiCCAVrJ8cIUw_2_2"/>
      <w:bookmarkStart w:id="1235" w:name="Tc_p3PZl9EGYkWCGPA0lYKSKw_2_0"/>
      <w:bookmarkStart w:id="1236" w:name="Tc_cce_hfZOmEuSMtH4OLGrww_1_5"/>
      <w:bookmarkStart w:id="1237" w:name="Tc_q7wiLTvRbkSOfZMYAf0kWA_1_2"/>
      <w:bookmarkStart w:id="1238" w:name="Tc_yLs0MXiWDECceZQO0_NAYQ_4_5"/>
      <w:bookmarkStart w:id="1239" w:name="Tc_r4GECogDx0CHUCg6yzTpJg_4_2"/>
      <w:bookmarkStart w:id="1240" w:name="Tc_R12aEXBgx02oi3uTAfJ_vw_4_0"/>
      <w:bookmarkStart w:id="1241" w:name="Tc_5TG5JUkqTEGI6Q9cZ9Pjuw_3_0"/>
      <w:bookmarkStart w:id="1242" w:name="Tc_i3LG7uI8skWuDHSk9f37Mg_2_5"/>
      <w:bookmarkStart w:id="1243" w:name="Tc_rKkyThtcCkygAPUuuPNN8w_2_2"/>
      <w:bookmarkStart w:id="1244" w:name="Tc_z0vNAMAXtEiwYoWyETPChA_2_0"/>
      <w:bookmarkStart w:id="1245" w:name="Tc_jY3kBZ7d5kSgwcWKSZChKg_1_5"/>
      <w:bookmarkStart w:id="1246" w:name="Tc_0G7KDwhiAEem0jAw1wnFBQ_1_2"/>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r>
        <w:rPr>
          <w:rFonts w:ascii="Times New Roman;Times;serif" w:hAnsi="Times New Roman;Times;serif"/>
          <w:b/>
          <w:sz w:val="20"/>
        </w:rPr>
        <w:t>NOTE 3 — REVENUE FROM CONTRACTS WITH CUSTOMERS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Disaggregation of revenue</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Geography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attribute net revenue to geographic regions based on customer location. Net revenue by geographic region for the years ended December 31, 2022 and 2021 were as follows:</w:t>
      </w:r>
    </w:p>
    <w:p>
      <w:pPr>
        <w:pStyle w:val="TextBody"/>
        <w:spacing w:before="0" w:after="0"/>
        <w:ind w:left="0" w:right="0" w:hanging="0"/>
        <w:rPr/>
      </w:pPr>
      <w:r>
        <w:rPr/>
        <w:t>​</w:t>
      </w:r>
    </w:p>
    <w:tbl>
      <w:tblPr>
        <w:tblW w:w="7317" w:type="dxa"/>
        <w:jc w:val="left"/>
        <w:tblInd w:w="0" w:type="dxa"/>
        <w:tblCellMar>
          <w:top w:w="0" w:type="dxa"/>
          <w:left w:w="0" w:type="dxa"/>
          <w:bottom w:w="0" w:type="dxa"/>
          <w:right w:w="0" w:type="dxa"/>
        </w:tblCellMar>
      </w:tblPr>
      <w:tblGrid>
        <w:gridCol w:w="3961"/>
        <w:gridCol w:w="326"/>
        <w:gridCol w:w="211"/>
        <w:gridCol w:w="1036"/>
        <w:gridCol w:w="326"/>
        <w:gridCol w:w="211"/>
        <w:gridCol w:w="1246"/>
      </w:tblGrid>
      <w:tr>
        <w:trPr/>
        <w:tc>
          <w:tcPr>
            <w:tcW w:w="3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515235" cy="175260"/>
                      <wp:effectExtent l="0" t="0" r="0" b="0"/>
                      <wp:wrapNone/>
                      <wp:docPr id="203" name="Frame202"/>
                      <a:graphic xmlns:a="http://schemas.openxmlformats.org/drawingml/2006/main">
                        <a:graphicData uri="http://schemas.microsoft.com/office/word/2010/wordprocessingShape">
                          <wps:wsp>
                            <wps:cNvSpPr txBox="1"/>
                            <wps:spPr>
                              <a:xfrm>
                                <a:off x="0" y="0"/>
                                <a:ext cx="2515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4"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5" name="Frame20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57860" cy="175260"/>
                      <wp:effectExtent l="0" t="0" r="0" b="0"/>
                      <wp:wrapNone/>
                      <wp:docPr id="206" name="Frame20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07" name="Frame2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08" name="Frame20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91210" cy="175260"/>
                      <wp:effectExtent l="0" t="0" r="0" b="0"/>
                      <wp:wrapNone/>
                      <wp:docPr id="209" name="Frame208"/>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4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69,977,621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93,826,986</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International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4,466,520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12,907,163</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 from contracts with customers: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74,444,141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106,734,149</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Platform</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Net revenue by platform for the years ended December 31, 2022 and 2021 were as follows:</w:t>
      </w:r>
    </w:p>
    <w:p>
      <w:pPr>
        <w:pStyle w:val="TextBody"/>
        <w:spacing w:before="0" w:after="0"/>
        <w:ind w:left="0" w:right="0" w:hanging="0"/>
        <w:rPr/>
      </w:pPr>
      <w:r>
        <w:rPr/>
        <w:t>​</w:t>
      </w:r>
    </w:p>
    <w:tbl>
      <w:tblPr>
        <w:tblW w:w="6883" w:type="dxa"/>
        <w:jc w:val="left"/>
        <w:tblInd w:w="0" w:type="dxa"/>
        <w:tblCellMar>
          <w:top w:w="0" w:type="dxa"/>
          <w:left w:w="0" w:type="dxa"/>
          <w:bottom w:w="0" w:type="dxa"/>
          <w:right w:w="0" w:type="dxa"/>
        </w:tblCellMar>
      </w:tblPr>
      <w:tblGrid>
        <w:gridCol w:w="3961"/>
        <w:gridCol w:w="109"/>
        <w:gridCol w:w="211"/>
        <w:gridCol w:w="1036"/>
        <w:gridCol w:w="109"/>
        <w:gridCol w:w="211"/>
        <w:gridCol w:w="1246"/>
      </w:tblGrid>
      <w:tr>
        <w:trPr/>
        <w:tc>
          <w:tcPr>
            <w:tcW w:w="3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515235" cy="175260"/>
                      <wp:effectExtent l="0" t="0" r="0" b="0"/>
                      <wp:wrapNone/>
                      <wp:docPr id="210" name="Frame209"/>
                      <a:graphic xmlns:a="http://schemas.openxmlformats.org/drawingml/2006/main">
                        <a:graphicData uri="http://schemas.microsoft.com/office/word/2010/wordprocessingShape">
                          <wps:wsp>
                            <wps:cNvSpPr txBox="1"/>
                            <wps:spPr>
                              <a:xfrm>
                                <a:off x="0" y="0"/>
                                <a:ext cx="2515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1" name="Frame2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2" name="Frame2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57860" cy="175260"/>
                      <wp:effectExtent l="0" t="0" r="0" b="0"/>
                      <wp:wrapNone/>
                      <wp:docPr id="213" name="Frame21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4" name="Frame21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5" name="Frame2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791210" cy="175260"/>
                      <wp:effectExtent l="0" t="0" r="0" b="0"/>
                      <wp:wrapNone/>
                      <wp:docPr id="216" name="Frame215"/>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14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Console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32,382,088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47,111,657</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PC</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31,592,858</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43,096,994</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Mobile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9,506,777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12,990,321</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962,418</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3,535,177</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 from contracts with customers:</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74,444,141</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106,734,149</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Distribution channel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products are delivered through digital online services (digital download, online platforms, and cloud streaming), mobile, and retail distribution and other. Net revenue by distribution channel for the years ended December 31, 2022 and 2021 was as follows:</w:t>
      </w:r>
    </w:p>
    <w:p>
      <w:pPr>
        <w:pStyle w:val="TextBody"/>
        <w:spacing w:before="0" w:after="0"/>
        <w:ind w:left="0" w:right="0" w:hanging="0"/>
        <w:rPr/>
      </w:pPr>
      <w:r>
        <w:rPr/>
        <w:t>​</w:t>
      </w:r>
    </w:p>
    <w:tbl>
      <w:tblPr>
        <w:tblW w:w="7317" w:type="dxa"/>
        <w:jc w:val="left"/>
        <w:tblInd w:w="0" w:type="dxa"/>
        <w:tblCellMar>
          <w:top w:w="0" w:type="dxa"/>
          <w:left w:w="0" w:type="dxa"/>
          <w:bottom w:w="0" w:type="dxa"/>
          <w:right w:w="0" w:type="dxa"/>
        </w:tblCellMar>
      </w:tblPr>
      <w:tblGrid>
        <w:gridCol w:w="3961"/>
        <w:gridCol w:w="326"/>
        <w:gridCol w:w="211"/>
        <w:gridCol w:w="1036"/>
        <w:gridCol w:w="326"/>
        <w:gridCol w:w="211"/>
        <w:gridCol w:w="1246"/>
      </w:tblGrid>
      <w:tr>
        <w:trPr/>
        <w:tc>
          <w:tcPr>
            <w:tcW w:w="3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515235" cy="175260"/>
                      <wp:effectExtent l="0" t="0" r="0" b="0"/>
                      <wp:wrapNone/>
                      <wp:docPr id="217" name="Frame216"/>
                      <a:graphic xmlns:a="http://schemas.openxmlformats.org/drawingml/2006/main">
                        <a:graphicData uri="http://schemas.microsoft.com/office/word/2010/wordprocessingShape">
                          <wps:wsp>
                            <wps:cNvSpPr txBox="1"/>
                            <wps:spPr>
                              <a:xfrm>
                                <a:off x="0" y="0"/>
                                <a:ext cx="2515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18"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19" name="Frame2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57860" cy="175260"/>
                      <wp:effectExtent l="0" t="0" r="0" b="0"/>
                      <wp:wrapNone/>
                      <wp:docPr id="220" name="Frame21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1" name="Frame2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2" name="Frame2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91210" cy="175260"/>
                      <wp:effectExtent l="0" t="0" r="0" b="0"/>
                      <wp:wrapNone/>
                      <wp:docPr id="223" name="Frame222"/>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4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Digital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63,974,946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90,038,651</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Mobile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9,506,777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12,990,321</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Physical retail and 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962,418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3,705,177</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 from contracts with customers: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74,444,141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106,734,149</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b/>
          <w:sz w:val="20"/>
        </w:rPr>
      </w:pPr>
      <w:bookmarkStart w:id="1247" w:name="Tc_XiC6AH3qcEu_zs-Rqe2JCQ_8_5"/>
      <w:bookmarkStart w:id="1248" w:name="Tc_SxbQrnRuP0CdPHLS9af-xg_8_2"/>
      <w:bookmarkStart w:id="1249" w:name="Tc_EPQ6OwiPCkSvcRzDogXRxg_8_0"/>
      <w:bookmarkStart w:id="1250" w:name="Tc_5fmRaSSilEKyDW_F5nvBXg_7_0"/>
      <w:bookmarkStart w:id="1251" w:name="Tc_Tgb9XdpUykWLqEGZFDqAFA_6_0"/>
      <w:bookmarkStart w:id="1252" w:name="Tc_FSvNsXH4sU60IbDJtJnliw_5_0"/>
      <w:bookmarkStart w:id="1253" w:name="Tc_6SXsAiiLaUeAtxLB2yoo8w_4_0"/>
      <w:bookmarkStart w:id="1254" w:name="Tc_wYk9fALDDEW_WJm9hZ0ibA_3_5"/>
      <w:bookmarkStart w:id="1255" w:name="Tc_x6PsOXgph0Gtxa6q0ICDVg_3_2"/>
      <w:bookmarkStart w:id="1256" w:name="Tc_ghomigNbSUeWKk3LwvpZMg_3_0"/>
      <w:bookmarkStart w:id="1257" w:name="Tc_ZCOgaZXzj0qQcHA9t3ob7A_2_5"/>
      <w:bookmarkStart w:id="1258" w:name="Tc_6OegHJevdEqu_8XA6vz57Q_2_2"/>
      <w:bookmarkStart w:id="1259" w:name="Tc_2NGZfCR4GUuc6ELR4NKOow_1_5"/>
      <w:bookmarkStart w:id="1260" w:name="Tc_lGUxMj0BvEqdFc5ArfELVA_1_2"/>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r>
        <w:rPr>
          <w:rFonts w:ascii="Times New Roman;Times;serif" w:hAnsi="Times New Roman;Times;serif"/>
          <w:b/>
          <w:sz w:val="20"/>
        </w:rPr>
        <w:t>Deferred Revenue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records deferred revenue when payments are due or received in advance of the fulfillment of our associated performance obligations; reductions to deferred revenue balance were primarily due to the recognition of revenue upon fulfillment of our performance obligations, which were in the ordinary course of business. As of December 31, 2022, the balance of deferred revenue was $9,551,445, of which $2.7 million is due to non-refundable payments. We are expecting to recognize $0.4 million of the $2.7 million in the next 12 months through the platform releases of certain DLCs and the remaining $2.3 million in the next 24 months through the release of </w:t>
      </w:r>
      <w:r>
        <w:rPr>
          <w:rFonts w:ascii="Times New Roman;Times;serif" w:hAnsi="Times New Roman;Times;serif"/>
          <w:i/>
          <w:sz w:val="20"/>
        </w:rPr>
        <w:t>ARK II</w:t>
      </w:r>
      <w:r>
        <w:rPr>
          <w:rFonts w:ascii="Times New Roman;Times;serif" w:hAnsi="Times New Roman;Times;serif"/>
          <w:sz w:val="20"/>
        </w:rPr>
        <w:t xml:space="preserve">. The Company expects to recognize $4.0 million of </w:t>
      </w:r>
      <w:r>
        <w:rPr>
          <w:rFonts w:ascii="Times New Roman;Times;serif" w:hAnsi="Times New Roman;Times;serif"/>
          <w:b w:val="false"/>
          <w:i w:val="false"/>
          <w:caps w:val="false"/>
          <w:smallCaps w:val="false"/>
          <w:sz w:val="20"/>
        </w:rPr>
        <w:t>current deferred</w:t>
      </w:r>
      <w:r>
        <w:rPr>
          <w:rFonts w:ascii="Times New Roman;Times;serif" w:hAnsi="Times New Roman;Times;serif"/>
          <w:sz w:val="20"/>
        </w:rPr>
        <w:t xml:space="preserve"> revenues and $2.9 million of </w:t>
      </w:r>
      <w:r>
        <w:rPr>
          <w:rFonts w:ascii="Times New Roman;Times;serif" w:hAnsi="Times New Roman;Times;serif"/>
          <w:b w:val="false"/>
          <w:i w:val="false"/>
          <w:caps w:val="false"/>
          <w:smallCaps w:val="false"/>
          <w:sz w:val="20"/>
        </w:rPr>
        <w:t>long</w:t>
      </w:r>
      <w:r>
        <w:rPr>
          <w:rFonts w:ascii="Times New Roman;Times;serif" w:hAnsi="Times New Roman;Times;serif"/>
          <w:sz w:val="20"/>
        </w:rPr>
        <w:t xml:space="preserve"> term deferred </w:t>
      </w:r>
      <w:r>
        <w:rPr>
          <w:rFonts w:ascii="Times New Roman;Times;serif" w:hAnsi="Times New Roman;Times;serif"/>
          <w:b w:val="false"/>
          <w:i w:val="false"/>
          <w:caps w:val="false"/>
          <w:smallCaps w:val="false"/>
          <w:sz w:val="20"/>
        </w:rPr>
        <w:t>revenue</w:t>
      </w:r>
      <w:r>
        <w:rPr>
          <w:rFonts w:ascii="Times New Roman;Times;serif" w:hAnsi="Times New Roman;Times;serif"/>
          <w:sz w:val="20"/>
        </w:rPr>
        <w:t xml:space="preserve"> as </w:t>
      </w:r>
      <w:r>
        <w:rPr>
          <w:rFonts w:ascii="Times New Roman;Times;serif" w:hAnsi="Times New Roman;Times;serif"/>
          <w:b w:val="false"/>
          <w:i w:val="false"/>
          <w:caps w:val="false"/>
          <w:smallCaps w:val="false"/>
          <w:sz w:val="20"/>
        </w:rPr>
        <w:t>revenue</w:t>
      </w:r>
      <w:r>
        <w:rPr>
          <w:rFonts w:ascii="Times New Roman;Times;serif" w:hAnsi="Times New Roman;Times;serif"/>
          <w:sz w:val="20"/>
        </w:rPr>
        <w:t xml:space="preserve"> over the next </w:t>
      </w:r>
      <w:r>
        <w:rPr>
          <w:rFonts w:ascii="Times New Roman;Times;serif" w:hAnsi="Times New Roman;Times;serif"/>
          <w:b w:val="false"/>
          <w:i w:val="false"/>
          <w:caps w:val="false"/>
          <w:smallCaps w:val="false"/>
          <w:sz w:val="20"/>
        </w:rPr>
        <w:t>12</w:t>
      </w:r>
      <w:r>
        <w:rPr>
          <w:rFonts w:ascii="Times New Roman;Times;serif" w:hAnsi="Times New Roman;Times;serif"/>
          <w:sz w:val="20"/>
        </w:rPr>
        <w:t xml:space="preserve"> to 60 months. The revenue will be recognized on a straight line basis; based on our estimates of technical support obligations and activation of durable virtual goods. Activities in the Company’s deferred revenue as of December 31, 2022 and 2021 were as follows:</w:t>
      </w:r>
    </w:p>
    <w:p>
      <w:pPr>
        <w:pStyle w:val="TextBody"/>
        <w:spacing w:before="0" w:after="0"/>
        <w:ind w:left="0" w:right="0" w:hanging="0"/>
        <w:rPr/>
      </w:pPr>
      <w:r>
        <w:rPr/>
        <w:t>​</w:t>
      </w:r>
    </w:p>
    <w:tbl>
      <w:tblPr>
        <w:tblW w:w="9957" w:type="dxa"/>
        <w:jc w:val="left"/>
        <w:tblInd w:w="0" w:type="dxa"/>
        <w:tblCellMar>
          <w:top w:w="0" w:type="dxa"/>
          <w:left w:w="0" w:type="dxa"/>
          <w:bottom w:w="0" w:type="dxa"/>
          <w:right w:w="0" w:type="dxa"/>
        </w:tblCellMar>
      </w:tblPr>
      <w:tblGrid>
        <w:gridCol w:w="6526"/>
        <w:gridCol w:w="326"/>
        <w:gridCol w:w="211"/>
        <w:gridCol w:w="1156"/>
        <w:gridCol w:w="326"/>
        <w:gridCol w:w="211"/>
        <w:gridCol w:w="1201"/>
      </w:tblGrid>
      <w:tr>
        <w:trPr/>
        <w:tc>
          <w:tcPr>
            <w:tcW w:w="6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144010" cy="175260"/>
                      <wp:effectExtent l="0" t="0" r="0" b="0"/>
                      <wp:wrapNone/>
                      <wp:docPr id="224" name="Frame223"/>
                      <a:graphic xmlns:a="http://schemas.openxmlformats.org/drawingml/2006/main">
                        <a:graphicData uri="http://schemas.microsoft.com/office/word/2010/wordprocessingShape">
                          <wps:wsp>
                            <wps:cNvSpPr txBox="1"/>
                            <wps:spPr>
                              <a:xfrm>
                                <a:off x="0" y="0"/>
                                <a:ext cx="4144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5" name="Frame2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6" name="Frame2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734060" cy="175260"/>
                      <wp:effectExtent l="0" t="0" r="0" b="0"/>
                      <wp:wrapNone/>
                      <wp:docPr id="227" name="Frame226"/>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28"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29" name="Frame2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762635" cy="175260"/>
                      <wp:effectExtent l="0" t="0" r="0" b="0"/>
                      <wp:wrapNone/>
                      <wp:docPr id="230" name="Frame229"/>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5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rPr/>
            </w:pPr>
            <w:r>
              <w:rPr/>
              <w:t>​</w:t>
            </w:r>
          </w:p>
        </w:tc>
        <w:tc>
          <w:tcPr>
            <w:tcW w:w="141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5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4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 beginning balance in advance of revenue recognition billing</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20,280,934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34,529,335</w:t>
            </w:r>
          </w:p>
        </w:tc>
      </w:tr>
      <w:tr>
        <w:trPr/>
        <w:tc>
          <w:tcPr>
            <w:tcW w:w="6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recognized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(18,832,396)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(26,478,997)</w:t>
            </w:r>
          </w:p>
        </w:tc>
      </w:tr>
      <w:tr>
        <w:trPr/>
        <w:tc>
          <w:tcPr>
            <w:tcW w:w="6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deferred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8,102,908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12,230,596</w:t>
            </w:r>
          </w:p>
        </w:tc>
      </w:tr>
      <w:tr>
        <w:trPr/>
        <w:tc>
          <w:tcPr>
            <w:tcW w:w="6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 ending balance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9,551,446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20,280,934</w:t>
            </w:r>
          </w:p>
        </w:tc>
      </w:tr>
      <w:tr>
        <w:trPr/>
        <w:tc>
          <w:tcPr>
            <w:tcW w:w="65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short term portion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(4,335,404)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(11,005,517)</w:t>
            </w:r>
          </w:p>
        </w:tc>
      </w:tr>
      <w:tr>
        <w:trPr/>
        <w:tc>
          <w:tcPr>
            <w:tcW w:w="6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 long term</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5,216,042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9,275,417</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1261" w:name="Tc_fIWESyuOi06_N5D4gBr6ew_4_5"/>
      <w:bookmarkStart w:id="1262" w:name="Tc_Duugg5OlOkOQ_nbhj0eV_w_4_2"/>
      <w:bookmarkStart w:id="1263" w:name="Tc_2TI313xbuE2HzGGyaGBtYg_4_0"/>
      <w:bookmarkStart w:id="1264" w:name="Tc_4SQBocYiZUu5hCwOiLpJRg_3_0"/>
      <w:bookmarkStart w:id="1265" w:name="Tc_wk9zC3uO2EqJjGiwpdNwMQ_2_5"/>
      <w:bookmarkStart w:id="1266" w:name="Tc_flcD_AwdF0-1Kfq4ytj1IQ_2_2"/>
      <w:bookmarkStart w:id="1267" w:name="Tc_92okJYshukKfVyEp3n54hA_2_0"/>
      <w:bookmarkStart w:id="1268" w:name="Tc_vst4GuvCPkakGb6LE4fnDg_1_5"/>
      <w:bookmarkStart w:id="1269" w:name="Tc_2Bijp9MukEuCvJy6CfFeQg_1_2"/>
      <w:bookmarkEnd w:id="1261"/>
      <w:bookmarkEnd w:id="1262"/>
      <w:bookmarkEnd w:id="1263"/>
      <w:bookmarkEnd w:id="1264"/>
      <w:bookmarkEnd w:id="1265"/>
      <w:bookmarkEnd w:id="1266"/>
      <w:bookmarkEnd w:id="1267"/>
      <w:bookmarkEnd w:id="1268"/>
      <w:bookmarkEnd w:id="1269"/>
      <w:r>
        <w:rPr>
          <w:rFonts w:ascii="Times New Roman;Times;serif" w:hAnsi="Times New Roman;Times;serif"/>
          <w:b/>
          <w:sz w:val="20"/>
        </w:rPr>
        <w:t>NOTE 4 — CASH AND CASH EQUIVALENTS, AND RESTRICTED CASH AND CASH EQUIVALENTS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equivalents are valued using quoted market prices or other readily available market information. The Company has $6,374,368 and $6,389,777 as of December 31, 2022 and 2021, respectively, as security for the debt with a financial institution (see Note 15 — </w:t>
      </w:r>
      <w:r>
        <w:rPr>
          <w:rFonts w:ascii="Times New Roman;Times;serif" w:hAnsi="Times New Roman;Times;serif"/>
          <w:i/>
          <w:sz w:val="20"/>
        </w:rPr>
        <w:t>Revolving Loan, Short Term Note, and Long-Term Debt</w:t>
      </w:r>
      <w:r>
        <w:rPr>
          <w:rFonts w:ascii="Times New Roman;Times;serif" w:hAnsi="Times New Roman;Times;serif"/>
          <w:sz w:val="20"/>
        </w:rPr>
        <w:t>) and to secure standby letters of credit with landlords. The following table summarizes the components of the Company’s cash and cash equivalents, and restricted cash and cash equivalents as of December 31, 2022 and 2021:</w:t>
      </w:r>
    </w:p>
    <w:p>
      <w:pPr>
        <w:pStyle w:val="TextBody"/>
        <w:spacing w:before="0" w:after="0"/>
        <w:ind w:left="0" w:right="0" w:hanging="0"/>
        <w:rPr/>
      </w:pPr>
      <w:r>
        <w:rPr/>
        <w:t>​</w:t>
      </w:r>
    </w:p>
    <w:tbl>
      <w:tblPr>
        <w:tblW w:w="8847" w:type="dxa"/>
        <w:jc w:val="left"/>
        <w:tblInd w:w="0" w:type="dxa"/>
        <w:tblCellMar>
          <w:top w:w="0" w:type="dxa"/>
          <w:left w:w="0" w:type="dxa"/>
          <w:bottom w:w="0" w:type="dxa"/>
          <w:right w:w="0" w:type="dxa"/>
        </w:tblCellMar>
      </w:tblPr>
      <w:tblGrid>
        <w:gridCol w:w="5596"/>
        <w:gridCol w:w="326"/>
        <w:gridCol w:w="211"/>
        <w:gridCol w:w="1036"/>
        <w:gridCol w:w="326"/>
        <w:gridCol w:w="211"/>
        <w:gridCol w:w="1141"/>
      </w:tblGrid>
      <w:tr>
        <w:trPr/>
        <w:tc>
          <w:tcPr>
            <w:tcW w:w="5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553460" cy="175260"/>
                      <wp:effectExtent l="0" t="0" r="0" b="0"/>
                      <wp:wrapNone/>
                      <wp:docPr id="231" name="Frame230"/>
                      <a:graphic xmlns:a="http://schemas.openxmlformats.org/drawingml/2006/main">
                        <a:graphicData uri="http://schemas.microsoft.com/office/word/2010/wordprocessingShape">
                          <wps:wsp>
                            <wps:cNvSpPr txBox="1"/>
                            <wps:spPr>
                              <a:xfrm>
                                <a:off x="0" y="0"/>
                                <a:ext cx="3553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3" name="Frame2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57860" cy="175260"/>
                      <wp:effectExtent l="0" t="0" r="0" b="0"/>
                      <wp:wrapNone/>
                      <wp:docPr id="234" name="Frame23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5" name="Frame2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6" name="Frame23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24535" cy="175260"/>
                      <wp:effectExtent l="0" t="0" r="0" b="0"/>
                      <wp:wrapNone/>
                      <wp:docPr id="237" name="Frame23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12,863,817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10,164,338</w:t>
            </w:r>
          </w:p>
        </w:tc>
      </w:tr>
      <w:tr>
        <w:trPr/>
        <w:tc>
          <w:tcPr>
            <w:tcW w:w="5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cash and cash equivalents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6,374,368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6,389,777</w:t>
            </w:r>
          </w:p>
        </w:tc>
      </w:tr>
      <w:tr>
        <w:trPr/>
        <w:tc>
          <w:tcPr>
            <w:tcW w:w="5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and restricted 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19,238,185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16,554,115</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1270" w:name="Tc_n88RKDFTvk2nYkdnyqBdOA_4_5"/>
      <w:bookmarkStart w:id="1271" w:name="Tc_aLFq04uxjEWvF5O0TzEFVg_4_2"/>
      <w:bookmarkStart w:id="1272" w:name="Tc_6LK9e7d2VEu5cS_H-nFxPg_4_0"/>
      <w:bookmarkStart w:id="1273" w:name="Tc_1I-cl5Ucwka0ocpnOUesfA_3_0"/>
      <w:bookmarkStart w:id="1274" w:name="Tc_XYkymuOkVkOuJDLuKkS06Q_2_5"/>
      <w:bookmarkStart w:id="1275" w:name="Tc_WpRSVvJbo0i1VO1N0u-zxg_2_2"/>
      <w:bookmarkStart w:id="1276" w:name="Tc_liKaLJGZ2EqEsU-xNP9_RQ_2_0"/>
      <w:bookmarkStart w:id="1277" w:name="Tc_PEcfxyiftUGN8XawPG6mNQ_1_5"/>
      <w:bookmarkStart w:id="1278" w:name="Tc_yCCuwKT4akCB-xHEuDmOVA_1_2"/>
      <w:bookmarkEnd w:id="1270"/>
      <w:bookmarkEnd w:id="1271"/>
      <w:bookmarkEnd w:id="1272"/>
      <w:bookmarkEnd w:id="1273"/>
      <w:bookmarkEnd w:id="1274"/>
      <w:bookmarkEnd w:id="1275"/>
      <w:bookmarkEnd w:id="1276"/>
      <w:bookmarkEnd w:id="1277"/>
      <w:bookmarkEnd w:id="1278"/>
      <w:r>
        <w:rPr>
          <w:rFonts w:ascii="Times New Roman;Times;serif" w:hAnsi="Times New Roman;Times;serif"/>
          <w:b/>
          <w:sz w:val="20"/>
        </w:rPr>
        <w:t>NOTE 5 — ACCOUNTS RECEIVABLE — RELATED PARTY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 — related party represents receivables in the ordinary course of business attributable to certain mobile game revenues that, for administrative reasons, are collected by a related party and that the related party has not remitted back to the Company. The accounts receivable is offset by payables due to the related party for royalties, internet data center (“IDC”) and marketing costs. Accounts receivable — related party is non-interest bearing and due on demand. The related party is 100% owned and controlled by the wife of the Founder and Chairman of the Company. As of December 31, 2022 and 2021, the outstanding balance of net accounts receivable from related party was as follows:</w:t>
      </w:r>
    </w:p>
    <w:p>
      <w:pPr>
        <w:pStyle w:val="TextBody"/>
        <w:spacing w:before="0" w:after="240"/>
        <w:ind w:left="0" w:right="0" w:hanging="0"/>
        <w:jc w:val="both"/>
        <w:rPr/>
      </w:pPr>
      <w:r>
        <w:rPr/>
        <w:t>​</w:t>
      </w:r>
    </w:p>
    <w:tbl>
      <w:tblPr>
        <w:tblW w:w="6552" w:type="dxa"/>
        <w:jc w:val="left"/>
        <w:tblInd w:w="0" w:type="dxa"/>
        <w:tblCellMar>
          <w:top w:w="0" w:type="dxa"/>
          <w:left w:w="0" w:type="dxa"/>
          <w:bottom w:w="0" w:type="dxa"/>
          <w:right w:w="0" w:type="dxa"/>
        </w:tblCellMar>
      </w:tblPr>
      <w:tblGrid>
        <w:gridCol w:w="3331"/>
        <w:gridCol w:w="326"/>
        <w:gridCol w:w="211"/>
        <w:gridCol w:w="1051"/>
        <w:gridCol w:w="326"/>
        <w:gridCol w:w="211"/>
        <w:gridCol w:w="1096"/>
      </w:tblGrid>
      <w:tr>
        <w:trPr/>
        <w:tc>
          <w:tcPr>
            <w:tcW w:w="3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15185" cy="175260"/>
                      <wp:effectExtent l="0" t="0" r="0" b="0"/>
                      <wp:wrapNone/>
                      <wp:docPr id="238" name="Frame237"/>
                      <a:graphic xmlns:a="http://schemas.openxmlformats.org/drawingml/2006/main">
                        <a:graphicData uri="http://schemas.microsoft.com/office/word/2010/wordprocessingShape">
                          <wps:wsp>
                            <wps:cNvSpPr txBox="1"/>
                            <wps:spPr>
                              <a:xfrm>
                                <a:off x="0" y="0"/>
                                <a:ext cx="2115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39" name="Frame2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0" name="Frame2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67385" cy="175260"/>
                      <wp:effectExtent l="0" t="0" r="0" b="0"/>
                      <wp:wrapNone/>
                      <wp:docPr id="241" name="Frame240"/>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2" name="Frame2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3" name="Frame2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5960" cy="175260"/>
                      <wp:effectExtent l="0" t="0" r="0" b="0"/>
                      <wp:wrapNone/>
                      <wp:docPr id="244" name="Frame243"/>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3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 related party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13,519,409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13,519,409</w:t>
            </w:r>
          </w:p>
        </w:tc>
      </w:tr>
      <w:tr>
        <w:trPr/>
        <w:tc>
          <w:tcPr>
            <w:tcW w:w="3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Accounts payable – related party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(2,175,225)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(5,083,586)</w:t>
            </w:r>
          </w:p>
        </w:tc>
      </w:tr>
      <w:tr>
        <w:trPr/>
        <w:tc>
          <w:tcPr>
            <w:tcW w:w="3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 related party,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11,344,184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8,435,823</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6 – DUE FROM SHAREHOLDER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receivables from related party consisted of monies that the Company lent to the Company’s Founder and Chairman, who is also the majority shareholder of Suzhou Snail. The loan bore 2.0% per annum interest. Both the loan receivable and the interest receivable are presented as contra equity in our consolidated statements of equity for a total of $94,353,522 as of December 31, 2021. On April 26, 2022, the Company, with approval from its Board of Directors and in accordance with applicable laws and regulations, assigned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receivables – related party (“due from shareholder” or the “Shi Loan”) of $94,934,400 outstanding including interest, to Suzhou Snail, which assumed the loan as creditor. Simultaneously, the Company declared and paid Suzhou Snail an in-kind dividend with an aggregate amount equal to $94,934,400 on April 26, 2022; see Note 7 – </w:t>
      </w:r>
      <w:r>
        <w:rPr>
          <w:rFonts w:ascii="Times New Roman;Times;serif" w:hAnsi="Times New Roman;Times;serif"/>
          <w:i/>
          <w:sz w:val="20"/>
        </w:rPr>
        <w:t>Dividend Distribution</w:t>
      </w:r>
      <w:r>
        <w:rPr>
          <w:rFonts w:ascii="Times New Roman;Times;serif" w:hAnsi="Times New Roman;Times;serif"/>
          <w:sz w:val="20"/>
        </w:rPr>
        <w:t>. As of December 31, 2022, the other receivable was $0 and no longer reflected on the Company’s consolidated balance sheets. The loan accrued interest of $580,878 and $1,523,149 during the years ended December 31, 2022 and 2021 respectively. The earned interest is reported in interest income – related parties in the Company’s consolidated statements of comprehensive income.</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7 – DIVIDEND DISTRIBUTION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26, 2022, the Company declared an in-kind dividend of $94,934,400 for the assignment of the due from shareholder and a cash dividend of $8,200,000 to pay the related withholding taxes; see Note 6 – </w:t>
      </w:r>
      <w:r>
        <w:rPr>
          <w:rFonts w:ascii="Times New Roman;Times;serif" w:hAnsi="Times New Roman;Times;serif"/>
          <w:i/>
          <w:sz w:val="20"/>
        </w:rPr>
        <w:t>Due from Shareholder.</w:t>
      </w:r>
      <w:r>
        <w:rPr>
          <w:rFonts w:ascii="Times New Roman;Times;serif" w:hAnsi="Times New Roman;Times;serif"/>
          <w:sz w:val="20"/>
        </w:rPr>
        <w:t xml:space="preserve"> There were no such distributions during the year ended December 31, 2021.</w:t>
      </w:r>
    </w:p>
    <w:p>
      <w:pPr>
        <w:pStyle w:val="TextBody"/>
        <w:spacing w:before="0" w:after="240"/>
        <w:ind w:left="0" w:right="0" w:hanging="0"/>
        <w:jc w:val="both"/>
        <w:rPr>
          <w:rFonts w:ascii="Times New Roman;Times;serif" w:hAnsi="Times New Roman;Times;serif"/>
          <w:b/>
          <w:sz w:val="20"/>
        </w:rPr>
      </w:pPr>
      <w:bookmarkStart w:id="1279" w:name="Tc_kancRoClKUK-PwPNbwajWw_6_6"/>
      <w:bookmarkStart w:id="1280" w:name="Tc_7l-9eg_II06BWd1GnHZ8NA_6_5"/>
      <w:bookmarkStart w:id="1281" w:name="Tc_gXhPgZBJiEmKRhpyyJRcLw_6_2"/>
      <w:bookmarkStart w:id="1282" w:name="Tc_o1B-_vGLcEaU-nEDZ3cUOA_6_0"/>
      <w:bookmarkStart w:id="1283" w:name="Tc_TO9xbWQoFUCKCscu8taOvQ_5_3"/>
      <w:bookmarkStart w:id="1284" w:name="Tc_vbqnIDKPhEy8N4DfKSrRsw_5_0"/>
      <w:bookmarkStart w:id="1285" w:name="Tc_oXFGaHfxpUOj1wIHwNn13w_4_0"/>
      <w:bookmarkStart w:id="1286" w:name="Tc__mHjv1I_q0OF0rO2QWDdLg_3_6"/>
      <w:bookmarkStart w:id="1287" w:name="Tc_UhllG4Dwwk2PDx6eIMVYvg_3_0"/>
      <w:bookmarkStart w:id="1288" w:name="Tc_zPEdGSZ4uUe4kOqOWBtwww_2_5"/>
      <w:bookmarkStart w:id="1289" w:name="Tc_lpYoMFwFK0Si2BZvcWoYtA_2_2"/>
      <w:bookmarkStart w:id="1290" w:name="Tc_gpVIQ7MSkESHAT6jDzM6vA_2_0"/>
      <w:bookmarkStart w:id="1291" w:name="Tc_152BmaiQw0KMA78BjLh7Qg_1_5"/>
      <w:bookmarkStart w:id="1292" w:name="Tc_M8NowiwJ4EavFKV4ja2GjQ_1_2"/>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r>
        <w:rPr>
          <w:rFonts w:ascii="Times New Roman;Times;serif" w:hAnsi="Times New Roman;Times;serif"/>
          <w:b/>
          <w:sz w:val="20"/>
        </w:rPr>
        <w:t>NOTE 8 – PREPAID EXPENSES - RELATED PARTY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December 31, 2022 the Company prepaid $5,000,000 for exclusive license rights to </w:t>
      </w:r>
      <w:r>
        <w:rPr>
          <w:rFonts w:ascii="Times New Roman;Times;serif" w:hAnsi="Times New Roman;Times;serif"/>
          <w:i/>
          <w:sz w:val="20"/>
        </w:rPr>
        <w:t>ARK 2</w:t>
      </w:r>
      <w:r>
        <w:rPr>
          <w:rFonts w:ascii="Times New Roman;Times;serif" w:hAnsi="Times New Roman;Times;serif"/>
          <w:sz w:val="20"/>
        </w:rPr>
        <w:t xml:space="preserve"> to a related party. No such payments were made in the year ended December 31, 2021. Prepaid expenses — related party consisted of the following as of December 31, 2022 and 2021:</w:t>
      </w:r>
    </w:p>
    <w:p>
      <w:pPr>
        <w:pStyle w:val="TextBody"/>
        <w:spacing w:before="0" w:after="0"/>
        <w:ind w:left="0" w:right="0" w:hanging="0"/>
        <w:jc w:val="both"/>
        <w:rPr/>
      </w:pPr>
      <w:r>
        <w:rPr/>
        <w:t>​</w:t>
      </w:r>
    </w:p>
    <w:tbl>
      <w:tblPr>
        <w:tblW w:w="7197" w:type="dxa"/>
        <w:jc w:val="left"/>
        <w:tblInd w:w="0" w:type="dxa"/>
        <w:tblCellMar>
          <w:top w:w="0" w:type="dxa"/>
          <w:left w:w="0" w:type="dxa"/>
          <w:bottom w:w="0" w:type="dxa"/>
          <w:right w:w="0" w:type="dxa"/>
        </w:tblCellMar>
      </w:tblPr>
      <w:tblGrid>
        <w:gridCol w:w="4096"/>
        <w:gridCol w:w="326"/>
        <w:gridCol w:w="211"/>
        <w:gridCol w:w="931"/>
        <w:gridCol w:w="326"/>
        <w:gridCol w:w="211"/>
        <w:gridCol w:w="1096"/>
      </w:tblGrid>
      <w:tr>
        <w:trPr/>
        <w:tc>
          <w:tcPr>
            <w:tcW w:w="4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rPr/>
            </w:pPr>
            <w:r>
              <w:rPr/>
              <w:t>​</w:t>
            </w:r>
          </w:p>
        </w:tc>
      </w:tr>
      <w:tr>
        <w:trPr/>
        <w:tc>
          <w:tcPr>
            <w:tcW w:w="40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3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royalties</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582,500</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3,145,000</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licenses</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5,000,000</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 related party, ending balance</w:t>
            </w:r>
          </w:p>
        </w:tc>
        <w:tc>
          <w:tcPr>
            <w:tcW w:w="326" w:type="dxa"/>
            <w:tcBorders/>
            <w:shd w:fill="CCEEFF" w:val="clear"/>
            <w:vAlign w:val="center"/>
          </w:tcPr>
          <w:p>
            <w:pPr>
              <w:pStyle w:val="TableContents"/>
              <w:spacing w:before="0" w:after="0"/>
              <w:ind w:left="0" w:right="0" w:hanging="0"/>
              <w:rPr/>
            </w:pPr>
            <w:r>
              <w:rPr/>
              <w:t> </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5,582,500</w:t>
            </w:r>
          </w:p>
        </w:tc>
        <w:tc>
          <w:tcPr>
            <w:tcW w:w="326" w:type="dxa"/>
            <w:tcBorders/>
            <w:shd w:fill="CCEEFF" w:val="clear"/>
            <w:vAlign w:val="center"/>
          </w:tcPr>
          <w:p>
            <w:pPr>
              <w:pStyle w:val="TableContents"/>
              <w:spacing w:before="0" w:after="0"/>
              <w:ind w:left="0" w:right="0" w:hanging="0"/>
              <w:rPr/>
            </w:pPr>
            <w:r>
              <w:rPr/>
              <w:t> </w:t>
            </w:r>
          </w:p>
        </w:tc>
        <w:tc>
          <w:tcPr>
            <w:tcW w:w="21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109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3,145,000</w:t>
            </w:r>
          </w:p>
        </w:tc>
      </w:tr>
      <w:tr>
        <w:trPr/>
        <w:tc>
          <w:tcPr>
            <w:tcW w:w="40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short-term portion</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(3,145,000)</w:t>
            </w:r>
          </w:p>
        </w:tc>
      </w:tr>
      <w:tr>
        <w:trPr/>
        <w:tc>
          <w:tcPr>
            <w:tcW w:w="40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prepaid expenses – related party, long-term</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5,582,500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bookmarkStart w:id="1293" w:name="Tc_B1RhcT_ubkGo1-A0iY4Z7A_5_5"/>
      <w:bookmarkStart w:id="1294" w:name="Tc_TtNLlbT6P0WqyKjKG9Hobw_5_2"/>
      <w:bookmarkStart w:id="1295" w:name="Tc_Vq1K-mibj0WoytrV1cnPuQ_5_0"/>
      <w:bookmarkStart w:id="1296" w:name="Tc_W27lVXBsQkK7m6d6J9AFlg_4_0"/>
      <w:bookmarkStart w:id="1297" w:name="Tc_h-0jSQagCUmBHcfM7wLkRg_3_0"/>
      <w:bookmarkStart w:id="1298" w:name="Tc_wqAo3W8meEOtpBvnCAef2g_2_5"/>
      <w:bookmarkStart w:id="1299" w:name="Tc_syIm7drXF0-4nSKPkhz0Mg_2_2"/>
      <w:bookmarkStart w:id="1300" w:name="Tc_VQcNER2YCECislU1p0-Tiw_2_0"/>
      <w:bookmarkStart w:id="1301" w:name="Tc_pjnFk2WNA0aFM6zi6Co8yQ_1_5"/>
      <w:bookmarkStart w:id="1302" w:name="Tc_du7XR4viUUKTnngi6ABqVQ_1_2"/>
      <w:bookmarkEnd w:id="1293"/>
      <w:bookmarkEnd w:id="1294"/>
      <w:bookmarkEnd w:id="1295"/>
      <w:bookmarkEnd w:id="1296"/>
      <w:bookmarkEnd w:id="1297"/>
      <w:bookmarkEnd w:id="1298"/>
      <w:bookmarkEnd w:id="1299"/>
      <w:bookmarkEnd w:id="1300"/>
      <w:bookmarkEnd w:id="1301"/>
      <w:bookmarkEnd w:id="1302"/>
      <w:r>
        <w:rPr>
          <w:rFonts w:ascii="Times New Roman;Times;serif" w:hAnsi="Times New Roman;Times;serif"/>
          <w:b/>
          <w:sz w:val="20"/>
        </w:rPr>
        <w:t>NOTE 9 – PREPAID EXPENSES AND OTHER CURRENT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2022, the Company received $1,500,000 from Pound Sand, LLC in connection with the Company’s sale of its membership interest in Pound Sand, LLC on December 3, 2020; this amount was included as a receivable in the prepaid expenses and other current assets as of December 31, 2021 in the accompanying consolidated balance sheets.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 consisted of the following as of December 31, 2022 and 2021:</w:t>
      </w:r>
    </w:p>
    <w:p>
      <w:pPr>
        <w:pStyle w:val="TextBody"/>
        <w:spacing w:before="0" w:after="0"/>
        <w:ind w:left="0" w:right="0" w:hanging="0"/>
        <w:rPr/>
      </w:pPr>
      <w:r>
        <w:rPr/>
        <w:t>​</w:t>
      </w:r>
    </w:p>
    <w:tbl>
      <w:tblPr>
        <w:tblW w:w="7182" w:type="dxa"/>
        <w:jc w:val="left"/>
        <w:tblInd w:w="0" w:type="dxa"/>
        <w:tblCellMar>
          <w:top w:w="0" w:type="dxa"/>
          <w:left w:w="0" w:type="dxa"/>
          <w:bottom w:w="0" w:type="dxa"/>
          <w:right w:w="0" w:type="dxa"/>
        </w:tblCellMar>
      </w:tblPr>
      <w:tblGrid>
        <w:gridCol w:w="3931"/>
        <w:gridCol w:w="326"/>
        <w:gridCol w:w="211"/>
        <w:gridCol w:w="1036"/>
        <w:gridCol w:w="326"/>
        <w:gridCol w:w="211"/>
        <w:gridCol w:w="1141"/>
      </w:tblGrid>
      <w:tr>
        <w:trPr/>
        <w:tc>
          <w:tcPr>
            <w:tcW w:w="3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496185" cy="175260"/>
                      <wp:effectExtent l="0" t="0" r="0" b="0"/>
                      <wp:wrapNone/>
                      <wp:docPr id="245" name="Frame244"/>
                      <a:graphic xmlns:a="http://schemas.openxmlformats.org/drawingml/2006/main">
                        <a:graphicData uri="http://schemas.microsoft.com/office/word/2010/wordprocessingShape">
                          <wps:wsp>
                            <wps:cNvSpPr txBox="1"/>
                            <wps:spPr>
                              <a:xfrm>
                                <a:off x="0" y="0"/>
                                <a:ext cx="2496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6" name="Frame2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47" name="Frame2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57860" cy="175260"/>
                      <wp:effectExtent l="0" t="0" r="0" b="0"/>
                      <wp:wrapNone/>
                      <wp:docPr id="248" name="Frame24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49" name="Frame2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0" name="Frame2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724535" cy="175260"/>
                      <wp:effectExtent l="0" t="0" r="0" b="0"/>
                      <wp:wrapNone/>
                      <wp:docPr id="251" name="Frame25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9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income taxes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9,822,603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8,217,660</w:t>
            </w:r>
          </w:p>
        </w:tc>
      </w:tr>
      <w:tr>
        <w:trPr/>
        <w:tc>
          <w:tcPr>
            <w:tcW w:w="39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prepaids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80,271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861,332</w:t>
            </w:r>
          </w:p>
        </w:tc>
      </w:tr>
      <w:tr>
        <w:trPr/>
        <w:tc>
          <w:tcPr>
            <w:tcW w:w="39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662,267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1,938,015</w:t>
            </w:r>
          </w:p>
        </w:tc>
      </w:tr>
      <w:tr>
        <w:trPr/>
        <w:tc>
          <w:tcPr>
            <w:tcW w:w="39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10,565,141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11,017,007</w:t>
            </w:r>
          </w:p>
        </w:tc>
      </w:tr>
    </w:tbl>
    <w:p>
      <w:pPr>
        <w:pStyle w:val="TextBody"/>
        <w:spacing w:before="0" w:after="240"/>
        <w:ind w:left="400" w:right="0" w:hanging="0"/>
        <w:jc w:val="both"/>
        <w:rPr/>
      </w:pPr>
      <w:r>
        <w:rPr/>
        <w:t>​</w:t>
      </w:r>
    </w:p>
    <w:p>
      <w:pPr>
        <w:pStyle w:val="TextBody"/>
        <w:spacing w:before="0" w:after="240"/>
        <w:ind w:left="403"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10 – PROPERTY, PLANT AND EQUIPMENT, NET</w:t>
      </w:r>
    </w:p>
    <w:p>
      <w:pPr>
        <w:pStyle w:val="TextBody"/>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Property, plant and equipment, net consisted of the following as of December 31, 2022 and 2021:</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Normal"/>
        <w:spacing w:before="0" w:after="0"/>
        <w:rPr>
          <w:sz w:val="4"/>
          <w:szCs w:val="4"/>
        </w:rPr>
      </w:pPr>
      <w:r>
        <w:rPr>
          <w:sz w:val="4"/>
          <w:szCs w:val="4"/>
        </w:rPr>
      </w:r>
      <w:bookmarkStart w:id="1303" w:name="Tc_PBteFWVsh0GsxBwCaoHnOw_11_5"/>
      <w:bookmarkStart w:id="1304" w:name="Tc_fJXksIhh3Uac5Dq3QtsOtg_11_2"/>
      <w:bookmarkStart w:id="1305" w:name="Tc_BrNu2HYFz0CnyfJhK26iaw_11_0"/>
      <w:bookmarkStart w:id="1306" w:name="Tc_5Y14HscBVk-OMevJM0Ohbg_10_0"/>
      <w:bookmarkStart w:id="1307" w:name="Tc_ta-98vuZJ0-wLk5Qi36M_w_8_0"/>
      <w:bookmarkStart w:id="1308" w:name="Tc_5f_9EpON_E2XDUWqI_MomQ_7_0"/>
      <w:bookmarkStart w:id="1309" w:name="Tc_XRjzpZ51kkaKPB_9dCw-ag_6_0"/>
      <w:bookmarkStart w:id="1310" w:name="Tc_WH1I0jz080q2Tbmmj7Ah8g_5_0"/>
      <w:bookmarkStart w:id="1311" w:name="Tc_2n1P2V6SykGUhwiMkxRFTw_4_0"/>
      <w:bookmarkStart w:id="1312" w:name="Tc_Yw-ynhSTJUqAD1X4EuNC7A_3_0"/>
      <w:bookmarkStart w:id="1313" w:name="Tc_tijSLlAy30m84GQIQuwtQA_2_5"/>
      <w:bookmarkStart w:id="1314" w:name="Tc_gQVEr0gL2E-uugswEDidEg_2_2"/>
      <w:bookmarkStart w:id="1315" w:name="Tc_XPslTo5S_UaPa1kYecABOw_2_0"/>
      <w:bookmarkStart w:id="1316" w:name="Tc_OsUwW9AUfUmKAV-mS2CI-Q_1_5"/>
      <w:bookmarkStart w:id="1317" w:name="Tc_-9Er4psoOEuWNvnyKo8BLA_1_2"/>
      <w:bookmarkStart w:id="1318" w:name="Tc_PBteFWVsh0GsxBwCaoHnOw_11_5"/>
      <w:bookmarkStart w:id="1319" w:name="Tc_fJXksIhh3Uac5Dq3QtsOtg_11_2"/>
      <w:bookmarkStart w:id="1320" w:name="Tc_BrNu2HYFz0CnyfJhK26iaw_11_0"/>
      <w:bookmarkStart w:id="1321" w:name="Tc_5Y14HscBVk-OMevJM0Ohbg_10_0"/>
      <w:bookmarkStart w:id="1322" w:name="Tc_ta-98vuZJ0-wLk5Qi36M_w_8_0"/>
      <w:bookmarkStart w:id="1323" w:name="Tc_5f_9EpON_E2XDUWqI_MomQ_7_0"/>
      <w:bookmarkStart w:id="1324" w:name="Tc_XRjzpZ51kkaKPB_9dCw-ag_6_0"/>
      <w:bookmarkStart w:id="1325" w:name="Tc_WH1I0jz080q2Tbmmj7Ah8g_5_0"/>
      <w:bookmarkStart w:id="1326" w:name="Tc_2n1P2V6SykGUhwiMkxRFTw_4_0"/>
      <w:bookmarkStart w:id="1327" w:name="Tc_Yw-ynhSTJUqAD1X4EuNC7A_3_0"/>
      <w:bookmarkStart w:id="1328" w:name="Tc_tijSLlAy30m84GQIQuwtQA_2_5"/>
      <w:bookmarkStart w:id="1329" w:name="Tc_gQVEr0gL2E-uugswEDidEg_2_2"/>
      <w:bookmarkStart w:id="1330" w:name="Tc_XPslTo5S_UaPa1kYecABOw_2_0"/>
      <w:bookmarkStart w:id="1331" w:name="Tc_OsUwW9AUfUmKAV-mS2CI-Q_1_5"/>
      <w:bookmarkStart w:id="1332" w:name="Tc_-9Er4psoOEuWNvnyKo8BLA_1_2"/>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p>
    <w:tbl>
      <w:tblPr>
        <w:tblW w:w="6147" w:type="dxa"/>
        <w:jc w:val="left"/>
        <w:tblInd w:w="0" w:type="dxa"/>
        <w:tblCellMar>
          <w:top w:w="0" w:type="dxa"/>
          <w:left w:w="0" w:type="dxa"/>
          <w:bottom w:w="0" w:type="dxa"/>
          <w:right w:w="0" w:type="dxa"/>
        </w:tblCellMar>
      </w:tblPr>
      <w:tblGrid>
        <w:gridCol w:w="2926"/>
        <w:gridCol w:w="326"/>
        <w:gridCol w:w="211"/>
        <w:gridCol w:w="1051"/>
        <w:gridCol w:w="326"/>
        <w:gridCol w:w="211"/>
        <w:gridCol w:w="1096"/>
      </w:tblGrid>
      <w:tr>
        <w:trPr/>
        <w:tc>
          <w:tcPr>
            <w:tcW w:w="29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858010" cy="175260"/>
                      <wp:effectExtent l="0" t="0" r="0" b="0"/>
                      <wp:wrapNone/>
                      <wp:docPr id="252" name="Frame251"/>
                      <a:graphic xmlns:a="http://schemas.openxmlformats.org/drawingml/2006/main">
                        <a:graphicData uri="http://schemas.microsoft.com/office/word/2010/wordprocessingShape">
                          <wps:wsp>
                            <wps:cNvSpPr txBox="1"/>
                            <wps:spPr>
                              <a:xfrm>
                                <a:off x="0" y="0"/>
                                <a:ext cx="1858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3" name="Frame2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4" name="Frame2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67385" cy="175260"/>
                      <wp:effectExtent l="0" t="0" r="0" b="0"/>
                      <wp:wrapNone/>
                      <wp:docPr id="255" name="Frame254"/>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6" name="Frame2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57" name="Frame2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5960" cy="175260"/>
                      <wp:effectExtent l="0" t="0" r="0" b="0"/>
                      <wp:wrapNone/>
                      <wp:docPr id="258" name="Frame257"/>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3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Building</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1,874,049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1,874,049</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Land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2,700,000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2,700,000</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Building improvements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1,010,218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1,010,218</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1,537,775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1,537,775</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Autos and trucks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178,695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267,093</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Computer and equipment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1,821,819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1,830,949</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411,801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411,801</w:t>
            </w:r>
          </w:p>
        </w:tc>
      </w:tr>
      <w:tr>
        <w:trPr/>
        <w:tc>
          <w:tcPr>
            <w:tcW w:w="29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9,534,357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9,631,885</w:t>
            </w:r>
          </w:p>
        </w:tc>
      </w:tr>
      <w:tr>
        <w:trPr/>
        <w:tc>
          <w:tcPr>
            <w:tcW w:w="29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(4,419,558)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(3,953,184)</w:t>
            </w:r>
          </w:p>
        </w:tc>
      </w:tr>
      <w:tr>
        <w:trPr/>
        <w:tc>
          <w:tcPr>
            <w:tcW w:w="29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5,114,799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5,678,701</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expense was $565,906 and $798,813 for the years ended December 31, 2022 and 2021, respectively. The Company’s subsidiary, Donkey Crew, LLC, held net property, plant and equipment outside of the United States in the amount of $13,569 and $31,016, as of December 31, 2022 and 2021, respectively.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years ended December 31, 2022 and 2021, the Company disposed of $99,811 and $449,970 in assets with accumulated depreciation of $97,421, and $332,654, respectively, as of the disposal date. The total gain resulting from the disposal of assets amounted to $17,067 for the year ended December 31, 2022 and the total loss was $117,316 for the year ended 2021, respectively.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1333" w:name="Tc_-OnXIq3uKUChW-GY19Nkfg_12_11"/>
      <w:bookmarkStart w:id="1334" w:name="Tc_KbTyVX0Km0eLqnlOPlI9kQ_12_9"/>
      <w:bookmarkStart w:id="1335" w:name="Tc_WSUuVn7yxEeilxDmiK7omw_12_8"/>
      <w:bookmarkStart w:id="1336" w:name="Tc_zhauXnFxREibTDkCIdC6iA_12_5"/>
      <w:bookmarkStart w:id="1337" w:name="Tc_9eND_n18lECJoEOUD3txeg_12_2"/>
      <w:bookmarkStart w:id="1338" w:name="Tc_Z_QU5nZyoUWXBBGlP_KXqA_12_0"/>
      <w:bookmarkStart w:id="1339" w:name="Tc_0WSodzKRmky-YhkwPdwyWQ_11_9"/>
      <w:bookmarkStart w:id="1340" w:name="Tc_hVIiAobVO0W8eBTi0lZI4g_11_6"/>
      <w:bookmarkStart w:id="1341" w:name="Tc_qbd2lVyqik2U6xwb4LgKcw_11_0"/>
      <w:bookmarkStart w:id="1342" w:name="Tc_j817uAekz0q3SUtJ96vkQg_10_9"/>
      <w:bookmarkStart w:id="1343" w:name="Tc_cyzOZHbyfkWkovDVaW28eg_10_0"/>
      <w:bookmarkStart w:id="1344" w:name="Tc_j5kDVaUEw0OJ92JDZgiWTQ_9_12"/>
      <w:bookmarkStart w:id="1345" w:name="Tc_YO_Y84e2uEKqEcx4z4xXng_9_11"/>
      <w:bookmarkStart w:id="1346" w:name="Tc_GYFZR9inLUS5e1B0NZqoWg_9_9"/>
      <w:bookmarkStart w:id="1347" w:name="Tc_xTrQM4oxhkeAjlrtocXgXw_9_8"/>
      <w:bookmarkStart w:id="1348" w:name="Tc_K7twCTUfaUOligx2923xQw_9_5"/>
      <w:bookmarkStart w:id="1349" w:name="Tc__NkdrXE-0EK-ANPc8ZFANQ_9_2"/>
      <w:bookmarkStart w:id="1350" w:name="Tc_9_HABvnqsUGfpiGlAy1LJg_9_0"/>
      <w:bookmarkStart w:id="1351" w:name="Tc_b1WVifKVjEmLM6oddnj10g_8_0"/>
      <w:bookmarkStart w:id="1352" w:name="Tc_QaIf2g3EO0C-Dwe04BAmzw_7_12"/>
      <w:bookmarkStart w:id="1353" w:name="Tc_bRsWenVALk2GmVmT0Owjhw_7_11"/>
      <w:bookmarkStart w:id="1354" w:name="Tc_b_CJYXu27kaUtoxfEWvdmA_7_9"/>
      <w:bookmarkStart w:id="1355" w:name="Tc_0sxGS5omOkO4P_NXksfRug_7_8"/>
      <w:bookmarkStart w:id="1356" w:name="Tc_cq5kv0xh6kaVgqcnHXEoTg_7_5"/>
      <w:bookmarkStart w:id="1357" w:name="Tc_r6HFiFOjyU6IM2c3oGjlSw_7_2"/>
      <w:bookmarkStart w:id="1358" w:name="Tc_sleONiWTI0m_tWmYvWc7jw_7_0"/>
      <w:bookmarkStart w:id="1359" w:name="Tc_MSYdMho03kmFquvjz0tC9g_6_14"/>
      <w:bookmarkStart w:id="1360" w:name="Tc_CYpYxZa_7kqRV2PDmnCt-Q_6_11"/>
      <w:bookmarkStart w:id="1361" w:name="Tc_i0xdQlFfAEqeIYNJ08X4TQ_6_9"/>
      <w:bookmarkStart w:id="1362" w:name="Tc_lFXC6RCimE-MxzFUD5m1RQ_6_8"/>
      <w:bookmarkStart w:id="1363" w:name="Tc_1gkLlZV4hkKRF_MJeKIh4A_6_5"/>
      <w:bookmarkStart w:id="1364" w:name="Tc_uCI5G0J4GEimVS-1NLX8ow_6_2"/>
      <w:bookmarkStart w:id="1365" w:name="Tc_KnzA79tN8kGrHwXPHyrUgg_6_0"/>
      <w:bookmarkStart w:id="1366" w:name="Tc_BldIyD7j0k63IPrV8CiXcQ_5_14"/>
      <w:bookmarkStart w:id="1367" w:name="Tc_ZsfrBCZvukGJ7SWey7PnGw_5_11"/>
      <w:bookmarkStart w:id="1368" w:name="Tc_Ht1jXRxfVUON3G8MoWvvxQ_5_8"/>
      <w:bookmarkStart w:id="1369" w:name="Tc_ff-_wbnQ60OBYo2trvhvbA_5_5"/>
      <w:bookmarkStart w:id="1370" w:name="Tc_LDBFwj_3Jk6gjqJO5cgCQQ_5_2"/>
      <w:bookmarkStart w:id="1371" w:name="Tc_mDOH0wbfoUCOCy9AC4dstw_4_14"/>
      <w:bookmarkStart w:id="1372" w:name="Tc_vhEz4Efug0a_SBmw1CJ5fw_4_5"/>
      <w:bookmarkStart w:id="1373" w:name="Tc_zenxwqWEHEaRy6n4DJ_Epw_4_2"/>
      <w:bookmarkStart w:id="1374" w:name="Tc_LNTJqewn-kiovjo9iHc1MQ_3_14"/>
      <w:bookmarkStart w:id="1375" w:name="Tc_4jZP92kULUa3GKBRayOitw_3_2"/>
      <w:bookmarkStart w:id="1376" w:name="Tc_I79Ujg3cVUKIyqKA930Nig_2_14"/>
      <w:bookmarkStart w:id="1377" w:name="Tc_OPcBDdEC1E2JIx7vKO0h6w_1_2"/>
      <w:bookmarkStart w:id="1378" w:name="_3e86f72a_2978_4bb6_9579_e14fafa6f5ce"/>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r>
        <w:rPr>
          <w:rFonts w:ascii="Times New Roman;Times;serif" w:hAnsi="Times New Roman;Times;serif"/>
          <w:b/>
          <w:sz w:val="20"/>
        </w:rPr>
        <w:t>NOTE 11 – INTANGIBLE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of trademark and technology consist of game license software underlying intellectual property rights, game trademark name, logo, and other branding items. The Company amortizes the intangible assets over its useful life.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2021, the Company impaired the </w:t>
      </w:r>
      <w:r>
        <w:rPr>
          <w:rFonts w:ascii="Times New Roman;Times;serif" w:hAnsi="Times New Roman;Times;serif"/>
          <w:i/>
          <w:sz w:val="20"/>
        </w:rPr>
        <w:t>Atlas</w:t>
      </w:r>
      <w:r>
        <w:rPr>
          <w:rFonts w:ascii="Times New Roman;Times;serif" w:hAnsi="Times New Roman;Times;serif"/>
          <w:sz w:val="20"/>
        </w:rPr>
        <w:t xml:space="preserve"> license right due to delay in launching the game in several platforms. The Company recognized $16,325,000 as impairment loss during the year ended December 31, 2021 and the impairment was calculated based on revision to the discounted cash flow valuation using a 10% discount rate, which reflected the launch delay’s and decreased future cash flow. The following tables reflect all the intangible assets presented on the consolidated balance sheets as of December 31, 2022 and 2021:</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243"/>
        <w:gridCol w:w="326"/>
        <w:gridCol w:w="211"/>
        <w:gridCol w:w="1141"/>
        <w:gridCol w:w="326"/>
        <w:gridCol w:w="211"/>
        <w:gridCol w:w="1240"/>
        <w:gridCol w:w="326"/>
        <w:gridCol w:w="500"/>
        <w:gridCol w:w="821"/>
        <w:gridCol w:w="326"/>
        <w:gridCol w:w="230"/>
        <w:gridCol w:w="1016"/>
        <w:gridCol w:w="326"/>
        <w:gridCol w:w="962"/>
      </w:tblGrid>
      <w:tr>
        <w:trPr/>
        <w:tc>
          <w:tcPr>
            <w:tcW w:w="2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424305" cy="175260"/>
                      <wp:effectExtent l="0" t="0" r="0" b="0"/>
                      <wp:wrapNone/>
                      <wp:docPr id="259" name="Frame258"/>
                      <a:graphic xmlns:a="http://schemas.openxmlformats.org/drawingml/2006/main">
                        <a:graphicData uri="http://schemas.microsoft.com/office/word/2010/wordprocessingShape">
                          <wps:wsp>
                            <wps:cNvSpPr txBox="1"/>
                            <wps:spPr>
                              <a:xfrm>
                                <a:off x="0" y="0"/>
                                <a:ext cx="14243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1" name="Frame2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24535" cy="175260"/>
                      <wp:effectExtent l="0" t="0" r="0" b="0"/>
                      <wp:wrapNone/>
                      <wp:docPr id="262" name="Frame26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4" name="Frame2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87400" cy="175260"/>
                      <wp:effectExtent l="0" t="0" r="0" b="0"/>
                      <wp:wrapNone/>
                      <wp:docPr id="265" name="Frame264"/>
                      <a:graphic xmlns:a="http://schemas.openxmlformats.org/drawingml/2006/main">
                        <a:graphicData uri="http://schemas.microsoft.com/office/word/2010/wordprocessingShape">
                          <wps:wsp>
                            <wps:cNvSpPr txBox="1"/>
                            <wps:spPr>
                              <a:xfrm>
                                <a:off x="0" y="0"/>
                                <a:ext cx="7874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6" name="Frame2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17500" cy="175260"/>
                      <wp:effectExtent l="0" t="0" r="0" b="0"/>
                      <wp:wrapNone/>
                      <wp:docPr id="267" name="Frame266"/>
                      <a:graphic xmlns:a="http://schemas.openxmlformats.org/drawingml/2006/main">
                        <a:graphicData uri="http://schemas.microsoft.com/office/word/2010/wordprocessingShape">
                          <wps:wsp>
                            <wps:cNvSpPr txBox="1"/>
                            <wps:spPr>
                              <a:xfrm>
                                <a:off x="0" y="0"/>
                                <a:ext cx="3175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21335" cy="175260"/>
                      <wp:effectExtent l="0" t="0" r="0" b="0"/>
                      <wp:wrapNone/>
                      <wp:docPr id="268" name="Frame267"/>
                      <a:graphic xmlns:a="http://schemas.openxmlformats.org/drawingml/2006/main">
                        <a:graphicData uri="http://schemas.microsoft.com/office/word/2010/wordprocessingShape">
                          <wps:wsp>
                            <wps:cNvSpPr txBox="1"/>
                            <wps:spPr>
                              <a:xfrm>
                                <a:off x="0" y="0"/>
                                <a:ext cx="521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69" name="Frame2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46050" cy="175260"/>
                      <wp:effectExtent l="0" t="0" r="0" b="0"/>
                      <wp:wrapNone/>
                      <wp:docPr id="270" name="Frame269"/>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5160" cy="175260"/>
                      <wp:effectExtent l="0" t="0" r="0" b="0"/>
                      <wp:wrapNone/>
                      <wp:docPr id="271" name="Frame270"/>
                      <a:graphic xmlns:a="http://schemas.openxmlformats.org/drawingml/2006/main">
                        <a:graphicData uri="http://schemas.microsoft.com/office/word/2010/wordprocessingShape">
                          <wps:wsp>
                            <wps:cNvSpPr txBox="1"/>
                            <wps:spPr>
                              <a:xfrm>
                                <a:off x="0" y="0"/>
                                <a:ext cx="645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2"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10870" cy="175260"/>
                      <wp:effectExtent l="0" t="0" r="0" b="0"/>
                      <wp:wrapNone/>
                      <wp:docPr id="273" name="Frame272"/>
                      <a:graphic xmlns:a="http://schemas.openxmlformats.org/drawingml/2006/main">
                        <a:graphicData uri="http://schemas.microsoft.com/office/word/2010/wordprocessingShape">
                          <wps:wsp>
                            <wps:cNvSpPr txBox="1"/>
                            <wps:spPr>
                              <a:xfrm>
                                <a:off x="0" y="0"/>
                                <a:ext cx="6108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4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636" w:type="dxa"/>
            <w:gridSpan w:val="1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24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124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00" w:type="dxa"/>
            <w:tcBorders/>
            <w:shd w:fill="auto" w:val="clear"/>
            <w:vAlign w:val="center"/>
          </w:tcPr>
          <w:p>
            <w:pPr>
              <w:pStyle w:val="TableContents"/>
              <w:spacing w:before="0" w:after="1"/>
              <w:ind w:left="0" w:right="0" w:hanging="0"/>
              <w:jc w:val="center"/>
              <w:rPr/>
            </w:pPr>
            <w:r>
              <w:rPr/>
              <w:t>​</w:t>
            </w:r>
          </w:p>
        </w:tc>
        <w:tc>
          <w:tcPr>
            <w:tcW w:w="8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30" w:type="dxa"/>
            <w:tcBorders/>
            <w:shd w:fill="auto" w:val="clear"/>
            <w:vAlign w:val="center"/>
          </w:tcPr>
          <w:p>
            <w:pPr>
              <w:pStyle w:val="TableContents"/>
              <w:spacing w:before="0" w:after="1"/>
              <w:ind w:left="0" w:right="0" w:hanging="0"/>
              <w:jc w:val="center"/>
              <w:rPr/>
            </w:pPr>
            <w:r>
              <w:rPr/>
              <w:t>​</w:t>
            </w:r>
          </w:p>
        </w:tc>
        <w:tc>
          <w:tcPr>
            <w:tcW w:w="10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6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24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5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124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00" w:type="dxa"/>
            <w:tcBorders/>
            <w:shd w:fill="auto" w:val="clear"/>
            <w:vAlign w:val="center"/>
          </w:tcPr>
          <w:p>
            <w:pPr>
              <w:pStyle w:val="TableContents"/>
              <w:spacing w:before="0" w:after="1"/>
              <w:ind w:left="0" w:right="0" w:hanging="0"/>
              <w:jc w:val="center"/>
              <w:rPr/>
            </w:pPr>
            <w:r>
              <w:rPr/>
              <w:t>​</w:t>
            </w:r>
          </w:p>
        </w:tc>
        <w:tc>
          <w:tcPr>
            <w:tcW w:w="8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0" w:type="dxa"/>
            <w:tcBorders/>
            <w:shd w:fill="auto" w:val="clear"/>
            <w:vAlign w:val="center"/>
          </w:tcPr>
          <w:p>
            <w:pPr>
              <w:pStyle w:val="TableContents"/>
              <w:spacing w:before="0" w:after="1"/>
              <w:ind w:left="0" w:right="0" w:hanging="0"/>
              <w:jc w:val="center"/>
              <w:rPr/>
            </w:pPr>
            <w:r>
              <w:rPr/>
              <w:t>​</w:t>
            </w:r>
          </w:p>
        </w:tc>
        <w:tc>
          <w:tcPr>
            <w:tcW w:w="10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6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24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5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1"/>
              <w:ind w:left="0" w:right="0" w:hanging="0"/>
              <w:jc w:val="center"/>
              <w:rPr/>
            </w:pPr>
            <w:r>
              <w:rPr/>
              <w:t>​</w:t>
            </w:r>
          </w:p>
        </w:tc>
        <w:tc>
          <w:tcPr>
            <w:tcW w:w="14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jc w:val="center"/>
              <w:rPr/>
            </w:pPr>
            <w:r>
              <w:rPr/>
              <w:t>​</w:t>
            </w:r>
          </w:p>
        </w:tc>
        <w:tc>
          <w:tcPr>
            <w:tcW w:w="500" w:type="dxa"/>
            <w:tcBorders/>
            <w:shd w:fill="auto" w:val="clear"/>
            <w:vAlign w:val="center"/>
          </w:tcPr>
          <w:p>
            <w:pPr>
              <w:pStyle w:val="TableContents"/>
              <w:spacing w:before="0" w:after="1"/>
              <w:ind w:left="0" w:right="0" w:hanging="0"/>
              <w:jc w:val="center"/>
              <w:rPr/>
            </w:pPr>
            <w:r>
              <w:rPr/>
              <w:t>​</w:t>
            </w:r>
          </w:p>
        </w:tc>
        <w:tc>
          <w:tcPr>
            <w:tcW w:w="8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0" w:type="dxa"/>
            <w:tcBorders/>
            <w:shd w:fill="auto" w:val="clear"/>
            <w:vAlign w:val="center"/>
          </w:tcPr>
          <w:p>
            <w:pPr>
              <w:pStyle w:val="TableContents"/>
              <w:spacing w:before="0" w:after="1"/>
              <w:ind w:left="0" w:right="0" w:hanging="0"/>
              <w:jc w:val="center"/>
              <w:rPr/>
            </w:pPr>
            <w:r>
              <w:rPr/>
              <w:t>​</w:t>
            </w:r>
          </w:p>
        </w:tc>
        <w:tc>
          <w:tcPr>
            <w:tcW w:w="101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6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w:t>
            </w:r>
          </w:p>
        </w:tc>
      </w:tr>
      <w:tr>
        <w:trPr/>
        <w:tc>
          <w:tcPr>
            <w:tcW w:w="224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w:t>
            </w:r>
          </w:p>
        </w:tc>
        <w:tc>
          <w:tcPr>
            <w:tcW w:w="14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1"/>
              <w:ind w:left="0" w:right="0" w:hanging="0"/>
              <w:jc w:val="center"/>
              <w:rPr/>
            </w:pPr>
            <w:r>
              <w:rPr/>
              <w:t>​</w:t>
            </w:r>
          </w:p>
        </w:tc>
        <w:tc>
          <w:tcPr>
            <w:tcW w:w="13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Impairment Loss</w:t>
            </w:r>
          </w:p>
        </w:tc>
        <w:tc>
          <w:tcPr>
            <w:tcW w:w="326" w:type="dxa"/>
            <w:tcBorders/>
            <w:shd w:fill="auto" w:val="clear"/>
            <w:vAlign w:val="center"/>
          </w:tcPr>
          <w:p>
            <w:pPr>
              <w:pStyle w:val="TableContents"/>
              <w:spacing w:before="0" w:after="1"/>
              <w:ind w:left="0" w:right="0" w:hanging="0"/>
              <w:jc w:val="center"/>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Book Value</w:t>
            </w:r>
          </w:p>
        </w:tc>
        <w:tc>
          <w:tcPr>
            <w:tcW w:w="326" w:type="dxa"/>
            <w:tcBorders/>
            <w:shd w:fill="auto" w:val="clear"/>
            <w:vAlign w:val="center"/>
          </w:tcPr>
          <w:p>
            <w:pPr>
              <w:pStyle w:val="TableContents"/>
              <w:spacing w:before="0" w:after="1"/>
              <w:ind w:left="0" w:right="0" w:hanging="0"/>
              <w:jc w:val="center"/>
              <w:rPr/>
            </w:pPr>
            <w:r>
              <w:rPr/>
              <w:t>​</w:t>
            </w:r>
          </w:p>
        </w:tc>
        <w:tc>
          <w:tcPr>
            <w:tcW w:w="96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r>
      <w:tr>
        <w:trPr/>
        <w:tc>
          <w:tcPr>
            <w:tcW w:w="22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License rights from related parties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136,665,000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4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(135,280,942)</w:t>
            </w:r>
          </w:p>
        </w:tc>
        <w:tc>
          <w:tcPr>
            <w:tcW w:w="326" w:type="dxa"/>
            <w:tcBorders/>
            <w:shd w:fill="CCEEFF" w:val="clear"/>
            <w:vAlign w:val="center"/>
          </w:tcPr>
          <w:p>
            <w:pPr>
              <w:pStyle w:val="TableContents"/>
              <w:spacing w:before="0" w:after="1"/>
              <w:ind w:left="0" w:right="0" w:hanging="0"/>
              <w:rPr/>
            </w:pPr>
            <w:r>
              <w:rPr/>
              <w:t>​</w:t>
            </w:r>
          </w:p>
        </w:tc>
        <w:tc>
          <w:tcPr>
            <w:tcW w:w="50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1,384,058</w:t>
            </w:r>
          </w:p>
        </w:tc>
        <w:tc>
          <w:tcPr>
            <w:tcW w:w="326" w:type="dxa"/>
            <w:tcBorders/>
            <w:shd w:fill="CCEEFF" w:val="clear"/>
            <w:vAlign w:val="center"/>
          </w:tcPr>
          <w:p>
            <w:pPr>
              <w:pStyle w:val="TableContents"/>
              <w:spacing w:before="0" w:after="1"/>
              <w:ind w:left="0" w:right="0" w:hanging="0"/>
              <w:rPr/>
            </w:pPr>
            <w:r>
              <w:rPr/>
              <w:t>​</w:t>
            </w:r>
          </w:p>
        </w:tc>
        <w:tc>
          <w:tcPr>
            <w:tcW w:w="9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 – 5 years</w:t>
            </w:r>
          </w:p>
        </w:tc>
      </w:tr>
      <w:tr>
        <w:trPr/>
        <w:tc>
          <w:tcPr>
            <w:tcW w:w="224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License rights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3,000,000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4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(3,000,000)</w:t>
            </w:r>
          </w:p>
        </w:tc>
        <w:tc>
          <w:tcPr>
            <w:tcW w:w="326" w:type="dxa"/>
            <w:tcBorders/>
            <w:shd w:fill="auto" w:val="clear"/>
            <w:vAlign w:val="center"/>
          </w:tcPr>
          <w:p>
            <w:pPr>
              <w:pStyle w:val="TableContents"/>
              <w:spacing w:before="0" w:after="1"/>
              <w:ind w:left="0" w:right="0" w:hanging="0"/>
              <w:rPr/>
            </w:pPr>
            <w:r>
              <w:rPr/>
              <w:t>​</w:t>
            </w:r>
          </w:p>
        </w:tc>
        <w:tc>
          <w:tcPr>
            <w:tcW w:w="50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 years</w:t>
            </w:r>
          </w:p>
        </w:tc>
      </w:tr>
      <w:tr>
        <w:trPr/>
        <w:tc>
          <w:tcPr>
            <w:tcW w:w="22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 – other:</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24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500" w:type="dxa"/>
            <w:tcBorders/>
            <w:shd w:fill="CCEEFF" w:val="clear"/>
            <w:vAlign w:val="center"/>
          </w:tcPr>
          <w:p>
            <w:pPr>
              <w:pStyle w:val="TableContents"/>
              <w:spacing w:before="0" w:after="1"/>
              <w:ind w:left="0" w:right="0" w:hanging="0"/>
              <w:rPr/>
            </w:pPr>
            <w:r>
              <w:rPr/>
              <w:t> </w:t>
            </w:r>
          </w:p>
        </w:tc>
        <w:tc>
          <w:tcPr>
            <w:tcW w:w="82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101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962" w:type="dxa"/>
            <w:tcBorders/>
            <w:shd w:fill="CCEEFF" w:val="clear"/>
            <w:vAlign w:val="center"/>
          </w:tcPr>
          <w:p>
            <w:pPr>
              <w:pStyle w:val="TableContents"/>
              <w:spacing w:before="0" w:after="1"/>
              <w:ind w:left="0" w:right="0" w:hanging="0"/>
              <w:jc w:val="right"/>
              <w:rPr/>
            </w:pPr>
            <w:r>
              <w:rPr/>
              <w:t>  </w:t>
            </w:r>
          </w:p>
        </w:tc>
      </w:tr>
      <w:tr>
        <w:trPr/>
        <w:tc>
          <w:tcPr>
            <w:tcW w:w="224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Software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51,784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(51,784)</w:t>
            </w:r>
          </w:p>
        </w:tc>
        <w:tc>
          <w:tcPr>
            <w:tcW w:w="326" w:type="dxa"/>
            <w:tcBorders/>
            <w:shd w:fill="auto" w:val="clear"/>
            <w:vAlign w:val="center"/>
          </w:tcPr>
          <w:p>
            <w:pPr>
              <w:pStyle w:val="TableContents"/>
              <w:spacing w:before="0" w:after="1"/>
              <w:ind w:left="0" w:right="0" w:hanging="0"/>
              <w:rPr/>
            </w:pPr>
            <w:r>
              <w:rPr/>
              <w:t>​</w:t>
            </w:r>
          </w:p>
        </w:tc>
        <w:tc>
          <w:tcPr>
            <w:tcW w:w="50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6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 years</w:t>
            </w:r>
          </w:p>
        </w:tc>
      </w:tr>
      <w:tr>
        <w:trPr/>
        <w:tc>
          <w:tcPr>
            <w:tcW w:w="22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Trademark</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10,745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2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(9,110)</w:t>
            </w:r>
          </w:p>
        </w:tc>
        <w:tc>
          <w:tcPr>
            <w:tcW w:w="326" w:type="dxa"/>
            <w:tcBorders/>
            <w:shd w:fill="CCEEFF" w:val="clear"/>
            <w:vAlign w:val="center"/>
          </w:tcPr>
          <w:p>
            <w:pPr>
              <w:pStyle w:val="TableContents"/>
              <w:spacing w:before="0" w:after="1"/>
              <w:ind w:left="0" w:right="0" w:hanging="0"/>
              <w:rPr/>
            </w:pPr>
            <w:r>
              <w:rPr/>
              <w:t>​</w:t>
            </w:r>
          </w:p>
        </w:tc>
        <w:tc>
          <w:tcPr>
            <w:tcW w:w="500" w:type="dxa"/>
            <w:tcBorders/>
            <w:shd w:fill="CCEEFF" w:val="clear"/>
            <w:vAlign w:val="center"/>
          </w:tcPr>
          <w:p>
            <w:pPr>
              <w:pStyle w:val="TableContents"/>
              <w:spacing w:before="0" w:after="1"/>
              <w:ind w:left="0" w:right="0" w:hanging="0"/>
              <w:rPr/>
            </w:pPr>
            <w:r>
              <w:rPr/>
              <w:t> </w:t>
            </w:r>
          </w:p>
        </w:tc>
        <w:tc>
          <w:tcPr>
            <w:tcW w:w="8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10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1,635</w:t>
            </w:r>
          </w:p>
        </w:tc>
        <w:tc>
          <w:tcPr>
            <w:tcW w:w="326" w:type="dxa"/>
            <w:tcBorders/>
            <w:shd w:fill="CCEEFF" w:val="clear"/>
            <w:vAlign w:val="center"/>
          </w:tcPr>
          <w:p>
            <w:pPr>
              <w:pStyle w:val="TableContents"/>
              <w:spacing w:before="0" w:after="1"/>
              <w:ind w:left="0" w:right="0" w:hanging="0"/>
              <w:rPr/>
            </w:pPr>
            <w:r>
              <w:rPr/>
              <w:t>​</w:t>
            </w:r>
          </w:p>
        </w:tc>
        <w:tc>
          <w:tcPr>
            <w:tcW w:w="9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 years</w:t>
            </w:r>
          </w:p>
        </w:tc>
      </w:tr>
      <w:tr>
        <w:trPr/>
        <w:tc>
          <w:tcPr>
            <w:tcW w:w="224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In-progress patent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270,886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4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0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2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270,886</w:t>
            </w:r>
          </w:p>
        </w:tc>
        <w:tc>
          <w:tcPr>
            <w:tcW w:w="326" w:type="dxa"/>
            <w:tcBorders/>
            <w:shd w:fill="auto" w:val="clear"/>
            <w:vAlign w:val="center"/>
          </w:tcPr>
          <w:p>
            <w:pPr>
              <w:pStyle w:val="TableContents"/>
              <w:spacing w:before="0" w:after="1"/>
              <w:ind w:left="0" w:right="0" w:hanging="0"/>
              <w:rPr/>
            </w:pPr>
            <w:r>
              <w:rPr/>
              <w:t>​</w:t>
            </w:r>
          </w:p>
        </w:tc>
        <w:tc>
          <w:tcPr>
            <w:tcW w:w="962" w:type="dxa"/>
            <w:tcBorders/>
            <w:shd w:fill="auto" w:val="clear"/>
            <w:vAlign w:val="center"/>
          </w:tcPr>
          <w:p>
            <w:pPr>
              <w:pStyle w:val="TableContents"/>
              <w:spacing w:before="0" w:after="1"/>
              <w:ind w:left="0" w:right="0" w:hanging="0"/>
              <w:jc w:val="right"/>
              <w:rPr/>
            </w:pPr>
            <w:r>
              <w:rPr/>
              <w:t>  </w:t>
            </w:r>
          </w:p>
        </w:tc>
      </w:tr>
      <w:tr>
        <w:trPr/>
        <w:tc>
          <w:tcPr>
            <w:tcW w:w="22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333,415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4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(60,894)</w:t>
            </w:r>
          </w:p>
        </w:tc>
        <w:tc>
          <w:tcPr>
            <w:tcW w:w="326" w:type="dxa"/>
            <w:tcBorders/>
            <w:shd w:fill="CCEEFF" w:val="clear"/>
            <w:vAlign w:val="center"/>
          </w:tcPr>
          <w:p>
            <w:pPr>
              <w:pStyle w:val="TableContents"/>
              <w:spacing w:before="0" w:after="1"/>
              <w:ind w:left="0" w:right="0" w:hanging="0"/>
              <w:rPr/>
            </w:pPr>
            <w:r>
              <w:rPr/>
              <w:t>​</w:t>
            </w:r>
          </w:p>
        </w:tc>
        <w:tc>
          <w:tcPr>
            <w:tcW w:w="50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272,521</w:t>
            </w:r>
          </w:p>
        </w:tc>
        <w:tc>
          <w:tcPr>
            <w:tcW w:w="326" w:type="dxa"/>
            <w:tcBorders/>
            <w:shd w:fill="CCEEFF" w:val="clear"/>
            <w:vAlign w:val="center"/>
          </w:tcPr>
          <w:p>
            <w:pPr>
              <w:pStyle w:val="TableContents"/>
              <w:spacing w:before="0" w:after="1"/>
              <w:ind w:left="0" w:right="0" w:hanging="0"/>
              <w:rPr/>
            </w:pPr>
            <w:r>
              <w:rPr/>
              <w:t>​</w:t>
            </w:r>
          </w:p>
        </w:tc>
        <w:tc>
          <w:tcPr>
            <w:tcW w:w="962" w:type="dxa"/>
            <w:tcBorders/>
            <w:shd w:fill="CCEEFF" w:val="clear"/>
            <w:vAlign w:val="center"/>
          </w:tcPr>
          <w:p>
            <w:pPr>
              <w:pStyle w:val="TableContents"/>
              <w:spacing w:before="0" w:after="1"/>
              <w:ind w:left="0" w:right="0" w:hanging="0"/>
              <w:jc w:val="right"/>
              <w:rPr/>
            </w:pPr>
            <w:r>
              <w:rPr/>
              <w:t>  </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Normal"/>
        <w:spacing w:before="0" w:after="0"/>
        <w:rPr>
          <w:sz w:val="4"/>
          <w:szCs w:val="4"/>
        </w:rPr>
      </w:pPr>
      <w:r>
        <w:rPr>
          <w:sz w:val="4"/>
          <w:szCs w:val="4"/>
        </w:rPr>
      </w:r>
      <w:bookmarkStart w:id="1379" w:name="Tc_aiKpxr6HykagLISRkRU3Uw_8_2"/>
      <w:bookmarkStart w:id="1380" w:name="Tc_AwBPLZu9dkmEU9pG_9lSpw_7_0"/>
      <w:bookmarkStart w:id="1381" w:name="Tc_rkWiy3er4Ua-0is-078Taw_6_3"/>
      <w:bookmarkStart w:id="1382" w:name="Tc_Ai1cXkssKUSUxhsfADNoSQ_6_0"/>
      <w:bookmarkStart w:id="1383" w:name="Tc_jCpw55x3tEinRjRILFJkbw_5_3"/>
      <w:bookmarkStart w:id="1384" w:name="Tc_BYc8EW_8U0i0xXz4XvoMcg_5_0"/>
      <w:bookmarkStart w:id="1385" w:name="Tc_oJ39IFmNK0ebcIeQL6hZjQ_4_0"/>
      <w:bookmarkStart w:id="1386" w:name="Tc_KSFD-98Io0u_neLxQGmIPw_3_0"/>
      <w:bookmarkStart w:id="1387" w:name="Tc_WDtVxxDEkEKvYTHjEjOFdg_2_2"/>
      <w:bookmarkStart w:id="1388" w:name="Tc_Xthx3WXDJ0y5xBB_5AQZUQ_2_0"/>
      <w:bookmarkStart w:id="1389" w:name="Tc_w1ey7AkFTUyudUgsK41gRQ_1_2"/>
      <w:bookmarkStart w:id="1390" w:name="Tc_-KSBO8rSLEC0dTWfrskj9w_1_0"/>
      <w:bookmarkStart w:id="1391" w:name="Tc_EReqoNB60UWTzzO3ooLDpg_12_11"/>
      <w:bookmarkStart w:id="1392" w:name="Tc_4ikAOaHRa06OCRzgw5F_ng_12_9"/>
      <w:bookmarkStart w:id="1393" w:name="Tc_xjlGHXrGxUe1ktYUeq00GQ_12_8"/>
      <w:bookmarkStart w:id="1394" w:name="Tc_pn69L5CspEqGu3VD6q2_Fw_12_5"/>
      <w:bookmarkStart w:id="1395" w:name="Tc_t39gTbQu2kuavk5wjwmwgQ_12_2"/>
      <w:bookmarkStart w:id="1396" w:name="Tc_4XVXt7uH6UesSzCdwyklVg_12_0"/>
      <w:bookmarkStart w:id="1397" w:name="Tc_st5nt4IRjk-xUH1ss3d0qg_11_9"/>
      <w:bookmarkStart w:id="1398" w:name="Tc_0WxrUMQCt0qH2FvtoMkV7w_11_6"/>
      <w:bookmarkStart w:id="1399" w:name="Tc_25Sxa_kHeEuVSUB0gTIsoQ_11_0"/>
      <w:bookmarkStart w:id="1400" w:name="Tc_mTlPEOr26UuyYbcMT5O82w_10_9"/>
      <w:bookmarkStart w:id="1401" w:name="Tc_vVXVdpHM9USrvr4tvTwKqA_10_0"/>
      <w:bookmarkStart w:id="1402" w:name="Tc_DlMtJA5Or0qTCWayX0sa9A_9_11"/>
      <w:bookmarkStart w:id="1403" w:name="Tc_dkEVNLdOKkS0B53qQrWCVg_9_9"/>
      <w:bookmarkStart w:id="1404" w:name="Tc_Fg3BqOSGFEypjhqZqiI-Ww_9_8"/>
      <w:bookmarkStart w:id="1405" w:name="Tc_idQikaSuNka5HsTj6BlXKA_9_5"/>
      <w:bookmarkStart w:id="1406" w:name="Tc_n6FjWIJcakSSnJhwfQ1_sA_9_2"/>
      <w:bookmarkStart w:id="1407" w:name="Tc_iZz2MdVwg02YD6_Xd44_AQ_9_0"/>
      <w:bookmarkStart w:id="1408" w:name="Tc_ZUbzzhxXo0uT4TIF0Y1uuQ_8_0"/>
      <w:bookmarkStart w:id="1409" w:name="Tc_mpG4eSuhvUunese3aR_rSQ_7_11"/>
      <w:bookmarkStart w:id="1410" w:name="Tc_Q2Fomj0O3E2hPxukG9HOkA_7_9"/>
      <w:bookmarkStart w:id="1411" w:name="Tc_YKAy0oxR5EyqIFGiSBpORw_7_8"/>
      <w:bookmarkStart w:id="1412" w:name="Tc_w3jzAZRHfkqO_ybGNO0OFw_7_5"/>
      <w:bookmarkStart w:id="1413" w:name="Tc_yDelOnhSDUij0gE07cQcOg_7_2"/>
      <w:bookmarkStart w:id="1414" w:name="Tc_mpRumaskq0CFIZS2D-0ToA_7_0"/>
      <w:bookmarkStart w:id="1415" w:name="Tc_pxvUby13GEmKQh2v-XGBtQ_6_14"/>
      <w:bookmarkStart w:id="1416" w:name="Tc_8lZPU3S9ZkyQ1C6qjG9tGw_6_11"/>
      <w:bookmarkStart w:id="1417" w:name="Tc_NBVtYSJ9uk2iWnqhaKB8PQ_6_8"/>
      <w:bookmarkStart w:id="1418" w:name="Tc_f1k5cZRHCECNt4UOL108hg_6_5"/>
      <w:bookmarkStart w:id="1419" w:name="Tc_TosZCM5I2Uu812ho3xlSdQ_6_2"/>
      <w:bookmarkStart w:id="1420" w:name="Tc_L5YZwtgzuEOqBFCyJj_XzQ_6_0"/>
      <w:bookmarkStart w:id="1421" w:name="Tc_Gr7XnJ3m40yzc9OzQChZSQ_5_14"/>
      <w:bookmarkStart w:id="1422" w:name="Tc_qVJkixQc2EmFI0dTCXYYVA_5_11"/>
      <w:bookmarkStart w:id="1423" w:name="Tc_FWX5fzGQV063oU14vkRGYg_5_8"/>
      <w:bookmarkStart w:id="1424" w:name="Tc_TODNXUzrZk-UZ9EVQJVJUw_5_5"/>
      <w:bookmarkStart w:id="1425" w:name="Tc_RWTtoyxsHkumaLMey34GpA_5_2"/>
      <w:bookmarkStart w:id="1426" w:name="Tc_zGiED5con0yhJdHz3o8aRQ_4_14"/>
      <w:bookmarkStart w:id="1427" w:name="Tc_OCTP7Mu6S0iLhdAgSTpIew_4_5"/>
      <w:bookmarkStart w:id="1428" w:name="Tc_JK4y0hbPREeGOpoVrPRbJA_4_2"/>
      <w:bookmarkStart w:id="1429" w:name="Tc_Y_PS00-JpkOQJrXLnWqpWA_3_14"/>
      <w:bookmarkStart w:id="1430" w:name="Tc_a7uJ4Glhq0WF2cYVYM15Jw_3_2"/>
      <w:bookmarkStart w:id="1431" w:name="Tc_PEIrzXHHhUONx98uOSBewQ_2_14"/>
      <w:bookmarkStart w:id="1432" w:name="Tc_aubLjT2gX0WJwF0EwyTohw_1_2"/>
      <w:bookmarkStart w:id="1433" w:name="_2b9386e0_5052_4e2c_a0aa_29a008508682"/>
      <w:bookmarkStart w:id="1434" w:name="Tc_aiKpxr6HykagLISRkRU3Uw_8_2"/>
      <w:bookmarkStart w:id="1435" w:name="Tc_AwBPLZu9dkmEU9pG_9lSpw_7_0"/>
      <w:bookmarkStart w:id="1436" w:name="Tc_rkWiy3er4Ua-0is-078Taw_6_3"/>
      <w:bookmarkStart w:id="1437" w:name="Tc_Ai1cXkssKUSUxhsfADNoSQ_6_0"/>
      <w:bookmarkStart w:id="1438" w:name="Tc_jCpw55x3tEinRjRILFJkbw_5_3"/>
      <w:bookmarkStart w:id="1439" w:name="Tc_BYc8EW_8U0i0xXz4XvoMcg_5_0"/>
      <w:bookmarkStart w:id="1440" w:name="Tc_oJ39IFmNK0ebcIeQL6hZjQ_4_0"/>
      <w:bookmarkStart w:id="1441" w:name="Tc_KSFD-98Io0u_neLxQGmIPw_3_0"/>
      <w:bookmarkStart w:id="1442" w:name="Tc_WDtVxxDEkEKvYTHjEjOFdg_2_2"/>
      <w:bookmarkStart w:id="1443" w:name="Tc_Xthx3WXDJ0y5xBB_5AQZUQ_2_0"/>
      <w:bookmarkStart w:id="1444" w:name="Tc_w1ey7AkFTUyudUgsK41gRQ_1_2"/>
      <w:bookmarkStart w:id="1445" w:name="Tc_-KSBO8rSLEC0dTWfrskj9w_1_0"/>
      <w:bookmarkStart w:id="1446" w:name="Tc_EReqoNB60UWTzzO3ooLDpg_12_11"/>
      <w:bookmarkStart w:id="1447" w:name="Tc_4ikAOaHRa06OCRzgw5F_ng_12_9"/>
      <w:bookmarkStart w:id="1448" w:name="Tc_xjlGHXrGxUe1ktYUeq00GQ_12_8"/>
      <w:bookmarkStart w:id="1449" w:name="Tc_pn69L5CspEqGu3VD6q2_Fw_12_5"/>
      <w:bookmarkStart w:id="1450" w:name="Tc_t39gTbQu2kuavk5wjwmwgQ_12_2"/>
      <w:bookmarkStart w:id="1451" w:name="Tc_4XVXt7uH6UesSzCdwyklVg_12_0"/>
      <w:bookmarkStart w:id="1452" w:name="Tc_st5nt4IRjk-xUH1ss3d0qg_11_9"/>
      <w:bookmarkStart w:id="1453" w:name="Tc_0WxrUMQCt0qH2FvtoMkV7w_11_6"/>
      <w:bookmarkStart w:id="1454" w:name="Tc_25Sxa_kHeEuVSUB0gTIsoQ_11_0"/>
      <w:bookmarkStart w:id="1455" w:name="Tc_mTlPEOr26UuyYbcMT5O82w_10_9"/>
      <w:bookmarkStart w:id="1456" w:name="Tc_vVXVdpHM9USrvr4tvTwKqA_10_0"/>
      <w:bookmarkStart w:id="1457" w:name="Tc_DlMtJA5Or0qTCWayX0sa9A_9_11"/>
      <w:bookmarkStart w:id="1458" w:name="Tc_dkEVNLdOKkS0B53qQrWCVg_9_9"/>
      <w:bookmarkStart w:id="1459" w:name="Tc_Fg3BqOSGFEypjhqZqiI-Ww_9_8"/>
      <w:bookmarkStart w:id="1460" w:name="Tc_idQikaSuNka5HsTj6BlXKA_9_5"/>
      <w:bookmarkStart w:id="1461" w:name="Tc_n6FjWIJcakSSnJhwfQ1_sA_9_2"/>
      <w:bookmarkStart w:id="1462" w:name="Tc_iZz2MdVwg02YD6_Xd44_AQ_9_0"/>
      <w:bookmarkStart w:id="1463" w:name="Tc_ZUbzzhxXo0uT4TIF0Y1uuQ_8_0"/>
      <w:bookmarkStart w:id="1464" w:name="Tc_mpG4eSuhvUunese3aR_rSQ_7_11"/>
      <w:bookmarkStart w:id="1465" w:name="Tc_Q2Fomj0O3E2hPxukG9HOkA_7_9"/>
      <w:bookmarkStart w:id="1466" w:name="Tc_YKAy0oxR5EyqIFGiSBpORw_7_8"/>
      <w:bookmarkStart w:id="1467" w:name="Tc_w3jzAZRHfkqO_ybGNO0OFw_7_5"/>
      <w:bookmarkStart w:id="1468" w:name="Tc_yDelOnhSDUij0gE07cQcOg_7_2"/>
      <w:bookmarkStart w:id="1469" w:name="Tc_mpRumaskq0CFIZS2D-0ToA_7_0"/>
      <w:bookmarkStart w:id="1470" w:name="Tc_pxvUby13GEmKQh2v-XGBtQ_6_14"/>
      <w:bookmarkStart w:id="1471" w:name="Tc_8lZPU3S9ZkyQ1C6qjG9tGw_6_11"/>
      <w:bookmarkStart w:id="1472" w:name="Tc_NBVtYSJ9uk2iWnqhaKB8PQ_6_8"/>
      <w:bookmarkStart w:id="1473" w:name="Tc_f1k5cZRHCECNt4UOL108hg_6_5"/>
      <w:bookmarkStart w:id="1474" w:name="Tc_TosZCM5I2Uu812ho3xlSdQ_6_2"/>
      <w:bookmarkStart w:id="1475" w:name="Tc_L5YZwtgzuEOqBFCyJj_XzQ_6_0"/>
      <w:bookmarkStart w:id="1476" w:name="Tc_Gr7XnJ3m40yzc9OzQChZSQ_5_14"/>
      <w:bookmarkStart w:id="1477" w:name="Tc_qVJkixQc2EmFI0dTCXYYVA_5_11"/>
      <w:bookmarkStart w:id="1478" w:name="Tc_FWX5fzGQV063oU14vkRGYg_5_8"/>
      <w:bookmarkStart w:id="1479" w:name="Tc_TODNXUzrZk-UZ9EVQJVJUw_5_5"/>
      <w:bookmarkStart w:id="1480" w:name="Tc_RWTtoyxsHkumaLMey34GpA_5_2"/>
      <w:bookmarkStart w:id="1481" w:name="Tc_zGiED5con0yhJdHz3o8aRQ_4_14"/>
      <w:bookmarkStart w:id="1482" w:name="Tc_OCTP7Mu6S0iLhdAgSTpIew_4_5"/>
      <w:bookmarkStart w:id="1483" w:name="Tc_JK4y0hbPREeGOpoVrPRbJA_4_2"/>
      <w:bookmarkStart w:id="1484" w:name="Tc_Y_PS00-JpkOQJrXLnWqpWA_3_14"/>
      <w:bookmarkStart w:id="1485" w:name="Tc_a7uJ4Glhq0WF2cYVYM15Jw_3_2"/>
      <w:bookmarkStart w:id="1486" w:name="Tc_PEIrzXHHhUONx98uOSBewQ_2_14"/>
      <w:bookmarkStart w:id="1487" w:name="Tc_aubLjT2gX0WJwF0EwyTohw_1_2"/>
      <w:bookmarkStart w:id="1488" w:name="_2b9386e0_5052_4e2c_a0aa_29a008508682"/>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p>
    <w:tbl>
      <w:tblPr>
        <w:tblW w:w="10205" w:type="dxa"/>
        <w:jc w:val="left"/>
        <w:tblInd w:w="0" w:type="dxa"/>
        <w:tblCellMar>
          <w:top w:w="0" w:type="dxa"/>
          <w:left w:w="0" w:type="dxa"/>
          <w:bottom w:w="0" w:type="dxa"/>
          <w:right w:w="0" w:type="dxa"/>
        </w:tblCellMar>
      </w:tblPr>
      <w:tblGrid>
        <w:gridCol w:w="2217"/>
        <w:gridCol w:w="326"/>
        <w:gridCol w:w="211"/>
        <w:gridCol w:w="1141"/>
        <w:gridCol w:w="326"/>
        <w:gridCol w:w="211"/>
        <w:gridCol w:w="1239"/>
        <w:gridCol w:w="326"/>
        <w:gridCol w:w="211"/>
        <w:gridCol w:w="1139"/>
        <w:gridCol w:w="326"/>
        <w:gridCol w:w="230"/>
        <w:gridCol w:w="1016"/>
        <w:gridCol w:w="326"/>
        <w:gridCol w:w="960"/>
      </w:tblGrid>
      <w:tr>
        <w:trPr/>
        <w:tc>
          <w:tcPr>
            <w:tcW w:w="2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407795" cy="175260"/>
                      <wp:effectExtent l="0" t="0" r="0" b="0"/>
                      <wp:wrapNone/>
                      <wp:docPr id="274" name="Frame273"/>
                      <a:graphic xmlns:a="http://schemas.openxmlformats.org/drawingml/2006/main">
                        <a:graphicData uri="http://schemas.microsoft.com/office/word/2010/wordprocessingShape">
                          <wps:wsp>
                            <wps:cNvSpPr txBox="1"/>
                            <wps:spPr>
                              <a:xfrm>
                                <a:off x="0" y="0"/>
                                <a:ext cx="140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5" name="Frame2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6" name="Frame2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24535" cy="175260"/>
                      <wp:effectExtent l="0" t="0" r="0" b="0"/>
                      <wp:wrapNone/>
                      <wp:docPr id="277" name="Frame27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79" name="Frame2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86765" cy="175260"/>
                      <wp:effectExtent l="0" t="0" r="0" b="0"/>
                      <wp:wrapNone/>
                      <wp:docPr id="280" name="Frame279"/>
                      <a:graphic xmlns:a="http://schemas.openxmlformats.org/drawingml/2006/main">
                        <a:graphicData uri="http://schemas.microsoft.com/office/word/2010/wordprocessingShape">
                          <wps:wsp>
                            <wps:cNvSpPr txBox="1"/>
                            <wps:spPr>
                              <a:xfrm>
                                <a:off x="0" y="0"/>
                                <a:ext cx="786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1" name="Frame2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2" name="Frame2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723265" cy="175260"/>
                      <wp:effectExtent l="0" t="0" r="0" b="0"/>
                      <wp:wrapNone/>
                      <wp:docPr id="283" name="Frame282"/>
                      <a:graphic xmlns:a="http://schemas.openxmlformats.org/drawingml/2006/main">
                        <a:graphicData uri="http://schemas.microsoft.com/office/word/2010/wordprocessingShape">
                          <wps:wsp>
                            <wps:cNvSpPr txBox="1"/>
                            <wps:spPr>
                              <a:xfrm>
                                <a:off x="0" y="0"/>
                                <a:ext cx="7232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4" name="Frame2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6050" cy="175260"/>
                      <wp:effectExtent l="0" t="0" r="0" b="0"/>
                      <wp:wrapNone/>
                      <wp:docPr id="285" name="Frame284"/>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5160" cy="175260"/>
                      <wp:effectExtent l="0" t="0" r="0" b="0"/>
                      <wp:wrapNone/>
                      <wp:docPr id="286" name="Frame285"/>
                      <a:graphic xmlns:a="http://schemas.openxmlformats.org/drawingml/2006/main">
                        <a:graphicData uri="http://schemas.microsoft.com/office/word/2010/wordprocessingShape">
                          <wps:wsp>
                            <wps:cNvSpPr txBox="1"/>
                            <wps:spPr>
                              <a:xfrm>
                                <a:off x="0" y="0"/>
                                <a:ext cx="645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87"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09600" cy="175260"/>
                      <wp:effectExtent l="0" t="0" r="0" b="0"/>
                      <wp:wrapNone/>
                      <wp:docPr id="288" name="Frame287"/>
                      <a:graphic xmlns:a="http://schemas.openxmlformats.org/drawingml/2006/main">
                        <a:graphicData uri="http://schemas.microsoft.com/office/word/2010/wordprocessingShape">
                          <wps:wsp>
                            <wps:cNvSpPr txBox="1"/>
                            <wps:spPr>
                              <a:xfrm>
                                <a:off x="0" y="0"/>
                                <a:ext cx="609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662"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22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52"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50"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50"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6"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6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2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0"/>
              <w:ind w:left="0" w:right="0" w:hanging="0"/>
              <w:jc w:val="center"/>
              <w:rPr/>
            </w:pPr>
            <w:r>
              <w:rPr/>
              <w:t>​</w:t>
            </w:r>
          </w:p>
        </w:tc>
        <w:tc>
          <w:tcPr>
            <w:tcW w:w="1450"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13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0" w:type="dxa"/>
            <w:tcBorders/>
            <w:shd w:fill="auto" w:val="clear"/>
            <w:vAlign w:val="center"/>
          </w:tcPr>
          <w:p>
            <w:pPr>
              <w:pStyle w:val="TableContents"/>
              <w:spacing w:before="0" w:after="0"/>
              <w:ind w:left="0" w:right="0" w:hanging="0"/>
              <w:jc w:val="center"/>
              <w:rPr/>
            </w:pPr>
            <w:r>
              <w:rPr/>
              <w:t>​</w:t>
            </w:r>
          </w:p>
        </w:tc>
        <w:tc>
          <w:tcPr>
            <w:tcW w:w="10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2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0"/>
              <w:ind w:left="0" w:right="0" w:hanging="0"/>
              <w:jc w:val="center"/>
              <w:rPr/>
            </w:pPr>
            <w:r>
              <w:rPr/>
              <w:t>​</w:t>
            </w:r>
          </w:p>
        </w:tc>
        <w:tc>
          <w:tcPr>
            <w:tcW w:w="145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13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0" w:type="dxa"/>
            <w:tcBorders/>
            <w:shd w:fill="auto" w:val="clear"/>
            <w:vAlign w:val="center"/>
          </w:tcPr>
          <w:p>
            <w:pPr>
              <w:pStyle w:val="TableContents"/>
              <w:spacing w:before="0" w:after="0"/>
              <w:ind w:left="0" w:right="0" w:hanging="0"/>
              <w:jc w:val="center"/>
              <w:rPr/>
            </w:pPr>
            <w:r>
              <w:rPr/>
              <w:t>​</w:t>
            </w:r>
          </w:p>
        </w:tc>
        <w:tc>
          <w:tcPr>
            <w:tcW w:w="10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6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w:t>
            </w:r>
          </w:p>
        </w:tc>
      </w:tr>
      <w:tr>
        <w:trPr/>
        <w:tc>
          <w:tcPr>
            <w:tcW w:w="22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jc w:val="center"/>
              <w:rPr/>
            </w:pPr>
            <w:r>
              <w:rPr/>
              <w:t>​</w:t>
            </w:r>
          </w:p>
        </w:tc>
        <w:tc>
          <w:tcPr>
            <w:tcW w:w="14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jc w:val="center"/>
              <w:rPr/>
            </w:pPr>
            <w:r>
              <w:rPr/>
              <w:t>​</w:t>
            </w:r>
          </w:p>
        </w:tc>
        <w:tc>
          <w:tcPr>
            <w:tcW w:w="13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 Loss</w:t>
            </w:r>
          </w:p>
        </w:tc>
        <w:tc>
          <w:tcPr>
            <w:tcW w:w="326" w:type="dxa"/>
            <w:tcBorders/>
            <w:shd w:fill="auto" w:val="clear"/>
            <w:vAlign w:val="center"/>
          </w:tcPr>
          <w:p>
            <w:pPr>
              <w:pStyle w:val="TableContents"/>
              <w:spacing w:before="0" w:after="0"/>
              <w:ind w:left="0" w:right="0" w:hanging="0"/>
              <w:jc w:val="center"/>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Book Value</w:t>
            </w:r>
          </w:p>
        </w:tc>
        <w:tc>
          <w:tcPr>
            <w:tcW w:w="326" w:type="dxa"/>
            <w:tcBorders/>
            <w:shd w:fill="auto" w:val="clear"/>
            <w:vAlign w:val="center"/>
          </w:tcPr>
          <w:p>
            <w:pPr>
              <w:pStyle w:val="TableContents"/>
              <w:spacing w:before="0" w:after="0"/>
              <w:ind w:left="0" w:right="0" w:hanging="0"/>
              <w:jc w:val="center"/>
              <w:rPr/>
            </w:pPr>
            <w:r>
              <w:rPr/>
              <w:t>​</w:t>
            </w:r>
          </w:p>
        </w:tc>
        <w:tc>
          <w:tcPr>
            <w:tcW w:w="96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w:t>
            </w:r>
          </w:p>
        </w:tc>
      </w:tr>
      <w:tr>
        <w:trPr/>
        <w:tc>
          <w:tcPr>
            <w:tcW w:w="2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License rights from related parties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152,990,000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(127,877,024)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(16,325,000)</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8,787,976</w:t>
            </w:r>
          </w:p>
        </w:tc>
        <w:tc>
          <w:tcPr>
            <w:tcW w:w="326" w:type="dxa"/>
            <w:tcBorders/>
            <w:shd w:fill="CCEEFF" w:val="clear"/>
            <w:vAlign w:val="center"/>
          </w:tcPr>
          <w:p>
            <w:pPr>
              <w:pStyle w:val="TableContents"/>
              <w:spacing w:before="0" w:after="0"/>
              <w:ind w:left="0" w:right="0" w:hanging="0"/>
              <w:rPr/>
            </w:pPr>
            <w:r>
              <w:rPr/>
              <w:t>​</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 – 5 years</w:t>
            </w:r>
          </w:p>
        </w:tc>
      </w:tr>
      <w:tr>
        <w:trPr/>
        <w:tc>
          <w:tcPr>
            <w:tcW w:w="22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License rights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3,000,000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(2,750,000)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250,000</w:t>
            </w:r>
          </w:p>
        </w:tc>
        <w:tc>
          <w:tcPr>
            <w:tcW w:w="326" w:type="dxa"/>
            <w:tcBorders/>
            <w:shd w:fill="auto" w:val="clear"/>
            <w:vAlign w:val="center"/>
          </w:tcPr>
          <w:p>
            <w:pPr>
              <w:pStyle w:val="TableContents"/>
              <w:spacing w:before="0" w:after="0"/>
              <w:ind w:left="0" w:right="0" w:hanging="0"/>
              <w:rPr/>
            </w:pPr>
            <w:r>
              <w:rPr/>
              <w:t>​</w:t>
            </w:r>
          </w:p>
        </w:tc>
        <w:tc>
          <w:tcPr>
            <w:tcW w:w="96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 years</w:t>
            </w:r>
          </w:p>
        </w:tc>
      </w:tr>
      <w:tr>
        <w:trPr/>
        <w:tc>
          <w:tcPr>
            <w:tcW w:w="2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assets - other: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23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3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60" w:type="dxa"/>
            <w:tcBorders/>
            <w:shd w:fill="CCEEFF" w:val="clear"/>
            <w:vAlign w:val="center"/>
          </w:tcPr>
          <w:p>
            <w:pPr>
              <w:pStyle w:val="TableContents"/>
              <w:spacing w:before="0" w:after="0"/>
              <w:ind w:left="0" w:right="0" w:hanging="0"/>
              <w:jc w:val="right"/>
              <w:rPr/>
            </w:pPr>
            <w:r>
              <w:rPr/>
              <w:t>  </w:t>
            </w:r>
          </w:p>
        </w:tc>
      </w:tr>
      <w:tr>
        <w:trPr/>
        <w:tc>
          <w:tcPr>
            <w:tcW w:w="22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51,784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(50,908)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876</w:t>
            </w:r>
          </w:p>
        </w:tc>
        <w:tc>
          <w:tcPr>
            <w:tcW w:w="326" w:type="dxa"/>
            <w:tcBorders/>
            <w:shd w:fill="auto" w:val="clear"/>
            <w:vAlign w:val="center"/>
          </w:tcPr>
          <w:p>
            <w:pPr>
              <w:pStyle w:val="TableContents"/>
              <w:spacing w:before="0" w:after="0"/>
              <w:ind w:left="0" w:right="0" w:hanging="0"/>
              <w:rPr/>
            </w:pPr>
            <w:r>
              <w:rPr/>
              <w:t>​</w:t>
            </w:r>
          </w:p>
        </w:tc>
        <w:tc>
          <w:tcPr>
            <w:tcW w:w="96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 years</w:t>
            </w:r>
          </w:p>
        </w:tc>
      </w:tr>
      <w:tr>
        <w:trPr/>
        <w:tc>
          <w:tcPr>
            <w:tcW w:w="2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Trademark</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10,745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2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3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5,386</w:t>
            </w:r>
          </w:p>
        </w:tc>
        <w:tc>
          <w:tcPr>
            <w:tcW w:w="326" w:type="dxa"/>
            <w:tcBorders/>
            <w:shd w:fill="CCEEFF" w:val="clear"/>
            <w:vAlign w:val="center"/>
          </w:tcPr>
          <w:p>
            <w:pPr>
              <w:pStyle w:val="TableContents"/>
              <w:spacing w:before="0" w:after="0"/>
              <w:ind w:left="0" w:right="0" w:hanging="0"/>
              <w:rPr/>
            </w:pPr>
            <w:r>
              <w:rPr/>
              <w:t>​</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 years</w:t>
            </w:r>
          </w:p>
        </w:tc>
      </w:tr>
      <w:tr>
        <w:trPr/>
        <w:tc>
          <w:tcPr>
            <w:tcW w:w="22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In-progress patent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270,886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3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3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270,886</w:t>
            </w:r>
          </w:p>
        </w:tc>
        <w:tc>
          <w:tcPr>
            <w:tcW w:w="326" w:type="dxa"/>
            <w:tcBorders/>
            <w:shd w:fill="auto" w:val="clear"/>
            <w:vAlign w:val="center"/>
          </w:tcPr>
          <w:p>
            <w:pPr>
              <w:pStyle w:val="TableContents"/>
              <w:spacing w:before="0" w:after="0"/>
              <w:ind w:left="0" w:right="0" w:hanging="0"/>
              <w:rPr/>
            </w:pPr>
            <w:r>
              <w:rPr/>
              <w:t>​</w:t>
            </w:r>
          </w:p>
        </w:tc>
        <w:tc>
          <w:tcPr>
            <w:tcW w:w="960" w:type="dxa"/>
            <w:tcBorders/>
            <w:shd w:fill="auto" w:val="clear"/>
            <w:vAlign w:val="center"/>
          </w:tcPr>
          <w:p>
            <w:pPr>
              <w:pStyle w:val="TableContents"/>
              <w:spacing w:before="0" w:after="0"/>
              <w:ind w:left="0" w:right="0" w:hanging="0"/>
              <w:jc w:val="right"/>
              <w:rPr/>
            </w:pPr>
            <w:r>
              <w:rPr/>
              <w:t>  </w:t>
            </w:r>
          </w:p>
        </w:tc>
      </w:tr>
      <w:tr>
        <w:trPr/>
        <w:tc>
          <w:tcPr>
            <w:tcW w:w="2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333,415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(56,267)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277,148</w:t>
            </w:r>
          </w:p>
        </w:tc>
        <w:tc>
          <w:tcPr>
            <w:tcW w:w="326" w:type="dxa"/>
            <w:tcBorders/>
            <w:shd w:fill="CCEEFF" w:val="clear"/>
            <w:vAlign w:val="center"/>
          </w:tcPr>
          <w:p>
            <w:pPr>
              <w:pStyle w:val="TableContents"/>
              <w:spacing w:before="0" w:after="0"/>
              <w:ind w:left="0" w:right="0" w:hanging="0"/>
              <w:rPr/>
            </w:pPr>
            <w:r>
              <w:rPr/>
              <w:t>​</w:t>
            </w:r>
          </w:p>
        </w:tc>
        <w:tc>
          <w:tcPr>
            <w:tcW w:w="960" w:type="dxa"/>
            <w:tcBorders/>
            <w:shd w:fill="CCEEFF" w:val="clear"/>
            <w:vAlign w:val="center"/>
          </w:tcPr>
          <w:p>
            <w:pPr>
              <w:pStyle w:val="TableContents"/>
              <w:spacing w:before="0" w:after="0"/>
              <w:ind w:left="0" w:right="0" w:hanging="0"/>
              <w:jc w:val="right"/>
              <w:rPr/>
            </w:pPr>
            <w:r>
              <w:rPr/>
              <w:t>  </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Amortization expense was $7,657,669 and $15,262,559 for the years ended December 31, 2022 and 2021, respectively. These amounts are included in cost of revenues in the accompanying consolidated statements of comprehensive income. The weighted average remaining useful life for which amortization expense will be recognized is 1.0 years. Future amortization expense of intangible assets is as follows:</w:t>
      </w:r>
    </w:p>
    <w:p>
      <w:pPr>
        <w:pStyle w:val="TextBody"/>
        <w:spacing w:before="0" w:after="0"/>
        <w:ind w:left="0" w:right="0" w:hanging="0"/>
        <w:rPr/>
      </w:pPr>
      <w:r>
        <w:rPr/>
        <w:t>​</w:t>
      </w:r>
    </w:p>
    <w:tbl>
      <w:tblPr>
        <w:tblW w:w="3629" w:type="dxa"/>
        <w:jc w:val="left"/>
        <w:tblInd w:w="0" w:type="dxa"/>
        <w:tblCellMar>
          <w:top w:w="0" w:type="dxa"/>
          <w:left w:w="0" w:type="dxa"/>
          <w:bottom w:w="0" w:type="dxa"/>
          <w:right w:w="0" w:type="dxa"/>
        </w:tblCellMar>
      </w:tblPr>
      <w:tblGrid>
        <w:gridCol w:w="2056"/>
        <w:gridCol w:w="326"/>
        <w:gridCol w:w="211"/>
        <w:gridCol w:w="1036"/>
      </w:tblGrid>
      <w:tr>
        <w:trPr/>
        <w:tc>
          <w:tcPr>
            <w:tcW w:w="2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05560" cy="175260"/>
                      <wp:effectExtent l="0" t="0" r="0" b="0"/>
                      <wp:wrapNone/>
                      <wp:docPr id="289" name="Frame288"/>
                      <a:graphic xmlns:a="http://schemas.openxmlformats.org/drawingml/2006/main">
                        <a:graphicData uri="http://schemas.microsoft.com/office/word/2010/wordprocessingShape">
                          <wps:wsp>
                            <wps:cNvSpPr txBox="1"/>
                            <wps:spPr>
                              <a:xfrm>
                                <a:off x="0" y="0"/>
                                <a:ext cx="1305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0" name="Frame2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1" name="Frame2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57860" cy="175260"/>
                      <wp:effectExtent l="0" t="0" r="0" b="0"/>
                      <wp:wrapNone/>
                      <wp:docPr id="292" name="Frame29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i/>
                <w:sz w:val="16"/>
              </w:rPr>
            </w:pPr>
            <w:r>
              <w:rPr>
                <w:rFonts w:ascii="Times New Roman;Times;serif" w:hAnsi="Times New Roman;Times;serif"/>
                <w:b/>
                <w:i/>
                <w:sz w:val="16"/>
              </w:rPr>
              <w:t>Years ending December 31,</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0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Remainder of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1,384,862</w:t>
            </w:r>
          </w:p>
        </w:tc>
      </w:tr>
      <w:tr>
        <w:trPr/>
        <w:tc>
          <w:tcPr>
            <w:tcW w:w="20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r>
      <w:tr>
        <w:trPr/>
        <w:tc>
          <w:tcPr>
            <w:tcW w:w="20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0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r>
      <w:tr>
        <w:trPr/>
        <w:tc>
          <w:tcPr>
            <w:tcW w:w="20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r>
      <w:tr>
        <w:trPr/>
        <w:tc>
          <w:tcPr>
            <w:tcW w:w="20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270,886</w:t>
            </w:r>
          </w:p>
        </w:tc>
      </w:tr>
      <w:tr>
        <w:trPr/>
        <w:tc>
          <w:tcPr>
            <w:tcW w:w="20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1,656,579</w:t>
            </w:r>
          </w:p>
        </w:tc>
      </w:tr>
    </w:tbl>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 ACCOUNTS PAYABLE — RELATED PARTY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due to related party represents payables in the ordinary course of business primarily for purchases of game distribution licenses and also the royalties due to Suzhou Snail. As of December 31, 2022 and 2021, the Company had $19,918,259 and $23,733,572, respectively, as accounts payable due to Suzhou Snail. For the years ended December 31, 2022 and 2021, the Company incurred $404,347 and $749,161, respectively as license costs due to Suzhou Snail. During the years ended December 31, 2022 and 2021, respectively, there were $4,219,660 and $539,216 in payments to Suzhou Snail for royalties.</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13 – LOAN AND INTEREST RECEIVABLE — RELATED PARTY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February 2021, the Company lent $200,000 to a wholly owned subsidiary of Suzhou Snail, the loan bears 2.0% per annum interest, interest and principal are due in February 2022. In February 2022, Suzhou Snail signed an agreement with this subsidiary and assumed the loan and related interest for a total of $203,890. Subsequently, $103,890 was offset against the loan and interest payable owed to Suzhou Snail on a separate note. Please refer to Note 14 — </w:t>
      </w:r>
      <w:r>
        <w:rPr>
          <w:rFonts w:ascii="Times New Roman;Times;serif" w:hAnsi="Times New Roman;Times;serif"/>
          <w:i/>
          <w:sz w:val="20"/>
        </w:rPr>
        <w:t>Loan Payable and Interest Payable — Related Parties</w:t>
      </w:r>
      <w:r>
        <w:rPr>
          <w:rFonts w:ascii="Times New Roman;Times;serif" w:hAnsi="Times New Roman;Times;serif"/>
          <w:sz w:val="20"/>
        </w:rPr>
        <w:t>. The total amount of loan and interest receivable — related parties was $101,753 and $203,408, as of December 31, 2022 and 2021, respectively. The Company earned $1,753 and $3,890 in interest on the related party loans receivable during the years ended December 31, 2022 and 2021, respectively.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14 – LOAN PAYABLE AND INTEREST PAYABLE — RELATED PARTIES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had a loan amount due to related parties of $400,000 bearing 2.00% per annum interest. $300,000 of the loan is from a wholly owned subsidiary of Suzhou Snail and due in June 2022, and $100,000 is from Suzhou Snail and due in December 2023. The $100,000 loan along with $3,890 interest payable to Suzhou Snail was offset by the loan receivable Suzhou Snail assumed in February 2022. Please refer to Note 13 — </w:t>
      </w:r>
      <w:r>
        <w:rPr>
          <w:rFonts w:ascii="Times New Roman;Times;serif" w:hAnsi="Times New Roman;Times;serif"/>
          <w:i/>
          <w:sz w:val="20"/>
        </w:rPr>
        <w:t>Loan and Interest Receivable — Related Party</w:t>
      </w:r>
      <w:r>
        <w:rPr>
          <w:rFonts w:ascii="Times New Roman;Times;serif" w:hAnsi="Times New Roman;Times;serif"/>
          <w:sz w:val="20"/>
        </w:rPr>
        <w:t>. In July 2022, the Company paid off the outstanding principal balance of $300,000. As of December 31, 2022 and 2021, the total loan payable — related parties amounted to $0 and $400,000, respectively, and total unpaid interest amounted to $527,770 and $528,439, as of December 31, 2022 and 2021, respectively. Interest expenses for the loans payable to related parties were $3,222 and $8,000 during the years ended December 31, 2022 and 2021,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b/>
          <w:sz w:val="20"/>
        </w:rPr>
      </w:pPr>
      <w:bookmarkStart w:id="1489" w:name="Tc_w5HNgM8qpEOCPhiFIIYfPw_8_2"/>
      <w:bookmarkStart w:id="1490" w:name="Tc_GodkfeCUnkWbUVxg7CaJuA_7_0"/>
      <w:bookmarkStart w:id="1491" w:name="Tc_CkwyOP9a-EuZaYHenDO0dw_6_0"/>
      <w:bookmarkStart w:id="1492" w:name="Tc_9zEPRWQDFEGFq2042WyRMw_5_0"/>
      <w:bookmarkStart w:id="1493" w:name="Tc_KYpqaOMWnkm_CNCz3AJZJg_4_0"/>
      <w:bookmarkStart w:id="1494" w:name="Tc_exwYTbbLXkmN0CGwGIZkCw_3_0"/>
      <w:bookmarkStart w:id="1495" w:name="Tc_MOymw7-r8Umg0yj8A68X-Q_2_2"/>
      <w:bookmarkStart w:id="1496" w:name="Tc_Vm0jg-cQnEul11Rsu3KtEA_2_0"/>
      <w:bookmarkStart w:id="1497" w:name="Tc_PtfgQY2OCEOLDTjdKWcGbQ_1_2"/>
      <w:bookmarkStart w:id="1498" w:name="Tc_U_SYEHd8J0yxuUQJSiiGFw_1_0"/>
      <w:bookmarkStart w:id="1499" w:name="Tc_FW97YUsjI0yg-33yja4nVw_9_5"/>
      <w:bookmarkStart w:id="1500" w:name="Tc_BUlKetflyU-QbCIPRuFUlQ_9_2"/>
      <w:bookmarkStart w:id="1501" w:name="Tc_C85Y7_-P8U6Cvxx0ObvQcg_9_0"/>
      <w:bookmarkStart w:id="1502" w:name="Tc_2fQ_5KOFA0ixNpH1pJaRkA_8_0"/>
      <w:bookmarkStart w:id="1503" w:name="Tc_jQUsRMC30UquZZfmC2OKKg_7_0"/>
      <w:bookmarkStart w:id="1504" w:name="Tc_z5JgR1IUxkCdTDqBrvE94A_6_6"/>
      <w:bookmarkStart w:id="1505" w:name="Tc_rBduTODRNUGsd70XkucAqg_6_0"/>
      <w:bookmarkStart w:id="1506" w:name="Tc_BywLRtSZbkOKDtVwqFKhgw_5_0"/>
      <w:bookmarkStart w:id="1507" w:name="Tc_CUOvyH9TD0OuMFnqFrZW8Q_4_0"/>
      <w:bookmarkStart w:id="1508" w:name="Tc_NdURMp5SEk-Mut2CwaHvRg_3_5"/>
      <w:bookmarkStart w:id="1509" w:name="Tc_zcaUGAOhFUWoU2iOSIoXAw_3_3"/>
      <w:bookmarkStart w:id="1510" w:name="Tc_O4o153IMAkyjCFmsAZSkCA_3_2"/>
      <w:bookmarkStart w:id="1511" w:name="Tc_mtnAYdC_JUGIExBG_BdX9Q_3_0"/>
      <w:bookmarkStart w:id="1512" w:name="Tc_A8qShNrLR0quY2GM8y1PSQ_2_5"/>
      <w:bookmarkStart w:id="1513" w:name="Tc_ryrYwjSVVU241wtXjQZrZw_2_2"/>
      <w:bookmarkStart w:id="1514" w:name="Tc_h8hYzK2exky-h-lcwnS8NA_1_5"/>
      <w:bookmarkStart w:id="1515" w:name="Tc_GXOk-ViFbUmFZTZNLxYD2A_1_2"/>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r>
        <w:rPr>
          <w:rFonts w:ascii="Times New Roman;Times;serif" w:hAnsi="Times New Roman;Times;serif"/>
          <w:b/>
          <w:sz w:val="20"/>
        </w:rPr>
        <w:t>NOTE 15 – REVOLVING LOAN, SHORT TERM NOTE AND LONG – TERM DEBT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014"/>
        <w:gridCol w:w="326"/>
        <w:gridCol w:w="211"/>
        <w:gridCol w:w="1036"/>
        <w:gridCol w:w="326"/>
        <w:gridCol w:w="211"/>
        <w:gridCol w:w="1081"/>
      </w:tblGrid>
      <w:tr>
        <w:trPr/>
        <w:tc>
          <w:tcPr>
            <w:tcW w:w="70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453890" cy="175260"/>
                      <wp:effectExtent l="0" t="0" r="0" b="0"/>
                      <wp:wrapNone/>
                      <wp:docPr id="293" name="Frame292"/>
                      <a:graphic xmlns:a="http://schemas.openxmlformats.org/drawingml/2006/main">
                        <a:graphicData uri="http://schemas.microsoft.com/office/word/2010/wordprocessingShape">
                          <wps:wsp>
                            <wps:cNvSpPr txBox="1"/>
                            <wps:spPr>
                              <a:xfrm>
                                <a:off x="0" y="0"/>
                                <a:ext cx="4453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4" name="Frame2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5" name="Frame2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57860" cy="175260"/>
                      <wp:effectExtent l="0" t="0" r="0" b="0"/>
                      <wp:wrapNone/>
                      <wp:docPr id="296" name="Frame29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297" name="Frame2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298" name="Frame2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86435" cy="175260"/>
                      <wp:effectExtent l="0" t="0" r="0" b="0"/>
                      <wp:wrapNone/>
                      <wp:docPr id="299" name="Frame298"/>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01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rPr/>
            </w:pPr>
            <w:r>
              <w:rPr/>
              <w:t>​</w:t>
            </w:r>
          </w:p>
        </w:tc>
        <w:tc>
          <w:tcPr>
            <w:tcW w:w="12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1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2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701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b/>
                <w:sz w:val="20"/>
              </w:rPr>
              <w:t>PPP Promissory Note</w:t>
            </w:r>
            <w:r>
              <w:rPr>
                <w:rFonts w:ascii="Times New Roman;Times;serif" w:hAnsi="Times New Roman;Times;serif"/>
                <w:sz w:val="20"/>
              </w:rPr>
              <w:t xml:space="preserve"> - In April 2020, the Company applied for and received $773,810 in SBA loans through the paycheck protection program. During the period ended March 31, 2022 the Company made $90,198 in principal payments and during the year ended December 31, 2021 the SBA forgave $392,200 of the PPP loan. In April 2022 the SBA forgave the remaining balance of $126,131 and issued a refund for $48,305 of principal payments made during the three months ended March 31,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216,329</w:t>
            </w:r>
          </w:p>
        </w:tc>
      </w:tr>
      <w:tr>
        <w:trPr/>
        <w:tc>
          <w:tcPr>
            <w:tcW w:w="701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b/>
                <w:sz w:val="20"/>
              </w:rPr>
              <w:t>2021 Revolving Loan</w:t>
            </w:r>
            <w:r>
              <w:rPr>
                <w:rFonts w:ascii="Times New Roman;Times;serif" w:hAnsi="Times New Roman;Times;serif"/>
                <w:sz w:val="20"/>
              </w:rPr>
              <w:t xml:space="preserve"> </w:t>
            </w:r>
            <w:r>
              <w:rPr>
                <w:rFonts w:ascii="Times New Roman;Times;serif" w:hAnsi="Times New Roman;Times;serif"/>
                <w:b/>
                <w:sz w:val="20"/>
              </w:rPr>
              <w:t>-</w:t>
            </w:r>
            <w:r>
              <w:rPr>
                <w:rFonts w:ascii="Times New Roman;Times;serif" w:hAnsi="Times New Roman;Times;serif"/>
                <w:sz w:val="20"/>
              </w:rPr>
              <w:t xml:space="preserve"> On June 17, 2021, the Company amended its revolving loan agreement (“amended revolver”) and increased the maximum balance to $9,000,000. The amended revolver matures on December 31, 2023 and has an annual interest rate equal to the prime rate less 0.25%. At December 31, 2022, the interest rate on this loan was 7.25%. The revolver is secured by the certificate of deposit accounts held with the financial institution, and reported as restricted cash, in the amount of $5,262,627 and $5,240,752 as of December 31, 2022 and 2021, respectively. Debt covenants of this loan require the Company to maintain a minimum debt service coverage ratio of at least 1.5 to 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9,000,000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9,000,000</w:t>
            </w:r>
          </w:p>
        </w:tc>
      </w:tr>
      <w:tr>
        <w:trPr/>
        <w:tc>
          <w:tcPr>
            <w:tcW w:w="701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b/>
                <w:sz w:val="20"/>
              </w:rPr>
              <w:t>2021 Promissory Note</w:t>
            </w:r>
            <w:r>
              <w:rPr>
                <w:rFonts w:ascii="Times New Roman;Times;serif" w:hAnsi="Times New Roman;Times;serif"/>
                <w:sz w:val="20"/>
              </w:rPr>
              <w:t xml:space="preserve"> - On June 17, 2021, the Company amended its loan agreement to reduce the principal amount with financial institution for 10 years, annual interest rate of 3.5% for the first 5 years, and then floating at Wall Street Journal rate from years 6 to 10, the loan is secured by the Company’s building and matures on June 30, 2031. The note is subject to a prepayment penalty. Debt covenants of this loan require the Company to maintain a minimum debt service coverage ratio of at least 1.5 to 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2,891,820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2,962,782</w:t>
            </w:r>
          </w:p>
        </w:tc>
      </w:tr>
      <w:tr>
        <w:trPr/>
        <w:tc>
          <w:tcPr>
            <w:tcW w:w="701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b/>
                <w:sz w:val="20"/>
              </w:rPr>
              <w:t>2022 Short Term Note</w:t>
            </w:r>
            <w:r>
              <w:rPr>
                <w:rFonts w:ascii="Times New Roman;Times;serif" w:hAnsi="Times New Roman;Times;serif"/>
                <w:sz w:val="20"/>
              </w:rPr>
              <w:t xml:space="preserve"> - On January 26, 2022, the Company amended its revolving loan and long-term debt agreements to obtain an additional note with a principal balance of $10,000,000 which was originally set to mature on January 26, 2023. Interest shall be equal to the higher of 3.75% or the Wall Street Journal Prime Rate plus 0.50%. The loan is secured by the Company’s assets. In the event of a default, all outstanding amounts under the note will bear interest at a default rate equal to 5% over the note rate. Debt covenants of this loan require the Company to maintain a minimum debt service coverage ratio of at least 1.5 to 1 and will be measured quarterly. In November 2022, the maturity was extended to January 26, 2024 and the interest rate amended to the higher of the Wall Street Journal Prime Rate less 0.25%, or 5.75%. At December 31, 2022, the interest rate on this loan was 7.25%.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5,833,333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701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17,725,153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12,179,111</w:t>
            </w:r>
          </w:p>
        </w:tc>
      </w:tr>
      <w:tr>
        <w:trPr/>
        <w:tc>
          <w:tcPr>
            <w:tcW w:w="701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14,503,190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9,293,677</w:t>
            </w:r>
          </w:p>
        </w:tc>
      </w:tr>
      <w:tr>
        <w:trPr/>
        <w:tc>
          <w:tcPr>
            <w:tcW w:w="701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long-term debt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3,221,963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2,885,434</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Total interest expense for above debt and revolver loan amounted to $895,761 and $386,452 for the years ended December 31, 2022 and 2021, respectively. Amortization of loan origination expenses of $26,514 and $22,951 are included as part of interest expense for the years ended December 31, 2022 and 2021, respectively. The Company is in compliance with or received a waiver in the event of noncompliance, with its debt covenants as of December 31, 2022 and 2021.</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future minimum payments of its long-term debt as of December 31:</w:t>
      </w:r>
    </w:p>
    <w:p>
      <w:pPr>
        <w:pStyle w:val="TextBody"/>
        <w:spacing w:before="0" w:after="240"/>
        <w:ind w:left="0" w:right="0" w:hanging="0"/>
        <w:jc w:val="both"/>
        <w:rPr/>
      </w:pPr>
      <w:r>
        <w:rPr/>
        <w:t>​</w:t>
      </w:r>
    </w:p>
    <w:tbl>
      <w:tblPr>
        <w:tblW w:w="3824" w:type="dxa"/>
        <w:jc w:val="left"/>
        <w:tblInd w:w="0" w:type="dxa"/>
        <w:tblCellMar>
          <w:top w:w="0" w:type="dxa"/>
          <w:left w:w="0" w:type="dxa"/>
          <w:bottom w:w="0" w:type="dxa"/>
          <w:right w:w="0" w:type="dxa"/>
        </w:tblCellMar>
      </w:tblPr>
      <w:tblGrid>
        <w:gridCol w:w="2146"/>
        <w:gridCol w:w="326"/>
        <w:gridCol w:w="211"/>
        <w:gridCol w:w="1141"/>
      </w:tblGrid>
      <w:tr>
        <w:trPr/>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62710" cy="175260"/>
                      <wp:effectExtent l="0" t="0" r="0" b="0"/>
                      <wp:wrapNone/>
                      <wp:docPr id="300" name="Frame299"/>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1" name="Frame3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2" name="Frame30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724535" cy="175260"/>
                      <wp:effectExtent l="0" t="0" r="0" b="0"/>
                      <wp:wrapNone/>
                      <wp:docPr id="303" name="Frame30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Years ending December 31, </w:t>
            </w:r>
          </w:p>
        </w:tc>
        <w:tc>
          <w:tcPr>
            <w:tcW w:w="32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14,503,190</w:t>
            </w:r>
          </w:p>
        </w:tc>
      </w:tr>
      <w:tr>
        <w:trPr/>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499,414</w:t>
            </w:r>
          </w:p>
        </w:tc>
      </w:tr>
      <w:tr>
        <w:trPr/>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86,013</w:t>
            </w:r>
          </w:p>
        </w:tc>
      </w:tr>
      <w:tr>
        <w:trPr/>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89,115</w:t>
            </w:r>
          </w:p>
        </w:tc>
      </w:tr>
      <w:tr>
        <w:trPr/>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92,329</w:t>
            </w:r>
          </w:p>
        </w:tc>
      </w:tr>
      <w:tr>
        <w:trPr/>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2,455,092</w:t>
            </w:r>
          </w:p>
        </w:tc>
      </w:tr>
      <w:tr>
        <w:trPr/>
        <w:tc>
          <w:tcPr>
            <w:tcW w:w="21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17,725,153</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b/>
          <w:sz w:val="20"/>
        </w:rPr>
      </w:pPr>
      <w:bookmarkStart w:id="1516" w:name="Tc_mzMv_AKh3UqF3zLSPiGM2Q_14_5"/>
      <w:bookmarkStart w:id="1517" w:name="Tc_dim8vfLMNE2FlgKZULphfQ_14_3"/>
      <w:bookmarkStart w:id="1518" w:name="Tc_8CBfACQxkEKrqMyKg1oAwg_13_5"/>
      <w:bookmarkStart w:id="1519" w:name="Tc_-mP2MhOgqE-CCbvXy-FHpw_13_3"/>
      <w:bookmarkStart w:id="1520" w:name="Tc_gjHc9wGQ0U-F74Z41CRpxQ_13_0"/>
      <w:bookmarkStart w:id="1521" w:name="Tc_EQKQuSxUvU-pS94IW28-Bg_12_5"/>
      <w:bookmarkStart w:id="1522" w:name="Tc_yONYh1mgS06bpUEipBNfLg_12_3"/>
      <w:bookmarkStart w:id="1523" w:name="Tc_5F60iOBiSEiz7QssdzZVxA_12_0"/>
      <w:bookmarkStart w:id="1524" w:name="Tc_cmq9KLwgIkimNXUMYkmrhg_11_4"/>
      <w:bookmarkStart w:id="1525" w:name="Tc_5Exfx7SPuUuHMTOHw7t6jg_11_3"/>
      <w:bookmarkStart w:id="1526" w:name="Tc_47SYRnxQeEySDw7HamevPQ_11_0"/>
      <w:bookmarkStart w:id="1527" w:name="Tc__3HE9vCLnEybcjdteD8H9A_10_5"/>
      <w:bookmarkStart w:id="1528" w:name="Tc_4jpJwsFh5kSdKw4betHO2Q_10_3"/>
      <w:bookmarkStart w:id="1529" w:name="Tc_D8ElJzu6hUCuLrujbe2DiA_10_0"/>
      <w:bookmarkStart w:id="1530" w:name="Tc_rnxOL_Eh1EWXL4ViJpSnTg_9_5"/>
      <w:bookmarkStart w:id="1531" w:name="Tc_xV31tHxB00C2_YuZCsPLug_9_3"/>
      <w:bookmarkStart w:id="1532" w:name="Tc_4S63mgOCnEG85dWjDTYPkw_9_0"/>
      <w:bookmarkStart w:id="1533" w:name="Tc_1Z0MFEme402QNpVGFOD2rw_8_5"/>
      <w:bookmarkStart w:id="1534" w:name="Tc_yKOc2PZztUWeV6H4IiepRw_8_3"/>
      <w:bookmarkStart w:id="1535" w:name="Tc_XAIOtW2ehEm7GAABN_SrvQ_8_0"/>
      <w:bookmarkStart w:id="1536" w:name="Tc_cA6oTt-PhkS8d9XNK8OULg_7_4"/>
      <w:bookmarkStart w:id="1537" w:name="Tc_EP8hBE6sMUK3WFCsrgQDjw_7_3"/>
      <w:bookmarkStart w:id="1538" w:name="Tc_JFwquc7I1kiO_NE6qJYKSA_7_0"/>
      <w:bookmarkStart w:id="1539" w:name="Tc_6UW2AmHiNUKUF5RtTkK8Wg_6_4"/>
      <w:bookmarkStart w:id="1540" w:name="Tc_96wQqxAAOkWD84sPtmef3A_6_3"/>
      <w:bookmarkStart w:id="1541" w:name="Tc_ByS7QdRkh0ictXSskmHASA_6_0"/>
      <w:bookmarkStart w:id="1542" w:name="Tc_YdKcpTGkjkOPQ5GgIWxO0A_5_4"/>
      <w:bookmarkStart w:id="1543" w:name="Tc_nUKhmg2830qF5LYmz-0aAw_5_3"/>
      <w:bookmarkStart w:id="1544" w:name="Tc_tWJb4rTlUE-HArbG3IOZfQ_5_0"/>
      <w:bookmarkStart w:id="1545" w:name="Tc_ZKfKv179d0eFioD57j0mxQ_4_4"/>
      <w:bookmarkStart w:id="1546" w:name="Tc_l83DFl20BkmC8qVIl5stFQ_4_3"/>
      <w:bookmarkStart w:id="1547" w:name="Tc_rs7Gq2VKDEm_ldmpfj9Flg_4_0"/>
      <w:bookmarkStart w:id="1548" w:name="Tc_9R4Q6ZybzU6Vx-Tyg6cyhg_3_5"/>
      <w:bookmarkStart w:id="1549" w:name="Tc_0lUZfHhEo063aU0cGnHCHQ_3_3"/>
      <w:bookmarkStart w:id="1550" w:name="Tc_HREy2VHwLEuNrqua_IvtWQ_3_0"/>
      <w:bookmarkStart w:id="1551" w:name="Tc_FEifI_Q7kEmuK34G6uxyxw_2_5"/>
      <w:bookmarkStart w:id="1552" w:name="Tc_E5q34bhfS0a3GqFG56XBRg_2_3"/>
      <w:bookmarkStart w:id="1553" w:name="Tc_xsAYN7i3pUGf7pGfQ2cd2w_2_0"/>
      <w:bookmarkStart w:id="1554" w:name="Tc_xg142BRZKEGjS3d7Dge-mA_1_4"/>
      <w:bookmarkStart w:id="1555" w:name="Tc__2WSHeCbY0iD1XT2nBaMiw_1_2"/>
      <w:bookmarkStart w:id="1556" w:name="Tc_lL7QbmNMvECxqdP3J0ieJQ_12_5"/>
      <w:bookmarkStart w:id="1557" w:name="Tc_jqY8-heRAkysi2SnFlB7RQ_12_2"/>
      <w:bookmarkStart w:id="1558" w:name="Tc_24fGaBraGUKzHuneFM2jtA_12_0"/>
      <w:bookmarkStart w:id="1559" w:name="Tc__hotjIWowkWUD_I41QlLMg_11_0"/>
      <w:bookmarkStart w:id="1560" w:name="Tc_xP_g-8_BBEOREY57NkRLFA_10_0"/>
      <w:bookmarkStart w:id="1561" w:name="Tc_IeMe-ANNOUiOXBCe4TM2Rg_9_0"/>
      <w:bookmarkStart w:id="1562" w:name="Tc__CY5w3FOqkSbYObwiQaPyg_8_0"/>
      <w:bookmarkStart w:id="1563" w:name="Tc_sHopeyN6VEmA-kWRtf_MNw_7_0"/>
      <w:bookmarkStart w:id="1564" w:name="Tc_UCTCSa2aU0y0Bx8UkukKlA_6_0"/>
      <w:bookmarkStart w:id="1565" w:name="Tc_WT7OeajDh06LM1lwYdVsng_5_3"/>
      <w:bookmarkStart w:id="1566" w:name="Tc_NAOiD8LrXUK6wELLYFzTHw_5_0"/>
      <w:bookmarkStart w:id="1567" w:name="Tc_nqFVEcEWtkOINKezrjuVpA_4_0"/>
      <w:bookmarkStart w:id="1568" w:name="Tc_K1SivVcDM0u6pNV_Q3chaQ_3_5"/>
      <w:bookmarkStart w:id="1569" w:name="Tc_feieaCjqckqjEtZeZUhPQg_3_2"/>
      <w:bookmarkStart w:id="1570" w:name="Tc_Mutfif2-ok-5xkLjFyApDw_3_0"/>
      <w:bookmarkStart w:id="1571" w:name="Tc_fWZyFabxLU-t0btDY7E3ug_2_0"/>
      <w:bookmarkStart w:id="1572" w:name="Tc_Y3V-iHpgdEmVBsqXIKkMbg_1_5"/>
      <w:bookmarkStart w:id="1573" w:name="Tc_D0FbV_eDJkihCI4OwHxSuw_1_2"/>
      <w:bookmarkStart w:id="1574" w:name="Tc_Luw0zYjk3kaYfciKFpTlyQ_4_5"/>
      <w:bookmarkStart w:id="1575" w:name="Tc_6RY1-m-MRUGkDg8PPI3i0w_4_2"/>
      <w:bookmarkStart w:id="1576" w:name="Tc_NdS0Qd2Ja0C_WwmIQl501g_3_0"/>
      <w:bookmarkStart w:id="1577" w:name="Tc_AmyXGKGB4EeZadCq3ZBrog_2_5"/>
      <w:bookmarkStart w:id="1578" w:name="Tc_JD59mLIf20yrWesJoJycXQ_2_2"/>
      <w:bookmarkStart w:id="1579" w:name="Tc_6UvzDx29ykqZBGvmMS8QMQ_2_0"/>
      <w:bookmarkStart w:id="1580" w:name="Tc_hucrA_PHrUCkDymE85NsWg_1_5"/>
      <w:bookmarkStart w:id="1581" w:name="Tc_-G2eUZ3WikyalUgR6RULHg_1_2"/>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r>
        <w:rPr>
          <w:rFonts w:ascii="Times New Roman;Times;serif" w:hAnsi="Times New Roman;Times;serif"/>
          <w:b/>
          <w:sz w:val="20"/>
        </w:rPr>
        <w:t>NOTE 16 – INCOME TAXES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income (loss) before income taxes for the years ended December 31, 2022 and 2021 are as follows:</w:t>
      </w:r>
    </w:p>
    <w:p>
      <w:pPr>
        <w:pStyle w:val="TextBody"/>
        <w:spacing w:before="0" w:after="240"/>
        <w:ind w:left="0" w:right="0" w:hanging="0"/>
        <w:jc w:val="both"/>
        <w:rPr/>
      </w:pPr>
      <w:r>
        <w:rPr/>
        <w:t>​</w:t>
      </w:r>
    </w:p>
    <w:tbl>
      <w:tblPr>
        <w:tblW w:w="4362" w:type="dxa"/>
        <w:jc w:val="left"/>
        <w:tblInd w:w="0" w:type="dxa"/>
        <w:tblCellMar>
          <w:top w:w="0" w:type="dxa"/>
          <w:left w:w="0" w:type="dxa"/>
          <w:bottom w:w="0" w:type="dxa"/>
          <w:right w:w="0" w:type="dxa"/>
        </w:tblCellMar>
      </w:tblPr>
      <w:tblGrid>
        <w:gridCol w:w="1201"/>
        <w:gridCol w:w="326"/>
        <w:gridCol w:w="211"/>
        <w:gridCol w:w="1051"/>
        <w:gridCol w:w="326"/>
        <w:gridCol w:w="211"/>
        <w:gridCol w:w="1036"/>
      </w:tblGrid>
      <w:tr>
        <w:trPr/>
        <w:tc>
          <w:tcPr>
            <w:tcW w:w="1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1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(1,587,477)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9,476,520</w:t>
            </w:r>
          </w:p>
        </w:tc>
      </w:tr>
      <w:tr>
        <w:trPr/>
        <w:tc>
          <w:tcPr>
            <w:tcW w:w="1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135,232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217,560</w:t>
            </w:r>
          </w:p>
        </w:tc>
      </w:tr>
      <w:tr>
        <w:trPr/>
        <w:tc>
          <w:tcPr>
            <w:tcW w:w="12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(1,452,245)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9,694,080</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income tax (benefit) provision for the years ended December 31, 2022 and 2021 are as follows:</w:t>
      </w:r>
    </w:p>
    <w:p>
      <w:pPr>
        <w:pStyle w:val="TextBody"/>
        <w:spacing w:before="0" w:after="240"/>
        <w:ind w:left="0" w:right="0" w:hanging="0"/>
        <w:jc w:val="both"/>
        <w:rPr/>
      </w:pPr>
      <w:r>
        <w:rPr/>
        <w:t>​</w:t>
      </w:r>
    </w:p>
    <w:tbl>
      <w:tblPr>
        <w:tblW w:w="5847" w:type="dxa"/>
        <w:jc w:val="left"/>
        <w:tblInd w:w="0" w:type="dxa"/>
        <w:tblCellMar>
          <w:top w:w="0" w:type="dxa"/>
          <w:left w:w="0" w:type="dxa"/>
          <w:bottom w:w="0" w:type="dxa"/>
          <w:right w:w="0" w:type="dxa"/>
        </w:tblCellMar>
      </w:tblPr>
      <w:tblGrid>
        <w:gridCol w:w="2626"/>
        <w:gridCol w:w="326"/>
        <w:gridCol w:w="211"/>
        <w:gridCol w:w="1051"/>
        <w:gridCol w:w="326"/>
        <w:gridCol w:w="211"/>
        <w:gridCol w:w="1096"/>
      </w:tblGrid>
      <w:tr>
        <w:trPr/>
        <w:tc>
          <w:tcPr>
            <w:tcW w:w="2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667510" cy="175260"/>
                      <wp:effectExtent l="0" t="0" r="0" b="0"/>
                      <wp:wrapNone/>
                      <wp:docPr id="304" name="Frame303"/>
                      <a:graphic xmlns:a="http://schemas.openxmlformats.org/drawingml/2006/main">
                        <a:graphicData uri="http://schemas.microsoft.com/office/word/2010/wordprocessingShape">
                          <wps:wsp>
                            <wps:cNvSpPr txBox="1"/>
                            <wps:spPr>
                              <a:xfrm>
                                <a:off x="0" y="0"/>
                                <a:ext cx="1667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5"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6" name="Frame3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67385" cy="175260"/>
                      <wp:effectExtent l="0" t="0" r="0" b="0"/>
                      <wp:wrapNone/>
                      <wp:docPr id="307" name="Frame306"/>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08" name="Frame3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09" name="Frame3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5960" cy="175260"/>
                      <wp:effectExtent l="0" t="0" r="0" b="0"/>
                      <wp:wrapNone/>
                      <wp:docPr id="310" name="Frame309"/>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3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pPr>
            <w:r>
              <w:rPr/>
              <w:t>  </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federal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(499,784)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4,975,632</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State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(2,535,117)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(61,333)</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30,041</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(3,034,901)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4,944,340</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pPr>
            <w:r>
              <w:rPr/>
              <w:t>  </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federal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602,102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(2,988,575)</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State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(174,984)</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3,768</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588,478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(3,159,791)</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Income tax (benefit) provision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(2,446,423)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1,784,549</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provision (benefits) for income taxes differs from the amounts computed by applying the federal statutory tax rate of 21.0% to earnings before income taxes, as follows:</w:t>
      </w:r>
    </w:p>
    <w:p>
      <w:pPr>
        <w:pStyle w:val="TextBody"/>
        <w:spacing w:before="0" w:after="240"/>
        <w:ind w:left="0" w:right="0" w:hanging="0"/>
        <w:jc w:val="both"/>
        <w:rPr/>
      </w:pPr>
      <w:r>
        <w:rPr/>
        <w:t>​</w:t>
      </w:r>
    </w:p>
    <w:tbl>
      <w:tblPr>
        <w:tblW w:w="4966" w:type="dxa"/>
        <w:jc w:val="left"/>
        <w:tblInd w:w="0" w:type="dxa"/>
        <w:tblCellMar>
          <w:top w:w="0" w:type="dxa"/>
          <w:left w:w="0" w:type="dxa"/>
          <w:bottom w:w="0" w:type="dxa"/>
          <w:right w:w="0" w:type="dxa"/>
        </w:tblCellMar>
      </w:tblPr>
      <w:tblGrid>
        <w:gridCol w:w="2776"/>
        <w:gridCol w:w="146"/>
        <w:gridCol w:w="691"/>
        <w:gridCol w:w="361"/>
        <w:gridCol w:w="586"/>
        <w:gridCol w:w="406"/>
      </w:tblGrid>
      <w:tr>
        <w:trPr/>
        <w:tc>
          <w:tcPr>
            <w:tcW w:w="277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r>
      <w:tr>
        <w:trPr/>
        <w:tc>
          <w:tcPr>
            <w:tcW w:w="277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shd w:fill="auto" w:val="clear"/>
            <w:vAlign w:val="center"/>
          </w:tcPr>
          <w:p>
            <w:pPr>
              <w:pStyle w:val="TableContents"/>
              <w:spacing w:before="0" w:after="0"/>
              <w:ind w:left="0" w:right="0" w:hanging="0"/>
              <w:jc w:val="center"/>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06" w:type="dxa"/>
            <w:tcBorders/>
            <w:shd w:fill="auto" w:val="clear"/>
            <w:vAlign w:val="center"/>
          </w:tcPr>
          <w:p>
            <w:pPr>
              <w:pStyle w:val="TableContents"/>
              <w:spacing w:before="0" w:after="0"/>
              <w:ind w:left="0" w:right="0" w:hanging="0"/>
              <w:rPr/>
            </w:pPr>
            <w:r>
              <w:rPr/>
              <w:t>    </w: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Federal statutory income tax rate</w:t>
            </w:r>
          </w:p>
        </w:tc>
        <w:tc>
          <w:tcPr>
            <w:tcW w:w="14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Valuation allowance</w:t>
            </w:r>
          </w:p>
        </w:tc>
        <w:tc>
          <w:tcPr>
            <w:tcW w:w="14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 48</w:t>
            </w:r>
          </w:p>
        </w:tc>
        <w:tc>
          <w:tcPr>
            <w:tcW w:w="14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0"/>
              <w:ind w:left="0" w:right="0" w:hanging="0"/>
              <w:jc w:val="right"/>
              <w:rPr/>
            </w:pPr>
            <w:r>
              <w:rPr/>
              <w:t> — </w:t>
            </w:r>
          </w:p>
        </w:tc>
        <w:tc>
          <w:tcPr>
            <w:tcW w:w="406" w:type="dxa"/>
            <w:tcBorders/>
            <w:shd w:fill="CCEEFF" w:val="clear"/>
            <w:vAlign w:val="center"/>
          </w:tcPr>
          <w:p>
            <w:pPr>
              <w:pStyle w:val="TableContents"/>
              <w:spacing w:before="0" w:after="0"/>
              <w:ind w:left="0" w:right="0" w:hanging="0"/>
              <w:rPr/>
            </w:pPr>
            <w:r>
              <w:rPr/>
              <w:t>​</w:t>
            </w:r>
          </w:p>
        </w:tc>
      </w:tr>
      <w:tr>
        <w:trPr/>
        <w:tc>
          <w:tcPr>
            <w:tcW w:w="2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Return to provision</w:t>
            </w:r>
          </w:p>
        </w:tc>
        <w:tc>
          <w:tcPr>
            <w:tcW w:w="14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0"/>
              <w:ind w:left="0" w:right="0" w:hanging="0"/>
              <w:jc w:val="right"/>
              <w:rPr/>
            </w:pPr>
            <w:r>
              <w:rPr/>
              <w:t>—</w:t>
            </w:r>
          </w:p>
        </w:tc>
        <w:tc>
          <w:tcPr>
            <w:tcW w:w="406" w:type="dxa"/>
            <w:tcBorders/>
            <w:shd w:fill="auto" w:val="clear"/>
            <w:vAlign w:val="center"/>
          </w:tcPr>
          <w:p>
            <w:pPr>
              <w:pStyle w:val="TableContents"/>
              <w:spacing w:before="0" w:after="0"/>
              <w:ind w:left="0" w:right="0" w:hanging="0"/>
              <w:rPr/>
            </w:pPr>
            <w:r>
              <w:rPr/>
              <w:t>​</w: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 refund benefit</w:t>
            </w:r>
          </w:p>
        </w:tc>
        <w:tc>
          <w:tcPr>
            <w:tcW w:w="14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130.84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0"/>
              <w:ind w:left="0" w:right="0" w:hanging="0"/>
              <w:jc w:val="right"/>
              <w:rPr/>
            </w:pPr>
            <w:r>
              <w:rPr/>
              <w:t>—</w:t>
            </w:r>
          </w:p>
        </w:tc>
        <w:tc>
          <w:tcPr>
            <w:tcW w:w="406" w:type="dxa"/>
            <w:tcBorders/>
            <w:shd w:fill="CCEEFF" w:val="clear"/>
            <w:vAlign w:val="center"/>
          </w:tcPr>
          <w:p>
            <w:pPr>
              <w:pStyle w:val="TableContents"/>
              <w:spacing w:before="0" w:after="0"/>
              <w:ind w:left="0" w:right="0" w:hanging="0"/>
              <w:rPr/>
            </w:pPr>
            <w:r>
              <w:rPr/>
              <w:t>​</w:t>
            </w:r>
          </w:p>
        </w:tc>
      </w:tr>
      <w:tr>
        <w:trPr/>
        <w:tc>
          <w:tcPr>
            <w:tcW w:w="2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subsidiary tax status</w:t>
            </w:r>
          </w:p>
        </w:tc>
        <w:tc>
          <w:tcPr>
            <w:tcW w:w="14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(73.52)</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0"/>
              <w:ind w:left="0" w:right="0" w:hanging="0"/>
              <w:jc w:val="right"/>
              <w:rPr/>
            </w:pPr>
            <w:r>
              <w:rPr/>
              <w:t>—</w:t>
            </w:r>
          </w:p>
        </w:tc>
        <w:tc>
          <w:tcPr>
            <w:tcW w:w="406" w:type="dxa"/>
            <w:tcBorders/>
            <w:shd w:fill="auto" w:val="clear"/>
            <w:vAlign w:val="center"/>
          </w:tcPr>
          <w:p>
            <w:pPr>
              <w:pStyle w:val="TableContents"/>
              <w:spacing w:before="0" w:after="0"/>
              <w:ind w:left="0" w:right="0" w:hanging="0"/>
              <w:rPr/>
            </w:pPr>
            <w:r>
              <w:rPr/>
              <w:t>​</w: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PPP loan</w:t>
            </w:r>
          </w:p>
        </w:tc>
        <w:tc>
          <w:tcPr>
            <w:tcW w:w="14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(0.85)</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GILTI</w:t>
            </w:r>
          </w:p>
        </w:tc>
        <w:tc>
          <w:tcPr>
            <w:tcW w:w="14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 taxes</w:t>
            </w:r>
          </w:p>
        </w:tc>
        <w:tc>
          <w:tcPr>
            <w:tcW w:w="14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R&amp;D credit true-up</w:t>
            </w:r>
          </w:p>
        </w:tc>
        <w:tc>
          <w:tcPr>
            <w:tcW w:w="14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0"/>
              <w:ind w:left="0" w:right="0" w:hanging="0"/>
              <w:jc w:val="right"/>
              <w:rPr/>
            </w:pPr>
            <w:r>
              <w:rPr/>
              <w:t>—</w:t>
            </w:r>
          </w:p>
        </w:tc>
        <w:tc>
          <w:tcPr>
            <w:tcW w:w="406" w:type="dxa"/>
            <w:tcBorders/>
            <w:shd w:fill="auto" w:val="clear"/>
            <w:vAlign w:val="center"/>
          </w:tcPr>
          <w:p>
            <w:pPr>
              <w:pStyle w:val="TableContents"/>
              <w:spacing w:before="0" w:after="0"/>
              <w:ind w:left="0" w:right="0" w:hanging="0"/>
              <w:rPr/>
            </w:pPr>
            <w:r>
              <w:rPr/>
              <w:t>​</w:t>
            </w:r>
          </w:p>
        </w:tc>
      </w:tr>
      <w:tr>
        <w:trPr/>
        <w:tc>
          <w:tcPr>
            <w:tcW w:w="27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Rate change</w:t>
            </w:r>
          </w:p>
        </w:tc>
        <w:tc>
          <w:tcPr>
            <w:tcW w:w="14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14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168.48</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18.31</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the Company’s effective tax rate differed from the federal statutory rate of 21% primarily as a result of a state income tax refund for previous years filings related to the Company’s implementation of California’s adopted market-based sourcing rules in income years open for refund, changes in the valuation allowance on our deferred tax assets and the conversion of our BTBX.IO subsidiary to a partnership, which is treated as a dissolution for tax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both"/>
        <w:rPr>
          <w:rFonts w:ascii="Times New Roman;Times;serif" w:hAnsi="Times New Roman;Times;serif"/>
          <w:sz w:val="20"/>
        </w:rPr>
      </w:pPr>
      <w:bookmarkStart w:id="1582" w:name="Tc_SjEtgM3Ufk2VV75RiQm6CA_17_5"/>
      <w:bookmarkStart w:id="1583" w:name="Tc_yc9ZTxCl4kOhXPAT01cpPw_17_2"/>
      <w:bookmarkStart w:id="1584" w:name="Tc_LtSAiX1uW0qHU3BjuJPDsA_17_0"/>
      <w:bookmarkStart w:id="1585" w:name="Tc_XIaIgAt08kC2hEqDZoD2ag_16_0"/>
      <w:bookmarkStart w:id="1586" w:name="Tc_p7_AQS0NnEGZgqiqTTFHdw_15_0"/>
      <w:bookmarkStart w:id="1587" w:name="Tc_uibFwVR1XkufTd_ddLDvgA_14_0"/>
      <w:bookmarkStart w:id="1588" w:name="Tc_IzkxNaOEZ0uRE4l_fIBYig_13_6"/>
      <w:bookmarkStart w:id="1589" w:name="Tc_tgP89iVT9Um4E-3xLixkCg_13_0"/>
      <w:bookmarkStart w:id="1590" w:name="Tc_Jcqu4R2CaEK-kVowUtsPOw_12_0"/>
      <w:bookmarkStart w:id="1591" w:name="Tc_qdIi-bQSHkWXxFFRDcSf9g_11_0"/>
      <w:bookmarkStart w:id="1592" w:name="Tc_gCIh3MzcNEGV04bhs5DXkA_10_0"/>
      <w:bookmarkStart w:id="1593" w:name="Tc_VUZiZkeg90i8mTIeAhMc6Q_9_0"/>
      <w:bookmarkStart w:id="1594" w:name="Tc_uq09jjftLEGR9dtHJhLaQw_8_6"/>
      <w:bookmarkStart w:id="1595" w:name="Tc_kZ0xl0Q8HEGxhD0S8Wxz3Q_8_0"/>
      <w:bookmarkStart w:id="1596" w:name="Tc_IkIj6rMtsEaSInXM1JO3dg_7_0"/>
      <w:bookmarkStart w:id="1597" w:name="Tc_J3SRaOOyrU2RSHuUr5x0Cw_6_0"/>
      <w:bookmarkStart w:id="1598" w:name="Tc_aGV8uw0w2E--DWwTYk4avA_5_0"/>
      <w:bookmarkStart w:id="1599" w:name="Tc_eprDLrTK5EaonO1M631wvQ_4_0"/>
      <w:bookmarkStart w:id="1600" w:name="Tc_laDNsFzd3UqGJhNhWtvlXg_3_5"/>
      <w:bookmarkStart w:id="1601" w:name="Tc_yl0n3NQ-o0yi3NYu-u4EqQ_3_2"/>
      <w:bookmarkStart w:id="1602" w:name="Tc_v4ymNgYRGkW157OBtzNYQQ_3_0"/>
      <w:bookmarkStart w:id="1603" w:name="Tc_pHB46HlAd0S7svuIN9gr7g_2_0"/>
      <w:bookmarkStart w:id="1604" w:name="Tc_jVNHidgeyUKV-sZxm_iEog_1_5"/>
      <w:bookmarkStart w:id="1605" w:name="Tc_5aIBdfdTi0yISYGu0lt2fw_1_2"/>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r>
        <w:rPr>
          <w:rFonts w:ascii="Times New Roman;Times;serif" w:hAnsi="Times New Roman;Times;serif"/>
          <w:sz w:val="20"/>
        </w:rPr>
        <w:t>The tax effects of temporary differences that give rise to significant portions of the deferred tax assets and liabilities consisted of the following as of December 31, 2022 and 2021:</w:t>
      </w:r>
    </w:p>
    <w:p>
      <w:pPr>
        <w:pStyle w:val="TextBody"/>
        <w:spacing w:before="0" w:after="240"/>
        <w:ind w:left="0" w:right="0" w:hanging="0"/>
        <w:jc w:val="both"/>
        <w:rPr/>
      </w:pPr>
      <w:r>
        <w:rPr/>
        <w:t>​</w:t>
      </w:r>
    </w:p>
    <w:tbl>
      <w:tblPr>
        <w:tblW w:w="6267" w:type="dxa"/>
        <w:jc w:val="left"/>
        <w:tblInd w:w="0" w:type="dxa"/>
        <w:tblCellMar>
          <w:top w:w="0" w:type="dxa"/>
          <w:left w:w="0" w:type="dxa"/>
          <w:bottom w:w="0" w:type="dxa"/>
          <w:right w:w="0" w:type="dxa"/>
        </w:tblCellMar>
      </w:tblPr>
      <w:tblGrid>
        <w:gridCol w:w="3046"/>
        <w:gridCol w:w="326"/>
        <w:gridCol w:w="211"/>
        <w:gridCol w:w="1051"/>
        <w:gridCol w:w="326"/>
        <w:gridCol w:w="211"/>
        <w:gridCol w:w="1096"/>
      </w:tblGrid>
      <w:tr>
        <w:trPr/>
        <w:tc>
          <w:tcPr>
            <w:tcW w:w="3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rPr/>
            </w:pPr>
            <w:r>
              <w:rPr/>
              <w:t>​</w:t>
            </w:r>
          </w:p>
        </w:tc>
      </w:tr>
      <w:tr>
        <w:trPr/>
        <w:tc>
          <w:tcPr>
            <w:tcW w:w="304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3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 (noncurrent):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pPr>
            <w:r>
              <w:rPr/>
              <w:t>  </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operating losses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6,884,595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5,181,080</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2,003,812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3,959,110</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credit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494,777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189,431</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Book lease liability (ASC 842)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937,968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1,387,106</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assets and intangibles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1,959,679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3,856,167</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Section 174 Capitalized R&amp;E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825,394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pPr>
            <w:r>
              <w:rPr/>
              <w:t>—</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1,085,662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639,219</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14,191,887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15,212,113</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 (noncurrent):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pPr>
            <w:r>
              <w:rPr/>
              <w:t>  </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Book ROU assets (ASC 842)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(786,350)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(1,168,823)</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Basis difference in subsidiary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(797,806)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tax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(1,584,156)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(1,168,823)</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deferred tax asset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12,607,731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14,043,290</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(5,005,195)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(5,852,239)</w:t>
            </w:r>
          </w:p>
        </w:tc>
      </w:tr>
      <w:tr>
        <w:trPr/>
        <w:tc>
          <w:tcPr>
            <w:tcW w:w="30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deferred tax asset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7,602,536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8,191,051</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these consolidated financial statements are two entities that are not consolidated in the U.S. tax return filing due to less than 80% ownership by Snail Games USA Inc. As of December 31, 2022, the non-includable entities have U.S. federal net operating loss (“NOL”) carryforwards of $3,117,395 which begin to expire in 2037 and $11,079,414 with an indefinite carryforward period. As of December 31, 2022, the non-includable entities have $14,106,538 of California net operating loss carryforwards, which begin to expire in 2037. The Company’s consolidated federal NOL carryforwards are $12,753,956 and its 163(j) interest carryforward is $144,385; both have an indefinite life. The Company’s consolidated state NOL carryforwards are $3,218,833 and expire through 2042.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maintained a valuation allowance of $4,057,479 and $5,188,110 as of December 31, 2022 and 2021, respectively, the valuation allowance relates primarily to the NOL of the non-includable entities mentioned above, which have had historical losses, and which management has assessed are not more likely than not to be able to realize those NOLs. The Company’s consolidated tax filing group had a valuation allowance of $683,552 and $664,129 as of December 31, 2022 and 2021, respectively. The Company had a foreign valuation allowance of $264,165 as of December 31, 2022. As of December 31, 2022 and 2021, the Company has foreign net operating loss carryforwards of $36,815 and $72,977, respectively, all of which are fully reserved  and expire through 2028.</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assessed all positive and negative evidence of whether sufficient future taxable income will be generated to realize the deferred tax assets, including the level of historical taxable income and projections of future taxable income over the periods during which the deferred tax assets are deductible, except as noted above. The Company has a history of significant book income and taxable income for the three most recent years – with a three-year cumulative pre-tax book income of $49.2 million and three-year cumulative taxable income of $71.7 million. Therefore management believes it is more likely than not that the Company will realize the benefits of these deductible differences.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the Company has foreign tax credit carryforwards which, if not utilized, begin to expire in 2027 of $192,180 and R&amp;D credit carryforwards of $264,165 expire through 2032. As of December 31, 2022 the Company has state R&amp;D credit carryforwards of $343,428 with an indefinite carryforward period. The Company has booked an uncertain tax position reserve on the entire amount of foreign tax and R&amp;D credit carryforwards due to uncertainty regarding their nature and future utilization.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its subsidiaries currently file tax returns in the United States (federal and state) and Poland. The statute of limitations for its consolidated federal income tax returns are open for tax years ended December 31, 2019 and after. The statute of limitations for its consolidated state income tax returns are open for tax years ended December 31, 2018 and after. All tax periods for its Polish subsidiary are currently subject to examination since its inception in 2018. While the Company has historically only filed a state tax return in California, the management has accrued income tax liabilities for additional states as of December 31, 2022 and 2021, respectively and is also undergoing the Voluntary Disclosure Agreement process in additional states.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sz w:val="20"/>
        </w:rPr>
      </w:pPr>
      <w:bookmarkStart w:id="1606" w:name="Tc_afSw1TK9DESCQG6aKTF43Q_7_5"/>
      <w:bookmarkStart w:id="1607" w:name="Tc_O4AwdhbAmkmr5CmJqQn7Eg_7_2"/>
      <w:bookmarkStart w:id="1608" w:name="Tc_F0vEL6fM8ke_kLOuLgk0Yw_7_0"/>
      <w:bookmarkStart w:id="1609" w:name="Tc_9c6h2o6VQE6fCeb8AUFMzg_6_6"/>
      <w:bookmarkStart w:id="1610" w:name="Tc_PqDfo310NUObQp11QQ37Ag_6_0"/>
      <w:bookmarkStart w:id="1611" w:name="Tc_c4dmbFgNtke8d1vye0WNTg_5_3"/>
      <w:bookmarkStart w:id="1612" w:name="Tc_h6l4lGbzhkWTr7V2PsJR4Q_5_0"/>
      <w:bookmarkStart w:id="1613" w:name="Tc_0D6SYRzST0aQZda6tXASLA_4_0"/>
      <w:bookmarkStart w:id="1614" w:name="Tc__ytIlUC84US0VDt-MfkvUg_3_6"/>
      <w:bookmarkStart w:id="1615" w:name="Tc_znbdqEIPm02KGZ6qvhIaUQ_3_3"/>
      <w:bookmarkStart w:id="1616" w:name="Tc_HsSTx0GGO0eYShQez-YiZg_3_0"/>
      <w:bookmarkStart w:id="1617" w:name="Tc_h0Dykf5BZEOrKIjATgb9DQ_2_5"/>
      <w:bookmarkStart w:id="1618" w:name="Tc_Lv2RQp_bcE2CAG_xC7wGFw_2_2"/>
      <w:bookmarkStart w:id="1619" w:name="Tc_o7soyhjLo0S56b0C43Q10w_2_0"/>
      <w:bookmarkStart w:id="1620" w:name="Tc_LVw9OdASzECXkLSyQ8I_TQ_1_5"/>
      <w:bookmarkStart w:id="1621" w:name="Tc_IJ3AjURIkUKQf36BbY_Atg_1_2"/>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r>
        <w:rPr>
          <w:rFonts w:ascii="Times New Roman;Times;serif" w:hAnsi="Times New Roman;Times;serif"/>
          <w:sz w:val="20"/>
        </w:rPr>
        <w:t>After enactment of the Tax Cuts and Jobs Act (“TCJA”) in 2017, any current earnings of a foreign subsidiary are subject to the Global Intangible Low-Taxed Income (“GILTI”) tax and any future repatriation of foreign earnings back to the U.S. would be subject to a 100% dividends-received deduction, thus, not subject to additional federal taxes. The Company owns one foreign corporation, Donkey Crew, which is subject to the GILTI tax and will have a GILTI inclusion during the year ended December 31, 2022. It is Management’s intent to permanently reinvest any future foreign earnings to support operations and business growth of its affiliated company in Poland. As such, no federal deferred tax liability was recorded on the unremitted earnings of the foreign subsidiary as of December 31, 2022 and 2021. State deferred tax liability is deemed immaterial due to minimal earnings offset by R&amp;D benefits and negative foreign earnings for the years December 31, 2022 and 2021,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reflects changes in gross unrecognized tax benefits for the years ended December 31, 2022 and 2021:</w:t>
      </w:r>
    </w:p>
    <w:p>
      <w:pPr>
        <w:pStyle w:val="TextBody"/>
        <w:spacing w:before="0" w:after="0"/>
        <w:ind w:left="0" w:right="0" w:hanging="0"/>
        <w:rPr/>
      </w:pPr>
      <w:r>
        <w:rPr/>
        <w:t>​</w:t>
      </w:r>
    </w:p>
    <w:tbl>
      <w:tblPr>
        <w:tblW w:w="6777" w:type="dxa"/>
        <w:jc w:val="left"/>
        <w:tblInd w:w="0" w:type="dxa"/>
        <w:tblCellMar>
          <w:top w:w="0" w:type="dxa"/>
          <w:left w:w="0" w:type="dxa"/>
          <w:bottom w:w="0" w:type="dxa"/>
          <w:right w:w="0" w:type="dxa"/>
        </w:tblCellMar>
      </w:tblPr>
      <w:tblGrid>
        <w:gridCol w:w="3931"/>
        <w:gridCol w:w="326"/>
        <w:gridCol w:w="211"/>
        <w:gridCol w:w="796"/>
        <w:gridCol w:w="326"/>
        <w:gridCol w:w="211"/>
        <w:gridCol w:w="976"/>
      </w:tblGrid>
      <w:tr>
        <w:trPr/>
        <w:tc>
          <w:tcPr>
            <w:tcW w:w="3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rPr/>
            </w:pPr>
            <w:r>
              <w:rPr/>
              <w:t>​</w:t>
            </w:r>
          </w:p>
        </w:tc>
      </w:tr>
      <w:tr>
        <w:trPr/>
        <w:tc>
          <w:tcPr>
            <w:tcW w:w="3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9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Unrecognized tax benefits at beginning of year</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693,913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1,054,081</w:t>
            </w:r>
          </w:p>
        </w:tc>
      </w:tr>
      <w:tr>
        <w:trPr/>
        <w:tc>
          <w:tcPr>
            <w:tcW w:w="39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Increases – current year positions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pPr>
            <w:r>
              <w:rPr/>
              <w:t>—</w:t>
            </w:r>
          </w:p>
        </w:tc>
      </w:tr>
      <w:tr>
        <w:trPr/>
        <w:tc>
          <w:tcPr>
            <w:tcW w:w="39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Increases – prior year positions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72,177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124,979</w:t>
            </w:r>
          </w:p>
        </w:tc>
      </w:tr>
      <w:tr>
        <w:trPr/>
        <w:tc>
          <w:tcPr>
            <w:tcW w:w="39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Decreases – prior year positions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(485,147)</w:t>
            </w:r>
          </w:p>
        </w:tc>
      </w:tr>
      <w:tr>
        <w:trPr/>
        <w:tc>
          <w:tcPr>
            <w:tcW w:w="39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Decreases – settlements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(69,195)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9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Unrecognized tax benefits at end of year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696,895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693,913</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2022 and 2021, the Company had $497,720 and $487,867, respectively, of unrecognized tax benefits that if recognized would impact the Company’s effective tax rate. The Company accrued and recognized interest and penalties related to unrecognized tax benefits in operating expense. As of December 31, 2022 and 2021, the Company had accrued $0 and $9,257 of interest and penalties, respectively. The Company does not expect the amount to change within 12 months and is currently not under audit by any taxing jurisdictions.</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bookmarkStart w:id="1622" w:name="Tc_lvgFsXcw4EuLNMy6kJh5lw_5_5"/>
      <w:bookmarkStart w:id="1623" w:name="Tc_eYb-zSIOJUGVGxSdo5ih3A_5_2"/>
      <w:bookmarkStart w:id="1624" w:name="Tc_Ufr_pERBakONbxd6vYk7gQ_5_0"/>
      <w:bookmarkStart w:id="1625" w:name="Tc_4smteHbyS02bYtI_8NdRAg_4_6"/>
      <w:bookmarkStart w:id="1626" w:name="Tc__RgW_bZVWk-kboYG9pWaNw_4_3"/>
      <w:bookmarkStart w:id="1627" w:name="Tc_FxCVyWLrY0KlUuSduY9ZVg_4_0"/>
      <w:bookmarkStart w:id="1628" w:name="Tc_WrS5S2fCskaeUXn9qDuOVg_3_5"/>
      <w:bookmarkStart w:id="1629" w:name="Tc_FXAGED3VKE6qr0lU6YKqeQ_3_2"/>
      <w:bookmarkStart w:id="1630" w:name="Tc_0FRiQUEJAk-PoGu6CI700w_3_0"/>
      <w:bookmarkStart w:id="1631" w:name="Tc_h7qHcAQheEaMQ_3tT0yLRA_2_5"/>
      <w:bookmarkStart w:id="1632" w:name="Tc_31haY5R31kmGoTUPnLP2qw_2_2"/>
      <w:bookmarkStart w:id="1633" w:name="Tc_vHYXOhnBlkKCn8-YMyh1Zw_1_2"/>
      <w:bookmarkStart w:id="1634" w:name="_Hlk130945994"/>
      <w:bookmarkStart w:id="1635" w:name="Tc_eJj56I_smEWYoj0o56OhXA_3_14"/>
      <w:bookmarkStart w:id="1636" w:name="Tc_pRYSahDWIUSHIqXiuX4Yag_3_11"/>
      <w:bookmarkStart w:id="1637" w:name="Tc_V7QzpbEALUSubwGnh-i4Yw_3_8"/>
      <w:bookmarkStart w:id="1638" w:name="Tc_nJNlRmi1PUejUzPep0kOAA_3_5"/>
      <w:bookmarkStart w:id="1639" w:name="Tc_rqtXFv-CUkGVtOvCQPfwsw_3_2"/>
      <w:bookmarkStart w:id="1640" w:name="Tc_fBxtNSye-0WpDqAfxj42Yg_3_0"/>
      <w:bookmarkStart w:id="1641" w:name="Tc_JGbNWws870mot8W6007I9w_2_14"/>
      <w:bookmarkStart w:id="1642" w:name="Tc__WYxuZfthESqMmlVw9Ctlg_2_11"/>
      <w:bookmarkStart w:id="1643" w:name="Tc_KqiswaPi3UOtKZYqMdkDkw_2_8"/>
      <w:bookmarkStart w:id="1644" w:name="Tc_RE0CPHx6bESqv5S6qMK1UA_2_5"/>
      <w:bookmarkStart w:id="1645" w:name="Tc_lYUP3yrUu0-HIGcuMrp3hw_2_2"/>
      <w:bookmarkStart w:id="1646" w:name="Tc_XZ0_x1OO70igXHhUENN6Tg_1_14"/>
      <w:bookmarkStart w:id="1647" w:name="Tc_VmiMFoXnOUKIRffZrYd0Vw_1_8"/>
      <w:bookmarkStart w:id="1648" w:name="Tc_dFFDU1NjWEqR306z2TKfwA_1_5"/>
      <w:bookmarkStart w:id="1649" w:name="Tc_H502ylr_SUen-kti7z3LCQ_1_2"/>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r>
        <w:rPr>
          <w:rFonts w:ascii="Times New Roman;Times;serif" w:hAnsi="Times New Roman;Times;serif"/>
          <w:b/>
          <w:sz w:val="20"/>
        </w:rPr>
        <w:t>NOTE 17 – OPERATING LEASE RIGHT-OF-USE ASSETS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$1,075,000 to lease office space. The standby letter of credit was valid for a one-year term and was amended in January 2021 to extend to January 31, 2026. As of December 31, 2022 and 2021 the Company’s net operating lease right-of-use assets amounted to $3,606,398 and $5,100,912, respectively. During the year ended December 31, 2022, the Company terminated one of its lease contracts and had a second expire. The terminated lease contract resulted in a gain on the lease termination of $122,533 during the year ended December 31, 2022. There were no such terminations during the year ended December 31, 2021. The Company had variable lease payments of approximately $77,385 during the year ended December 31, 2022 which consisted primarily of common area maintenance charges and administrative fees. The effects of the termination and expiration of the Company’s lease contracts on the related lease asset and liability were as follows:</w:t>
      </w:r>
    </w:p>
    <w:p>
      <w:pPr>
        <w:pStyle w:val="TextBody"/>
        <w:spacing w:before="0" w:after="0"/>
        <w:ind w:left="0" w:right="0" w:hanging="0"/>
        <w:rPr/>
      </w:pPr>
      <w:r>
        <w:rPr/>
        <w:t>​</w:t>
      </w:r>
    </w:p>
    <w:tbl>
      <w:tblPr>
        <w:tblW w:w="10024" w:type="dxa"/>
        <w:jc w:val="left"/>
        <w:tblInd w:w="0" w:type="dxa"/>
        <w:tblCellMar>
          <w:top w:w="0" w:type="dxa"/>
          <w:left w:w="0" w:type="dxa"/>
          <w:bottom w:w="0" w:type="dxa"/>
          <w:right w:w="0" w:type="dxa"/>
        </w:tblCellMar>
      </w:tblPr>
      <w:tblGrid>
        <w:gridCol w:w="3046"/>
        <w:gridCol w:w="326"/>
        <w:gridCol w:w="211"/>
        <w:gridCol w:w="1051"/>
        <w:gridCol w:w="326"/>
        <w:gridCol w:w="229"/>
        <w:gridCol w:w="852"/>
        <w:gridCol w:w="326"/>
        <w:gridCol w:w="211"/>
        <w:gridCol w:w="781"/>
        <w:gridCol w:w="326"/>
        <w:gridCol w:w="217"/>
        <w:gridCol w:w="699"/>
        <w:gridCol w:w="326"/>
        <w:gridCol w:w="211"/>
        <w:gridCol w:w="886"/>
      </w:tblGrid>
      <w:tr>
        <w:trPr/>
        <w:tc>
          <w:tcPr>
            <w:tcW w:w="3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9" w:type="dxa"/>
            <w:tcBorders/>
            <w:shd w:fill="auto" w:val="clear"/>
            <w:vAlign w:val="center"/>
          </w:tcPr>
          <w:p>
            <w:pPr>
              <w:pStyle w:val="TableContents"/>
              <w:spacing w:before="0" w:after="0"/>
              <w:ind w:left="0" w:right="0" w:hanging="0"/>
              <w:rPr/>
            </w:pPr>
            <w:r>
              <w:rPr/>
              <w:t>​</w:t>
            </w:r>
          </w:p>
        </w:tc>
        <w:tc>
          <w:tcPr>
            <w:tcW w:w="85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3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Right of Use</w:t>
            </w:r>
          </w:p>
        </w:tc>
        <w:tc>
          <w:tcPr>
            <w:tcW w:w="326" w:type="dxa"/>
            <w:tcBorders/>
            <w:shd w:fill="auto" w:val="clear"/>
            <w:vAlign w:val="center"/>
          </w:tcPr>
          <w:p>
            <w:pPr>
              <w:pStyle w:val="TableContents"/>
              <w:spacing w:before="0" w:after="0"/>
              <w:ind w:left="0" w:right="0" w:hanging="0"/>
              <w:jc w:val="center"/>
              <w:rPr/>
            </w:pPr>
            <w:r>
              <w:rPr/>
              <w:t>​</w:t>
            </w:r>
          </w:p>
        </w:tc>
        <w:tc>
          <w:tcPr>
            <w:tcW w:w="10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jc w:val="center"/>
              <w:rPr/>
            </w:pPr>
            <w:r>
              <w:rPr/>
              <w:t>​</w:t>
            </w:r>
          </w:p>
        </w:tc>
        <w:tc>
          <w:tcPr>
            <w:tcW w:w="223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 Liability</w:t>
            </w:r>
          </w:p>
        </w:tc>
        <w:tc>
          <w:tcPr>
            <w:tcW w:w="326" w:type="dxa"/>
            <w:tcBorders/>
            <w:shd w:fill="auto" w:val="clear"/>
            <w:vAlign w:val="center"/>
          </w:tcPr>
          <w:p>
            <w:pPr>
              <w:pStyle w:val="TableContents"/>
              <w:spacing w:before="0" w:after="0"/>
              <w:ind w:left="0" w:right="0" w:hanging="0"/>
              <w:jc w:val="center"/>
              <w:rPr/>
            </w:pPr>
            <w:r>
              <w:rPr/>
              <w:t>​</w:t>
            </w:r>
          </w:p>
        </w:tc>
        <w:tc>
          <w:tcPr>
            <w:tcW w:w="10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 on</w:t>
            </w:r>
          </w:p>
        </w:tc>
      </w:tr>
      <w:tr>
        <w:trPr/>
        <w:tc>
          <w:tcPr>
            <w:tcW w:w="30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rPr/>
            </w:pPr>
            <w:r>
              <w:rPr/>
              <w:t>    </w:t>
            </w:r>
          </w:p>
        </w:tc>
        <w:tc>
          <w:tcPr>
            <w:tcW w:w="12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26" w:type="dxa"/>
            <w:tcBorders/>
            <w:shd w:fill="auto" w:val="clear"/>
            <w:vAlign w:val="center"/>
          </w:tcPr>
          <w:p>
            <w:pPr>
              <w:pStyle w:val="TableContents"/>
              <w:spacing w:before="0" w:after="0"/>
              <w:ind w:left="0" w:right="0" w:hanging="0"/>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26" w:type="dxa"/>
            <w:tcBorders/>
            <w:shd w:fill="auto" w:val="clear"/>
            <w:vAlign w:val="center"/>
          </w:tcPr>
          <w:p>
            <w:pPr>
              <w:pStyle w:val="TableContents"/>
              <w:spacing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Long Term</w:t>
            </w:r>
          </w:p>
        </w:tc>
        <w:tc>
          <w:tcPr>
            <w:tcW w:w="326" w:type="dxa"/>
            <w:tcBorders/>
            <w:shd w:fill="auto" w:val="clear"/>
            <w:vAlign w:val="center"/>
          </w:tcPr>
          <w:p>
            <w:pPr>
              <w:pStyle w:val="TableContents"/>
              <w:spacing w:before="0" w:after="0"/>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r>
      <w:tr>
        <w:trPr/>
        <w:tc>
          <w:tcPr>
            <w:tcW w:w="30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Lease Terminations and Expirations</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(1,301,571)</w:t>
            </w:r>
          </w:p>
        </w:tc>
        <w:tc>
          <w:tcPr>
            <w:tcW w:w="326" w:type="dxa"/>
            <w:tcBorders/>
            <w:shd w:fill="CCEEFF" w:val="clear"/>
            <w:vAlign w:val="center"/>
          </w:tcPr>
          <w:p>
            <w:pPr>
              <w:pStyle w:val="TableContents"/>
              <w:spacing w:before="0" w:after="0"/>
              <w:ind w:left="0" w:right="0" w:hanging="0"/>
              <w:rPr/>
            </w:pPr>
            <w:r>
              <w:rPr/>
              <w:t> </w:t>
            </w:r>
          </w:p>
        </w:tc>
        <w:tc>
          <w:tcPr>
            <w:tcW w:w="22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907,370</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442,704</w:t>
            </w:r>
          </w:p>
        </w:tc>
        <w:tc>
          <w:tcPr>
            <w:tcW w:w="326" w:type="dxa"/>
            <w:tcBorders/>
            <w:shd w:fill="CCEEFF" w:val="clear"/>
            <w:vAlign w:val="center"/>
          </w:tcPr>
          <w:p>
            <w:pPr>
              <w:pStyle w:val="TableContents"/>
              <w:spacing w:before="0" w:after="0"/>
              <w:ind w:left="0" w:right="0" w:hanging="0"/>
              <w:rPr/>
            </w:pPr>
            <w:r>
              <w:rPr/>
              <w:t> </w:t>
            </w:r>
          </w:p>
        </w:tc>
        <w:tc>
          <w:tcPr>
            <w:tcW w:w="2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74,030</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122,533</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2021, the Company sub-leased one property. For the years ended December 2022 and 2021, the Company received rent income from the sub-lessee in the amount of $0 and $434,119, respectively. Due to the differences between sub-tenant payments and lease payments, $95,000 was owed to the landlord as of December 31, 2021. In May 2022, the Company entered into an agreement with the landlord to terminate the lease early with no penalty and paid off the balance due.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Operating lease costs for the years ended December 31, 2022 and 2021 are as follows:</w:t>
      </w:r>
    </w:p>
    <w:p>
      <w:pPr>
        <w:pStyle w:val="TextBody"/>
        <w:spacing w:before="0" w:after="240"/>
        <w:ind w:left="0" w:right="0" w:hanging="0"/>
        <w:jc w:val="both"/>
        <w:rPr/>
      </w:pPr>
      <w:r>
        <w:rPr/>
        <w:t>​</w:t>
      </w:r>
    </w:p>
    <w:tbl>
      <w:tblPr>
        <w:tblW w:w="5412" w:type="dxa"/>
        <w:jc w:val="left"/>
        <w:tblInd w:w="0" w:type="dxa"/>
        <w:tblCellMar>
          <w:top w:w="0" w:type="dxa"/>
          <w:left w:w="0" w:type="dxa"/>
          <w:bottom w:w="0" w:type="dxa"/>
          <w:right w:w="0" w:type="dxa"/>
        </w:tblCellMar>
      </w:tblPr>
      <w:tblGrid>
        <w:gridCol w:w="2371"/>
        <w:gridCol w:w="326"/>
        <w:gridCol w:w="211"/>
        <w:gridCol w:w="931"/>
        <w:gridCol w:w="326"/>
        <w:gridCol w:w="211"/>
        <w:gridCol w:w="1036"/>
      </w:tblGrid>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3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costs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1,590,872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1,980,873</w:t>
            </w:r>
          </w:p>
        </w:tc>
      </w:tr>
      <w:tr>
        <w:trPr/>
        <w:tc>
          <w:tcPr>
            <w:tcW w:w="23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 term lease costs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operating lease costs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1,590,872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1,980,873</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0"/>
        <w:ind w:left="0" w:right="0" w:hanging="0"/>
        <w:jc w:val="both"/>
        <w:rPr>
          <w:rFonts w:ascii="Times New Roman;Times;serif" w:hAnsi="Times New Roman;Times;serif"/>
          <w:sz w:val="20"/>
        </w:rPr>
      </w:pPr>
      <w:bookmarkStart w:id="1650" w:name="Tc_awnSfXQQI0uRWhG7r9rcdA_8_8"/>
      <w:bookmarkStart w:id="1651" w:name="Tc_vgzHpD9-iU6q_we6pc_qiw_8_5"/>
      <w:bookmarkStart w:id="1652" w:name="Tc_6xcK8FPClE-qOnRlgR5X9A_8_2"/>
      <w:bookmarkStart w:id="1653" w:name="Tc_nH5RRfIbtkK05vi_PI3B6w_8_0"/>
      <w:bookmarkStart w:id="1654" w:name="Tc_xpA9RB0AoUOmjD2QO8mx7Q_7_9"/>
      <w:bookmarkStart w:id="1655" w:name="Tc_UOhJOiTo_EK3BrX-kw_MoA_7_6"/>
      <w:bookmarkStart w:id="1656" w:name="Tc_617uQJXNSE-EKg47mIDZjA_7_3"/>
      <w:bookmarkStart w:id="1657" w:name="Tc_SN_YdTjg1kiCYsslF5HrVA_7_0"/>
      <w:bookmarkStart w:id="1658" w:name="Tc_0PQufadXaEmw7DMbnQ6pIA_6_9"/>
      <w:bookmarkStart w:id="1659" w:name="Tc_2Ar-ox0BW0ebDziwGPcrqQ_6_6"/>
      <w:bookmarkStart w:id="1660" w:name="Tc_7CHjCvdvmEGBbknXBavnDA_6_3"/>
      <w:bookmarkStart w:id="1661" w:name="Tc_T78KLoHLhkmVrlq9t6z0mw_6_0"/>
      <w:bookmarkStart w:id="1662" w:name="Tc_RDtgiOlkPEKd0TCWo1E4ww_5_0"/>
      <w:bookmarkStart w:id="1663" w:name="Tc_s3wWsyVF80SVDz5yCgwmwQ_4_0"/>
      <w:bookmarkStart w:id="1664" w:name="Tc_oRgqOkvEwUm8ZfbIxzK7yw_3_8"/>
      <w:bookmarkStart w:id="1665" w:name="Tc_sGxQGaoQl0SjGiflX7KiFw_3_5"/>
      <w:bookmarkStart w:id="1666" w:name="Tc_x9BW2R4MhkSQTJfokyc_kQ_3_2"/>
      <w:bookmarkStart w:id="1667" w:name="Tc_TqHfRO32w0eOip2S2WpdFg_3_0"/>
      <w:bookmarkStart w:id="1668" w:name="Tc_TYsLdeDveEKDHjAYPKsMDw_2_2"/>
      <w:bookmarkStart w:id="1669" w:name="Tc_8SGGDJnZQ060j64ogIIycA_2_0"/>
      <w:bookmarkStart w:id="1670" w:name="Tc_j0f5psr_9UeMu_HdbGgqxA_1_8"/>
      <w:bookmarkStart w:id="1671" w:name="Tc_cHBwkKYQvE-eKav1S-1j8A_1_5"/>
      <w:bookmarkStart w:id="1672" w:name="Tc_zxzcNTRGDE2SJkGIKAa1UQ_1_2"/>
      <w:bookmarkStart w:id="1673" w:name="Tc_IVWx90RS4EaPnbk-ePjoUw_4_7"/>
      <w:bookmarkStart w:id="1674" w:name="Tc_v1cXC9-IsEWadVadbVCLbw_4_4"/>
      <w:bookmarkStart w:id="1675" w:name="Tc_z0X41LZdDkOVlxQ1Xjd9Mw_4_0"/>
      <w:bookmarkStart w:id="1676" w:name="Tc_dj8uIoXtiEOO_AvUYBZqew_3_6"/>
      <w:bookmarkStart w:id="1677" w:name="Tc_ACIfRHAiMkiqbqPsvS_yVQ_3_3"/>
      <w:bookmarkStart w:id="1678" w:name="Tc_tQxmEAN-ykuE9W0eoXLCNA_3_0"/>
      <w:bookmarkStart w:id="1679" w:name="Tc_H2Eiy7BU-0OobwHwe2_vpw_2_5"/>
      <w:bookmarkStart w:id="1680" w:name="Tc_ntxlgutlV06pB3VJz8cfcA_2_2"/>
      <w:bookmarkStart w:id="1681" w:name="Tc_uuZnpguCOEajteekiqhIMw_2_0"/>
      <w:bookmarkStart w:id="1682" w:name="Tc_irfRWuZbPEqsrDa6jLMluA_1_5"/>
      <w:bookmarkStart w:id="1683" w:name="Tc_gdqISjLzIESgUQaKVonL8g_1_2"/>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r>
        <w:rPr>
          <w:rFonts w:ascii="Times New Roman;Times;serif" w:hAnsi="Times New Roman;Times;serif"/>
          <w:sz w:val="20"/>
        </w:rPr>
        <w:t>Supplemental information related to operating leases is as follows:</w:t>
      </w:r>
    </w:p>
    <w:p>
      <w:pPr>
        <w:pStyle w:val="TextBody"/>
        <w:spacing w:before="0" w:after="0"/>
        <w:ind w:left="0" w:right="0" w:hanging="0"/>
        <w:rPr/>
      </w:pPr>
      <w:r>
        <w:rPr/>
        <w:t>​</w:t>
      </w:r>
    </w:p>
    <w:tbl>
      <w:tblPr>
        <w:tblW w:w="9093" w:type="dxa"/>
        <w:jc w:val="left"/>
        <w:tblInd w:w="0" w:type="dxa"/>
        <w:tblCellMar>
          <w:top w:w="0" w:type="dxa"/>
          <w:left w:w="0" w:type="dxa"/>
          <w:bottom w:w="0" w:type="dxa"/>
          <w:right w:w="0" w:type="dxa"/>
        </w:tblCellMar>
      </w:tblPr>
      <w:tblGrid>
        <w:gridCol w:w="5806"/>
        <w:gridCol w:w="326"/>
        <w:gridCol w:w="211"/>
        <w:gridCol w:w="931"/>
        <w:gridCol w:w="361"/>
        <w:gridCol w:w="211"/>
        <w:gridCol w:w="931"/>
        <w:gridCol w:w="316"/>
      </w:tblGrid>
      <w:tr>
        <w:trPr/>
        <w:tc>
          <w:tcPr>
            <w:tcW w:w="5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3686810" cy="175260"/>
                      <wp:effectExtent l="0" t="0" r="0" b="0"/>
                      <wp:wrapNone/>
                      <wp:docPr id="311" name="Frame310"/>
                      <a:graphic xmlns:a="http://schemas.openxmlformats.org/drawingml/2006/main">
                        <a:graphicData uri="http://schemas.microsoft.com/office/word/2010/wordprocessingShape">
                          <wps:wsp>
                            <wps:cNvSpPr txBox="1"/>
                            <wps:spPr>
                              <a:xfrm>
                                <a:off x="0" y="0"/>
                                <a:ext cx="3686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2" name="Frame3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3" name="Frame3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91185" cy="175260"/>
                      <wp:effectExtent l="0" t="0" r="0" b="0"/>
                      <wp:wrapNone/>
                      <wp:docPr id="314" name="Frame31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29235" cy="175260"/>
                      <wp:effectExtent l="0" t="0" r="0" b="0"/>
                      <wp:wrapNone/>
                      <wp:docPr id="315" name="Frame31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6" name="Frame3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91185" cy="175260"/>
                      <wp:effectExtent l="0" t="0" r="0" b="0"/>
                      <wp:wrapNone/>
                      <wp:docPr id="317" name="Frame31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0660" cy="175260"/>
                      <wp:effectExtent l="0" t="0" r="0" b="0"/>
                      <wp:wrapNone/>
                      <wp:docPr id="318" name="Frame31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6" w:type="dxa"/>
            <w:tcBorders/>
            <w:shd w:fill="auto" w:val="clear"/>
            <w:vAlign w:val="center"/>
          </w:tcPr>
          <w:p>
            <w:pPr>
              <w:pStyle w:val="TableContents"/>
              <w:spacing w:before="0" w:after="0"/>
              <w:ind w:left="0" w:right="0" w:hanging="0"/>
              <w:jc w:val="center"/>
              <w:rPr/>
            </w:pPr>
            <w:r>
              <w:rPr/>
              <w:t> </w:t>
            </w:r>
          </w:p>
        </w:tc>
      </w:tr>
      <w:tr>
        <w:trPr/>
        <w:tc>
          <w:tcPr>
            <w:tcW w:w="5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1,489,396</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1,445,235</w:t>
            </w:r>
          </w:p>
        </w:tc>
        <w:tc>
          <w:tcPr>
            <w:tcW w:w="316" w:type="dxa"/>
            <w:tcBorders/>
            <w:shd w:fill="CCEEFF" w:val="clear"/>
            <w:vAlign w:val="center"/>
          </w:tcPr>
          <w:p>
            <w:pPr>
              <w:pStyle w:val="TableContents"/>
              <w:spacing w:before="0" w:after="0"/>
              <w:ind w:left="0" w:right="0" w:hanging="0"/>
              <w:rPr/>
            </w:pPr>
            <w:r>
              <w:rPr/>
              <w:t>​</w:t>
            </w:r>
          </w:p>
        </w:tc>
      </w:tr>
      <w:tr>
        <w:trPr/>
        <w:tc>
          <w:tcPr>
            <w:tcW w:w="58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remaining lease term</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 years</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 years</w:t>
            </w:r>
          </w:p>
        </w:tc>
        <w:tc>
          <w:tcPr>
            <w:tcW w:w="316" w:type="dxa"/>
            <w:tcBorders/>
            <w:shd w:fill="auto" w:val="clear"/>
            <w:vAlign w:val="center"/>
          </w:tcPr>
          <w:p>
            <w:pPr>
              <w:pStyle w:val="TableContents"/>
              <w:spacing w:before="0" w:after="0"/>
              <w:ind w:left="0" w:right="0" w:hanging="0"/>
              <w:rPr/>
            </w:pPr>
            <w:r>
              <w:rPr/>
              <w:t>​</w:t>
            </w:r>
          </w:p>
        </w:tc>
      </w:tr>
      <w:tr>
        <w:trPr/>
        <w:tc>
          <w:tcPr>
            <w:tcW w:w="58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Future undiscounted lease payments for operating leases and a reconciliation of these payments to our operating lease liabilities as of December 31, 2022 are as follows:</w:t>
      </w:r>
    </w:p>
    <w:p>
      <w:pPr>
        <w:pStyle w:val="TextBody"/>
        <w:spacing w:before="0" w:after="0"/>
        <w:ind w:left="0" w:right="0" w:hanging="0"/>
        <w:rPr>
          <w:highlight w:val="yellow"/>
        </w:rPr>
      </w:pPr>
      <w:r>
        <w:rPr>
          <w:highlight w:val="yellow"/>
        </w:rPr>
        <w:t>​</w:t>
      </w:r>
    </w:p>
    <w:tbl>
      <w:tblPr>
        <w:tblW w:w="7672" w:type="dxa"/>
        <w:jc w:val="left"/>
        <w:tblInd w:w="0" w:type="dxa"/>
        <w:tblCellMar>
          <w:top w:w="0" w:type="dxa"/>
          <w:left w:w="0" w:type="dxa"/>
          <w:bottom w:w="0" w:type="dxa"/>
          <w:right w:w="0" w:type="dxa"/>
        </w:tblCellMar>
      </w:tblPr>
      <w:tblGrid>
        <w:gridCol w:w="2356"/>
        <w:gridCol w:w="326"/>
        <w:gridCol w:w="318"/>
        <w:gridCol w:w="1408"/>
        <w:gridCol w:w="326"/>
        <w:gridCol w:w="277"/>
        <w:gridCol w:w="1029"/>
        <w:gridCol w:w="326"/>
        <w:gridCol w:w="220"/>
        <w:gridCol w:w="1086"/>
      </w:tblGrid>
      <w:tr>
        <w:trPr/>
        <w:tc>
          <w:tcPr>
            <w:tcW w:w="2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496060" cy="175260"/>
                      <wp:effectExtent l="0" t="0" r="0" b="0"/>
                      <wp:wrapNone/>
                      <wp:docPr id="319" name="Frame318"/>
                      <a:graphic xmlns:a="http://schemas.openxmlformats.org/drawingml/2006/main">
                        <a:graphicData uri="http://schemas.microsoft.com/office/word/2010/wordprocessingShape">
                          <wps:wsp>
                            <wps:cNvSpPr txBox="1"/>
                            <wps:spPr>
                              <a:xfrm>
                                <a:off x="0" y="0"/>
                                <a:ext cx="149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0" name="Frame3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1930" cy="175260"/>
                      <wp:effectExtent l="0" t="0" r="0" b="0"/>
                      <wp:wrapNone/>
                      <wp:docPr id="321" name="Frame320"/>
                      <a:graphic xmlns:a="http://schemas.openxmlformats.org/drawingml/2006/main">
                        <a:graphicData uri="http://schemas.microsoft.com/office/word/2010/wordprocessingShape">
                          <wps:wsp>
                            <wps:cNvSpPr txBox="1"/>
                            <wps:spPr>
                              <a:xfrm>
                                <a:off x="0" y="0"/>
                                <a:ext cx="201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894080" cy="175260"/>
                      <wp:effectExtent l="0" t="0" r="0" b="0"/>
                      <wp:wrapNone/>
                      <wp:docPr id="322" name="Frame321"/>
                      <a:graphic xmlns:a="http://schemas.openxmlformats.org/drawingml/2006/main">
                        <a:graphicData uri="http://schemas.microsoft.com/office/word/2010/wordprocessingShape">
                          <wps:wsp>
                            <wps:cNvSpPr txBox="1"/>
                            <wps:spPr>
                              <a:xfrm>
                                <a:off x="0" y="0"/>
                                <a:ext cx="894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3" name="Frame3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75895" cy="175260"/>
                      <wp:effectExtent l="0" t="0" r="0" b="0"/>
                      <wp:wrapNone/>
                      <wp:docPr id="324" name="Frame323"/>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53415" cy="175260"/>
                      <wp:effectExtent l="0" t="0" r="0" b="0"/>
                      <wp:wrapNone/>
                      <wp:docPr id="325" name="Frame324"/>
                      <a:graphic xmlns:a="http://schemas.openxmlformats.org/drawingml/2006/main">
                        <a:graphicData uri="http://schemas.microsoft.com/office/word/2010/wordprocessingShape">
                          <wps:wsp>
                            <wps:cNvSpPr txBox="1"/>
                            <wps:spPr>
                              <a:xfrm>
                                <a:off x="0" y="0"/>
                                <a:ext cx="653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6" name="Frame3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9700" cy="175260"/>
                      <wp:effectExtent l="0" t="0" r="0" b="0"/>
                      <wp:wrapNone/>
                      <wp:docPr id="327" name="Frame326"/>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89610" cy="175260"/>
                      <wp:effectExtent l="0" t="0" r="0" b="0"/>
                      <wp:wrapNone/>
                      <wp:docPr id="328" name="Frame327"/>
                      <a:graphic xmlns:a="http://schemas.openxmlformats.org/drawingml/2006/main">
                        <a:graphicData uri="http://schemas.microsoft.com/office/word/2010/wordprocessingShape">
                          <wps:wsp>
                            <wps:cNvSpPr txBox="1"/>
                            <wps:spPr>
                              <a:xfrm>
                                <a:off x="0" y="0"/>
                                <a:ext cx="689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7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lease payments</w:t>
            </w:r>
          </w:p>
        </w:tc>
        <w:tc>
          <w:tcPr>
            <w:tcW w:w="326" w:type="dxa"/>
            <w:tcBorders/>
            <w:shd w:fill="auto" w:val="clear"/>
            <w:vAlign w:val="center"/>
          </w:tcPr>
          <w:p>
            <w:pPr>
              <w:pStyle w:val="TableContents"/>
              <w:spacing w:before="0" w:after="0"/>
              <w:ind w:left="0" w:right="0" w:hanging="0"/>
              <w:rPr/>
            </w:pPr>
            <w:r>
              <w:rPr/>
              <w:t>    </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Imputed Interest</w:t>
            </w:r>
          </w:p>
        </w:tc>
        <w:tc>
          <w:tcPr>
            <w:tcW w:w="326" w:type="dxa"/>
            <w:tcBorders/>
            <w:shd w:fill="auto" w:val="clear"/>
            <w:vAlign w:val="center"/>
          </w:tcPr>
          <w:p>
            <w:pPr>
              <w:pStyle w:val="TableContents"/>
              <w:spacing w:before="0" w:after="0"/>
              <w:ind w:left="0" w:right="0" w:hanging="0"/>
              <w:rPr/>
            </w:pPr>
            <w:r>
              <w:rPr/>
              <w:t>    </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 Liabilities</w:t>
            </w:r>
          </w:p>
        </w:tc>
      </w:tr>
      <w:tr>
        <w:trPr/>
        <w:tc>
          <w:tcPr>
            <w:tcW w:w="7672"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23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i/>
                <w:sz w:val="16"/>
              </w:rPr>
            </w:pPr>
            <w:r>
              <w:rPr>
                <w:rFonts w:ascii="Times New Roman;Times;serif" w:hAnsi="Times New Roman;Times;serif"/>
                <w:b/>
                <w:i/>
                <w:sz w:val="16"/>
              </w:rPr>
              <w:t>Years ending December 31, </w:t>
            </w:r>
          </w:p>
        </w:tc>
        <w:tc>
          <w:tcPr>
            <w:tcW w:w="326" w:type="dxa"/>
            <w:tcBorders/>
            <w:shd w:fill="auto" w:val="clear"/>
            <w:vAlign w:val="center"/>
          </w:tcPr>
          <w:p>
            <w:pPr>
              <w:pStyle w:val="TableContents"/>
              <w:spacing w:before="0" w:after="0"/>
              <w:ind w:left="0" w:right="0" w:hanging="0"/>
              <w:rPr/>
            </w:pPr>
            <w:r>
              <w:rPr/>
              <w:t> </w:t>
            </w:r>
          </w:p>
        </w:tc>
        <w:tc>
          <w:tcPr>
            <w:tcW w:w="4990"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w:t>
            </w:r>
          </w:p>
        </w:tc>
        <w:tc>
          <w:tcPr>
            <w:tcW w:w="3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1,548,889</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177,662</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1,371,227</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w:t>
            </w:r>
          </w:p>
        </w:tc>
        <w:tc>
          <w:tcPr>
            <w:tcW w:w="318" w:type="dxa"/>
            <w:tcBorders/>
            <w:shd w:fill="auto" w:val="clear"/>
            <w:vAlign w:val="center"/>
          </w:tcPr>
          <w:p>
            <w:pPr>
              <w:pStyle w:val="TableContents"/>
              <w:spacing w:before="0" w:after="0"/>
              <w:ind w:left="0" w:right="0" w:hanging="0"/>
              <w:rPr/>
            </w:pPr>
            <w:r>
              <w:rPr/>
              <w:t> </w:t>
            </w:r>
          </w:p>
        </w:tc>
        <w:tc>
          <w:tcPr>
            <w:tcW w:w="14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1,610,844</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105,810</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10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1,505,034</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w:t>
            </w:r>
          </w:p>
        </w:tc>
        <w:tc>
          <w:tcPr>
            <w:tcW w:w="318" w:type="dxa"/>
            <w:tcBorders/>
            <w:shd w:fill="CCEEFF" w:val="clear"/>
            <w:vAlign w:val="center"/>
          </w:tcPr>
          <w:p>
            <w:pPr>
              <w:pStyle w:val="TableContents"/>
              <w:spacing w:before="0" w:after="0"/>
              <w:ind w:left="0" w:right="0" w:hanging="0"/>
              <w:rPr/>
            </w:pPr>
            <w:r>
              <w:rPr/>
              <w:t> </w:t>
            </w:r>
          </w:p>
        </w:tc>
        <w:tc>
          <w:tcPr>
            <w:tcW w:w="14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1,453,785</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28,290</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10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1,425,495</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w:t>
            </w:r>
          </w:p>
        </w:tc>
        <w:tc>
          <w:tcPr>
            <w:tcW w:w="318" w:type="dxa"/>
            <w:tcBorders/>
            <w:shd w:fill="auto" w:val="clear"/>
            <w:vAlign w:val="center"/>
          </w:tcPr>
          <w:p>
            <w:pPr>
              <w:pStyle w:val="TableContents"/>
              <w:spacing w:before="0" w:after="0"/>
              <w:ind w:left="0" w:right="0" w:hanging="0"/>
              <w:rPr/>
            </w:pPr>
            <w:r>
              <w:rPr/>
              <w:t> </w:t>
            </w:r>
          </w:p>
        </w:tc>
        <w:tc>
          <w:tcPr>
            <w:tcW w:w="140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 </w:t>
            </w:r>
          </w:p>
        </w:tc>
        <w:tc>
          <w:tcPr>
            <w:tcW w:w="1086" w:type="dxa"/>
            <w:tcBorders/>
            <w:shd w:fill="auto" w:val="clear"/>
            <w:vAlign w:val="center"/>
          </w:tcPr>
          <w:p>
            <w:pPr>
              <w:pStyle w:val="TableContents"/>
              <w:spacing w:before="0" w:after="0"/>
              <w:ind w:left="0" w:right="0" w:hanging="0"/>
              <w:jc w:val="right"/>
              <w:rPr/>
            </w:pPr>
            <w:r>
              <w:rPr/>
              <w:t>—</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spacing w:before="0" w:after="0"/>
              <w:ind w:left="0" w:right="0" w:hanging="0"/>
              <w:rPr/>
            </w:pPr>
            <w:r>
              <w:rPr/>
              <w:t>​</w:t>
            </w:r>
          </w:p>
        </w:tc>
        <w:tc>
          <w:tcPr>
            <w:tcW w:w="31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40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future lease payments</w:t>
            </w:r>
          </w:p>
        </w:tc>
        <w:tc>
          <w:tcPr>
            <w:tcW w:w="326" w:type="dxa"/>
            <w:tcBorders/>
            <w:shd w:fill="auto" w:val="clear"/>
            <w:vAlign w:val="center"/>
          </w:tcPr>
          <w:p>
            <w:pPr>
              <w:pStyle w:val="TableContents"/>
              <w:spacing w:before="0" w:after="0"/>
              <w:ind w:left="0" w:right="0" w:hanging="0"/>
              <w:rPr/>
            </w:pPr>
            <w:r>
              <w:rPr/>
              <w:t>​</w:t>
            </w:r>
          </w:p>
        </w:tc>
        <w:tc>
          <w:tcPr>
            <w:tcW w:w="31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0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4,613,518</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311,762</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4,301,756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18 – COMMITMENTS AND CONTINGENCIES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Litigation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claims and contingencies related to lawsuits and other matters arising out of the normal course of business. In addition, we may receive notifications alleging infringement of patent or other intellectual property rights. The Company has elected to expense legal costs associated with legal contingencies as incurred. As of December 31, 2021, the Company had an estimated accrual of $1,330,000, as a result of a pending litigation settlement. Such amount is included in accrued expenses on the accompanying consolidated balance sheets. The Company paid the balance of $1,330,000 during the year ended December 31,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concerns a videogame titled </w:t>
      </w:r>
      <w:r>
        <w:rPr>
          <w:rFonts w:ascii="Times New Roman;Times;serif" w:hAnsi="Times New Roman;Times;serif"/>
          <w:i/>
          <w:sz w:val="20"/>
        </w:rPr>
        <w:t>Myth of Empires</w:t>
      </w:r>
      <w:r>
        <w:rPr>
          <w:rFonts w:ascii="Times New Roman;Times;serif" w:hAnsi="Times New Roman;Times;serif"/>
          <w:sz w:val="20"/>
        </w:rPr>
        <w:t xml:space="preserve">, which was developed by Suzhou Angela Online Game Technology Co., Ltd. (“Angela Game”) and published by Imperium Interactive Entertainment Limited (“Imperium”). The DCMA Takedown Notice alleges that Angela Game and Imperium misappropriated the copyrighted source code of </w:t>
      </w:r>
      <w:r>
        <w:rPr>
          <w:rFonts w:ascii="Times New Roman;Times;serif" w:hAnsi="Times New Roman;Times;serif"/>
          <w:i/>
          <w:sz w:val="20"/>
        </w:rPr>
        <w:t>ARK: Survival Evolved</w:t>
      </w:r>
      <w:r>
        <w:rPr>
          <w:rFonts w:ascii="Times New Roman;Times;serif" w:hAnsi="Times New Roman;Times;serif"/>
          <w:sz w:val="20"/>
        </w:rPr>
        <w:t xml:space="preserve"> and used it to develop the game </w:t>
      </w:r>
      <w:r>
        <w:rPr>
          <w:rFonts w:ascii="Times New Roman;Times;serif" w:hAnsi="Times New Roman;Times;serif"/>
          <w:i/>
          <w:sz w:val="20"/>
        </w:rPr>
        <w:t>Myth of Empires</w:t>
      </w:r>
      <w:r>
        <w:rPr>
          <w:rFonts w:ascii="Times New Roman;Times;serif" w:hAnsi="Times New Roman;Times;serif"/>
          <w:sz w:val="20"/>
        </w:rPr>
        <w:t xml:space="preserve">. The DCMA Takedown Notice requested that Steam cease distributing </w:t>
      </w:r>
      <w:r>
        <w:rPr>
          <w:rFonts w:ascii="Times New Roman;Times;serif" w:hAnsi="Times New Roman;Times;serif"/>
          <w:i/>
          <w:sz w:val="20"/>
        </w:rPr>
        <w:t>Myth of Empires</w:t>
      </w:r>
      <w:r>
        <w:rPr>
          <w:rFonts w:ascii="Times New Roman;Times;serif" w:hAnsi="Times New Roman;Times;serif"/>
          <w:sz w:val="20"/>
        </w:rPr>
        <w:t xml:space="preserve"> and remove the game from the Steam platform. Steam complied with the DCMA Takedown Notice and removed </w:t>
      </w:r>
      <w:r>
        <w:rPr>
          <w:rFonts w:ascii="Times New Roman;Times;serif" w:hAnsi="Times New Roman;Times;serif"/>
          <w:i/>
          <w:sz w:val="20"/>
        </w:rPr>
        <w:t>Myth of Empires</w:t>
      </w:r>
      <w:r>
        <w:rPr>
          <w:rFonts w:ascii="Times New Roman;Times;serif" w:hAnsi="Times New Roman;Times;serif"/>
          <w:sz w:val="20"/>
        </w:rPr>
        <w:t xml:space="preserve"> from its platform. The DCMA Takedown Notice was also sent to Tencent Cloud LLC (“Tencent”), which hosts the United States servers for users who downloaded the game before it was removed from Steam, but Tencent has not complied with the DCMA Takedown Notice.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9, 2021, Angela Game and Imperium filed a complaint against the Company and Studio Wildcard in the United States District Court for the Central District of California (the “District Court”) in response to the DCMA Takedown Notice. The lawsuit seeks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once again reinstate </w:t>
      </w:r>
      <w:r>
        <w:rPr>
          <w:rFonts w:ascii="Times New Roman;Times;serif" w:hAnsi="Times New Roman;Times;serif"/>
          <w:i/>
          <w:sz w:val="20"/>
        </w:rPr>
        <w:t>Myth of Empires</w:t>
      </w:r>
      <w:r>
        <w:rPr>
          <w:rFonts w:ascii="Times New Roman;Times;serif" w:hAnsi="Times New Roman;Times;serif"/>
          <w:sz w:val="20"/>
        </w:rPr>
        <w:t xml:space="preserve">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Times New Roman;Times;serif" w:hAnsi="Times New Roman;Times;serif"/>
          <w:i/>
          <w:sz w:val="20"/>
        </w:rPr>
        <w:t>ARK: Survival Evolved</w:t>
      </w:r>
      <w:r>
        <w:rPr>
          <w:rFonts w:ascii="Times New Roman;Times;serif" w:hAnsi="Times New Roman;Times;serif"/>
          <w:sz w:val="20"/>
        </w:rPr>
        <w:t xml:space="preserve"> source code. On December 23, 2021 the court denied the application for a temporary restraining order and issued an order to show cause as to why a preliminary injunction should not be issued. On January 31, 2022, a hearing was held on the order to show cause, and the court issued an order denying the preliminary injunction.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3, 2022, Angela Game and Imperium appealed the order to the Ninth Circuit Court of Appeals (“Ninth Circuit”), claiming that the District Court judge abused her discretion in denying the injunction. On October 6, 2022, the Ninth Circuit issued an order affirming the District Court’s denial of the injunction.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Meanwhile, the District Court has appointed a neutral expert to compare the parties’ computer code and issue a report about the extent of similarities. The parties also retained their own experts to compare the code. The expert served his report and in it detailed the basis for his conclusion that Angela copied substantial portions of the </w:t>
      </w:r>
      <w:r>
        <w:rPr>
          <w:rFonts w:ascii="Times New Roman;Times;serif" w:hAnsi="Times New Roman;Times;serif"/>
          <w:i/>
          <w:sz w:val="20"/>
        </w:rPr>
        <w:t>ARK: Survival Evolved</w:t>
      </w:r>
      <w:r>
        <w:rPr>
          <w:rFonts w:ascii="Times New Roman;Times;serif" w:hAnsi="Times New Roman;Times;serif"/>
          <w:sz w:val="20"/>
        </w:rPr>
        <w:t xml:space="preserve"> source code and made extensive efforts to hide its copying. Angela Game moved the District Court to strike the expert reports. The hearing occurred on February 27, 2023 and the District Court denied Angela Game’s motion to strike the expert reports. Also on that date, the District Court heard the Company’s motion to require that Angela Game file a $3.0 million bond to support an award of costs and fees if the Company prevails on Angela Game’s claims. The District Court granted the Company’s motion for a bond and ordered Angela Game to post a bond in the amount of $750,000.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8, 2023, both parties are in the midst of fact discovery, and anticipate beginning the exchange of electronically stored information in the near future. Fact discovery is expected to end around June 2023 and the District Court has set a January 2024 trial date.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At this time, we are unable to quantify the magnitude of the potential loss should the plaintiffs’ lawsuit succeed.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Related parties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2022, the Company amended its exclusive license agreement with SDE relating to </w:t>
      </w:r>
      <w:r>
        <w:rPr>
          <w:rFonts w:ascii="Times New Roman;Times;serif" w:hAnsi="Times New Roman;Times;serif"/>
          <w:i/>
          <w:sz w:val="20"/>
        </w:rPr>
        <w:t>ARK 1</w:t>
      </w:r>
      <w:r>
        <w:rPr>
          <w:rFonts w:ascii="Times New Roman;Times;serif" w:hAnsi="Times New Roman;Times;serif"/>
          <w:sz w:val="20"/>
        </w:rPr>
        <w:t xml:space="preserve">. The license fee has been restructured so that the Company will pay 45% of total revenue for </w:t>
      </w:r>
      <w:r>
        <w:rPr>
          <w:rFonts w:ascii="Times New Roman;Times;serif" w:hAnsi="Times New Roman;Times;serif"/>
          <w:i/>
          <w:sz w:val="20"/>
        </w:rPr>
        <w:t>ARK 1</w:t>
      </w:r>
      <w:r>
        <w:rPr>
          <w:rFonts w:ascii="Times New Roman;Times;serif" w:hAnsi="Times New Roman;Times;serif"/>
          <w:sz w:val="20"/>
        </w:rPr>
        <w:t xml:space="preserve"> as a royalty instead of the $1.5 million monthly fee plus 25% of the total of the total </w:t>
      </w:r>
      <w:r>
        <w:rPr>
          <w:rFonts w:ascii="Times New Roman;Times;serif" w:hAnsi="Times New Roman;Times;serif"/>
          <w:i/>
          <w:sz w:val="20"/>
        </w:rPr>
        <w:t>ARK 1</w:t>
      </w:r>
      <w:r>
        <w:rPr>
          <w:rFonts w:ascii="Times New Roman;Times;serif" w:hAnsi="Times New Roman;Times;serif"/>
          <w:sz w:val="20"/>
        </w:rPr>
        <w:t xml:space="preserve"> revenue once the sequel, </w:t>
      </w:r>
      <w:r>
        <w:rPr>
          <w:rFonts w:ascii="Times New Roman;Times;serif" w:hAnsi="Times New Roman;Times;serif"/>
          <w:i/>
          <w:sz w:val="20"/>
        </w:rPr>
        <w:t>ARK 2</w:t>
      </w:r>
      <w:r>
        <w:rPr>
          <w:rFonts w:ascii="Times New Roman;Times;serif" w:hAnsi="Times New Roman;Times;serif"/>
          <w:sz w:val="20"/>
        </w:rPr>
        <w:t>, is publicly released.</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bookmarkStart w:id="1684" w:name="Tc_xbU8txLamk2UZP7v6BQ7qA_19_5"/>
      <w:bookmarkStart w:id="1685" w:name="Tc_ZrWUoPY3lUWiS9swz9KaYQ_19_2"/>
      <w:bookmarkStart w:id="1686" w:name="Tc_A09Ni-ofSES-dVYDzUeHsw_19_0"/>
      <w:bookmarkStart w:id="1687" w:name="Tc_QmcZQ-8fc02nTZOJnMHd8Q_18_6"/>
      <w:bookmarkStart w:id="1688" w:name="Tc_WOsvJibQ4EKTN5Y_wgd9Iw_18_0"/>
      <w:bookmarkStart w:id="1689" w:name="Tc_4px8HcLEP0uhrYz98uhktA_17_6"/>
      <w:bookmarkStart w:id="1690" w:name="Tc_oNZzMIaOaU6n5MeSio7vZw_17_3"/>
      <w:bookmarkStart w:id="1691" w:name="Tc_blJfIvsBG02C3nSzxOG3ZA_17_0"/>
      <w:bookmarkStart w:id="1692" w:name="Tc_TUlBKKTcAkCTgHgAUQKTsw_16_6"/>
      <w:bookmarkStart w:id="1693" w:name="Tc_kN5el0JMFkWEUtC_ZZpohA_16_0"/>
      <w:bookmarkStart w:id="1694" w:name="Tc_LN8P5sy3s0u8Ul_TOV3gdg_15_0"/>
      <w:bookmarkStart w:id="1695" w:name="Tc_81Ejs2a2y0-ShUA118dHWA_14_6"/>
      <w:bookmarkStart w:id="1696" w:name="Tc_B3CB8PreFkSEkrfMvL_2ww_14_3"/>
      <w:bookmarkStart w:id="1697" w:name="Tc_JWkh57g6p0KsUENmw9Z1rw_14_0"/>
      <w:bookmarkStart w:id="1698" w:name="Tc_25JR6mrY60acOovjy1knsw_13_0"/>
      <w:bookmarkStart w:id="1699" w:name="Tc_f8DKeCUjwEewFkut4DI2uQ_12_6"/>
      <w:bookmarkStart w:id="1700" w:name="Tc_E7py1pyuLE6icwjuYfgFuA_12_0"/>
      <w:bookmarkStart w:id="1701" w:name="Tc_t-FCmsWWO0-D7pR6NF_PjA_11_5"/>
      <w:bookmarkStart w:id="1702" w:name="Tc_WkemVFZigki_wTmn8MmYgQ_11_2"/>
      <w:bookmarkStart w:id="1703" w:name="Tc_7X3o3jQ0W0mP_pL2Yea7Ag_11_0"/>
      <w:bookmarkStart w:id="1704" w:name="Tc_lges-0kh6kyYttxHmaf1og_10_0"/>
      <w:bookmarkStart w:id="1705" w:name="Tc_z37XB0LnN0Gc0mqnMSyK6w_8_5"/>
      <w:bookmarkStart w:id="1706" w:name="Tc_QMMYmwCe7USwDp9-35Vidg_8_2"/>
      <w:bookmarkStart w:id="1707" w:name="Tc_8lnr1mdLjkWdbA4_jnIRRg_8_0"/>
      <w:bookmarkStart w:id="1708" w:name="Tc_gxvmjTK-m0OQ0SS6WBq-1A_7_6"/>
      <w:bookmarkStart w:id="1709" w:name="Tc_roAcr6r4Ik-1Pgog_V2SIg_7_0"/>
      <w:bookmarkStart w:id="1710" w:name="Tc_GDrAvKNrOkSztZVrj7czzg_6_0"/>
      <w:bookmarkStart w:id="1711" w:name="Tc_vbTfSx9JvUuXZf8ANQAuHg_5_0"/>
      <w:bookmarkStart w:id="1712" w:name="Tc_0NzpvvUVcUKMof3ep7ZylA_4_6"/>
      <w:bookmarkStart w:id="1713" w:name="Tc_-R6qA4zgtUOnWUB2RAZHDg_4_0"/>
      <w:bookmarkStart w:id="1714" w:name="Tc_MEcLqT-wZU6ufuC9fJIiEw_3_5"/>
      <w:bookmarkStart w:id="1715" w:name="Tc_lkF0FanlnUaIhMVOwNIwiA_3_2"/>
      <w:bookmarkStart w:id="1716" w:name="Tc_6BlqbWrv_UOy27HYc33xXw_3_0"/>
      <w:bookmarkStart w:id="1717" w:name="Tc_jsg-B6S5_0iOucHR-hNuXA_2_0"/>
      <w:bookmarkStart w:id="1718" w:name="Tc_XTCfDoudlE2yEn4zj0ijwg_1_5"/>
      <w:bookmarkStart w:id="1719" w:name="Tc_PyJ2Odsack-8g3cVMEo67Q_1_2"/>
      <w:bookmarkStart w:id="1720" w:name="_98ed84bb_f21b_4724_bec6_0afdf6a11fcb"/>
      <w:bookmarkStart w:id="1721" w:name="_119b59f5_70df_48f1_80c0_99e1f4debe09"/>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r>
        <w:rPr>
          <w:rFonts w:ascii="Times New Roman;Times;serif" w:hAnsi="Times New Roman;Times;serif"/>
          <w:b/>
          <w:sz w:val="20"/>
        </w:rPr>
        <w:t xml:space="preserve">NOTE 19 – EARNINGS PER SHARE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uses the two class method to compute its basic earnings per share (“Basic EPS”) and diluted earnings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income divided by the weighted-average number of common shares outstanding for the period. Diluted EPS reflects the potential dilution that could occur from common shares issuable through stock-based compensation plans including restricted stock units using the treasury stock method. The restricted stock units were excluded from the treasury stock method computation of diluted shares as their inclusion would have had an antidilutive effect.  For the year ended December 31, 2021 the Company has used the number of shares transferred in the reorganization transaction for the denominator in the EPS calculation. The following table provides a reconciliation of the weighted average number of shares used in the calculation of basic and diluted EPS.</w:t>
      </w:r>
    </w:p>
    <w:p>
      <w:pPr>
        <w:pStyle w:val="TextBody"/>
        <w:spacing w:before="0" w:after="0"/>
        <w:ind w:left="0" w:right="0" w:hanging="0"/>
        <w:rPr/>
      </w:pPr>
      <w:r>
        <w:rPr/>
        <w:t>​</w:t>
      </w:r>
    </w:p>
    <w:tbl>
      <w:tblPr>
        <w:tblW w:w="8772" w:type="dxa"/>
        <w:jc w:val="left"/>
        <w:tblInd w:w="0" w:type="dxa"/>
        <w:tblCellMar>
          <w:top w:w="0" w:type="dxa"/>
          <w:left w:w="0" w:type="dxa"/>
          <w:bottom w:w="0" w:type="dxa"/>
          <w:right w:w="0" w:type="dxa"/>
        </w:tblCellMar>
      </w:tblPr>
      <w:tblGrid>
        <w:gridCol w:w="5581"/>
        <w:gridCol w:w="326"/>
        <w:gridCol w:w="211"/>
        <w:gridCol w:w="1036"/>
        <w:gridCol w:w="326"/>
        <w:gridCol w:w="211"/>
        <w:gridCol w:w="1081"/>
      </w:tblGrid>
      <w:tr>
        <w:trPr/>
        <w:tc>
          <w:tcPr>
            <w:tcW w:w="5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543935" cy="175260"/>
                      <wp:effectExtent l="0" t="0" r="0" b="0"/>
                      <wp:wrapNone/>
                      <wp:docPr id="329" name="Frame328"/>
                      <a:graphic xmlns:a="http://schemas.openxmlformats.org/drawingml/2006/main">
                        <a:graphicData uri="http://schemas.microsoft.com/office/word/2010/wordprocessingShape">
                          <wps:wsp>
                            <wps:cNvSpPr txBox="1"/>
                            <wps:spPr>
                              <a:xfrm>
                                <a:off x="0" y="0"/>
                                <a:ext cx="3543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0" name="Frame3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1" name="Frame3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57860" cy="175260"/>
                      <wp:effectExtent l="0" t="0" r="0" b="0"/>
                      <wp:wrapNone/>
                      <wp:docPr id="332" name="Frame33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3" name="Frame3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4" name="Frame3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86435" cy="175260"/>
                      <wp:effectExtent l="0" t="0" r="0" b="0"/>
                      <wp:wrapNone/>
                      <wp:docPr id="335" name="Frame334"/>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2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5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Basic Earnings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rPr/>
            </w:pPr>
            <w:r>
              <w:rPr/>
              <w:t>​</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Class A common stockholders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228,482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8,468,396</w:t>
            </w:r>
          </w:p>
        </w:tc>
      </w:tr>
      <w:tr>
        <w:trPr/>
        <w:tc>
          <w:tcPr>
            <w:tcW w:w="5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Class B common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719,325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net income attributable to Snail Inc and Snail Games USA Inc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947,807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8,468,396</w:t>
            </w:r>
          </w:p>
        </w:tc>
      </w:tr>
      <w:tr>
        <w:trPr/>
        <w:tc>
          <w:tcPr>
            <w:tcW w:w="5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Class A weighted average shares outstanding - basic</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9,131,512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35,000,000</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Class B weighted average shares outstanding - basic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28,748,580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Class A and B basic earnings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r>
      <w:tr>
        <w:trPr/>
        <w:tc>
          <w:tcPr>
            <w:tcW w:w="5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rPr/>
            </w:pPr>
            <w:r>
              <w:rPr/>
              <w:t>​</w:t>
            </w:r>
          </w:p>
        </w:tc>
      </w:tr>
      <w:tr>
        <w:trPr/>
        <w:tc>
          <w:tcPr>
            <w:tcW w:w="55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Diluted Earnings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pPr>
            <w:r>
              <w:rPr/>
              <w:t>  </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Class A common stockholders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228,482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8,468,396</w:t>
            </w:r>
          </w:p>
        </w:tc>
      </w:tr>
      <w:tr>
        <w:trPr/>
        <w:tc>
          <w:tcPr>
            <w:tcW w:w="5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Class B common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719,325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Class A weighted average shares outstanding - basic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9,131,512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35,000,000</w:t>
            </w:r>
          </w:p>
        </w:tc>
      </w:tr>
      <w:tr>
        <w:trPr/>
        <w:tc>
          <w:tcPr>
            <w:tcW w:w="5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Dilutive effects of common stock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81" w:type="dxa"/>
            <w:tcBorders/>
            <w:shd w:fill="CCEEFF" w:val="clear"/>
            <w:vAlign w:val="center"/>
          </w:tcPr>
          <w:p>
            <w:pPr>
              <w:pStyle w:val="TableContents"/>
              <w:spacing w:before="0" w:after="0"/>
              <w:ind w:left="0" w:right="0" w:hanging="0"/>
              <w:jc w:val="right"/>
              <w:rPr/>
            </w:pPr>
            <w:r>
              <w:rPr/>
              <w:t>—</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Class A weighted average shares outstanding - diluted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9,131,512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35,000,000</w:t>
            </w:r>
          </w:p>
        </w:tc>
      </w:tr>
      <w:tr>
        <w:trPr/>
        <w:tc>
          <w:tcPr>
            <w:tcW w:w="5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Class B weighted average shares outstanding - basic</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28,748,580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81" w:type="dxa"/>
            <w:tcBorders/>
            <w:shd w:fill="CCEEFF" w:val="clear"/>
            <w:vAlign w:val="center"/>
          </w:tcPr>
          <w:p>
            <w:pPr>
              <w:pStyle w:val="TableContents"/>
              <w:spacing w:before="0" w:after="0"/>
              <w:ind w:left="0" w:right="0" w:hanging="0"/>
              <w:jc w:val="right"/>
              <w:rPr/>
            </w:pPr>
            <w:r>
              <w:rPr/>
              <w:t>—</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Dilutive effects of common stock equivalents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jc w:val="right"/>
              <w:rPr/>
            </w:pPr>
            <w:r>
              <w:rPr/>
              <w:t>—</w:t>
            </w:r>
          </w:p>
        </w:tc>
      </w:tr>
      <w:tr>
        <w:trPr/>
        <w:tc>
          <w:tcPr>
            <w:tcW w:w="5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Class B weighted average shares outstanding - 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28,748,580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earnings per Class A and B share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0.24</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restricted stock units and Underwriters Warrants were excluded from the treasury stock method computation of diluted shares as their inclusion would have had an antidilutive effect. There were no such exclusions made in the 2021 calculation.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b/>
          <w:sz w:val="20"/>
        </w:rPr>
      </w:pPr>
      <w:bookmarkStart w:id="1722" w:name="Tc_DHdSFQWYX0mRZWDSv7HH8A_7_4"/>
      <w:bookmarkStart w:id="1723" w:name="Tc_zPALdxWpWUuBDPCMWXhsVg_7_0"/>
      <w:bookmarkStart w:id="1724" w:name="Tc_G5W_KKkn4E6FFsMy5zWEJA_6_0"/>
      <w:bookmarkStart w:id="1725" w:name="Tc_od6JiPE3fkyh4kNebDtmeg_5_0"/>
      <w:bookmarkStart w:id="1726" w:name="Tc_6Hq8ihxdIUC4VkNbHn9oKA_4_0"/>
      <w:bookmarkStart w:id="1727" w:name="Tc_-UBm-lGdqk-2eMtTMhy-Og_3_4"/>
      <w:bookmarkStart w:id="1728" w:name="Tc_esHL19s120u7KcpGKX6d3A_3_0"/>
      <w:bookmarkStart w:id="1729" w:name="Tc_i2ekXtt3UkyYuAcLgCj2qA_2_4"/>
      <w:bookmarkStart w:id="1730" w:name="Tc_3lpDvh1qtk6XulZBMzl1zQ_2_2"/>
      <w:bookmarkStart w:id="1731" w:name="Tc_ft33hsTjZUSChqzvGY-DQw_1_4"/>
      <w:bookmarkStart w:id="1732" w:name="Tc_2LSWis7tKkuyTZNa1mUTpA_1_2"/>
      <w:bookmarkEnd w:id="1722"/>
      <w:bookmarkEnd w:id="1723"/>
      <w:bookmarkEnd w:id="1724"/>
      <w:bookmarkEnd w:id="1725"/>
      <w:bookmarkEnd w:id="1726"/>
      <w:bookmarkEnd w:id="1727"/>
      <w:bookmarkEnd w:id="1728"/>
      <w:bookmarkEnd w:id="1729"/>
      <w:bookmarkEnd w:id="1730"/>
      <w:bookmarkEnd w:id="1731"/>
      <w:bookmarkEnd w:id="1732"/>
      <w:r>
        <w:rPr>
          <w:rFonts w:ascii="Times New Roman;Times;serif" w:hAnsi="Times New Roman;Times;serif"/>
          <w:b/>
          <w:sz w:val="20"/>
        </w:rPr>
        <w:t>NOTE 20 – EQUITY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authorized 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one vote. Each share of Class B common stock will be entitled to ten votes and will be convertible into one share of Class A common stock automatically upon transfer, subject to certain exceptions. Holders of Class A common stock and Class B common stock will vote together as a single class on all matters unless otherwise required by law.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9, 2022, in connection with the IPO, the Company entered into an underwriting agreement (the “Underwriting Agreement” with the underwriters (the “Underwriters”), pursuant to which the Company agreed to issue and sell 3,000,000 shares of Class A common stock (the “Firm Shares”) at a purchase price of $4.675 per share to the Underwriters and granted the Underwriters an option (the “Over-Allotment Option”) to purchase up to 450,000 additional shares of Class A common stock (the “Option Shares”) at a purchase price of $4.675 per share. The Underwriters may exercise the Over-Allotment Option at any time in whole, or from time to time in part, on or before the forty-fifth day following the effectiveness of the IPO. The Over-Allotment Option was not exercised by the Underwriters prior to its expiration.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Underwriting Agreement, on November 9, 2022, the Company also issued to the Underwriters warrants to purchase such number of shares of the Company’s Class A common stock in an amount equal to four percent of the total number of shares of Class A common stock sold in the IPO, or 120,000 shares of Class A common stock (the “Underwriters Warrants”). The Underwriters Warrants may be exercised at a price per share equal to 125% of the IPO price, or $6.25 per share. The Underwriters Warrants are exercisable, in whole or in part, commencing on November 9, 2022, and expiring on the </w:t>
      </w:r>
      <w:r>
        <w:rPr>
          <w:rFonts w:ascii="Times New Roman;Times;serif" w:hAnsi="Times New Roman;Times;serif"/>
          <w:b w:val="false"/>
          <w:i w:val="false"/>
          <w:caps w:val="false"/>
          <w:smallCaps w:val="false"/>
          <w:sz w:val="20"/>
        </w:rPr>
        <w:t>three-year</w:t>
      </w:r>
      <w:r>
        <w:rPr>
          <w:rFonts w:ascii="Times New Roman;Times;serif" w:hAnsi="Times New Roman;Times;serif"/>
          <w:sz w:val="20"/>
        </w:rPr>
        <w:t xml:space="preserve"> anniversary thereof. The Underwriters Warrants have not been exercised as of the filing of this Annual Report.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Underwriters Warrants and Over-Allotment Option are legally detachable and separately exercisable from each other and from the Firm Shares; therefore, they meet the definition of freestanding and are not considered embedded in the Firm Shares.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Underwriters Warrants are considered indexed to the Company’s own stock. Additionally, the Company concludes that the Underwriters Warrants meet all requirements for equity classification. Because the Underwriters Warrants are issued to the Underwriters for their services and can be exercised immediately (subject to certain transfer conditions) they will be measured at their fair value on their date of issuance and recorded within stockholders’ equity. As long as the Underwriters Warrants remain classified as equity, they shall not be revalued. The fair value of the Underwriters Warrants was determined using the Black-Scholes model. The key assumptions used in the valuation were a average expected volatility of 53%, discount rate of 4.49% and remaining term of 3 years.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adopted a new accounting policy for the allocation of IPO costs between Firm Shares, equity-classified Underwriters Warrants and equity classified Over-Allotment Option. The Company will allocate all the issuance costs to the firm shares as a reduction of proceeds.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Stock Units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Vesting for restricted stock units granted to directors is based on the holders’ continued employment with us through each applicable vest date. If the vesting conditions are not met, unvested restricted stock units will be forfeited. Our restricted stock units to directors generally vest over 1 year. The following table summarizes our restricted stock units activity with directors for the year ended December 31, 2022:</w:t>
      </w:r>
    </w:p>
    <w:p>
      <w:pPr>
        <w:pStyle w:val="TextBody"/>
        <w:spacing w:before="0" w:after="0"/>
        <w:ind w:left="0" w:right="0" w:hanging="0"/>
        <w:rPr/>
      </w:pPr>
      <w:r>
        <w:rPr/>
        <w:t>​</w:t>
      </w:r>
    </w:p>
    <w:tbl>
      <w:tblPr>
        <w:tblW w:w="6999" w:type="dxa"/>
        <w:jc w:val="left"/>
        <w:tblInd w:w="0" w:type="dxa"/>
        <w:tblCellMar>
          <w:top w:w="0" w:type="dxa"/>
          <w:left w:w="0" w:type="dxa"/>
          <w:bottom w:w="0" w:type="dxa"/>
          <w:right w:w="0" w:type="dxa"/>
        </w:tblCellMar>
      </w:tblPr>
      <w:tblGrid>
        <w:gridCol w:w="3166"/>
        <w:gridCol w:w="326"/>
        <w:gridCol w:w="1291"/>
        <w:gridCol w:w="326"/>
        <w:gridCol w:w="510"/>
        <w:gridCol w:w="1380"/>
      </w:tblGrid>
      <w:tr>
        <w:trPr/>
        <w:tc>
          <w:tcPr>
            <w:tcW w:w="3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10410" cy="175260"/>
                      <wp:effectExtent l="0" t="0" r="0" b="0"/>
                      <wp:wrapNone/>
                      <wp:docPr id="336" name="Frame335"/>
                      <a:graphic xmlns:a="http://schemas.openxmlformats.org/drawingml/2006/main">
                        <a:graphicData uri="http://schemas.microsoft.com/office/word/2010/wordprocessingShape">
                          <wps:wsp>
                            <wps:cNvSpPr txBox="1"/>
                            <wps:spPr>
                              <a:xfrm>
                                <a:off x="0" y="0"/>
                                <a:ext cx="2010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37" name="Frame3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819785" cy="175260"/>
                      <wp:effectExtent l="0" t="0" r="0" b="0"/>
                      <wp:wrapNone/>
                      <wp:docPr id="338" name="Frame337"/>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39" name="Frame3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23850" cy="175260"/>
                      <wp:effectExtent l="0" t="0" r="0" b="0"/>
                      <wp:wrapNone/>
                      <wp:docPr id="340" name="Frame339"/>
                      <a:graphic xmlns:a="http://schemas.openxmlformats.org/drawingml/2006/main">
                        <a:graphicData uri="http://schemas.microsoft.com/office/word/2010/wordprocessingShape">
                          <wps:wsp>
                            <wps:cNvSpPr txBox="1"/>
                            <wps:spPr>
                              <a:xfrm>
                                <a:off x="0" y="0"/>
                                <a:ext cx="323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876300" cy="175260"/>
                      <wp:effectExtent l="0" t="0" r="0" b="0"/>
                      <wp:wrapNone/>
                      <wp:docPr id="341" name="Frame340"/>
                      <a:graphic xmlns:a="http://schemas.openxmlformats.org/drawingml/2006/main">
                        <a:graphicData uri="http://schemas.microsoft.com/office/word/2010/wordprocessingShape">
                          <wps:wsp>
                            <wps:cNvSpPr txBox="1"/>
                            <wps:spPr>
                              <a:xfrm>
                                <a:off x="0" y="0"/>
                                <a:ext cx="8763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w:t>
            </w:r>
          </w:p>
        </w:tc>
        <w:tc>
          <w:tcPr>
            <w:tcW w:w="326" w:type="dxa"/>
            <w:tcBorders/>
            <w:shd w:fill="auto" w:val="clear"/>
            <w:vAlign w:val="center"/>
          </w:tcPr>
          <w:p>
            <w:pPr>
              <w:pStyle w:val="TableContents"/>
              <w:spacing w:before="0" w:after="0"/>
              <w:ind w:left="0" w:right="0" w:hanging="0"/>
              <w:rPr/>
            </w:pPr>
            <w:r>
              <w:rPr/>
              <w:t>    </w:t>
            </w:r>
          </w:p>
        </w:tc>
        <w:tc>
          <w:tcPr>
            <w:tcW w:w="189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shd w:fill="auto" w:val="clear"/>
            <w:vAlign w:val="center"/>
          </w:tcPr>
          <w:p>
            <w:pPr>
              <w:pStyle w:val="TableContents"/>
              <w:spacing w:before="0" w:after="0"/>
              <w:ind w:left="0" w:right="0" w:hanging="0"/>
              <w:rPr/>
            </w:pPr>
            <w:r>
              <w:rPr/>
              <w:t>​</w:t>
            </w:r>
          </w:p>
        </w:tc>
        <w:tc>
          <w:tcPr>
            <w:tcW w:w="189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Grant-Date Fair Values</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January 1, 2022</w:t>
            </w:r>
          </w:p>
        </w:tc>
        <w:tc>
          <w:tcPr>
            <w:tcW w:w="326" w:type="dxa"/>
            <w:tcBorders/>
            <w:shd w:fill="CCEEFF" w:val="clear"/>
            <w:vAlign w:val="center"/>
          </w:tcPr>
          <w:p>
            <w:pPr>
              <w:pStyle w:val="TableContents"/>
              <w:spacing w:before="0" w:after="0"/>
              <w:ind w:left="0" w:right="0" w:hanging="0"/>
              <w:rPr/>
            </w:pPr>
            <w:r>
              <w:rPr/>
              <w:t> </w:t>
            </w:r>
          </w:p>
        </w:tc>
        <w:tc>
          <w:tcPr>
            <w:tcW w:w="12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80" w:type="dxa"/>
            <w:tcBorders/>
            <w:shd w:fill="CCEEFF" w:val="clear"/>
            <w:vAlign w:val="center"/>
          </w:tcPr>
          <w:p>
            <w:pPr>
              <w:pStyle w:val="TableContents"/>
              <w:spacing w:before="0" w:after="0"/>
              <w:ind w:left="0" w:right="0" w:hanging="0"/>
              <w:jc w:val="right"/>
              <w:rPr/>
            </w:pPr>
            <w:r>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24,000</w:t>
            </w:r>
          </w:p>
        </w:tc>
        <w:tc>
          <w:tcPr>
            <w:tcW w:w="326" w:type="dxa"/>
            <w:tcBorders/>
            <w:shd w:fill="auto" w:val="clear"/>
            <w:vAlign w:val="center"/>
          </w:tcPr>
          <w:p>
            <w:pPr>
              <w:pStyle w:val="TableContents"/>
              <w:spacing w:before="0" w:after="0"/>
              <w:ind w:left="0" w:right="0" w:hanging="0"/>
              <w:rPr/>
            </w:pPr>
            <w:r>
              <w:rPr/>
              <w:t>​</w:t>
            </w:r>
          </w:p>
        </w:tc>
        <w:tc>
          <w:tcPr>
            <w:tcW w:w="510" w:type="dxa"/>
            <w:tcBorders/>
            <w:shd w:fill="auto" w:val="clear"/>
            <w:vAlign w:val="center"/>
          </w:tcPr>
          <w:p>
            <w:pPr>
              <w:pStyle w:val="TableContents"/>
              <w:spacing w:before="0" w:after="0"/>
              <w:ind w:left="0" w:right="0" w:hanging="0"/>
              <w:rPr/>
            </w:pPr>
            <w:r>
              <w:rPr/>
              <w:t> </w:t>
            </w:r>
          </w:p>
        </w:tc>
        <w:tc>
          <w:tcPr>
            <w:tcW w:w="138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 </w:t>
            </w:r>
          </w:p>
        </w:tc>
        <w:tc>
          <w:tcPr>
            <w:tcW w:w="12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10" w:type="dxa"/>
            <w:tcBorders/>
            <w:shd w:fill="CCEEFF" w:val="clear"/>
            <w:vAlign w:val="center"/>
          </w:tcPr>
          <w:p>
            <w:pPr>
              <w:pStyle w:val="TableContents"/>
              <w:spacing w:before="0" w:after="0"/>
              <w:ind w:left="0" w:right="0" w:hanging="0"/>
              <w:rPr/>
            </w:pPr>
            <w:r>
              <w:rPr/>
              <w:t> </w:t>
            </w:r>
          </w:p>
        </w:tc>
        <w:tc>
          <w:tcPr>
            <w:tcW w:w="1380" w:type="dxa"/>
            <w:tcBorders/>
            <w:shd w:fill="CCEEFF" w:val="clear"/>
            <w:vAlign w:val="center"/>
          </w:tcPr>
          <w:p>
            <w:pPr>
              <w:pStyle w:val="TableContents"/>
              <w:spacing w:before="0" w:after="0"/>
              <w:ind w:left="0" w:right="0" w:hanging="0"/>
              <w:jc w:val="right"/>
              <w:rPr/>
            </w:pPr>
            <w:r>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 or cancelled</w:t>
            </w:r>
          </w:p>
        </w:tc>
        <w:tc>
          <w:tcPr>
            <w:tcW w:w="326" w:type="dxa"/>
            <w:tcBorders/>
            <w:shd w:fill="auto" w:val="clear"/>
            <w:vAlign w:val="center"/>
          </w:tcPr>
          <w:p>
            <w:pPr>
              <w:pStyle w:val="TableContents"/>
              <w:spacing w:before="0" w:after="0"/>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1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8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spacing w:before="0" w:after="0"/>
              <w:ind w:left="0" w:right="0" w:hanging="0"/>
              <w:rPr/>
            </w:pPr>
            <w:r>
              <w:rPr/>
              <w:t> </w:t>
            </w:r>
          </w:p>
        </w:tc>
        <w:tc>
          <w:tcPr>
            <w:tcW w:w="12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24,000</w:t>
            </w:r>
          </w:p>
        </w:tc>
        <w:tc>
          <w:tcPr>
            <w:tcW w:w="326" w:type="dxa"/>
            <w:tcBorders/>
            <w:shd w:fill="CCEEFF" w:val="clear"/>
            <w:vAlign w:val="center"/>
          </w:tcPr>
          <w:p>
            <w:pPr>
              <w:pStyle w:val="TableContents"/>
              <w:spacing w:before="0" w:after="0"/>
              <w:ind w:left="0" w:right="0" w:hanging="0"/>
              <w:rPr/>
            </w:pPr>
            <w:r>
              <w:rPr/>
              <w:t>​</w:t>
            </w:r>
          </w:p>
        </w:tc>
        <w:tc>
          <w:tcPr>
            <w:tcW w:w="51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80"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5.00</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grant date fair value of restricted stock units granted to directors is based on the quoted market price of our common stock on the date of grant. The weighted-average grant date fair values of restricted stock units granted during the years ended December 31, 2022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rPr>
          <w:rFonts w:ascii="Times New Roman;Times;serif" w:hAnsi="Times New Roman;Times;serif"/>
          <w:sz w:val="20"/>
        </w:rPr>
      </w:pPr>
      <w:bookmarkStart w:id="1733" w:name="Tc_WDCUD-7hwECpFp1SdZG3iA_7_4"/>
      <w:bookmarkStart w:id="1734" w:name="Tc_iE1O_AqX7k-P1-vQYx9WVg_7_0"/>
      <w:bookmarkStart w:id="1735" w:name="Tc_aKvOJBf9oEyxrXIWeDEW3w_6_0"/>
      <w:bookmarkStart w:id="1736" w:name="Tc_oNbP85uTYUOJscPedVs1Uw_5_0"/>
      <w:bookmarkStart w:id="1737" w:name="Tc_SDejnPS3xE-8Vf57nTMHsQ_4_0"/>
      <w:bookmarkStart w:id="1738" w:name="Tc_A_RkSV53J0urI97yZSyWWQ_3_4"/>
      <w:bookmarkStart w:id="1739" w:name="Tc_-6tBQjTJu0qvSKeqrcUkuQ_3_0"/>
      <w:bookmarkStart w:id="1740" w:name="Tc_vl2FkN3o80usVxIQbB1YEQ_2_4"/>
      <w:bookmarkStart w:id="1741" w:name="Tc_OLlK829PM0-fQQ1_C_9pNg_2_2"/>
      <w:bookmarkStart w:id="1742" w:name="Tc_BWmPoEYUqUqAvDXnIGpV4A_1_4"/>
      <w:bookmarkStart w:id="1743" w:name="Tc_zQmTon5z20Gd_cdx0DCnBQ_1_2"/>
      <w:bookmarkEnd w:id="1733"/>
      <w:bookmarkEnd w:id="1734"/>
      <w:bookmarkEnd w:id="1735"/>
      <w:bookmarkEnd w:id="1736"/>
      <w:bookmarkEnd w:id="1737"/>
      <w:bookmarkEnd w:id="1738"/>
      <w:bookmarkEnd w:id="1739"/>
      <w:bookmarkEnd w:id="1740"/>
      <w:bookmarkEnd w:id="1741"/>
      <w:bookmarkEnd w:id="1742"/>
      <w:bookmarkEnd w:id="1743"/>
      <w:r>
        <w:rPr>
          <w:rFonts w:ascii="Times New Roman;Times;serif" w:hAnsi="Times New Roman;Times;serif"/>
          <w:sz w:val="20"/>
        </w:rPr>
        <w:t>and 2021 are $5.00 and $0 respectively. There are no restricted stock units that vested during the years ended December 31, 2022 and 2021.</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Our restricted stock units granted to employees vest upon the achievement of pre-determined performance-based milestones as well as service conditions. The pre-determined performance-based milestones are based on specified percentages of the restricted stock units that would vest at each of the first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performance-based restricted stock units will not vest, in which case any compensation expense we have recognized to date will be reversed. Generally, the total aggregate measurement period of our performance-based restricted stock units is 5 years, with awards cliff-vesting after each annual measurement period during the total aggregate measurement period. </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Each quarter, we update our assessment of the probability that the performance milestones will be achieved. We amortize the fair values of performance-based restricted stock units over the requisite service period. Each performance-based milestone is weighted evenly and the number of shares that vest based on each performance-based milestone is independent from the other.</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 summarizes our restricted stock unit activity with employees, presented with the maximum number of shares that could potentially vest, for the year ended December 31, 2022:</w:t>
      </w:r>
    </w:p>
    <w:p>
      <w:pPr>
        <w:pStyle w:val="TextBody"/>
        <w:spacing w:before="0" w:after="0"/>
        <w:ind w:left="0" w:right="0" w:hanging="0"/>
        <w:rPr/>
      </w:pPr>
      <w:r>
        <w:rPr/>
        <w:t>​</w:t>
      </w:r>
    </w:p>
    <w:tbl>
      <w:tblPr>
        <w:tblW w:w="7000" w:type="dxa"/>
        <w:jc w:val="left"/>
        <w:tblInd w:w="0" w:type="dxa"/>
        <w:tblCellMar>
          <w:top w:w="0" w:type="dxa"/>
          <w:left w:w="0" w:type="dxa"/>
          <w:bottom w:w="0" w:type="dxa"/>
          <w:right w:w="0" w:type="dxa"/>
        </w:tblCellMar>
      </w:tblPr>
      <w:tblGrid>
        <w:gridCol w:w="3166"/>
        <w:gridCol w:w="326"/>
        <w:gridCol w:w="1291"/>
        <w:gridCol w:w="326"/>
        <w:gridCol w:w="510"/>
        <w:gridCol w:w="1381"/>
      </w:tblGrid>
      <w:tr>
        <w:trPr/>
        <w:tc>
          <w:tcPr>
            <w:tcW w:w="3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10410" cy="175260"/>
                      <wp:effectExtent l="0" t="0" r="0" b="0"/>
                      <wp:wrapNone/>
                      <wp:docPr id="342" name="Frame341"/>
                      <a:graphic xmlns:a="http://schemas.openxmlformats.org/drawingml/2006/main">
                        <a:graphicData uri="http://schemas.microsoft.com/office/word/2010/wordprocessingShape">
                          <wps:wsp>
                            <wps:cNvSpPr txBox="1"/>
                            <wps:spPr>
                              <a:xfrm>
                                <a:off x="0" y="0"/>
                                <a:ext cx="2010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3" name="Frame3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819785" cy="175260"/>
                      <wp:effectExtent l="0" t="0" r="0" b="0"/>
                      <wp:wrapNone/>
                      <wp:docPr id="344" name="Frame343"/>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5" name="Frame3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23850" cy="175260"/>
                      <wp:effectExtent l="0" t="0" r="0" b="0"/>
                      <wp:wrapNone/>
                      <wp:docPr id="346" name="Frame345"/>
                      <a:graphic xmlns:a="http://schemas.openxmlformats.org/drawingml/2006/main">
                        <a:graphicData uri="http://schemas.microsoft.com/office/word/2010/wordprocessingShape">
                          <wps:wsp>
                            <wps:cNvSpPr txBox="1"/>
                            <wps:spPr>
                              <a:xfrm>
                                <a:off x="0" y="0"/>
                                <a:ext cx="323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876935" cy="175260"/>
                      <wp:effectExtent l="0" t="0" r="0" b="0"/>
                      <wp:wrapNone/>
                      <wp:docPr id="347" name="Frame346"/>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w:t>
            </w:r>
          </w:p>
        </w:tc>
        <w:tc>
          <w:tcPr>
            <w:tcW w:w="326" w:type="dxa"/>
            <w:tcBorders/>
            <w:shd w:fill="auto" w:val="clear"/>
            <w:vAlign w:val="center"/>
          </w:tcPr>
          <w:p>
            <w:pPr>
              <w:pStyle w:val="TableContents"/>
              <w:spacing w:before="0" w:after="0"/>
              <w:ind w:left="0" w:right="0" w:hanging="0"/>
              <w:rPr/>
            </w:pPr>
            <w:r>
              <w:rPr/>
              <w:t>    </w:t>
            </w:r>
          </w:p>
        </w:tc>
        <w:tc>
          <w:tcPr>
            <w:tcW w:w="18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1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shd w:fill="auto" w:val="clear"/>
            <w:vAlign w:val="center"/>
          </w:tcPr>
          <w:p>
            <w:pPr>
              <w:pStyle w:val="TableContents"/>
              <w:spacing w:before="0" w:after="0"/>
              <w:ind w:left="0" w:right="0" w:hanging="0"/>
              <w:rPr/>
            </w:pPr>
            <w:r>
              <w:rPr/>
              <w:t>​</w:t>
            </w:r>
          </w:p>
        </w:tc>
        <w:tc>
          <w:tcPr>
            <w:tcW w:w="18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Grant-Date Fair Values</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January 1, 2022</w:t>
            </w:r>
          </w:p>
        </w:tc>
        <w:tc>
          <w:tcPr>
            <w:tcW w:w="326" w:type="dxa"/>
            <w:tcBorders/>
            <w:shd w:fill="CCEEFF" w:val="clear"/>
            <w:vAlign w:val="center"/>
          </w:tcPr>
          <w:p>
            <w:pPr>
              <w:pStyle w:val="TableContents"/>
              <w:spacing w:before="0" w:after="0"/>
              <w:ind w:left="0" w:right="0" w:hanging="0"/>
              <w:rPr/>
            </w:pPr>
            <w:r>
              <w:rPr/>
              <w:t> </w:t>
            </w:r>
          </w:p>
        </w:tc>
        <w:tc>
          <w:tcPr>
            <w:tcW w:w="12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spacing w:before="0" w:after="0"/>
              <w:ind w:left="0" w:right="0" w:hanging="0"/>
              <w:jc w:val="right"/>
              <w:rPr/>
            </w:pPr>
            <w:r>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1,200,960</w:t>
            </w:r>
          </w:p>
        </w:tc>
        <w:tc>
          <w:tcPr>
            <w:tcW w:w="326" w:type="dxa"/>
            <w:tcBorders/>
            <w:shd w:fill="auto" w:val="clear"/>
            <w:vAlign w:val="center"/>
          </w:tcPr>
          <w:p>
            <w:pPr>
              <w:pStyle w:val="TableContents"/>
              <w:spacing w:before="0" w:after="0"/>
              <w:ind w:left="0" w:right="0" w:hanging="0"/>
              <w:rPr/>
            </w:pPr>
            <w:r>
              <w:rPr/>
              <w:t>​</w:t>
            </w:r>
          </w:p>
        </w:tc>
        <w:tc>
          <w:tcPr>
            <w:tcW w:w="510"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 </w:t>
            </w:r>
          </w:p>
        </w:tc>
        <w:tc>
          <w:tcPr>
            <w:tcW w:w="12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10"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w:t>
            </w:r>
          </w:p>
        </w:tc>
      </w:tr>
      <w:tr>
        <w:trPr/>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 or cancelled</w:t>
            </w:r>
          </w:p>
        </w:tc>
        <w:tc>
          <w:tcPr>
            <w:tcW w:w="326" w:type="dxa"/>
            <w:tcBorders/>
            <w:shd w:fill="auto" w:val="clear"/>
            <w:vAlign w:val="center"/>
          </w:tcPr>
          <w:p>
            <w:pPr>
              <w:pStyle w:val="TableContents"/>
              <w:spacing w:before="0" w:after="0"/>
              <w:ind w:left="0" w:right="0" w:hanging="0"/>
              <w:rPr/>
            </w:pPr>
            <w:r>
              <w:rPr/>
              <w:t> </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(3,408)</w:t>
            </w:r>
          </w:p>
        </w:tc>
        <w:tc>
          <w:tcPr>
            <w:tcW w:w="326" w:type="dxa"/>
            <w:tcBorders/>
            <w:shd w:fill="auto" w:val="clear"/>
            <w:vAlign w:val="center"/>
          </w:tcPr>
          <w:p>
            <w:pPr>
              <w:pStyle w:val="TableContents"/>
              <w:spacing w:before="0" w:after="0"/>
              <w:ind w:left="0" w:right="0" w:hanging="0"/>
              <w:rPr/>
            </w:pPr>
            <w:r>
              <w:rPr/>
              <w:t>​</w:t>
            </w:r>
          </w:p>
        </w:tc>
        <w:tc>
          <w:tcPr>
            <w:tcW w:w="51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1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spacing w:before="0" w:after="0"/>
              <w:ind w:left="0" w:right="0" w:hanging="0"/>
              <w:rPr/>
            </w:pPr>
            <w:r>
              <w:rPr/>
              <w:t> </w:t>
            </w:r>
          </w:p>
        </w:tc>
        <w:tc>
          <w:tcPr>
            <w:tcW w:w="12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1,197,552</w:t>
            </w:r>
          </w:p>
        </w:tc>
        <w:tc>
          <w:tcPr>
            <w:tcW w:w="326" w:type="dxa"/>
            <w:tcBorders/>
            <w:shd w:fill="CCEEFF" w:val="clear"/>
            <w:vAlign w:val="center"/>
          </w:tcPr>
          <w:p>
            <w:pPr>
              <w:pStyle w:val="TableContents"/>
              <w:spacing w:before="0" w:after="0"/>
              <w:ind w:left="0" w:right="0" w:hanging="0"/>
              <w:rPr/>
            </w:pPr>
            <w:r>
              <w:rPr/>
              <w:t>​</w:t>
            </w:r>
          </w:p>
        </w:tc>
        <w:tc>
          <w:tcPr>
            <w:tcW w:w="51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5.00</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grant date fair value of restricted stock units granted to employees is based on the quoted market price of our common stock on the date of grant. The weighted-average grant date fair values of restricted stock units granted during the years ended December 31, 2022 and 2021 are $5.00 and $0 respectively. There are no restricted stock units that vested during the years ended December 31, 2022 and 2021.</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Repurchase Activity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All share repurchases settled in the fourth quarter of fiscal year 2022 were open market transactions. As of December 31, 2022, 1,197,649 shares of Class A common stock were repurchased pursuant to the Share Repurchase Program for an aggregate purchase price of approximately $3.4 million. The average price paid per share was $2.85 and approximately $1.6 million aggregate amount of shares of Class A common stock remain available for repurchase under the Share Repurchase Program.</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Stock-Based Compensation Expense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Stock-based compensation expense resulting from restricted stock units and performance-based restricted stock units of $223,250 and $0 are recorded under General and Administrative expenses included in our Consolidated Statements of Comprehensive Income for the years ended December 31, 2022 and 2021, respectively.</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During the years ended December 31, 2022 and 2021, we recognized $48,678 and $0 respectively, of deferred income tax benefit related to our stock-based compensation expense.</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As of December 31, 2022, our total unrecognized compensation cost related to restricted stock units, was approximately $2.6 million and is expected to be recognized over a weighted-average service period of 4.7 years.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spacing w:before="0" w:after="2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Snail Inc.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21 – SUBSEQUENT EVENTS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In December 2022, the Company repurchased 13,607</w:t>
            </w:r>
            <w:r>
              <w:rPr>
                <w:caps w:val="false"/>
                <w:smallCaps w:val="false"/>
              </w:rPr>
              <w:t xml:space="preserve"> </w:t>
            </w:r>
            <w:r>
              <w:rPr>
                <w:rFonts w:ascii="Times New Roman;Times;serif" w:hAnsi="Times New Roman;Times;serif"/>
                <w:b w:val="false"/>
                <w:i w:val="false"/>
                <w:caps w:val="false"/>
                <w:smallCaps w:val="false"/>
                <w:sz w:val="20"/>
              </w:rPr>
              <w:t>shares of Class A common stock at an average price of $1.53</w:t>
            </w:r>
            <w:r>
              <w:rPr>
                <w:caps w:val="false"/>
                <w:smallCaps w:val="false"/>
              </w:rPr>
              <w:t xml:space="preserve"> </w:t>
            </w:r>
            <w:r>
              <w:rPr>
                <w:rFonts w:ascii="Times New Roman;Times;serif" w:hAnsi="Times New Roman;Times;serif"/>
                <w:b w:val="false"/>
                <w:i w:val="false"/>
                <w:caps w:val="false"/>
                <w:smallCaps w:val="false"/>
                <w:sz w:val="20"/>
              </w:rPr>
              <w:t>per share, pursuant to the Share Repurchase Program. These shares did not settle until January 2023 and have not been included in the Company’s treasury stock balance as of December 31, 2022.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In January 2023, the Company repurchased 139,019</w:t>
            </w:r>
            <w:r>
              <w:rPr>
                <w:caps w:val="false"/>
                <w:smallCaps w:val="false"/>
              </w:rPr>
              <w:t xml:space="preserve"> </w:t>
            </w:r>
            <w:r>
              <w:rPr>
                <w:rFonts w:ascii="Times New Roman;Times;serif" w:hAnsi="Times New Roman;Times;serif"/>
                <w:b w:val="false"/>
                <w:i w:val="false"/>
                <w:caps w:val="false"/>
                <w:smallCaps w:val="false"/>
                <w:sz w:val="20"/>
              </w:rPr>
              <w:t>shares of Class A common stock at an average price of $1.70</w:t>
            </w:r>
            <w:r>
              <w:rPr>
                <w:caps w:val="false"/>
                <w:smallCaps w:val="false"/>
              </w:rPr>
              <w:t xml:space="preserve"> </w:t>
            </w:r>
            <w:r>
              <w:rPr>
                <w:rFonts w:ascii="Times New Roman;Times;serif" w:hAnsi="Times New Roman;Times;serif"/>
                <w:b w:val="false"/>
                <w:i w:val="false"/>
                <w:caps w:val="false"/>
                <w:smallCaps w:val="false"/>
                <w:sz w:val="20"/>
              </w:rPr>
              <w:t xml:space="preserve">per share pursuant to the Share Repurchase Program.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On March 10, 2023, the Company amended its exclusive software license agreement with SDE relating to the </w:t>
            </w:r>
            <w:r>
              <w:rPr>
                <w:rFonts w:ascii="Times New Roman;Times;serif" w:hAnsi="Times New Roman;Times;serif"/>
                <w:b w:val="false"/>
                <w:i/>
                <w:sz w:val="20"/>
              </w:rPr>
              <w:t>ARK</w:t>
            </w:r>
            <w:r>
              <w:rPr>
                <w:caps w:val="false"/>
                <w:smallCaps w:val="false"/>
              </w:rPr>
              <w:t xml:space="preserve"> </w:t>
            </w:r>
            <w:r>
              <w:rPr>
                <w:rFonts w:ascii="Times New Roman;Times;serif" w:hAnsi="Times New Roman;Times;serif"/>
                <w:b w:val="false"/>
                <w:i w:val="false"/>
                <w:caps w:val="false"/>
                <w:smallCaps w:val="false"/>
                <w:sz w:val="20"/>
              </w:rPr>
              <w:t>franchise. For DLC’s, the Company plans to release during the term of the agreement, we will now have the option to pay the $5.0</w:t>
            </w:r>
            <w:r>
              <w:rPr>
                <w:caps w:val="false"/>
                <w:smallCaps w:val="false"/>
              </w:rPr>
              <w:t xml:space="preserve"> </w:t>
            </w:r>
            <w:r>
              <w:rPr>
                <w:rFonts w:ascii="Times New Roman;Times;serif" w:hAnsi="Times New Roman;Times;serif"/>
                <w:b w:val="false"/>
                <w:i w:val="false"/>
                <w:caps w:val="false"/>
                <w:smallCaps w:val="false"/>
                <w:sz w:val="20"/>
              </w:rPr>
              <w:t>million DLC payment in whole or in part, when paid in advance; or in full, upon the DLC release. No payment for any DLC under this agreement will exceed $5.0</w:t>
            </w:r>
            <w:r>
              <w:rPr>
                <w:caps w:val="false"/>
                <w:smallCaps w:val="false"/>
              </w:rPr>
              <w:t xml:space="preserve"> </w:t>
            </w:r>
            <w:r>
              <w:rPr>
                <w:rFonts w:ascii="Times New Roman;Times;serif" w:hAnsi="Times New Roman;Times;serif"/>
                <w:b w:val="false"/>
                <w:i w:val="false"/>
                <w:caps w:val="false"/>
                <w:smallCaps w:val="false"/>
                <w:sz w:val="20"/>
              </w:rPr>
              <w:t>million. In March 2023, the Company pre-paid $1.0</w:t>
            </w:r>
            <w:r>
              <w:rPr>
                <w:caps w:val="false"/>
                <w:smallCaps w:val="false"/>
              </w:rPr>
              <w:t xml:space="preserve"> </w:t>
            </w:r>
            <w:r>
              <w:rPr>
                <w:rFonts w:ascii="Times New Roman;Times;serif" w:hAnsi="Times New Roman;Times;serif"/>
                <w:b w:val="false"/>
                <w:i w:val="false"/>
                <w:caps w:val="false"/>
                <w:smallCaps w:val="false"/>
                <w:sz w:val="20"/>
              </w:rPr>
              <w:t>million for a DLC we plan to release in 2023.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2023, the Company has appointed Mr. Hai Shi as the Company’s Chief Strategy Officer. The employment is at-will with an annual salary amount of $400,000.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1744" w:name="Item9ChangesinandDisagreementsWithAccoun"/>
      <w:bookmarkStart w:id="1745" w:name="_f74c8ac0_b271_466e_b25d_3336bdb520a9"/>
      <w:bookmarkEnd w:id="1744"/>
      <w:bookmarkEnd w:id="1745"/>
      <w:r>
        <w:rPr>
          <w:rFonts w:ascii="Times New Roman;Times;serif" w:hAnsi="Times New Roman;Times;serif"/>
          <w:b/>
          <w:sz w:val="20"/>
        </w:rPr>
        <w:t>Item 9. Changes in and Disagreements With Accountants on Accounting and Financial Disclosure.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jc w:val="both"/>
        <w:rPr>
          <w:rFonts w:ascii="Times New Roman;Times;serif" w:hAnsi="Times New Roman;Times;serif"/>
          <w:b/>
          <w:sz w:val="20"/>
        </w:rPr>
      </w:pPr>
      <w:bookmarkStart w:id="1746" w:name="Item9AControlsandProcedures_149057"/>
      <w:bookmarkStart w:id="1747" w:name="_c804dbc8_2a65_4e0e_863f_a877c8fc144f"/>
      <w:bookmarkEnd w:id="1746"/>
      <w:bookmarkEnd w:id="1747"/>
      <w:r>
        <w:rPr>
          <w:rFonts w:ascii="Times New Roman;Times;serif" w:hAnsi="Times New Roman;Times;serif"/>
          <w:b/>
          <w:sz w:val="20"/>
        </w:rPr>
        <w:t>Item 9A. Controls and Procedures.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Disclosure Controls and Procedures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maintains disclosure controls and procedures (as defined in Rule 13a-15(e) under the Exchange Act) that are designed to ensure that information required to be disclosed in the Company’s reports under the Exchange Act is recorded, processed, summarized and reported within the time periods specified in the Securities and Exchange Commission’s rules and forms, and that such information is accumulated and communicated to the Company’s management, including the Chief Executive Officer and the Chief Financial Officer, as appropriate, to allow timely decisions regarding required disclosure.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December 31, 2022. A material weakness is a deficiency, or combination of deficiencies, in internal control over financial reporting, such that there is a reasonable possibility that a material misstatement of our annual and interim financial statements will not be prevented or detected in a timely manner. Based on that evaluation, the Chief Executive Officer and Chief Financial Officer have concluded that our disclosure controls and procedures were not effective as of such date due to a material weakness in the internal control over financial reporting involving failure to properly design and implement controls related to the accounting for income taxes and equity, failure to design and implement sufficient disclosure controls related to certain items in the statement of cash flows, and failure to properly classify certain operating expenses in the consolidated financial statements and deferred taxes in the consolidated footnotes. We intend to enhance our financial reporting close control procedures and hire additional personnel with a depth of knowledge and experience to join our accounting and finance organization in order to remediate this material weakness. See “Risk Factors — General Risk Factors — We identified a material weakness in our internal controls over financial reporting and we may identify additional material weaknesses in the future that may cause us to fail to meet our reporting obligations or result in material misstatements of our financial statements. If we do not effectively remediate the material weakness or if we otherwise fail to maintain effective internal controls over financial reporting, we may not be able to accurately and timely report our financial results.”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light of the material weakness, we performed additional analyses and reconciliations to determine that our consolidated financial statements are prepared in accordance with U.S. GAAP. Accordingly, the Chief Executive Officer and Chief Financial Officer concluded that the consolidated financial statements included in this Annual Report fairly present in all material respects our financial condition, results of operations and cash flows for the periods presented.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that occurred during the fiscal year ended December 31, 2022 which have materially affected, or are reasonably likely to materially affect, our internal control over financial reporting.</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Management’s Report on Internal Control over Financial Reporting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does not include a report of management’s assessment regarding internal control over financial reporting due to a transition period established by the rules of the SEC for newly public companies.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Attestation Report of Independent Registered Public Accounting Firm</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does not include an attestation report of our registered independent public accounting firm regarding internal control over financial reporting due to an exemption established by the JOBS Act for “emerging growth companies.”</w:t>
      </w:r>
    </w:p>
    <w:p>
      <w:pPr>
        <w:pStyle w:val="TextBody"/>
        <w:spacing w:before="0" w:after="240"/>
        <w:ind w:left="0" w:right="0" w:hanging="0"/>
        <w:jc w:val="both"/>
        <w:rPr>
          <w:rFonts w:ascii="Times New Roman;Times;serif" w:hAnsi="Times New Roman;Times;serif"/>
          <w:b/>
          <w:sz w:val="20"/>
        </w:rPr>
      </w:pPr>
      <w:bookmarkStart w:id="1748" w:name="Item9BOtherInformation_332487"/>
      <w:bookmarkStart w:id="1749" w:name="_9a7940f0_eea0_47a5_9095_5076f92dca26"/>
      <w:bookmarkEnd w:id="1748"/>
      <w:bookmarkEnd w:id="1749"/>
      <w:r>
        <w:rPr>
          <w:rFonts w:ascii="Times New Roman;Times;serif" w:hAnsi="Times New Roman;Times;serif"/>
          <w:b/>
          <w:sz w:val="20"/>
        </w:rPr>
        <w:t>Item 9B. Other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1750" w:name="Item9CDisclosureRegardingForeignJurisdic"/>
      <w:bookmarkStart w:id="1751" w:name="_45913152_7269_4b60_ad80_71a9d954e6a3"/>
      <w:bookmarkEnd w:id="1750"/>
      <w:bookmarkEnd w:id="1751"/>
      <w:r>
        <w:rPr>
          <w:rFonts w:ascii="Times New Roman;Times;serif" w:hAnsi="Times New Roman;Times;serif"/>
          <w:b/>
          <w:sz w:val="20"/>
        </w:rPr>
        <w:t>Item 9C. Disclosure Regarding Foreign Jurisdictions that Prevent Inspections.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752" w:name="PARTIII_617440"/>
      <w:bookmarkStart w:id="1753" w:name="_466c787f_06af_4c7d_a4f3_3d6862e973a4"/>
      <w:bookmarkEnd w:id="1752"/>
      <w:bookmarkEnd w:id="1753"/>
      <w:r>
        <w:rPr>
          <w:rFonts w:ascii="Times New Roman;Times;serif" w:hAnsi="Times New Roman;Times;serif"/>
          <w:b/>
          <w:sz w:val="20"/>
        </w:rPr>
        <w:t>PART III</w:t>
      </w:r>
    </w:p>
    <w:p>
      <w:pPr>
        <w:pStyle w:val="TextBody"/>
        <w:spacing w:before="0" w:after="240"/>
        <w:ind w:left="0" w:right="0" w:hanging="0"/>
        <w:jc w:val="both"/>
        <w:rPr>
          <w:rFonts w:ascii="Times New Roman;Times;serif" w:hAnsi="Times New Roman;Times;serif"/>
          <w:b/>
          <w:sz w:val="20"/>
        </w:rPr>
      </w:pPr>
      <w:bookmarkStart w:id="1754" w:name="Item10DirectorsExecutiveOfficersandCorpo"/>
      <w:bookmarkEnd w:id="1754"/>
      <w:r>
        <w:rPr>
          <w:rFonts w:ascii="Times New Roman;Times;serif" w:hAnsi="Times New Roman;Times;serif"/>
          <w:b/>
          <w:sz w:val="20"/>
        </w:rPr>
        <w:t>Item 10. Directors, Executive Officers and Corporate Governance.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will be included in an amendment to this Annual Report on Form 10-K or incorporated by reference from our Proxy Statement.</w:t>
      </w:r>
    </w:p>
    <w:p>
      <w:pPr>
        <w:pStyle w:val="TextBody"/>
        <w:spacing w:before="0" w:after="240"/>
        <w:ind w:left="0" w:right="0" w:hanging="0"/>
        <w:jc w:val="both"/>
        <w:rPr>
          <w:rFonts w:ascii="Times New Roman;Times;serif" w:hAnsi="Times New Roman;Times;serif"/>
          <w:b/>
          <w:sz w:val="20"/>
        </w:rPr>
      </w:pPr>
      <w:bookmarkStart w:id="1755" w:name="Item11ExecutiveCompensation_7805"/>
      <w:bookmarkStart w:id="1756" w:name="_bc6ca344_b674_44af_b66c_ca0a08d4e84e"/>
      <w:bookmarkEnd w:id="1755"/>
      <w:bookmarkEnd w:id="1756"/>
      <w:r>
        <w:rPr>
          <w:rFonts w:ascii="Times New Roman;Times;serif" w:hAnsi="Times New Roman;Times;serif"/>
          <w:b/>
          <w:sz w:val="20"/>
        </w:rPr>
        <w:t>Item 11. Executive Compensation.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will be included in an amendment to this Annual Report on Form 10-K or incorporated by reference from our Proxy Statement.</w:t>
      </w:r>
    </w:p>
    <w:p>
      <w:pPr>
        <w:pStyle w:val="TextBody"/>
        <w:spacing w:before="0" w:after="240"/>
        <w:ind w:left="0" w:right="0" w:hanging="0"/>
        <w:jc w:val="both"/>
        <w:rPr>
          <w:rFonts w:ascii="Times New Roman;Times;serif" w:hAnsi="Times New Roman;Times;serif"/>
          <w:b/>
          <w:sz w:val="20"/>
        </w:rPr>
      </w:pPr>
      <w:bookmarkStart w:id="1757" w:name="Item12SecurityOwnershipofCertainBenefici"/>
      <w:bookmarkStart w:id="1758" w:name="_94f1e174_1efe_480b_b362_e786437ac164"/>
      <w:bookmarkEnd w:id="1757"/>
      <w:bookmarkEnd w:id="1758"/>
      <w:r>
        <w:rPr>
          <w:rFonts w:ascii="Times New Roman;Times;serif" w:hAnsi="Times New Roman;Times;serif"/>
          <w:b/>
          <w:sz w:val="20"/>
        </w:rPr>
        <w:t>Item 12. Security Ownership of Certain Beneficial Owners and Management and Related Stockholder Matters.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will be included in an amendment to this Annual Report on Form 10-K or incorporated by reference from our Proxy Statement.</w:t>
      </w:r>
    </w:p>
    <w:p>
      <w:pPr>
        <w:pStyle w:val="TextBody"/>
        <w:spacing w:before="0" w:after="240"/>
        <w:ind w:left="0" w:right="0" w:hanging="0"/>
        <w:jc w:val="both"/>
        <w:rPr>
          <w:rFonts w:ascii="Times New Roman;Times;serif" w:hAnsi="Times New Roman;Times;serif"/>
          <w:b/>
          <w:sz w:val="20"/>
        </w:rPr>
      </w:pPr>
      <w:bookmarkStart w:id="1759" w:name="Item13CertainRelationshipsandRelatedTran"/>
      <w:bookmarkStart w:id="1760" w:name="_801558e1_8421_4364_8a78_7a55891f1bad"/>
      <w:bookmarkEnd w:id="1759"/>
      <w:bookmarkEnd w:id="1760"/>
      <w:r>
        <w:rPr>
          <w:rFonts w:ascii="Times New Roman;Times;serif" w:hAnsi="Times New Roman;Times;serif"/>
          <w:b/>
          <w:sz w:val="20"/>
        </w:rPr>
        <w:t>Item 13. Certain Relationships and Related Transactions, and Director Independence.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will be included in an amendment to this Annual Report on Form 10-K or incorporated by reference from our Proxy Statement.</w:t>
      </w:r>
    </w:p>
    <w:p>
      <w:pPr>
        <w:pStyle w:val="TextBody"/>
        <w:spacing w:before="0" w:after="240"/>
        <w:ind w:left="0" w:right="0" w:hanging="0"/>
        <w:jc w:val="both"/>
        <w:rPr>
          <w:rFonts w:ascii="Times New Roman;Times;serif" w:hAnsi="Times New Roman;Times;serif"/>
          <w:b/>
          <w:sz w:val="20"/>
        </w:rPr>
      </w:pPr>
      <w:bookmarkStart w:id="1761" w:name="Item14PrincipalAccountantFeesandServices"/>
      <w:bookmarkStart w:id="1762" w:name="_0b9cabbd_de67_43d5_9e2b_c21aec6f8284"/>
      <w:bookmarkEnd w:id="1761"/>
      <w:bookmarkEnd w:id="1762"/>
      <w:r>
        <w:rPr>
          <w:rFonts w:ascii="Times New Roman;Times;serif" w:hAnsi="Times New Roman;Times;serif"/>
          <w:b/>
          <w:sz w:val="20"/>
        </w:rPr>
        <w:t>Item 14. Principal Accountant Fees and 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will be included in an amendment to this Annual Report on Form 10-K or incorporated by reference from our Proxy Statement.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763" w:name="PARTIV_459051"/>
      <w:bookmarkStart w:id="1764" w:name="_95b3ddac_3227_4cb9_a7e8_e49da4f786a4"/>
      <w:bookmarkEnd w:id="1763"/>
      <w:bookmarkEnd w:id="1764"/>
      <w:r>
        <w:rPr>
          <w:rFonts w:ascii="Times New Roman;Times;serif" w:hAnsi="Times New Roman;Times;serif"/>
          <w:b/>
          <w:sz w:val="20"/>
        </w:rPr>
        <w:t>PART IV</w:t>
      </w:r>
    </w:p>
    <w:p>
      <w:pPr>
        <w:pStyle w:val="TextBody"/>
        <w:spacing w:before="0" w:after="240"/>
        <w:ind w:left="0" w:right="0" w:hanging="0"/>
        <w:jc w:val="both"/>
        <w:rPr>
          <w:rFonts w:ascii="Times New Roman;Times;serif" w:hAnsi="Times New Roman;Times;serif"/>
          <w:b/>
          <w:sz w:val="20"/>
        </w:rPr>
      </w:pPr>
      <w:bookmarkStart w:id="1765" w:name="Item15ExhibitsFinancialStatementSchedule"/>
      <w:bookmarkEnd w:id="1765"/>
      <w:r>
        <w:rPr>
          <w:rFonts w:ascii="Times New Roman;Times;serif" w:hAnsi="Times New Roman;Times;serif"/>
          <w:b/>
          <w:sz w:val="20"/>
        </w:rPr>
        <w:t>Item 15. Exhibits, Financial Statement Schedules.</w:t>
      </w:r>
    </w:p>
    <w:tbl>
      <w:tblPr>
        <w:tblW w:w="10205" w:type="dxa"/>
        <w:jc w:val="left"/>
        <w:tblInd w:w="0" w:type="dxa"/>
        <w:tblCellMar>
          <w:top w:w="0" w:type="dxa"/>
          <w:left w:w="0" w:type="dxa"/>
          <w:bottom w:w="0" w:type="dxa"/>
          <w:right w:w="0" w:type="dxa"/>
        </w:tblCellMar>
      </w:tblPr>
      <w:tblGrid>
        <w:gridCol w:w="124"/>
        <w:gridCol w:w="236"/>
        <w:gridCol w:w="9845"/>
      </w:tblGrid>
      <w:tr>
        <w:trPr/>
        <w:tc>
          <w:tcPr>
            <w:tcW w:w="12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1.</w:t>
            </w:r>
          </w:p>
        </w:tc>
        <w:tc>
          <w:tcPr>
            <w:tcW w:w="984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Consolidated Financial Statements. For a list of the financial statements included herein, see Index to the Consolidated Financial Statements in “Item 8. Financial Statements and Supplementary Data.”</w:t>
            </w:r>
          </w:p>
        </w:tc>
      </w:tr>
    </w:tbl>
    <w:tbl>
      <w:tblPr>
        <w:tblW w:w="10205" w:type="dxa"/>
        <w:jc w:val="left"/>
        <w:tblInd w:w="0" w:type="dxa"/>
        <w:tblCellMar>
          <w:top w:w="0" w:type="dxa"/>
          <w:left w:w="0" w:type="dxa"/>
          <w:bottom w:w="0" w:type="dxa"/>
          <w:right w:w="0" w:type="dxa"/>
        </w:tblCellMar>
      </w:tblPr>
      <w:tblGrid>
        <w:gridCol w:w="124"/>
        <w:gridCol w:w="237"/>
        <w:gridCol w:w="9844"/>
      </w:tblGrid>
      <w:tr>
        <w:trPr/>
        <w:tc>
          <w:tcPr>
            <w:tcW w:w="12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2.</w:t>
            </w:r>
          </w:p>
        </w:tc>
        <w:tc>
          <w:tcPr>
            <w:tcW w:w="984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Financial Statement Schedule: All schedules have been omitted because they are not required or because the required information is given in the consolidated financial statements or notes thereto.</w:t>
            </w:r>
          </w:p>
        </w:tc>
      </w:tr>
    </w:tbl>
    <w:tbl>
      <w:tblPr>
        <w:tblW w:w="10205" w:type="dxa"/>
        <w:jc w:val="left"/>
        <w:tblInd w:w="0" w:type="dxa"/>
        <w:tblCellMar>
          <w:top w:w="0" w:type="dxa"/>
          <w:left w:w="0" w:type="dxa"/>
          <w:bottom w:w="0" w:type="dxa"/>
          <w:right w:w="0" w:type="dxa"/>
        </w:tblCellMar>
      </w:tblPr>
      <w:tblGrid>
        <w:gridCol w:w="124"/>
        <w:gridCol w:w="246"/>
        <w:gridCol w:w="9835"/>
      </w:tblGrid>
      <w:tr>
        <w:trPr/>
        <w:tc>
          <w:tcPr>
            <w:tcW w:w="12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3.</w:t>
            </w:r>
          </w:p>
        </w:tc>
        <w:tc>
          <w:tcPr>
            <w:tcW w:w="983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Exhibits: The exhibits listed in the accompanying index to exhibits are filed or incorporated by reference as part of this Annual Report on Form 10-K.</w:t>
            </w:r>
          </w:p>
        </w:tc>
      </w:tr>
    </w:tbl>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CellMar>
          <w:top w:w="0" w:type="dxa"/>
          <w:left w:w="0" w:type="dxa"/>
          <w:bottom w:w="28" w:type="dxa"/>
          <w:right w:w="0" w:type="dxa"/>
        </w:tblCellMar>
      </w:tblPr>
      <w:tblGrid>
        <w:gridCol w:w="811"/>
        <w:gridCol w:w="146"/>
        <w:gridCol w:w="2868"/>
        <w:gridCol w:w="1081"/>
        <w:gridCol w:w="397"/>
        <w:gridCol w:w="586"/>
        <w:gridCol w:w="778"/>
        <w:gridCol w:w="473"/>
        <w:gridCol w:w="571"/>
        <w:gridCol w:w="736"/>
        <w:gridCol w:w="1046"/>
        <w:gridCol w:w="712"/>
      </w:tblGrid>
      <w:tr>
        <w:trPr/>
        <w:tc>
          <w:tcPr>
            <w:tcW w:w="811" w:type="dxa"/>
            <w:vMerge w:val="restart"/>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c>
        <w:tc>
          <w:tcPr>
            <w:tcW w:w="146" w:type="dxa"/>
            <w:tcBorders>
              <w:bottom w:val="single" w:sz="2" w:space="0" w:color="FFFFFF"/>
            </w:tcBorders>
            <w:shd w:fill="auto" w:val="clear"/>
            <w:vAlign w:val="center"/>
          </w:tcPr>
          <w:p>
            <w:pPr>
              <w:pStyle w:val="TableContents"/>
              <w:spacing w:before="0" w:after="283"/>
              <w:ind w:left="0" w:right="0" w:hanging="0"/>
              <w:rPr>
                <w:sz w:val="4"/>
                <w:szCs w:val="4"/>
              </w:rPr>
            </w:pPr>
            <w:r>
              <w:rPr>
                <w:sz w:val="4"/>
                <w:szCs w:val="4"/>
              </w:rPr>
            </w:r>
          </w:p>
        </w:tc>
        <w:tc>
          <w:tcPr>
            <w:tcW w:w="2868"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p>
        </w:tc>
        <w:tc>
          <w:tcPr>
            <w:tcW w:w="1081" w:type="dxa"/>
            <w:tcBorders>
              <w:bottom w:val="single" w:sz="2" w:space="0" w:color="FFFFFF"/>
            </w:tcBorders>
            <w:shd w:fill="auto" w:val="clear"/>
            <w:vAlign w:val="center"/>
          </w:tcPr>
          <w:p>
            <w:pPr>
              <w:pStyle w:val="TableContents"/>
              <w:spacing w:before="0" w:after="0"/>
              <w:ind w:left="0" w:right="0" w:hanging="0"/>
              <w:rPr/>
            </w:pPr>
            <w:r>
              <w:rPr/>
              <w:t> </w:t>
            </w:r>
          </w:p>
        </w:tc>
        <w:tc>
          <w:tcPr>
            <w:tcW w:w="4587" w:type="dxa"/>
            <w:gridSpan w:val="7"/>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by Reference</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vMerge w:val="continue"/>
            <w:tcBorders>
              <w:bottom w:val="single" w:sz="2" w:space="0" w:color="000000"/>
            </w:tcBorders>
            <w:shd w:fill="auto" w:val="clear"/>
            <w:vAlign w:val="center"/>
          </w:tcPr>
          <w:p>
            <w:pPr>
              <w:pStyle w:val="Normal"/>
              <w:rPr/>
            </w:pPr>
            <w:r>
              <w:rPr/>
            </w:r>
          </w:p>
        </w:tc>
        <w:tc>
          <w:tcPr>
            <w:tcW w:w="146"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p>
        </w:tc>
        <w:tc>
          <w:tcPr>
            <w:tcW w:w="2868" w:type="dxa"/>
            <w:tcBorders>
              <w:bottom w:val="single" w:sz="2" w:space="0" w:color="FFFFFF"/>
            </w:tcBorders>
            <w:shd w:fill="auto" w:val="clear"/>
            <w:vAlign w:val="center"/>
          </w:tcPr>
          <w:p>
            <w:pPr>
              <w:pStyle w:val="TableContents"/>
              <w:spacing w:before="0" w:after="0"/>
              <w:ind w:left="0" w:right="0" w:hanging="0"/>
              <w:rPr/>
            </w:pPr>
            <w:r>
              <w:rPr/>
              <w:t>    </w:t>
            </w:r>
          </w:p>
        </w:tc>
        <w:tc>
          <w:tcPr>
            <w:tcW w:w="108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c>
          <w:tcPr>
            <w:tcW w:w="397" w:type="dxa"/>
            <w:tcBorders>
              <w:bottom w:val="single" w:sz="2" w:space="0" w:color="FFFFFF"/>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778" w:type="dxa"/>
            <w:tcBorders>
              <w:bottom w:val="single" w:sz="2" w:space="0" w:color="FFFFFF"/>
            </w:tcBorders>
            <w:shd w:fill="auto" w:val="clear"/>
            <w:vAlign w:val="center"/>
          </w:tcPr>
          <w:p>
            <w:pPr>
              <w:pStyle w:val="TableContents"/>
              <w:spacing w:before="0" w:after="0"/>
              <w:ind w:left="0" w:right="0" w:hanging="0"/>
              <w:rPr/>
            </w:pPr>
            <w:r>
              <w:rPr/>
              <w:t>    </w:t>
            </w:r>
          </w:p>
        </w:tc>
        <w:tc>
          <w:tcPr>
            <w:tcW w:w="473"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571" w:type="dxa"/>
            <w:tcBorders>
              <w:bottom w:val="single" w:sz="2" w:space="0" w:color="FFFFFF"/>
            </w:tcBorders>
            <w:shd w:fill="auto" w:val="clear"/>
            <w:vAlign w:val="center"/>
          </w:tcPr>
          <w:p>
            <w:pPr>
              <w:pStyle w:val="TableContents"/>
              <w:spacing w:before="0" w:after="0"/>
              <w:ind w:left="0" w:right="0" w:hanging="0"/>
              <w:rPr/>
            </w:pPr>
            <w:r>
              <w:rPr/>
              <w:t>    </w:t>
            </w:r>
          </w:p>
        </w:tc>
        <w:tc>
          <w:tcPr>
            <w:tcW w:w="736" w:type="dxa"/>
            <w:tcBorders>
              <w:top w:val="single" w:sz="2" w:space="0" w:color="000000"/>
              <w:bottom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1046" w:type="dxa"/>
            <w:tcBorders>
              <w:bottom w:val="single" w:sz="2" w:space="0" w:color="FFFFFF"/>
            </w:tcBorders>
            <w:shd w:fill="auto" w:val="clear"/>
            <w:vAlign w:val="center"/>
          </w:tcPr>
          <w:p>
            <w:pPr>
              <w:pStyle w:val="TableContents"/>
              <w:spacing w:before="0" w:after="0"/>
              <w:ind w:left="0" w:right="0" w:hanging="0"/>
              <w:rPr/>
            </w:pPr>
            <w:r>
              <w:rPr/>
              <w:t>    </w:t>
            </w:r>
          </w:p>
        </w:tc>
        <w:tc>
          <w:tcPr>
            <w:tcW w:w="712" w:type="dxa"/>
            <w:tcBorders>
              <w:top w:val="single" w:sz="2" w:space="0" w:color="000000"/>
              <w:bottom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 Date</w:t>
            </w:r>
          </w:p>
        </w:tc>
      </w:tr>
      <w:tr>
        <w:trPr/>
        <w:tc>
          <w:tcPr>
            <w:tcW w:w="811"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 </w:t>
            </w:r>
          </w:p>
        </w:tc>
        <w:tc>
          <w:tcPr>
            <w:tcW w:w="146"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 </w:t>
            </w:r>
          </w:p>
        </w:tc>
        <w:tc>
          <w:tcPr>
            <w:tcW w:w="2868"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 </w:t>
            </w:r>
          </w:p>
        </w:tc>
        <w:tc>
          <w:tcPr>
            <w:tcW w:w="1081" w:type="dxa"/>
            <w:tcBorders>
              <w:top w:val="single" w:sz="2" w:space="0" w:color="000000"/>
            </w:tcBorders>
            <w:shd w:fill="auto" w:val="clear"/>
            <w:tcMar>
              <w:top w:w="28" w:type="dxa"/>
              <w:bottom w:w="0" w:type="dxa"/>
            </w:tcMar>
            <w:vAlign w:val="center"/>
          </w:tcPr>
          <w:p>
            <w:pPr>
              <w:pStyle w:val="TableContents"/>
              <w:spacing w:before="0" w:after="283"/>
              <w:ind w:left="0" w:right="0" w:hanging="0"/>
              <w:rPr>
                <w:sz w:val="4"/>
                <w:szCs w:val="4"/>
              </w:rPr>
            </w:pPr>
            <w:r>
              <w:rPr>
                <w:sz w:val="4"/>
                <w:szCs w:val="4"/>
              </w:rPr>
            </w:r>
          </w:p>
        </w:tc>
        <w:tc>
          <w:tcPr>
            <w:tcW w:w="397"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 </w:t>
            </w:r>
          </w:p>
        </w:tc>
        <w:tc>
          <w:tcPr>
            <w:tcW w:w="586"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 </w:t>
            </w:r>
          </w:p>
        </w:tc>
        <w:tc>
          <w:tcPr>
            <w:tcW w:w="778"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 </w:t>
            </w:r>
          </w:p>
        </w:tc>
        <w:tc>
          <w:tcPr>
            <w:tcW w:w="473" w:type="dxa"/>
            <w:tcBorders/>
            <w:shd w:fill="auto" w:val="clear"/>
            <w:tcMar>
              <w:bottom w:w="0" w:type="dxa"/>
            </w:tcMar>
            <w:vAlign w:val="center"/>
          </w:tcPr>
          <w:p>
            <w:pPr>
              <w:pStyle w:val="TableContents"/>
              <w:spacing w:before="0" w:after="0"/>
              <w:ind w:left="0" w:right="0" w:hanging="0"/>
              <w:rPr/>
            </w:pPr>
            <w:r>
              <w:rPr/>
              <w:t> </w:t>
            </w:r>
          </w:p>
        </w:tc>
        <w:tc>
          <w:tcPr>
            <w:tcW w:w="571" w:type="dxa"/>
            <w:tcBorders/>
            <w:shd w:fill="auto" w:val="clear"/>
            <w:tcMar>
              <w:bottom w:w="0" w:type="dxa"/>
            </w:tcMar>
            <w:vAlign w:val="center"/>
          </w:tcPr>
          <w:p>
            <w:pPr>
              <w:pStyle w:val="TableContents"/>
              <w:spacing w:before="0" w:after="0"/>
              <w:ind w:left="0" w:right="0" w:hanging="0"/>
              <w:rPr/>
            </w:pPr>
            <w:r>
              <w:rPr/>
              <w:t> </w:t>
            </w:r>
          </w:p>
        </w:tc>
        <w:tc>
          <w:tcPr>
            <w:tcW w:w="736" w:type="dxa"/>
            <w:tcBorders/>
            <w:shd w:fill="auto" w:val="clear"/>
            <w:tcMar>
              <w:bottom w:w="0" w:type="dxa"/>
            </w:tcMar>
            <w:vAlign w:val="center"/>
          </w:tcPr>
          <w:p>
            <w:pPr>
              <w:pStyle w:val="TableContents"/>
              <w:spacing w:before="0" w:after="0"/>
              <w:ind w:left="0" w:right="0" w:hanging="0"/>
              <w:rPr/>
            </w:pPr>
            <w:r>
              <w:rPr/>
              <w:t> </w:t>
            </w:r>
          </w:p>
        </w:tc>
        <w:tc>
          <w:tcPr>
            <w:tcW w:w="1046" w:type="dxa"/>
            <w:tcBorders/>
            <w:shd w:fill="auto" w:val="clear"/>
            <w:tcMar>
              <w:bottom w:w="0" w:type="dxa"/>
            </w:tcMar>
            <w:vAlign w:val="center"/>
          </w:tcPr>
          <w:p>
            <w:pPr>
              <w:pStyle w:val="TableContents"/>
              <w:spacing w:before="0" w:after="0"/>
              <w:ind w:left="0" w:right="0" w:hanging="0"/>
              <w:rPr/>
            </w:pPr>
            <w:r>
              <w:rPr/>
              <w:t> </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Amended and Restated Certificate of Incorporation of Snail, Inc.</w:t>
              </w:r>
            </w:hyperlink>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001-41556</w:t>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November 15, 2022</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pPr>
            <w:r>
              <w:rPr/>
              <w:t> </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r>
              <w:rPr/>
              <w:t> </w:t>
            </w:r>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0"/>
              <w:ind w:left="0" w:right="0" w:hanging="0"/>
              <w:jc w:val="center"/>
              <w:rPr/>
            </w:pPr>
            <w:r>
              <w:rPr/>
              <w:t>​</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Amended and Restated Bylaws of Snail, Inc.</w:t>
              </w:r>
            </w:hyperlink>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001-41556</w:t>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November 15, 2022</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pPr>
            <w:r>
              <w:rPr/>
              <w:t> </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r>
              <w:rPr/>
              <w:t> </w:t>
            </w:r>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Form of Certificate of Class A Common Stock</w:t>
              </w:r>
            </w:hyperlink>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2022</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pPr>
            <w:r>
              <w:rPr/>
              <w:t> </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r>
              <w:rPr/>
              <w:t> </w:t>
            </w:r>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Form of Underwriters’ Warrants</w:t>
              </w:r>
            </w:hyperlink>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17, 2022</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pPr>
            <w:r>
              <w:rPr/>
              <w:t> </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r>
              <w:rPr/>
              <w:t> </w:t>
            </w:r>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hyperlink w:anchor="snal-20221231xex4d3.htm">
              <w:r>
                <w:rPr>
                  <w:rStyle w:val="InternetLink"/>
                  <w:rFonts w:ascii="Times New Roman;Times;serif" w:hAnsi="Times New Roman;Times;serif"/>
                  <w:b w:val="false"/>
                  <w:i w:val="false"/>
                  <w:caps w:val="false"/>
                  <w:smallCaps w:val="false"/>
                  <w:sz w:val="20"/>
                </w:rPr>
                <w:t>Description of the Registrant’s Securities</w:t>
              </w:r>
            </w:hyperlink>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pPr>
            <w:r>
              <w:rPr/>
              <w:t> </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r>
              <w:rPr/>
              <w:t> </w:t>
            </w:r>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hyperlink r:id="rId7">
              <w:r>
                <w:rPr>
                  <w:rStyle w:val="InternetLink"/>
                  <w:rFonts w:ascii="Times New Roman;Times;serif" w:hAnsi="Times New Roman;Times;serif"/>
                  <w:b w:val="false"/>
                  <w:i w:val="false"/>
                  <w:caps w:val="false"/>
                  <w:smallCaps w:val="false"/>
                  <w:sz w:val="20"/>
                </w:rPr>
                <w:t>Amended and Restated Exclusive Software License Agreement, effective as of January 1, 2022, by and between Snail Games USA Inc. and SDE Inc.</w:t>
              </w:r>
            </w:hyperlink>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17, 2022</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pPr>
            <w:r>
              <w:rPr/>
              <w:t>​</w:t>
            </w:r>
          </w:p>
        </w:tc>
        <w:tc>
          <w:tcPr>
            <w:tcW w:w="146" w:type="dxa"/>
            <w:tcBorders/>
            <w:shd w:fill="auto" w:val="clear"/>
            <w:tcMar>
              <w:bottom w:w="0" w:type="dxa"/>
            </w:tcMar>
            <w:vAlign w:val="center"/>
          </w:tcPr>
          <w:p>
            <w:pPr>
              <w:pStyle w:val="TableContents"/>
              <w:spacing w:before="0" w:after="0"/>
              <w:ind w:left="0" w:right="0" w:hanging="0"/>
              <w:rPr/>
            </w:pPr>
            <w:r>
              <w:rPr/>
              <w:t>​</w:t>
            </w:r>
          </w:p>
        </w:tc>
        <w:tc>
          <w:tcPr>
            <w:tcW w:w="2868" w:type="dxa"/>
            <w:tcBorders/>
            <w:shd w:fill="auto" w:val="clear"/>
            <w:tcMar>
              <w:bottom w:w="0" w:type="dxa"/>
            </w:tcMar>
            <w:vAlign w:val="center"/>
          </w:tcPr>
          <w:p>
            <w:pPr>
              <w:pStyle w:val="TableContents"/>
              <w:spacing w:before="0" w:after="0"/>
              <w:ind w:left="0" w:right="0" w:hanging="0"/>
              <w:rPr/>
            </w:pPr>
            <w:r>
              <w:rPr/>
              <w:t>​</w:t>
            </w:r>
          </w:p>
        </w:tc>
        <w:tc>
          <w:tcPr>
            <w:tcW w:w="1081" w:type="dxa"/>
            <w:tcBorders/>
            <w:shd w:fill="auto" w:val="clear"/>
            <w:tcMar>
              <w:bottom w:w="0" w:type="dxa"/>
            </w:tcMar>
            <w:vAlign w:val="center"/>
          </w:tcPr>
          <w:p>
            <w:pPr>
              <w:pStyle w:val="TableContents"/>
              <w:spacing w:before="0" w:after="0"/>
              <w:ind w:left="0" w:right="0" w:hanging="0"/>
              <w:rPr/>
            </w:pPr>
            <w:r>
              <w:rPr/>
              <w:t>​</w:t>
            </w:r>
          </w:p>
        </w:tc>
        <w:tc>
          <w:tcPr>
            <w:tcW w:w="397" w:type="dxa"/>
            <w:tcBorders/>
            <w:shd w:fill="auto" w:val="clear"/>
            <w:tcMar>
              <w:bottom w:w="0" w:type="dxa"/>
            </w:tcMar>
            <w:vAlign w:val="center"/>
          </w:tcPr>
          <w:p>
            <w:pPr>
              <w:pStyle w:val="TableContents"/>
              <w:spacing w:before="0" w:after="0"/>
              <w:ind w:left="0" w:right="0" w:hanging="0"/>
              <w:jc w:val="center"/>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778" w:type="dxa"/>
            <w:tcBorders/>
            <w:shd w:fill="auto" w:val="clear"/>
            <w:tcMar>
              <w:bottom w:w="0" w:type="dxa"/>
            </w:tcMar>
            <w:vAlign w:val="center"/>
          </w:tcPr>
          <w:p>
            <w:pPr>
              <w:pStyle w:val="TableContents"/>
              <w:spacing w:before="0" w:after="0"/>
              <w:ind w:left="0" w:right="0" w:hanging="0"/>
              <w:jc w:val="center"/>
              <w:rPr/>
            </w:pPr>
            <w:r>
              <w:rPr/>
              <w:t>​</w:t>
            </w:r>
          </w:p>
        </w:tc>
        <w:tc>
          <w:tcPr>
            <w:tcW w:w="473" w:type="dxa"/>
            <w:tcBorders/>
            <w:shd w:fill="auto" w:val="clear"/>
            <w:tcMar>
              <w:bottom w:w="0" w:type="dxa"/>
            </w:tcMar>
            <w:vAlign w:val="center"/>
          </w:tcPr>
          <w:p>
            <w:pPr>
              <w:pStyle w:val="TableContents"/>
              <w:spacing w:before="0" w:after="0"/>
              <w:ind w:left="0" w:right="0" w:hanging="0"/>
              <w:rPr/>
            </w:pPr>
            <w:r>
              <w:rPr/>
              <w:t>​</w:t>
            </w:r>
          </w:p>
        </w:tc>
        <w:tc>
          <w:tcPr>
            <w:tcW w:w="571" w:type="dxa"/>
            <w:tcBorders/>
            <w:shd w:fill="auto" w:val="clear"/>
            <w:tcMar>
              <w:bottom w:w="0" w:type="dxa"/>
            </w:tcMar>
            <w:vAlign w:val="center"/>
          </w:tcPr>
          <w:p>
            <w:pPr>
              <w:pStyle w:val="TableContents"/>
              <w:spacing w:before="0" w:after="0"/>
              <w:ind w:left="0" w:right="0" w:hanging="0"/>
              <w:jc w:val="center"/>
              <w:rPr/>
            </w:pPr>
            <w:r>
              <w:rPr/>
              <w:t>​</w:t>
            </w:r>
          </w:p>
        </w:tc>
        <w:tc>
          <w:tcPr>
            <w:tcW w:w="736" w:type="dxa"/>
            <w:tcBorders/>
            <w:shd w:fill="auto" w:val="clear"/>
            <w:tcMar>
              <w:bottom w:w="0" w:type="dxa"/>
            </w:tcMar>
            <w:vAlign w:val="center"/>
          </w:tcPr>
          <w:p>
            <w:pPr>
              <w:pStyle w:val="TableContents"/>
              <w:spacing w:before="0" w:after="0"/>
              <w:ind w:left="0" w:right="0" w:hanging="0"/>
              <w:rPr/>
            </w:pPr>
            <w:r>
              <w:rPr/>
              <w:t>​</w:t>
            </w:r>
          </w:p>
        </w:tc>
        <w:tc>
          <w:tcPr>
            <w:tcW w:w="1046" w:type="dxa"/>
            <w:tcBorders/>
            <w:shd w:fill="auto" w:val="clear"/>
            <w:tcMar>
              <w:bottom w:w="0" w:type="dxa"/>
            </w:tcMar>
            <w:vAlign w:val="center"/>
          </w:tcPr>
          <w:p>
            <w:pPr>
              <w:pStyle w:val="TableContents"/>
              <w:spacing w:before="0" w:after="0"/>
              <w:ind w:left="0" w:right="0" w:hanging="0"/>
              <w:jc w:val="center"/>
              <w:rPr/>
            </w:pPr>
            <w:r>
              <w:rPr/>
              <w:t>​</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w:t>
            </w:r>
          </w:p>
        </w:tc>
        <w:tc>
          <w:tcPr>
            <w:tcW w:w="14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8" w:type="dxa"/>
            <w:tcBorders/>
            <w:shd w:fill="auto" w:val="clear"/>
            <w:tcMar>
              <w:bottom w:w="0" w:type="dxa"/>
            </w:tcMar>
            <w:vAlign w:val="center"/>
          </w:tcPr>
          <w:p>
            <w:pPr>
              <w:pStyle w:val="TableContents"/>
              <w:spacing w:before="0" w:after="0"/>
              <w:ind w:left="0" w:right="0" w:hanging="0"/>
              <w:rPr/>
            </w:pPr>
            <w:hyperlink r:id="rId8">
              <w:r>
                <w:rPr>
                  <w:rStyle w:val="InternetLink"/>
                  <w:rFonts w:ascii="Times New Roman;Times;serif" w:hAnsi="Times New Roman;Times;serif"/>
                  <w:b w:val="false"/>
                  <w:i w:val="false"/>
                  <w:caps w:val="false"/>
                  <w:smallCaps w:val="false"/>
                  <w:sz w:val="20"/>
                </w:rPr>
                <w:t>Amendment No. 1 to Amended and Restated Exclusive Software License Agreement, effective as of December 13, 2022, by and between Snail Games USA Inc. and SDE Inc.</w:t>
              </w:r>
            </w:hyperlink>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001-41556</w:t>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15, 2022</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pPr>
            <w:r>
              <w:rPr/>
              <w:t>​</w:t>
            </w:r>
          </w:p>
        </w:tc>
        <w:tc>
          <w:tcPr>
            <w:tcW w:w="146" w:type="dxa"/>
            <w:tcBorders/>
            <w:shd w:fill="auto" w:val="clear"/>
            <w:tcMar>
              <w:bottom w:w="0" w:type="dxa"/>
            </w:tcMar>
            <w:vAlign w:val="center"/>
          </w:tcPr>
          <w:p>
            <w:pPr>
              <w:pStyle w:val="TableContents"/>
              <w:spacing w:before="0" w:after="0"/>
              <w:ind w:left="0" w:right="0" w:hanging="0"/>
              <w:rPr/>
            </w:pPr>
            <w:r>
              <w:rPr/>
              <w:t>​</w:t>
            </w:r>
          </w:p>
        </w:tc>
        <w:tc>
          <w:tcPr>
            <w:tcW w:w="2868" w:type="dxa"/>
            <w:tcBorders/>
            <w:shd w:fill="auto" w:val="clear"/>
            <w:tcMar>
              <w:bottom w:w="0" w:type="dxa"/>
            </w:tcMar>
            <w:vAlign w:val="center"/>
          </w:tcPr>
          <w:p>
            <w:pPr>
              <w:pStyle w:val="TableContents"/>
              <w:spacing w:before="0" w:after="0"/>
              <w:ind w:left="0" w:right="0" w:hanging="0"/>
              <w:rPr/>
            </w:pPr>
            <w:r>
              <w:rPr/>
              <w:t>​</w:t>
            </w:r>
          </w:p>
        </w:tc>
        <w:tc>
          <w:tcPr>
            <w:tcW w:w="1081" w:type="dxa"/>
            <w:tcBorders/>
            <w:shd w:fill="auto" w:val="clear"/>
            <w:tcMar>
              <w:bottom w:w="0" w:type="dxa"/>
            </w:tcMar>
            <w:vAlign w:val="center"/>
          </w:tcPr>
          <w:p>
            <w:pPr>
              <w:pStyle w:val="TableContents"/>
              <w:spacing w:before="0" w:after="0"/>
              <w:ind w:left="0" w:right="0" w:hanging="0"/>
              <w:rPr/>
            </w:pPr>
            <w:r>
              <w:rPr/>
              <w:t>​</w:t>
            </w:r>
          </w:p>
        </w:tc>
        <w:tc>
          <w:tcPr>
            <w:tcW w:w="397" w:type="dxa"/>
            <w:tcBorders/>
            <w:shd w:fill="auto" w:val="clear"/>
            <w:tcMar>
              <w:bottom w:w="0" w:type="dxa"/>
            </w:tcMar>
            <w:vAlign w:val="center"/>
          </w:tcPr>
          <w:p>
            <w:pPr>
              <w:pStyle w:val="TableContents"/>
              <w:spacing w:before="0" w:after="0"/>
              <w:ind w:left="0" w:right="0" w:hanging="0"/>
              <w:jc w:val="center"/>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778" w:type="dxa"/>
            <w:tcBorders/>
            <w:shd w:fill="auto" w:val="clear"/>
            <w:tcMar>
              <w:bottom w:w="0" w:type="dxa"/>
            </w:tcMar>
            <w:vAlign w:val="center"/>
          </w:tcPr>
          <w:p>
            <w:pPr>
              <w:pStyle w:val="TableContents"/>
              <w:spacing w:before="0" w:after="0"/>
              <w:ind w:left="0" w:right="0" w:hanging="0"/>
              <w:jc w:val="center"/>
              <w:rPr/>
            </w:pPr>
            <w:r>
              <w:rPr/>
              <w:t>​</w:t>
            </w:r>
          </w:p>
        </w:tc>
        <w:tc>
          <w:tcPr>
            <w:tcW w:w="473" w:type="dxa"/>
            <w:tcBorders/>
            <w:shd w:fill="auto" w:val="clear"/>
            <w:tcMar>
              <w:bottom w:w="0" w:type="dxa"/>
            </w:tcMar>
            <w:vAlign w:val="center"/>
          </w:tcPr>
          <w:p>
            <w:pPr>
              <w:pStyle w:val="TableContents"/>
              <w:spacing w:before="0" w:after="0"/>
              <w:ind w:left="0" w:right="0" w:hanging="0"/>
              <w:rPr/>
            </w:pPr>
            <w:r>
              <w:rPr/>
              <w:t>​</w:t>
            </w:r>
          </w:p>
        </w:tc>
        <w:tc>
          <w:tcPr>
            <w:tcW w:w="571" w:type="dxa"/>
            <w:tcBorders/>
            <w:shd w:fill="auto" w:val="clear"/>
            <w:tcMar>
              <w:bottom w:w="0" w:type="dxa"/>
            </w:tcMar>
            <w:vAlign w:val="center"/>
          </w:tcPr>
          <w:p>
            <w:pPr>
              <w:pStyle w:val="TableContents"/>
              <w:spacing w:before="0" w:after="0"/>
              <w:ind w:left="0" w:right="0" w:hanging="0"/>
              <w:jc w:val="center"/>
              <w:rPr/>
            </w:pPr>
            <w:r>
              <w:rPr/>
              <w:t>​</w:t>
            </w:r>
          </w:p>
        </w:tc>
        <w:tc>
          <w:tcPr>
            <w:tcW w:w="736" w:type="dxa"/>
            <w:tcBorders/>
            <w:shd w:fill="auto" w:val="clear"/>
            <w:tcMar>
              <w:bottom w:w="0" w:type="dxa"/>
            </w:tcMar>
            <w:vAlign w:val="center"/>
          </w:tcPr>
          <w:p>
            <w:pPr>
              <w:pStyle w:val="TableContents"/>
              <w:spacing w:before="0" w:after="0"/>
              <w:ind w:left="0" w:right="0" w:hanging="0"/>
              <w:rPr/>
            </w:pPr>
            <w:r>
              <w:rPr/>
              <w:t>​</w:t>
            </w:r>
          </w:p>
        </w:tc>
        <w:tc>
          <w:tcPr>
            <w:tcW w:w="1046" w:type="dxa"/>
            <w:tcBorders/>
            <w:shd w:fill="auto" w:val="clear"/>
            <w:tcMar>
              <w:bottom w:w="0" w:type="dxa"/>
            </w:tcMar>
            <w:vAlign w:val="center"/>
          </w:tcPr>
          <w:p>
            <w:pPr>
              <w:pStyle w:val="TableContents"/>
              <w:spacing w:before="0" w:after="0"/>
              <w:ind w:left="0" w:right="0" w:hanging="0"/>
              <w:jc w:val="center"/>
              <w:rPr/>
            </w:pPr>
            <w:r>
              <w:rPr/>
              <w:t>​</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hyperlink r:id="rId9">
              <w:r>
                <w:rPr>
                  <w:rStyle w:val="InternetLink"/>
                  <w:rFonts w:ascii="Times New Roman;Times;serif" w:hAnsi="Times New Roman;Times;serif"/>
                  <w:b w:val="false"/>
                  <w:i w:val="false"/>
                  <w:caps w:val="false"/>
                  <w:smallCaps w:val="false"/>
                  <w:sz w:val="20"/>
                </w:rPr>
                <w:t>Exclusive License Agreement, effective as of April 27, 2022, by and between Snail Games USA Inc. and SDE Inc.</w:t>
              </w:r>
            </w:hyperlink>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17, 2022</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pPr>
            <w:r>
              <w:rPr/>
              <w:t>​</w:t>
            </w:r>
          </w:p>
        </w:tc>
        <w:tc>
          <w:tcPr>
            <w:tcW w:w="146" w:type="dxa"/>
            <w:tcBorders/>
            <w:shd w:fill="auto" w:val="clear"/>
            <w:tcMar>
              <w:bottom w:w="0" w:type="dxa"/>
            </w:tcMar>
            <w:vAlign w:val="center"/>
          </w:tcPr>
          <w:p>
            <w:pPr>
              <w:pStyle w:val="TableContents"/>
              <w:spacing w:before="0" w:after="0"/>
              <w:ind w:left="0" w:right="0" w:hanging="0"/>
              <w:rPr/>
            </w:pPr>
            <w:r>
              <w:rPr/>
              <w:t>​</w:t>
            </w:r>
          </w:p>
        </w:tc>
        <w:tc>
          <w:tcPr>
            <w:tcW w:w="2868" w:type="dxa"/>
            <w:tcBorders/>
            <w:shd w:fill="auto" w:val="clear"/>
            <w:tcMar>
              <w:bottom w:w="0" w:type="dxa"/>
            </w:tcMar>
            <w:vAlign w:val="center"/>
          </w:tcPr>
          <w:p>
            <w:pPr>
              <w:pStyle w:val="TableContents"/>
              <w:spacing w:before="0" w:after="0"/>
              <w:ind w:left="0" w:right="0" w:hanging="0"/>
              <w:rPr/>
            </w:pPr>
            <w:r>
              <w:rPr/>
              <w:t>​</w:t>
            </w:r>
          </w:p>
        </w:tc>
        <w:tc>
          <w:tcPr>
            <w:tcW w:w="1081" w:type="dxa"/>
            <w:tcBorders/>
            <w:shd w:fill="auto" w:val="clear"/>
            <w:tcMar>
              <w:bottom w:w="0" w:type="dxa"/>
            </w:tcMar>
            <w:vAlign w:val="center"/>
          </w:tcPr>
          <w:p>
            <w:pPr>
              <w:pStyle w:val="TableContents"/>
              <w:spacing w:before="0" w:after="0"/>
              <w:ind w:left="0" w:right="0" w:hanging="0"/>
              <w:rPr/>
            </w:pPr>
            <w:r>
              <w:rPr/>
              <w:t>​</w:t>
            </w:r>
          </w:p>
        </w:tc>
        <w:tc>
          <w:tcPr>
            <w:tcW w:w="397" w:type="dxa"/>
            <w:tcBorders/>
            <w:shd w:fill="auto" w:val="clear"/>
            <w:tcMar>
              <w:bottom w:w="0" w:type="dxa"/>
            </w:tcMar>
            <w:vAlign w:val="center"/>
          </w:tcPr>
          <w:p>
            <w:pPr>
              <w:pStyle w:val="TableContents"/>
              <w:spacing w:before="0" w:after="0"/>
              <w:ind w:left="0" w:right="0" w:hanging="0"/>
              <w:jc w:val="center"/>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778" w:type="dxa"/>
            <w:tcBorders/>
            <w:shd w:fill="auto" w:val="clear"/>
            <w:tcMar>
              <w:bottom w:w="0" w:type="dxa"/>
            </w:tcMar>
            <w:vAlign w:val="center"/>
          </w:tcPr>
          <w:p>
            <w:pPr>
              <w:pStyle w:val="TableContents"/>
              <w:spacing w:before="0" w:after="0"/>
              <w:ind w:left="0" w:right="0" w:hanging="0"/>
              <w:jc w:val="center"/>
              <w:rPr/>
            </w:pPr>
            <w:r>
              <w:rPr/>
              <w:t>​</w:t>
            </w:r>
          </w:p>
        </w:tc>
        <w:tc>
          <w:tcPr>
            <w:tcW w:w="473" w:type="dxa"/>
            <w:tcBorders/>
            <w:shd w:fill="auto" w:val="clear"/>
            <w:tcMar>
              <w:bottom w:w="0" w:type="dxa"/>
            </w:tcMar>
            <w:vAlign w:val="center"/>
          </w:tcPr>
          <w:p>
            <w:pPr>
              <w:pStyle w:val="TableContents"/>
              <w:spacing w:before="0" w:after="0"/>
              <w:ind w:left="0" w:right="0" w:hanging="0"/>
              <w:rPr/>
            </w:pPr>
            <w:r>
              <w:rPr/>
              <w:t>​</w:t>
            </w:r>
          </w:p>
        </w:tc>
        <w:tc>
          <w:tcPr>
            <w:tcW w:w="571" w:type="dxa"/>
            <w:tcBorders/>
            <w:shd w:fill="auto" w:val="clear"/>
            <w:tcMar>
              <w:bottom w:w="0" w:type="dxa"/>
            </w:tcMar>
            <w:vAlign w:val="center"/>
          </w:tcPr>
          <w:p>
            <w:pPr>
              <w:pStyle w:val="TableContents"/>
              <w:spacing w:before="0" w:after="0"/>
              <w:ind w:left="0" w:right="0" w:hanging="0"/>
              <w:jc w:val="center"/>
              <w:rPr/>
            </w:pPr>
            <w:r>
              <w:rPr/>
              <w:t>​</w:t>
            </w:r>
          </w:p>
        </w:tc>
        <w:tc>
          <w:tcPr>
            <w:tcW w:w="736" w:type="dxa"/>
            <w:tcBorders/>
            <w:shd w:fill="auto" w:val="clear"/>
            <w:tcMar>
              <w:bottom w:w="0" w:type="dxa"/>
            </w:tcMar>
            <w:vAlign w:val="center"/>
          </w:tcPr>
          <w:p>
            <w:pPr>
              <w:pStyle w:val="TableContents"/>
              <w:spacing w:before="0" w:after="0"/>
              <w:ind w:left="0" w:right="0" w:hanging="0"/>
              <w:rPr/>
            </w:pPr>
            <w:r>
              <w:rPr/>
              <w:t>​</w:t>
            </w:r>
          </w:p>
        </w:tc>
        <w:tc>
          <w:tcPr>
            <w:tcW w:w="1046" w:type="dxa"/>
            <w:tcBorders/>
            <w:shd w:fill="auto" w:val="clear"/>
            <w:tcMar>
              <w:bottom w:w="0" w:type="dxa"/>
            </w:tcMar>
            <w:vAlign w:val="center"/>
          </w:tcPr>
          <w:p>
            <w:pPr>
              <w:pStyle w:val="TableContents"/>
              <w:spacing w:before="0" w:after="0"/>
              <w:ind w:left="0" w:right="0" w:hanging="0"/>
              <w:jc w:val="center"/>
              <w:rPr/>
            </w:pPr>
            <w:r>
              <w:rPr/>
              <w:t>​</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hyperlink r:id="rId10">
              <w:r>
                <w:rPr>
                  <w:rStyle w:val="InternetLink"/>
                  <w:rFonts w:ascii="Times New Roman;Times;serif" w:hAnsi="Times New Roman;Times;serif"/>
                  <w:b w:val="false"/>
                  <w:i w:val="false"/>
                  <w:caps w:val="false"/>
                  <w:smallCaps w:val="false"/>
                  <w:sz w:val="20"/>
                </w:rPr>
                <w:t>Snail, Inc. 2022 Omnibus Incentive Plan</w:t>
              </w:r>
            </w:hyperlink>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10.11</w:t>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26, 2022</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pPr>
            <w:r>
              <w:rPr/>
              <w:t>​</w:t>
            </w:r>
          </w:p>
        </w:tc>
        <w:tc>
          <w:tcPr>
            <w:tcW w:w="146" w:type="dxa"/>
            <w:tcBorders/>
            <w:shd w:fill="auto" w:val="clear"/>
            <w:tcMar>
              <w:bottom w:w="0" w:type="dxa"/>
            </w:tcMar>
            <w:vAlign w:val="center"/>
          </w:tcPr>
          <w:p>
            <w:pPr>
              <w:pStyle w:val="TableContents"/>
              <w:spacing w:before="0" w:after="0"/>
              <w:ind w:left="0" w:right="0" w:hanging="0"/>
              <w:rPr/>
            </w:pPr>
            <w:r>
              <w:rPr/>
              <w:t>​</w:t>
            </w:r>
          </w:p>
        </w:tc>
        <w:tc>
          <w:tcPr>
            <w:tcW w:w="2868" w:type="dxa"/>
            <w:tcBorders/>
            <w:shd w:fill="auto" w:val="clear"/>
            <w:tcMar>
              <w:bottom w:w="0" w:type="dxa"/>
            </w:tcMar>
            <w:vAlign w:val="center"/>
          </w:tcPr>
          <w:p>
            <w:pPr>
              <w:pStyle w:val="TableContents"/>
              <w:spacing w:before="0" w:after="0"/>
              <w:ind w:left="0" w:right="0" w:hanging="0"/>
              <w:rPr/>
            </w:pPr>
            <w:r>
              <w:rPr/>
              <w:t>​</w:t>
            </w:r>
          </w:p>
        </w:tc>
        <w:tc>
          <w:tcPr>
            <w:tcW w:w="1081" w:type="dxa"/>
            <w:tcBorders/>
            <w:shd w:fill="auto" w:val="clear"/>
            <w:tcMar>
              <w:bottom w:w="0" w:type="dxa"/>
            </w:tcMar>
            <w:vAlign w:val="center"/>
          </w:tcPr>
          <w:p>
            <w:pPr>
              <w:pStyle w:val="TableContents"/>
              <w:spacing w:before="0" w:after="0"/>
              <w:ind w:left="0" w:right="0" w:hanging="0"/>
              <w:rPr/>
            </w:pPr>
            <w:r>
              <w:rPr/>
              <w:t>​</w:t>
            </w:r>
          </w:p>
        </w:tc>
        <w:tc>
          <w:tcPr>
            <w:tcW w:w="397" w:type="dxa"/>
            <w:tcBorders/>
            <w:shd w:fill="auto" w:val="clear"/>
            <w:tcMar>
              <w:bottom w:w="0" w:type="dxa"/>
            </w:tcMar>
            <w:vAlign w:val="center"/>
          </w:tcPr>
          <w:p>
            <w:pPr>
              <w:pStyle w:val="TableContents"/>
              <w:spacing w:before="0" w:after="0"/>
              <w:ind w:left="0" w:right="0" w:hanging="0"/>
              <w:jc w:val="center"/>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778" w:type="dxa"/>
            <w:tcBorders/>
            <w:shd w:fill="auto" w:val="clear"/>
            <w:tcMar>
              <w:bottom w:w="0" w:type="dxa"/>
            </w:tcMar>
            <w:vAlign w:val="center"/>
          </w:tcPr>
          <w:p>
            <w:pPr>
              <w:pStyle w:val="TableContents"/>
              <w:spacing w:before="0" w:after="0"/>
              <w:ind w:left="0" w:right="0" w:hanging="0"/>
              <w:jc w:val="center"/>
              <w:rPr/>
            </w:pPr>
            <w:r>
              <w:rPr/>
              <w:t>​</w:t>
            </w:r>
          </w:p>
        </w:tc>
        <w:tc>
          <w:tcPr>
            <w:tcW w:w="473" w:type="dxa"/>
            <w:tcBorders/>
            <w:shd w:fill="auto" w:val="clear"/>
            <w:tcMar>
              <w:bottom w:w="0" w:type="dxa"/>
            </w:tcMar>
            <w:vAlign w:val="center"/>
          </w:tcPr>
          <w:p>
            <w:pPr>
              <w:pStyle w:val="TableContents"/>
              <w:spacing w:before="0" w:after="0"/>
              <w:ind w:left="0" w:right="0" w:hanging="0"/>
              <w:rPr/>
            </w:pPr>
            <w:r>
              <w:rPr/>
              <w:t>​</w:t>
            </w:r>
          </w:p>
        </w:tc>
        <w:tc>
          <w:tcPr>
            <w:tcW w:w="571" w:type="dxa"/>
            <w:tcBorders/>
            <w:shd w:fill="auto" w:val="clear"/>
            <w:tcMar>
              <w:bottom w:w="0" w:type="dxa"/>
            </w:tcMar>
            <w:vAlign w:val="center"/>
          </w:tcPr>
          <w:p>
            <w:pPr>
              <w:pStyle w:val="TableContents"/>
              <w:spacing w:before="0" w:after="0"/>
              <w:ind w:left="0" w:right="0" w:hanging="0"/>
              <w:jc w:val="center"/>
              <w:rPr/>
            </w:pPr>
            <w:r>
              <w:rPr/>
              <w:t>​</w:t>
            </w:r>
          </w:p>
        </w:tc>
        <w:tc>
          <w:tcPr>
            <w:tcW w:w="736" w:type="dxa"/>
            <w:tcBorders/>
            <w:shd w:fill="auto" w:val="clear"/>
            <w:tcMar>
              <w:bottom w:w="0" w:type="dxa"/>
            </w:tcMar>
            <w:vAlign w:val="center"/>
          </w:tcPr>
          <w:p>
            <w:pPr>
              <w:pStyle w:val="TableContents"/>
              <w:spacing w:before="0" w:after="0"/>
              <w:ind w:left="0" w:right="0" w:hanging="0"/>
              <w:rPr/>
            </w:pPr>
            <w:r>
              <w:rPr/>
              <w:t>​</w:t>
            </w:r>
          </w:p>
        </w:tc>
        <w:tc>
          <w:tcPr>
            <w:tcW w:w="1046" w:type="dxa"/>
            <w:tcBorders/>
            <w:shd w:fill="auto" w:val="clear"/>
            <w:tcMar>
              <w:bottom w:w="0" w:type="dxa"/>
            </w:tcMar>
            <w:vAlign w:val="center"/>
          </w:tcPr>
          <w:p>
            <w:pPr>
              <w:pStyle w:val="TableContents"/>
              <w:spacing w:before="0" w:after="0"/>
              <w:ind w:left="0" w:right="0" w:hanging="0"/>
              <w:jc w:val="center"/>
              <w:rPr/>
            </w:pPr>
            <w:r>
              <w:rPr/>
              <w:t>​</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10.5†</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hyperlink r:id="rId11">
              <w:r>
                <w:rPr>
                  <w:rStyle w:val="InternetLink"/>
                  <w:rFonts w:ascii="Times New Roman;Times;serif" w:hAnsi="Times New Roman;Times;serif"/>
                  <w:b w:val="false"/>
                  <w:i w:val="false"/>
                  <w:caps w:val="false"/>
                  <w:smallCaps w:val="false"/>
                  <w:sz w:val="20"/>
                </w:rPr>
                <w:t>Form of RSU Award Agreement (Employee) pursuant to the Snail, Inc. Omnibus Incentive Plan</w:t>
              </w:r>
            </w:hyperlink>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10.15</w:t>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17, 2022</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pPr>
            <w:r>
              <w:rPr/>
              <w:t>​</w:t>
            </w:r>
          </w:p>
        </w:tc>
        <w:tc>
          <w:tcPr>
            <w:tcW w:w="146" w:type="dxa"/>
            <w:tcBorders/>
            <w:shd w:fill="auto" w:val="clear"/>
            <w:tcMar>
              <w:bottom w:w="0" w:type="dxa"/>
            </w:tcMar>
            <w:vAlign w:val="center"/>
          </w:tcPr>
          <w:p>
            <w:pPr>
              <w:pStyle w:val="TableContents"/>
              <w:spacing w:before="0" w:after="0"/>
              <w:ind w:left="0" w:right="0" w:hanging="0"/>
              <w:rPr/>
            </w:pPr>
            <w:r>
              <w:rPr/>
              <w:t>​</w:t>
            </w:r>
          </w:p>
        </w:tc>
        <w:tc>
          <w:tcPr>
            <w:tcW w:w="2868" w:type="dxa"/>
            <w:tcBorders/>
            <w:shd w:fill="auto" w:val="clear"/>
            <w:tcMar>
              <w:bottom w:w="0" w:type="dxa"/>
            </w:tcMar>
            <w:vAlign w:val="center"/>
          </w:tcPr>
          <w:p>
            <w:pPr>
              <w:pStyle w:val="TableContents"/>
              <w:spacing w:before="0" w:after="0"/>
              <w:ind w:left="0" w:right="0" w:hanging="0"/>
              <w:rPr/>
            </w:pPr>
            <w:r>
              <w:rPr/>
              <w:t>​</w:t>
            </w:r>
          </w:p>
        </w:tc>
        <w:tc>
          <w:tcPr>
            <w:tcW w:w="1081" w:type="dxa"/>
            <w:tcBorders/>
            <w:shd w:fill="auto" w:val="clear"/>
            <w:tcMar>
              <w:bottom w:w="0" w:type="dxa"/>
            </w:tcMar>
            <w:vAlign w:val="center"/>
          </w:tcPr>
          <w:p>
            <w:pPr>
              <w:pStyle w:val="TableContents"/>
              <w:spacing w:before="0" w:after="0"/>
              <w:ind w:left="0" w:right="0" w:hanging="0"/>
              <w:rPr/>
            </w:pPr>
            <w:r>
              <w:rPr/>
              <w:t>​</w:t>
            </w:r>
          </w:p>
        </w:tc>
        <w:tc>
          <w:tcPr>
            <w:tcW w:w="397" w:type="dxa"/>
            <w:tcBorders/>
            <w:shd w:fill="auto" w:val="clear"/>
            <w:tcMar>
              <w:bottom w:w="0" w:type="dxa"/>
            </w:tcMar>
            <w:vAlign w:val="center"/>
          </w:tcPr>
          <w:p>
            <w:pPr>
              <w:pStyle w:val="TableContents"/>
              <w:spacing w:before="0" w:after="0"/>
              <w:ind w:left="0" w:right="0" w:hanging="0"/>
              <w:jc w:val="center"/>
              <w:rPr/>
            </w:pPr>
            <w:r>
              <w:rPr/>
              <w:t>​</w:t>
            </w:r>
          </w:p>
        </w:tc>
        <w:tc>
          <w:tcPr>
            <w:tcW w:w="586" w:type="dxa"/>
            <w:tcBorders/>
            <w:shd w:fill="auto" w:val="clear"/>
            <w:tcMar>
              <w:bottom w:w="0" w:type="dxa"/>
            </w:tcMar>
            <w:vAlign w:val="center"/>
          </w:tcPr>
          <w:p>
            <w:pPr>
              <w:pStyle w:val="TableContents"/>
              <w:spacing w:before="0" w:after="0"/>
              <w:ind w:left="0" w:right="0" w:hanging="0"/>
              <w:rPr/>
            </w:pPr>
            <w:r>
              <w:rPr/>
              <w:t>​</w:t>
            </w:r>
          </w:p>
        </w:tc>
        <w:tc>
          <w:tcPr>
            <w:tcW w:w="778" w:type="dxa"/>
            <w:tcBorders/>
            <w:shd w:fill="auto" w:val="clear"/>
            <w:tcMar>
              <w:bottom w:w="0" w:type="dxa"/>
            </w:tcMar>
            <w:vAlign w:val="center"/>
          </w:tcPr>
          <w:p>
            <w:pPr>
              <w:pStyle w:val="TableContents"/>
              <w:spacing w:before="0" w:after="0"/>
              <w:ind w:left="0" w:right="0" w:hanging="0"/>
              <w:jc w:val="center"/>
              <w:rPr/>
            </w:pPr>
            <w:r>
              <w:rPr/>
              <w:t>​</w:t>
            </w:r>
          </w:p>
        </w:tc>
        <w:tc>
          <w:tcPr>
            <w:tcW w:w="473" w:type="dxa"/>
            <w:tcBorders/>
            <w:shd w:fill="auto" w:val="clear"/>
            <w:tcMar>
              <w:bottom w:w="0" w:type="dxa"/>
            </w:tcMar>
            <w:vAlign w:val="center"/>
          </w:tcPr>
          <w:p>
            <w:pPr>
              <w:pStyle w:val="TableContents"/>
              <w:spacing w:before="0" w:after="0"/>
              <w:ind w:left="0" w:right="0" w:hanging="0"/>
              <w:rPr/>
            </w:pPr>
            <w:r>
              <w:rPr/>
              <w:t>​</w:t>
            </w:r>
          </w:p>
        </w:tc>
        <w:tc>
          <w:tcPr>
            <w:tcW w:w="571" w:type="dxa"/>
            <w:tcBorders/>
            <w:shd w:fill="auto" w:val="clear"/>
            <w:tcMar>
              <w:bottom w:w="0" w:type="dxa"/>
            </w:tcMar>
            <w:vAlign w:val="center"/>
          </w:tcPr>
          <w:p>
            <w:pPr>
              <w:pStyle w:val="TableContents"/>
              <w:spacing w:before="0" w:after="0"/>
              <w:ind w:left="0" w:right="0" w:hanging="0"/>
              <w:jc w:val="center"/>
              <w:rPr/>
            </w:pPr>
            <w:r>
              <w:rPr/>
              <w:t>​</w:t>
            </w:r>
          </w:p>
        </w:tc>
        <w:tc>
          <w:tcPr>
            <w:tcW w:w="736" w:type="dxa"/>
            <w:tcBorders/>
            <w:shd w:fill="auto" w:val="clear"/>
            <w:tcMar>
              <w:bottom w:w="0" w:type="dxa"/>
            </w:tcMar>
            <w:vAlign w:val="center"/>
          </w:tcPr>
          <w:p>
            <w:pPr>
              <w:pStyle w:val="TableContents"/>
              <w:spacing w:before="0" w:after="0"/>
              <w:ind w:left="0" w:right="0" w:hanging="0"/>
              <w:rPr/>
            </w:pPr>
            <w:r>
              <w:rPr/>
              <w:t>​</w:t>
            </w:r>
          </w:p>
        </w:tc>
        <w:tc>
          <w:tcPr>
            <w:tcW w:w="1046" w:type="dxa"/>
            <w:tcBorders/>
            <w:shd w:fill="auto" w:val="clear"/>
            <w:tcMar>
              <w:bottom w:w="0" w:type="dxa"/>
            </w:tcMar>
            <w:vAlign w:val="center"/>
          </w:tcPr>
          <w:p>
            <w:pPr>
              <w:pStyle w:val="TableContents"/>
              <w:spacing w:before="0" w:after="0"/>
              <w:ind w:left="0" w:right="0" w:hanging="0"/>
              <w:jc w:val="center"/>
              <w:rPr/>
            </w:pPr>
            <w:r>
              <w:rPr/>
              <w:t>​</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8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10.6†</w:t>
            </w:r>
          </w:p>
        </w:tc>
        <w:tc>
          <w:tcPr>
            <w:tcW w:w="146" w:type="dxa"/>
            <w:tcBorders/>
            <w:shd w:fill="auto" w:val="clear"/>
            <w:tcMar>
              <w:bottom w:w="0" w:type="dxa"/>
            </w:tcMar>
            <w:vAlign w:val="center"/>
          </w:tcPr>
          <w:p>
            <w:pPr>
              <w:pStyle w:val="TableContents"/>
              <w:spacing w:before="0" w:after="0"/>
              <w:ind w:left="0" w:right="0" w:hanging="0"/>
              <w:rPr/>
            </w:pPr>
            <w:r>
              <w:rPr/>
              <w:t> </w:t>
            </w:r>
          </w:p>
        </w:tc>
        <w:tc>
          <w:tcPr>
            <w:tcW w:w="2868" w:type="dxa"/>
            <w:tcBorders/>
            <w:shd w:fill="auto" w:val="clear"/>
            <w:tcMar>
              <w:bottom w:w="0" w:type="dxa"/>
            </w:tcMar>
            <w:vAlign w:val="center"/>
          </w:tcPr>
          <w:p>
            <w:pPr>
              <w:pStyle w:val="TableContents"/>
              <w:spacing w:before="0" w:after="0"/>
              <w:ind w:left="0" w:right="0" w:hanging="0"/>
              <w:rPr/>
            </w:pPr>
            <w:hyperlink r:id="rId12">
              <w:r>
                <w:rPr>
                  <w:rStyle w:val="InternetLink"/>
                  <w:rFonts w:ascii="Times New Roman;Times;serif" w:hAnsi="Times New Roman;Times;serif"/>
                  <w:b w:val="false"/>
                  <w:i w:val="false"/>
                  <w:caps w:val="false"/>
                  <w:smallCaps w:val="false"/>
                  <w:sz w:val="20"/>
                </w:rPr>
                <w:t>Form of RSU Award Agreement (Non-Employee) pursuant to the Snail, Inc. Omnibus Incentive Plan</w:t>
              </w:r>
            </w:hyperlink>
          </w:p>
        </w:tc>
        <w:tc>
          <w:tcPr>
            <w:tcW w:w="1081" w:type="dxa"/>
            <w:tcBorders/>
            <w:shd w:fill="auto" w:val="clear"/>
            <w:tcMar>
              <w:bottom w:w="0" w:type="dxa"/>
            </w:tcMar>
            <w:vAlign w:val="center"/>
          </w:tcPr>
          <w:p>
            <w:pPr>
              <w:pStyle w:val="TableContents"/>
              <w:spacing w:before="0" w:after="0"/>
              <w:ind w:left="0" w:right="0" w:hanging="0"/>
              <w:rPr/>
            </w:pPr>
            <w:r>
              <w:rPr/>
              <w:t> </w:t>
            </w:r>
          </w:p>
        </w:tc>
        <w:tc>
          <w:tcPr>
            <w:tcW w:w="397"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5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77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47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71"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10.16</w:t>
            </w:r>
          </w:p>
        </w:tc>
        <w:tc>
          <w:tcPr>
            <w:tcW w:w="7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4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17, 2022</w:t>
            </w:r>
          </w:p>
        </w:tc>
        <w:tc>
          <w:tcPr>
            <w:tcW w:w="712" w:type="dxa"/>
            <w:tcBorders/>
            <w:shd w:fill="auto" w:val="clear"/>
            <w:tcMar>
              <w:top w:w="28" w:type="dxa"/>
              <w:left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649"/>
        <w:gridCol w:w="326"/>
        <w:gridCol w:w="4909"/>
        <w:gridCol w:w="326"/>
        <w:gridCol w:w="361"/>
        <w:gridCol w:w="326"/>
        <w:gridCol w:w="848"/>
        <w:gridCol w:w="326"/>
        <w:gridCol w:w="571"/>
        <w:gridCol w:w="326"/>
        <w:gridCol w:w="1237"/>
      </w:tblGrid>
      <w:tr>
        <w:trPr/>
        <w:tc>
          <w:tcPr>
            <w:tcW w:w="64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49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848"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237" w:type="dxa"/>
            <w:tcBorders/>
            <w:shd w:fill="auto" w:val="clear"/>
            <w:vAlign w:val="center"/>
          </w:tcPr>
          <w:p>
            <w:pPr>
              <w:pStyle w:val="TableContents"/>
              <w:spacing w:before="0" w:after="283"/>
              <w:ind w:left="0" w:right="0" w:hanging="0"/>
              <w:rPr>
                <w:sz w:val="4"/>
                <w:szCs w:val="4"/>
              </w:rPr>
            </w:pPr>
            <w:r>
              <w:rPr>
                <w:sz w:val="4"/>
                <w:szCs w:val="4"/>
              </w:rPr>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10.7</w:t>
            </w:r>
          </w:p>
        </w:tc>
        <w:tc>
          <w:tcPr>
            <w:tcW w:w="326" w:type="dxa"/>
            <w:tcBorders/>
            <w:shd w:fill="auto" w:val="clear"/>
            <w:vAlign w:val="center"/>
          </w:tcPr>
          <w:p>
            <w:pPr>
              <w:pStyle w:val="TableContents"/>
              <w:spacing w:before="0" w:after="0"/>
              <w:ind w:left="0" w:right="0" w:hanging="0"/>
              <w:rPr/>
            </w:pPr>
            <w:r>
              <w:rPr/>
              <w:t>    </w:t>
            </w:r>
          </w:p>
        </w:tc>
        <w:tc>
          <w:tcPr>
            <w:tcW w:w="4909" w:type="dxa"/>
            <w:tcBorders/>
            <w:shd w:fill="auto" w:val="clear"/>
            <w:vAlign w:val="center"/>
          </w:tcPr>
          <w:p>
            <w:pPr>
              <w:pStyle w:val="TableContents"/>
              <w:spacing w:before="0" w:after="0"/>
              <w:ind w:left="0" w:right="0" w:hanging="0"/>
              <w:rPr/>
            </w:pPr>
            <w:hyperlink r:id="rId13">
              <w:r>
                <w:rPr>
                  <w:rStyle w:val="InternetLink"/>
                  <w:rFonts w:ascii="Times New Roman;Times;serif" w:hAnsi="Times New Roman;Times;serif"/>
                  <w:b w:val="false"/>
                  <w:i w:val="false"/>
                  <w:caps w:val="false"/>
                  <w:smallCaps w:val="false"/>
                  <w:sz w:val="20"/>
                </w:rPr>
                <w:t>Form of Indemnification Agreement between Snail, Inc. and Its Directors and Officers</w:t>
              </w:r>
            </w:hyperlink>
          </w:p>
        </w:tc>
        <w:tc>
          <w:tcPr>
            <w:tcW w:w="326" w:type="dxa"/>
            <w:tcBorders/>
            <w:shd w:fill="auto" w:val="clear"/>
            <w:vAlign w:val="center"/>
          </w:tcPr>
          <w:p>
            <w:pPr>
              <w:pStyle w:val="TableContents"/>
              <w:spacing w:before="0" w:after="0"/>
              <w:ind w:left="0" w:right="0" w:hanging="0"/>
              <w:rPr/>
            </w:pPr>
            <w:r>
              <w:rPr/>
              <w:t>    </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vAlign w:val="center"/>
          </w:tcPr>
          <w:p>
            <w:pPr>
              <w:pStyle w:val="TableContents"/>
              <w:spacing w:before="0" w:after="0"/>
              <w:ind w:left="0" w:right="0" w:hanging="0"/>
              <w:rPr/>
            </w:pPr>
            <w:r>
              <w:rPr/>
              <w:t>    </w:t>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shd w:fill="auto" w:val="clear"/>
            <w:vAlign w:val="center"/>
          </w:tcPr>
          <w:p>
            <w:pPr>
              <w:pStyle w:val="TableContents"/>
              <w:spacing w:before="0" w:after="0"/>
              <w:ind w:left="0" w:right="0" w:hanging="0"/>
              <w:rPr/>
            </w:pPr>
            <w:r>
              <w:rPr/>
              <w:t>    </w:t>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10.8</w:t>
            </w:r>
          </w:p>
        </w:tc>
        <w:tc>
          <w:tcPr>
            <w:tcW w:w="326" w:type="dxa"/>
            <w:tcBorders/>
            <w:shd w:fill="auto" w:val="clear"/>
            <w:vAlign w:val="center"/>
          </w:tcPr>
          <w:p>
            <w:pPr>
              <w:pStyle w:val="TableContents"/>
              <w:spacing w:before="0" w:after="0"/>
              <w:ind w:left="0" w:right="0" w:hanging="0"/>
              <w:rPr/>
            </w:pPr>
            <w:r>
              <w:rPr/>
              <w:t> </w:t>
            </w:r>
          </w:p>
        </w:tc>
        <w:tc>
          <w:tcPr>
            <w:tcW w:w="4909" w:type="dxa"/>
            <w:tcBorders/>
            <w:shd w:fill="auto" w:val="clear"/>
            <w:vAlign w:val="center"/>
          </w:tcPr>
          <w:p>
            <w:pPr>
              <w:pStyle w:val="TableContents"/>
              <w:spacing w:before="0" w:after="0"/>
              <w:ind w:left="0" w:right="0" w:hanging="0"/>
              <w:rPr/>
            </w:pPr>
            <w:hyperlink r:id="rId14">
              <w:r>
                <w:rPr>
                  <w:rStyle w:val="InternetLink"/>
                  <w:rFonts w:ascii="Times New Roman;Times;serif" w:hAnsi="Times New Roman;Times;serif"/>
                  <w:b w:val="false"/>
                  <w:i w:val="false"/>
                  <w:caps w:val="false"/>
                  <w:smallCaps w:val="false"/>
                  <w:sz w:val="20"/>
                </w:rPr>
                <w:t>Second Amended and Restated Revolving Loan and Security Agreement, dated as of January 26, 2022, by and between Snail Games USA Inc. and Cathay Bank</w:t>
              </w:r>
            </w:hyperlink>
          </w:p>
        </w:tc>
        <w:tc>
          <w:tcPr>
            <w:tcW w:w="326" w:type="dxa"/>
            <w:tcBorders/>
            <w:shd w:fill="auto" w:val="clear"/>
            <w:vAlign w:val="center"/>
          </w:tcPr>
          <w:p>
            <w:pPr>
              <w:pStyle w:val="TableContents"/>
              <w:spacing w:before="0" w:after="0"/>
              <w:ind w:left="0" w:right="0" w:hanging="0"/>
              <w:rPr/>
            </w:pPr>
            <w:r>
              <w:rPr/>
              <w:t> </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10.9</w:t>
            </w:r>
          </w:p>
        </w:tc>
        <w:tc>
          <w:tcPr>
            <w:tcW w:w="326" w:type="dxa"/>
            <w:tcBorders/>
            <w:shd w:fill="auto" w:val="clear"/>
            <w:vAlign w:val="center"/>
          </w:tcPr>
          <w:p>
            <w:pPr>
              <w:pStyle w:val="TableContents"/>
              <w:spacing w:before="0" w:after="0"/>
              <w:ind w:left="0" w:right="0" w:hanging="0"/>
              <w:rPr/>
            </w:pPr>
            <w:r>
              <w:rPr/>
              <w:t> </w:t>
            </w:r>
          </w:p>
        </w:tc>
        <w:tc>
          <w:tcPr>
            <w:tcW w:w="4909" w:type="dxa"/>
            <w:tcBorders/>
            <w:shd w:fill="auto" w:val="clear"/>
            <w:vAlign w:val="center"/>
          </w:tcPr>
          <w:p>
            <w:pPr>
              <w:pStyle w:val="TableContents"/>
              <w:spacing w:before="0" w:after="0"/>
              <w:ind w:left="0" w:right="0" w:hanging="0"/>
              <w:rPr/>
            </w:pPr>
            <w:hyperlink r:id="rId15">
              <w:r>
                <w:rPr>
                  <w:rStyle w:val="InternetLink"/>
                  <w:rFonts w:ascii="Times New Roman;Times;serif" w:hAnsi="Times New Roman;Times;serif"/>
                  <w:b w:val="false"/>
                  <w:i w:val="false"/>
                  <w:caps w:val="false"/>
                  <w:smallCaps w:val="false"/>
                  <w:sz w:val="20"/>
                </w:rPr>
                <w:t>Promissory Note, dated January 26, 2022, by and between Snail Games USA Inc. and Cathay Bank</w:t>
              </w:r>
            </w:hyperlink>
          </w:p>
        </w:tc>
        <w:tc>
          <w:tcPr>
            <w:tcW w:w="326" w:type="dxa"/>
            <w:tcBorders/>
            <w:shd w:fill="auto" w:val="clear"/>
            <w:vAlign w:val="center"/>
          </w:tcPr>
          <w:p>
            <w:pPr>
              <w:pStyle w:val="TableContents"/>
              <w:spacing w:before="0" w:after="0"/>
              <w:ind w:left="0" w:right="0" w:hanging="0"/>
              <w:rPr/>
            </w:pPr>
            <w:r>
              <w:rPr/>
              <w:t> </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10.10</w:t>
            </w:r>
          </w:p>
        </w:tc>
        <w:tc>
          <w:tcPr>
            <w:tcW w:w="326" w:type="dxa"/>
            <w:tcBorders/>
            <w:shd w:fill="auto" w:val="clear"/>
            <w:vAlign w:val="center"/>
          </w:tcPr>
          <w:p>
            <w:pPr>
              <w:pStyle w:val="TableContents"/>
              <w:spacing w:before="0" w:after="0"/>
              <w:ind w:left="0" w:right="0" w:hanging="0"/>
              <w:rPr/>
            </w:pPr>
            <w:r>
              <w:rPr/>
              <w:t> </w:t>
            </w:r>
          </w:p>
        </w:tc>
        <w:tc>
          <w:tcPr>
            <w:tcW w:w="4909" w:type="dxa"/>
            <w:tcBorders/>
            <w:shd w:fill="auto" w:val="clear"/>
            <w:vAlign w:val="center"/>
          </w:tcPr>
          <w:p>
            <w:pPr>
              <w:pStyle w:val="TableContents"/>
              <w:spacing w:before="0" w:after="0"/>
              <w:ind w:left="0" w:right="0" w:hanging="0"/>
              <w:rPr/>
            </w:pPr>
            <w:hyperlink r:id="rId16">
              <w:r>
                <w:rPr>
                  <w:rStyle w:val="InternetLink"/>
                  <w:rFonts w:ascii="Times New Roman;Times;serif" w:hAnsi="Times New Roman;Times;serif"/>
                  <w:b w:val="false"/>
                  <w:i w:val="false"/>
                  <w:caps w:val="false"/>
                  <w:smallCaps w:val="false"/>
                  <w:sz w:val="20"/>
                </w:rPr>
                <w:t>Form of Independent Director Agreement between Snail, Inc. and each of Its Independent Directors</w:t>
              </w:r>
            </w:hyperlink>
          </w:p>
        </w:tc>
        <w:tc>
          <w:tcPr>
            <w:tcW w:w="326" w:type="dxa"/>
            <w:tcBorders/>
            <w:shd w:fill="auto" w:val="clear"/>
            <w:vAlign w:val="center"/>
          </w:tcPr>
          <w:p>
            <w:pPr>
              <w:pStyle w:val="TableContents"/>
              <w:spacing w:before="0" w:after="0"/>
              <w:ind w:left="0" w:right="0" w:hanging="0"/>
              <w:rPr/>
            </w:pPr>
            <w:r>
              <w:rPr/>
              <w:t> </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10.13</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17,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10.11</w:t>
            </w:r>
          </w:p>
        </w:tc>
        <w:tc>
          <w:tcPr>
            <w:tcW w:w="326" w:type="dxa"/>
            <w:tcBorders/>
            <w:shd w:fill="auto" w:val="clear"/>
            <w:vAlign w:val="center"/>
          </w:tcPr>
          <w:p>
            <w:pPr>
              <w:pStyle w:val="TableContents"/>
              <w:spacing w:before="0" w:after="0"/>
              <w:ind w:left="0" w:right="0" w:hanging="0"/>
              <w:rPr/>
            </w:pPr>
            <w:r>
              <w:rPr/>
              <w:t> </w:t>
            </w:r>
          </w:p>
        </w:tc>
        <w:tc>
          <w:tcPr>
            <w:tcW w:w="4909" w:type="dxa"/>
            <w:tcBorders/>
            <w:shd w:fill="auto" w:val="clear"/>
            <w:vAlign w:val="center"/>
          </w:tcPr>
          <w:p>
            <w:pPr>
              <w:pStyle w:val="TableContents"/>
              <w:spacing w:before="0" w:after="0"/>
              <w:ind w:left="0" w:right="0" w:hanging="0"/>
              <w:rPr/>
            </w:pPr>
            <w:hyperlink r:id="rId17">
              <w:r>
                <w:rPr>
                  <w:rStyle w:val="InternetLink"/>
                  <w:rFonts w:ascii="Times New Roman;Times;serif" w:hAnsi="Times New Roman;Times;serif"/>
                  <w:b w:val="false"/>
                  <w:i w:val="false"/>
                  <w:caps w:val="false"/>
                  <w:smallCaps w:val="false"/>
                  <w:sz w:val="20"/>
                </w:rPr>
                <w:t>Form of Securities Exchange Agreement by and among Snail, Inc. and each Securityholder of Snail Games USA Inc.</w:t>
              </w:r>
            </w:hyperlink>
          </w:p>
        </w:tc>
        <w:tc>
          <w:tcPr>
            <w:tcW w:w="326" w:type="dxa"/>
            <w:tcBorders/>
            <w:shd w:fill="auto" w:val="clear"/>
            <w:vAlign w:val="center"/>
          </w:tcPr>
          <w:p>
            <w:pPr>
              <w:pStyle w:val="TableContents"/>
              <w:spacing w:before="0" w:after="0"/>
              <w:ind w:left="0" w:right="0" w:hanging="0"/>
              <w:rPr/>
            </w:pPr>
            <w:r>
              <w:rPr/>
              <w:t> </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10.14</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17,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10.12</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hyperlink r:id="rId18">
              <w:r>
                <w:rPr>
                  <w:rStyle w:val="InternetLink"/>
                  <w:rFonts w:ascii="Times New Roman;Times;serif" w:hAnsi="Times New Roman;Times;serif"/>
                  <w:b w:val="false"/>
                  <w:i w:val="false"/>
                  <w:caps w:val="false"/>
                  <w:smallCaps w:val="false"/>
                  <w:sz w:val="20"/>
                </w:rPr>
                <w:t>Loan Agreement, dated as of June 17, 2021, by and between Snail Games USA Inc. and Cathay Bank</w:t>
              </w:r>
            </w:hyperlink>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10.13†</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hyperlink r:id="rId19">
              <w:r>
                <w:rPr>
                  <w:rStyle w:val="InternetLink"/>
                  <w:rFonts w:ascii="Times New Roman;Times;serif" w:hAnsi="Times New Roman;Times;serif"/>
                  <w:b w:val="false"/>
                  <w:i w:val="false"/>
                  <w:caps w:val="false"/>
                  <w:smallCaps w:val="false"/>
                  <w:sz w:val="20"/>
                </w:rPr>
                <w:t>Offer Letter, dated as of August 31, 2020, between Jim S. Tsai and Snail Games USA Inc.</w:t>
              </w:r>
            </w:hyperlink>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10.14†</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hyperlink r:id="rId20">
              <w:r>
                <w:rPr>
                  <w:rStyle w:val="InternetLink"/>
                  <w:rFonts w:ascii="Times New Roman;Times;serif" w:hAnsi="Times New Roman;Times;serif"/>
                  <w:b w:val="false"/>
                  <w:i w:val="false"/>
                  <w:caps w:val="false"/>
                  <w:smallCaps w:val="false"/>
                  <w:sz w:val="20"/>
                </w:rPr>
                <w:t>Amendment, effective as of November 1, 2021, to Offer Letter between Jim S. Tsai and Snail Games USA Inc.</w:t>
              </w:r>
            </w:hyperlink>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10.15†</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hyperlink r:id="rId21">
              <w:r>
                <w:rPr>
                  <w:rStyle w:val="InternetLink"/>
                  <w:rFonts w:ascii="Times New Roman;Times;serif" w:hAnsi="Times New Roman;Times;serif"/>
                  <w:b w:val="false"/>
                  <w:i w:val="false"/>
                  <w:caps w:val="false"/>
                  <w:smallCaps w:val="false"/>
                  <w:sz w:val="20"/>
                </w:rPr>
                <w:t>Offer Letter, dated as of August 28, 2020, between Heidy Chow and Snail Games USA Inc.</w:t>
              </w:r>
            </w:hyperlink>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10.16†</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hyperlink r:id="rId22">
              <w:r>
                <w:rPr>
                  <w:rStyle w:val="InternetLink"/>
                  <w:rFonts w:ascii="Times New Roman;Times;serif" w:hAnsi="Times New Roman;Times;serif"/>
                  <w:b w:val="false"/>
                  <w:i w:val="false"/>
                  <w:caps w:val="false"/>
                  <w:smallCaps w:val="false"/>
                  <w:sz w:val="20"/>
                </w:rPr>
                <w:t>Employment Agreement, dated as of December 10, 2012, between Peter Kang and Snail Games USA Inc.</w:t>
              </w:r>
            </w:hyperlink>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10.17†</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hyperlink r:id="rId23">
              <w:r>
                <w:rPr>
                  <w:rStyle w:val="InternetLink"/>
                  <w:rFonts w:ascii="Times New Roman;Times;serif" w:hAnsi="Times New Roman;Times;serif"/>
                  <w:b w:val="false"/>
                  <w:i w:val="false"/>
                  <w:caps w:val="false"/>
                  <w:smallCaps w:val="false"/>
                  <w:sz w:val="20"/>
                </w:rPr>
                <w:t>Amendment, effective as of December 1, 2021, to Employment Agreement between Peter Kang and Snail Games USA Inc.</w:t>
              </w:r>
            </w:hyperlink>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10.18*†</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hyperlink w:anchor="snal-20221231xex10d18.htm">
              <w:r>
                <w:rPr>
                  <w:rStyle w:val="InternetLink"/>
                  <w:rFonts w:ascii="Times New Roman;Times;serif" w:hAnsi="Times New Roman;Times;serif"/>
                  <w:b w:val="false"/>
                  <w:i w:val="false"/>
                  <w:caps w:val="false"/>
                  <w:smallCaps w:val="false"/>
                  <w:sz w:val="20"/>
                </w:rPr>
                <w:t>Offer Letter, dated as of March 27, 2023, between Hai Shi and Snail Games USA Inc.</w:t>
              </w:r>
            </w:hyperlink>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10.19*</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hyperlink w:anchor="snal-20221231xex10d19.htm">
              <w:r>
                <w:rPr>
                  <w:rStyle w:val="InternetLink"/>
                  <w:rFonts w:ascii="Times New Roman;Times;serif" w:hAnsi="Times New Roman;Times;serif"/>
                  <w:b w:val="false"/>
                  <w:i w:val="false"/>
                  <w:caps w:val="false"/>
                  <w:smallCaps w:val="false"/>
                  <w:sz w:val="20"/>
                </w:rPr>
                <w:t>First Amendment to Amended and Restated Exclusive Software License Agreement, effective as of March 10, 2023, between SDE Inc. and Snail Games USA Inc.</w:t>
              </w:r>
            </w:hyperlink>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r>
        <w:trPr/>
        <w:tc>
          <w:tcPr>
            <w:tcW w:w="6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21.1</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hyperlink r:id="rId24">
              <w:r>
                <w:rPr>
                  <w:rStyle w:val="InternetLink"/>
                  <w:rFonts w:ascii="Times New Roman;Times;serif" w:hAnsi="Times New Roman;Times;serif"/>
                  <w:b w:val="false"/>
                  <w:i w:val="false"/>
                  <w:caps w:val="false"/>
                  <w:smallCaps w:val="false"/>
                  <w:sz w:val="20"/>
                </w:rPr>
                <w:t>Subsidiaries of the Registrant</w:t>
              </w:r>
            </w:hyperlink>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333-267483</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17, 2022</w:t>
            </w:r>
          </w:p>
        </w:tc>
      </w:tr>
      <w:tr>
        <w:trPr/>
        <w:tc>
          <w:tcPr>
            <w:tcW w:w="64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9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37" w:type="dxa"/>
            <w:tcBorders/>
            <w:shd w:fill="auto" w:val="clear"/>
            <w:vAlign w:val="center"/>
          </w:tcPr>
          <w:p>
            <w:pPr>
              <w:pStyle w:val="TableContents"/>
              <w:spacing w:before="0" w:after="0"/>
              <w:ind w:left="0" w:right="0" w:hanging="0"/>
              <w:jc w:val="center"/>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655"/>
        <w:gridCol w:w="326"/>
        <w:gridCol w:w="7438"/>
        <w:gridCol w:w="326"/>
        <w:gridCol w:w="109"/>
        <w:gridCol w:w="326"/>
        <w:gridCol w:w="109"/>
        <w:gridCol w:w="326"/>
        <w:gridCol w:w="109"/>
        <w:gridCol w:w="326"/>
        <w:gridCol w:w="155"/>
      </w:tblGrid>
      <w:tr>
        <w:trPr/>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23.1*</w:t>
            </w:r>
          </w:p>
        </w:tc>
        <w:tc>
          <w:tcPr>
            <w:tcW w:w="326" w:type="dxa"/>
            <w:tcBorders/>
            <w:shd w:fill="auto" w:val="clear"/>
            <w:vAlign w:val="center"/>
          </w:tcPr>
          <w:p>
            <w:pPr>
              <w:pStyle w:val="TableContents"/>
              <w:spacing w:before="0" w:after="0"/>
              <w:ind w:left="0" w:right="0" w:hanging="0"/>
              <w:rPr/>
            </w:pPr>
            <w:r>
              <w:rPr/>
              <w:t>​</w:t>
            </w:r>
          </w:p>
        </w:tc>
        <w:tc>
          <w:tcPr>
            <w:tcW w:w="7438" w:type="dxa"/>
            <w:tcBorders/>
            <w:shd w:fill="auto" w:val="clear"/>
            <w:vAlign w:val="center"/>
          </w:tcPr>
          <w:p>
            <w:pPr>
              <w:pStyle w:val="TableContents"/>
              <w:spacing w:before="0" w:after="0"/>
              <w:ind w:left="0" w:right="0" w:hanging="0"/>
              <w:rPr/>
            </w:pPr>
            <w:hyperlink w:anchor="snal-20221231xex23d1.htm">
              <w:r>
                <w:rPr>
                  <w:rStyle w:val="InternetLink"/>
                  <w:rFonts w:ascii="Times New Roman;Times;serif" w:hAnsi="Times New Roman;Times;serif"/>
                  <w:b w:val="false"/>
                  <w:i w:val="false"/>
                  <w:caps w:val="false"/>
                  <w:smallCaps w:val="false"/>
                  <w:sz w:val="20"/>
                </w:rPr>
                <w:t>Consent of BDO USA, LLP, Independent Registered Public Accounting Firm</w:t>
              </w:r>
            </w:hyperlink>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jc w:val="center"/>
              <w:rPr/>
            </w:pPr>
            <w:r>
              <w:rPr/>
              <w:t>​</w:t>
            </w:r>
          </w:p>
        </w:tc>
      </w:tr>
      <w:tr>
        <w:trPr/>
        <w:tc>
          <w:tcPr>
            <w:tcW w:w="6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4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jc w:val="center"/>
              <w:rPr/>
            </w:pPr>
            <w:r>
              <w:rPr/>
              <w:t>​</w:t>
            </w:r>
          </w:p>
        </w:tc>
      </w:tr>
      <w:tr>
        <w:trPr/>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vAlign w:val="center"/>
          </w:tcPr>
          <w:p>
            <w:pPr>
              <w:pStyle w:val="TableContents"/>
              <w:spacing w:before="0" w:after="0"/>
              <w:ind w:left="0" w:right="0" w:hanging="0"/>
              <w:rPr/>
            </w:pPr>
            <w:r>
              <w:rPr/>
              <w:t>​</w:t>
            </w:r>
          </w:p>
        </w:tc>
        <w:tc>
          <w:tcPr>
            <w:tcW w:w="7438" w:type="dxa"/>
            <w:tcBorders/>
            <w:shd w:fill="auto" w:val="clear"/>
            <w:vAlign w:val="center"/>
          </w:tcPr>
          <w:p>
            <w:pPr>
              <w:pStyle w:val="TableContents"/>
              <w:spacing w:before="0" w:after="0"/>
              <w:ind w:left="0" w:right="0" w:hanging="0"/>
              <w:rPr/>
            </w:pPr>
            <w:hyperlink w:anchor="snal-202212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jc w:val="center"/>
              <w:rPr/>
            </w:pPr>
            <w:r>
              <w:rPr/>
              <w:t>​</w:t>
            </w:r>
          </w:p>
        </w:tc>
      </w:tr>
      <w:tr>
        <w:trPr/>
        <w:tc>
          <w:tcPr>
            <w:tcW w:w="6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43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jc w:val="center"/>
              <w:rPr/>
            </w:pPr>
            <w:r>
              <w:rPr/>
              <w:t>​</w:t>
            </w:r>
          </w:p>
        </w:tc>
      </w:tr>
      <w:tr>
        <w:trPr/>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pPr>
            <w:hyperlink w:anchor="snal-202212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655"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pPr>
            <w:hyperlink w:anchor="snal-202212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655"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32.2**</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pPr>
            <w:hyperlink w:anchor="snal-202212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655"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Instance Document</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Schema Document</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Calculation Linkbase Document</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Definition Linkbase Document</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Label Linkbase Document</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283"/>
              <w:ind w:left="0" w:right="0" w:hanging="0"/>
              <w:rPr>
                <w:sz w:val="4"/>
                <w:szCs w:val="4"/>
              </w:rPr>
            </w:pPr>
            <w:r>
              <w:rPr>
                <w:sz w:val="4"/>
                <w:szCs w:val="4"/>
              </w:rPr>
            </w:r>
          </w:p>
        </w:tc>
      </w:tr>
      <w:tr>
        <w:trPr/>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vAlign w:val="center"/>
          </w:tcPr>
          <w:p>
            <w:pPr>
              <w:pStyle w:val="TableContents"/>
              <w:spacing w:before="0" w:after="0"/>
              <w:ind w:left="0" w:right="0" w:hanging="0"/>
              <w:rPr/>
            </w:pPr>
            <w:r>
              <w:rPr/>
              <w:t> </w:t>
            </w:r>
          </w:p>
        </w:tc>
        <w:tc>
          <w:tcPr>
            <w:tcW w:w="743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Presentation Linkbase Document</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tbl>
      <w:tblPr>
        <w:tblW w:w="1592" w:type="dxa"/>
        <w:jc w:val="left"/>
        <w:tblInd w:w="0" w:type="dxa"/>
        <w:tblCellMar>
          <w:top w:w="0" w:type="dxa"/>
          <w:left w:w="0" w:type="dxa"/>
          <w:bottom w:w="0" w:type="dxa"/>
          <w:right w:w="0" w:type="dxa"/>
        </w:tblCellMar>
      </w:tblPr>
      <w:tblGrid>
        <w:gridCol w:w="226"/>
        <w:gridCol w:w="1366"/>
      </w:tblGrid>
      <w:tr>
        <w:trPr/>
        <w:tc>
          <w:tcPr>
            <w:tcW w:w="22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t>
            </w:r>
          </w:p>
        </w:tc>
        <w:tc>
          <w:tcPr>
            <w:tcW w:w="136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t>
            </w:r>
          </w:p>
        </w:tc>
        <w:tc>
          <w:tcPr>
            <w:tcW w:w="995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These certifications are being furnished solely to accompany this Annual Report on Form 10-K pursuant to 18 U.S.C. Section 1350, and are not being filed for purposes of Section 18 of the Securities Exchange Act of 1934 and are not to be incorporated by reference into any filing of Snail, Inc., whether made before or after the date hereof, regardless of any general incorporation language in such filing.</w:t>
            </w:r>
          </w:p>
        </w:tc>
      </w:tr>
    </w:tbl>
    <w:tbl>
      <w:tblPr>
        <w:tblW w:w="4757" w:type="dxa"/>
        <w:jc w:val="left"/>
        <w:tblInd w:w="0" w:type="dxa"/>
        <w:tblCellMar>
          <w:top w:w="0" w:type="dxa"/>
          <w:left w:w="0" w:type="dxa"/>
          <w:bottom w:w="0" w:type="dxa"/>
          <w:right w:w="0" w:type="dxa"/>
        </w:tblCellMar>
      </w:tblPr>
      <w:tblGrid>
        <w:gridCol w:w="241"/>
        <w:gridCol w:w="4516"/>
      </w:tblGrid>
      <w:tr>
        <w:trPr/>
        <w:tc>
          <w:tcPr>
            <w:tcW w:w="241" w:type="dxa"/>
            <w:tcBorders/>
            <w:shd w:fill="auto" w:val="clear"/>
            <w:vAlign w:val="center"/>
          </w:tcPr>
          <w:p>
            <w:pPr>
              <w:pStyle w:val="TableContents"/>
              <w:spacing w:before="0" w:after="240"/>
              <w:jc w:val="both"/>
              <w:rPr/>
            </w:pPr>
            <w:r>
              <w:rPr/>
              <w:t>†</w:t>
            </w:r>
          </w:p>
        </w:tc>
        <w:tc>
          <w:tcPr>
            <w:tcW w:w="451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Indicates management contract or compensatory plan.</w:t>
            </w:r>
          </w:p>
        </w:tc>
      </w:tr>
    </w:tbl>
    <w:p>
      <w:pPr>
        <w:pStyle w:val="TextBody"/>
        <w:spacing w:before="0" w:after="240"/>
        <w:ind w:left="0" w:right="0" w:hanging="0"/>
        <w:jc w:val="both"/>
        <w:rPr>
          <w:rFonts w:ascii="Times New Roman;Times;serif" w:hAnsi="Times New Roman;Times;serif"/>
          <w:b/>
          <w:sz w:val="20"/>
        </w:rPr>
      </w:pPr>
      <w:bookmarkStart w:id="1766" w:name="Item16Form10KSummary_143102"/>
      <w:bookmarkStart w:id="1767" w:name="_67345d45_bc4e_437e_9e45_87349c9082de"/>
      <w:bookmarkEnd w:id="1766"/>
      <w:bookmarkEnd w:id="1767"/>
      <w:r>
        <w:rPr>
          <w:rFonts w:ascii="Times New Roman;Times;serif" w:hAnsi="Times New Roman;Times;serif"/>
          <w:b/>
          <w:sz w:val="20"/>
        </w:rPr>
        <w:t>Item 16. Form 10-K Summary.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768" w:name="_bde1b2dc_ee7b_4161_9b94_f9b2b79057b8"/>
      <w:bookmarkEnd w:id="1768"/>
      <w:r>
        <w:rPr>
          <w:rFonts w:ascii="Times New Roman;Times;serif" w:hAnsi="Times New Roman;Times;serif"/>
          <w:b/>
          <w:sz w:val="20"/>
        </w:rPr>
        <w:t>SIGNATURE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as amended, the Registrant has duly caused this Report to be signed on its behalf by the undersigned, thereunto duly authorized, in Culver City, California, on  March 29, 2023</w:t>
      </w:r>
      <w:r>
        <w:rPr>
          <w:rFonts w:ascii="Times New Roman;Times;serif" w:hAnsi="Times New Roman;Times;serif"/>
          <w:b/>
          <w:sz w:val="20"/>
        </w:rPr>
        <w:t>.</w:t>
      </w:r>
    </w:p>
    <w:tbl>
      <w:tblPr>
        <w:tblW w:w="4799" w:type="dxa"/>
        <w:jc w:val="left"/>
        <w:tblInd w:w="0" w:type="dxa"/>
        <w:tblCellMar>
          <w:top w:w="0" w:type="dxa"/>
          <w:left w:w="0" w:type="dxa"/>
          <w:bottom w:w="0" w:type="dxa"/>
          <w:right w:w="0" w:type="dxa"/>
        </w:tblCellMar>
      </w:tblPr>
      <w:tblGrid>
        <w:gridCol w:w="1891"/>
        <w:gridCol w:w="326"/>
        <w:gridCol w:w="406"/>
        <w:gridCol w:w="2176"/>
      </w:tblGrid>
      <w:tr>
        <w:trPr/>
        <w:tc>
          <w:tcPr>
            <w:tcW w:w="189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2582"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Snail, Inc.</w:t>
            </w:r>
          </w:p>
        </w:tc>
      </w:tr>
      <w:tr>
        <w:trPr/>
        <w:tc>
          <w:tcPr>
            <w:tcW w:w="189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2176" w:type="dxa"/>
            <w:tcBorders/>
            <w:shd w:fill="auto" w:val="clear"/>
            <w:vAlign w:val="center"/>
          </w:tcPr>
          <w:p>
            <w:pPr>
              <w:pStyle w:val="TableContents"/>
              <w:spacing w:before="0" w:after="0"/>
              <w:ind w:left="0" w:right="0" w:hanging="0"/>
              <w:rPr/>
            </w:pPr>
            <w:r>
              <w:rPr/>
              <w:t> </w:t>
            </w:r>
          </w:p>
        </w:tc>
      </w:tr>
      <w:tr>
        <w:trPr/>
        <w:tc>
          <w:tcPr>
            <w:tcW w:w="1891"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March 29, 2023</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406"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1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Jim S. Tsai</w:t>
            </w:r>
          </w:p>
        </w:tc>
      </w:tr>
      <w:tr>
        <w:trPr/>
        <w:tc>
          <w:tcPr>
            <w:tcW w:w="189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21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Jim S. Tsai</w:t>
            </w:r>
          </w:p>
        </w:tc>
      </w:tr>
      <w:tr>
        <w:trPr/>
        <w:tc>
          <w:tcPr>
            <w:tcW w:w="189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21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Chief Executive Officer </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this Report has been signed below by the following persons on behalf of the Registrant in the capacities and on the dates indicated.</w:t>
      </w:r>
    </w:p>
    <w:tbl>
      <w:tblPr>
        <w:tblW w:w="8695" w:type="dxa"/>
        <w:jc w:val="left"/>
        <w:tblInd w:w="0" w:type="dxa"/>
        <w:tblCellMar>
          <w:top w:w="0" w:type="dxa"/>
          <w:left w:w="0" w:type="dxa"/>
          <w:bottom w:w="0" w:type="dxa"/>
          <w:right w:w="0" w:type="dxa"/>
        </w:tblCellMar>
      </w:tblPr>
      <w:tblGrid>
        <w:gridCol w:w="1726"/>
        <w:gridCol w:w="326"/>
        <w:gridCol w:w="4876"/>
        <w:gridCol w:w="326"/>
        <w:gridCol w:w="1441"/>
      </w:tblGrid>
      <w:tr>
        <w:trPr/>
        <w:tc>
          <w:tcPr>
            <w:tcW w:w="1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096010" cy="29210"/>
                      <wp:effectExtent l="0" t="0" r="0" b="0"/>
                      <wp:wrapNone/>
                      <wp:docPr id="348" name="Frame347"/>
                      <a:graphic xmlns:a="http://schemas.openxmlformats.org/drawingml/2006/main">
                        <a:graphicData uri="http://schemas.microsoft.com/office/word/2010/wordprocessingShape">
                          <wps:wsp>
                            <wps:cNvSpPr txBox="1"/>
                            <wps:spPr>
                              <a:xfrm>
                                <a:off x="0" y="0"/>
                                <a:ext cx="1096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29210"/>
                      <wp:effectExtent l="0" t="0" r="0" b="0"/>
                      <wp:wrapNone/>
                      <wp:docPr id="349" name="Frame348"/>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8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096260" cy="29210"/>
                      <wp:effectExtent l="0" t="0" r="0" b="0"/>
                      <wp:wrapNone/>
                      <wp:docPr id="350" name="Frame349"/>
                      <a:graphic xmlns:a="http://schemas.openxmlformats.org/drawingml/2006/main">
                        <a:graphicData uri="http://schemas.microsoft.com/office/word/2010/wordprocessingShape">
                          <wps:wsp>
                            <wps:cNvSpPr txBox="1"/>
                            <wps:spPr>
                              <a:xfrm>
                                <a:off x="0" y="0"/>
                                <a:ext cx="30962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29210"/>
                      <wp:effectExtent l="0" t="0" r="0" b="0"/>
                      <wp:wrapNone/>
                      <wp:docPr id="351" name="Frame350"/>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915035" cy="29210"/>
                      <wp:effectExtent l="0" t="0" r="0" b="0"/>
                      <wp:wrapNone/>
                      <wp:docPr id="352" name="Frame351"/>
                      <a:graphic xmlns:a="http://schemas.openxmlformats.org/drawingml/2006/main">
                        <a:graphicData uri="http://schemas.microsoft.com/office/word/2010/wordprocessingShape">
                          <wps:wsp>
                            <wps:cNvSpPr txBox="1"/>
                            <wps:spPr>
                              <a:xfrm>
                                <a:off x="0" y="0"/>
                                <a:ext cx="9150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7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jc w:val="center"/>
              <w:rPr/>
            </w:pPr>
            <w:r>
              <w:rPr/>
              <w:t>    </w:t>
            </w:r>
          </w:p>
        </w:tc>
        <w:tc>
          <w:tcPr>
            <w:tcW w:w="48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jc w:val="center"/>
              <w:rPr/>
            </w:pPr>
            <w:r>
              <w:rPr/>
              <w:t>    </w:t>
            </w:r>
          </w:p>
        </w:tc>
        <w:tc>
          <w:tcPr>
            <w:tcW w:w="14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1726"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487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r>
      <w:tr>
        <w:trPr/>
        <w:tc>
          <w:tcPr>
            <w:tcW w:w="17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Jim S. Tsai</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4876"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 and Director</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1441"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29, 2023</w:t>
            </w:r>
          </w:p>
        </w:tc>
      </w:tr>
      <w:tr>
        <w:trPr/>
        <w:tc>
          <w:tcPr>
            <w:tcW w:w="172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Jim S. Tsai</w:t>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(Principle Executive Officer)</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Heidy Chow</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4876"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 and Director</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1441"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29, 2023</w:t>
            </w:r>
          </w:p>
        </w:tc>
      </w:tr>
      <w:tr>
        <w:trPr/>
        <w:tc>
          <w:tcPr>
            <w:tcW w:w="172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Heidy Chow</w:t>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and Accounting Officer)</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Hai Shi</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4876"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Founder, Chief Strategy Officer and Chairman of the Board</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1441"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29, 2023</w:t>
            </w:r>
          </w:p>
        </w:tc>
      </w:tr>
      <w:tr>
        <w:trPr/>
        <w:tc>
          <w:tcPr>
            <w:tcW w:w="172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Hai Shi</w:t>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Peter Kang</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4876"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Operating Officer and Director </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1441"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29, 2023</w:t>
            </w:r>
          </w:p>
        </w:tc>
      </w:tr>
      <w:tr>
        <w:trPr/>
        <w:tc>
          <w:tcPr>
            <w:tcW w:w="172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Peter Kang</w:t>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Ying Zhou</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4876"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1441"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29, 2023</w:t>
            </w:r>
          </w:p>
        </w:tc>
      </w:tr>
      <w:tr>
        <w:trPr/>
        <w:tc>
          <w:tcPr>
            <w:tcW w:w="172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Ying Zhou</w:t>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Neil Foster</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4876"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1441"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29, 2023</w:t>
            </w:r>
          </w:p>
        </w:tc>
      </w:tr>
      <w:tr>
        <w:trPr/>
        <w:tc>
          <w:tcPr>
            <w:tcW w:w="172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Neil Foster</w:t>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Sandra Pundman</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4876"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bottom w:val="single" w:sz="2" w:space="0" w:color="FFFFFF"/>
            </w:tcBorders>
            <w:shd w:fill="auto" w:val="clear"/>
            <w:tcMar>
              <w:bottom w:w="28" w:type="dxa"/>
            </w:tcMar>
            <w:vAlign w:val="center"/>
          </w:tcPr>
          <w:p>
            <w:pPr>
              <w:pStyle w:val="TableContents"/>
              <w:spacing w:before="0" w:after="0"/>
              <w:ind w:left="0" w:right="0" w:hanging="0"/>
              <w:rPr/>
            </w:pPr>
            <w:r>
              <w:rPr/>
              <w:t> </w:t>
            </w:r>
          </w:p>
        </w:tc>
        <w:tc>
          <w:tcPr>
            <w:tcW w:w="1441" w:type="dxa"/>
            <w:tcBorders>
              <w:bottom w:val="single" w:sz="2" w:space="0" w:color="FFFFFF"/>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29, 2023</w:t>
            </w:r>
          </w:p>
        </w:tc>
      </w:tr>
      <w:tr>
        <w:trPr/>
        <w:tc>
          <w:tcPr>
            <w:tcW w:w="172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Sandra Pundman</w:t>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r>
        <w:trPr/>
        <w:tc>
          <w:tcPr>
            <w:tcW w:w="17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 </w:t>
            </w:r>
          </w:p>
        </w:tc>
        <w:tc>
          <w:tcPr>
            <w:tcW w:w="4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r>
        <w:br w:type="page"/>
      </w:r>
    </w:p>
    <w:p>
      <w:pPr>
        <w:pStyle w:val="TextBody"/>
        <w:spacing w:before="0" w:after="240"/>
        <w:ind w:left="0" w:right="0" w:hanging="0"/>
        <w:jc w:val="right"/>
        <w:rPr>
          <w:rFonts w:ascii="Times New Roman;Times;serif" w:hAnsi="Times New Roman;Times;serif"/>
          <w:b/>
          <w:sz w:val="22"/>
        </w:rPr>
      </w:pPr>
      <w:bookmarkStart w:id="1769" w:name="snal-20221231xex4d3.htm"/>
      <w:bookmarkStart w:id="1770" w:name="kssnal20221231xex4d3"/>
      <w:bookmarkEnd w:id="1769"/>
      <w:bookmarkEnd w:id="1770"/>
      <w:r>
        <w:rPr>
          <w:rFonts w:ascii="Times New Roman;Times;serif" w:hAnsi="Times New Roman;Times;serif"/>
          <w:b/>
          <w:sz w:val="22"/>
        </w:rPr>
        <w:t>Exhibit 4.3</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DESCRIPTION OF SECURITIES REGISTERED PURSUANT TO SECTION 12 OF THE </w:t>
        <w:br/>
        <w:t>SECURITIES EXCHANGE ACT OF 1934, AS AMENDED</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these documents is filed with the SEC as exhibits to our Annual Report on Form 10-K of which this Exhibit is a part.</w:t>
      </w:r>
    </w:p>
    <w:p>
      <w:pPr>
        <w:pStyle w:val="TextBody"/>
        <w:spacing w:before="0" w:after="0"/>
        <w:ind w:left="0" w:right="0" w:firstLine="40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General</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Our authorized capital stock consist of 700,000,000 shares, all with a par value of $0.0001 per share, of which:</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500,000,000 shares are Class A common stock;</w:t>
      </w:r>
    </w:p>
    <w:p>
      <w:pPr>
        <w:pStyle w:val="TextBody"/>
        <w:spacing w:before="0" w:after="0"/>
        <w:ind w:left="0" w:right="0" w:firstLine="45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100,000,000 shares are Class B common stock; and</w:t>
      </w:r>
    </w:p>
    <w:p>
      <w:pPr>
        <w:pStyle w:val="TextBody"/>
        <w:spacing w:before="0" w:after="0"/>
        <w:ind w:left="0" w:right="0" w:firstLine="45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100,000,000 shares are preferred stock.</w:t>
      </w:r>
    </w:p>
    <w:p>
      <w:pPr>
        <w:pStyle w:val="TextBody"/>
        <w:spacing w:before="0" w:after="0"/>
        <w:ind w:left="0" w:right="0" w:firstLine="40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Class A Common Stock</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The holders of our Class A common stock are entitled to one vote per share on all matters to be voted upon by the stockholders.</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Dividend rights.</w:t>
      </w:r>
      <w:r>
        <w:rPr>
          <w:rFonts w:ascii="Times New Roman;Times;serif" w:hAnsi="Times New Roman;Times;serif"/>
          <w:sz w:val="20"/>
        </w:rPr>
        <w:t>   Subject to preferences that may be applicable to any outstanding preferred stock, the holders of our Class A common stock are entitled to receive ratably such dividends, if any, as may be declared from time to time by the board of directors out of funds legally available therefor.</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Rights upon liquidation.</w:t>
      </w:r>
      <w:r>
        <w:rPr>
          <w:rFonts w:ascii="Times New Roman;Times;serif" w:hAnsi="Times New Roman;Times;serif"/>
          <w:sz w:val="20"/>
        </w:rPr>
        <w:t>   In the event of liquidation, dissolution or winding up of , the holders of our Class A common stock are entitled to share ratably in all assets remaining after payment of liabilities, subject to prior distribution rights of preferred stock, if any, then outstanding.</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Other rights.</w:t>
      </w:r>
      <w:r>
        <w:rPr>
          <w:rFonts w:ascii="Times New Roman;Times;serif" w:hAnsi="Times New Roman;Times;serif"/>
          <w:sz w:val="20"/>
        </w:rPr>
        <w:t>   The holders of our Class A common stock have no preemptive or conversion rights or other subscription rights. There are no redemption or sinking fund provisions applicable to the common stock.</w:t>
      </w:r>
    </w:p>
    <w:p>
      <w:pPr>
        <w:pStyle w:val="TextBody"/>
        <w:spacing w:before="0" w:after="0"/>
        <w:ind w:left="0" w:right="0" w:firstLine="40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Class B Common Stock</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The holders of our Class B common stock are entitled to ten votes per share on all matters to be voted upon by the stockholders. The holders of our Class A common stock and Class B common stock will vote together as a single class except with respect to voting for (1) a conversion event of Class B common stock to Class A common stock; (2) issuances of additional shares of Class B common stock; and (3) dividends, distributions, certain change of control transactions and subdivisions or combinations of outstanding shares of common stock in which shares of Class A common stock and shares of Class B common stock would be treated differently.</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Dividend rights.</w:t>
      </w:r>
      <w:r>
        <w:rPr>
          <w:rFonts w:ascii="Times New Roman;Times;serif" w:hAnsi="Times New Roman;Times;serif"/>
          <w:sz w:val="20"/>
        </w:rPr>
        <w:t>   Subject to preferences that may be applicable to any outstanding preferred stock, the holders of our Class B common stock are entitled to receive ratably such dividends, if any, as may be declared from time to time by the board of directors out of funds legally available therefor.</w:t>
      </w:r>
    </w:p>
    <w:p>
      <w:pPr>
        <w:pStyle w:val="TextBody"/>
        <w:spacing w:before="0" w:after="0"/>
        <w:ind w:left="0" w:right="0" w:hanging="0"/>
        <w:jc w:val="both"/>
        <w:rPr/>
      </w:pPr>
      <w:r>
        <w:rPr/>
        <w:t>​</w:t>
      </w:r>
    </w:p>
    <w:p>
      <w:pPr>
        <w:pStyle w:val="TextBody"/>
        <w:spacing w:before="0" w:after="0"/>
        <w:ind w:left="0" w:right="0" w:hanging="0"/>
        <w:rPr/>
      </w:pPr>
      <w:r>
        <w:rPr/>
        <w:t>​</w:t>
      </w:r>
    </w:p>
    <w:p>
      <w:pPr>
        <w:pStyle w:val="HorizontalLine"/>
        <w:rPr/>
      </w:pPr>
      <w:r>
        <w:rPr/>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Rights upon liquidation.</w:t>
      </w:r>
      <w:r>
        <w:rPr>
          <w:rFonts w:ascii="Times New Roman;Times;serif" w:hAnsi="Times New Roman;Times;serif"/>
          <w:sz w:val="20"/>
        </w:rPr>
        <w:t>   In the event of liquidation, dissolution or winding up of the company, the holders of our Class B common stock are entitled to share ratably in all assets remaining after payment of liabilities, subject to prior distribution rights of preferred stock, if any, then outstanding.</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Conversion of Class B Common Stock.</w:t>
      </w:r>
      <w:r>
        <w:rPr>
          <w:rFonts w:ascii="Times New Roman;Times;serif" w:hAnsi="Times New Roman;Times;serif"/>
          <w:sz w:val="20"/>
        </w:rPr>
        <w:t>   Each share of Class B common stock is convertible at any time at the option of the holder into one share of Class A common stock. Shares of Class B common stock will automatically convert into shares of Class A common stock upon sale or transfer except for certain permitted transfers described in our amended and restated certificate of incorporation, including transfers effected for estate planning or other transfers among our founders, their family members and certain of their related entities. In addition, each share of Class B common stock held by a stockholder who is a natural person, or held by permitted transferees or permitted entities of such natural person (each as described in our amended and restated certificate of incorporation) will automatically convert into shares of Class A common stock following the death or disability (as such term is defined in our amended and restated certificate of incorporation) of such natural person.</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Each outstanding share of Class B common stock will convert automatically into one share of Class A common stock upon the earliest of (i) the date and time specified by the affirmative vote of holders of Class B common stock representing not less than a majority of the voting power of the then outstanding shares of Class B common stock, voting separately as a class, or (ii) the date on which the number of then-outstanding shares of Class B common stock represents less than 5% of the voting power of the outstanding shares of Class A and Class B common stock, taken together as a single class.</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i/>
          <w:sz w:val="20"/>
        </w:rPr>
        <w:t>Other rights.</w:t>
      </w:r>
      <w:r>
        <w:rPr>
          <w:rFonts w:ascii="Times New Roman;Times;serif" w:hAnsi="Times New Roman;Times;serif"/>
          <w:sz w:val="20"/>
        </w:rPr>
        <w:t>   The holders of our common stock have no preemptive or conversion rights or other subscription rights. There are no redemption or sinking fund provisions applicable to the common stock.</w:t>
      </w:r>
    </w:p>
    <w:p>
      <w:pPr>
        <w:pStyle w:val="TextBody"/>
        <w:spacing w:before="0" w:after="0"/>
        <w:ind w:left="0" w:right="0" w:firstLine="40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Preferred Stock</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There are no shares of preferred stock outstanding, and we have no present plans to issue any shares of preferred stock.</w:t>
      </w:r>
    </w:p>
    <w:p>
      <w:pPr>
        <w:pStyle w:val="TextBody"/>
        <w:spacing w:before="0" w:after="0"/>
        <w:ind w:left="0" w:right="0" w:firstLine="40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Underwriters’ Warrants</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our initial public offering (“IPO”), we issued to the underwriters or their permitted assignees or designees the Underwriters’ Warrants to purchase shares of our Class A common stock in an amount equal to 120,000 shares of Class A common stock. The Underwriters’ Warrants may be exercised at a price per share equal to $6.25. The shares of Class A common stock underlying the Underwriters’ Warrants may be purchased via cashless exercise. The Underwriters’ Warrants are exercisable for three years from November 9, 2022 and terminate on the third anniversary of November 9, 2022. The Underwriters’ Warrants contain customary “demand” and “piggy-back” registration rights. For a period of five (5) years following the date of commencement of our IPO, holders of the Underwriters’ Warrants may demand registration of the Class A common stock issuable upon exercise of the warrants on up to two occasions. For a period of three (3) years, following the expiration of the Lock-Up Period (defined below), holders of the Underwriters’ Warrants may exercise their “piggy-back” registration rights in certain circumstances. The Underwriters’ Warrants and the underlying shares are deemed compensation by FINRA, and therefore are subject to FINRA Rule 5110(e)(1). In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accordance with FINRA Rule 5110(e)(1), and except as otherwise permitted by FINRA rules, neither the Underwriters’ Warrants nor any of our shares issued upon exercise of the Underwriters’ Warrants may be exercised, sold, transferred, assigned, pledged or hypothecated, or be the subject of any hedging, short sale, derivative, put or call transaction that would result in the effective economic disposition of such securities by any person, for a period of 180 days immediately following November 9, 2022. The issuance of the Underwriters’ Warrants and the underlying shares of Class A common stock that are issuable upon full exercise of the Underwriters’ Warrants are registered.</w:t>
      </w:r>
    </w:p>
    <w:p>
      <w:pPr>
        <w:pStyle w:val="TextBody"/>
        <w:spacing w:before="0" w:after="0"/>
        <w:ind w:left="0" w:right="0" w:firstLine="40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Anti-Takeover Provisions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Certificate of Incorporation and Bylaws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Voting Matters; Requirements for Advanced Notification</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Because our stockholders do not have cumulative voting rights, our stockholders holding a majority of the voting power of our shares of common stock outstanding will be able to elect all of our directors. Our amended and restated certificate of incorporation and amended and restated bylaws provide that from and after the time the company ceases to be a “controlled company” under the rules of Nasdaq, all stockholder actions must be effected at a duly called meeting of stockholders and not by consent in writing. Further, a special meeting of stockholders may be called only by a majority of our board of directors, the chair of our board of directors, our chief executive officer or, so long as the company qualifies as a “controlled company,” by the affirmative vote of at least fifty percent (50%) of the voting power of all of the then outstanding shares of voting stock, voting as a single class. Our amended and restated certificate of incorporation and our amended and restated bylaws prohibit the conduct of any business at a special meeting other than as specified in the notice for such meeting. In addition, any stockholder who wishes to bring business before an annual meeting or nominate directors must comply with the advance notice requirements set forth in the amended and restated bylaws.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Approval for Amendment of Certificate of Incorporation and Bylaws</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Our amended and restated certificate of incorporation further provides that from and after the time the company ceases to be a “controlled company” under the rules of Nasdaq, the affirmative vote of holders of at least sixty-six and two-thirds percent (66-2/3%) of the voting power of all of the then outstanding shares of voting stock, voting as a single class, will be required to amend certain provisions of our amended and restated certificate of incorporation, including provisions relating to the size of the board, removal of directors, special meetings, actions by written consent and cumulative voting, and the affirmative vote of holders of at least sixty-six and two-thirds percent (66-2/3%) of the voting power of all of the then outstanding shares of voting stock, voting as a single class, will be required to amend or repeal our amended and restated bylaws, although our amended and restated bylaws may be amended by a simple majority vote of our board of directors. For so long as the company remains a “controlled company” under the rules of Nasdaq, the affirmative vote of holders of at least fifty percent (50%) of the voting power of all of the then outstanding shares of voting stock, voting as a single class, are required to amend the provisions of our amended and restated certificate of incorporation and our amended and restated bylaws.</w:t>
      </w:r>
    </w:p>
    <w:p>
      <w:pPr>
        <w:pStyle w:val="TextBody"/>
        <w:spacing w:before="0" w:after="0"/>
        <w:ind w:left="0" w:right="0" w:firstLine="40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Classified Board</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Our amended and restated certificate of incorporation further provides that all of our directors shall be elected annually at the annual meeting of the stockholders until the first date on which either (1) Mr. Hai Shi and Ms. Ying Zhou and their respective affiliates no longer hold more than 50% of the voting power of our outstanding shares of common stock or (2) we no longer qualify as a “controlled company” under the Nasdaq rules in effect, at which time our board of directors will be divided into three classes, Class I, Class II and Class III, with each class serving staggered terms, and will give our board of directors the exclusive right to expand the size of our board of directors and to elect directors to fill a</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vacancy created by the expansion of the board of directors or the resignation, death or removal of a director.</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foregoing provisions makes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fights. However, these provisions could have the effect of discouraging others from making tender offers for our shares and may have the effect of deterring hostile takeovers or delaying changes in control of the company or our management. As a consequence, these provisions also may inhibit fluctuations in the market price of our stock that could result from actual or rumored takeover attempts.</w:t>
      </w:r>
    </w:p>
    <w:p>
      <w:pPr>
        <w:pStyle w:val="TextBody"/>
        <w:spacing w:before="0" w:after="0"/>
        <w:ind w:left="0" w:right="0" w:firstLine="400"/>
        <w:jc w:val="both"/>
        <w:rPr/>
      </w:pPr>
      <w:r>
        <w:rPr/>
        <w:t>​</w:t>
      </w:r>
    </w:p>
    <w:p>
      <w:pPr>
        <w:pStyle w:val="TextBody"/>
        <w:spacing w:before="0" w:after="0"/>
        <w:ind w:left="0" w:right="0" w:hanging="0"/>
        <w:jc w:val="both"/>
        <w:rPr>
          <w:rFonts w:ascii="Times New Roman;Times;serif" w:hAnsi="Times New Roman;Times;serif"/>
          <w:i/>
          <w:sz w:val="20"/>
        </w:rPr>
      </w:pPr>
      <w:r>
        <w:rPr>
          <w:rFonts w:ascii="Times New Roman;Times;serif" w:hAnsi="Times New Roman;Times;serif"/>
          <w:i/>
          <w:sz w:val="20"/>
        </w:rPr>
        <w:t>Exclusive Forum</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Our amended and restated certificate of incorporation provides that the sole and exclusive forum for (1) any derivative action or proceeding brought on our behalf, (2) any action asserting a claim of breach of a fiduciary duty owed by any of our current or former directors, officers or other employees to us or our stockholders, (3) any action asserting a claim against us or any current or former director, officer or other employee of us arising out of or pursuant to any provision of the Delaware General Corporation Law (the “DGCL”), our amended and restated certificate of incorporation or our amended and restated bylaws, (4) any action to interpret, apply, enforce, or determine the validity of our amended and restated certificate of incorporation or our amended and restated bylaws, (5) any claim or cause of action as to which the DGCL confers jurisdiction on the Court of Chancery of the State of Delaware and (6) any other action asserting a claim that is governed by the internal affairs doctrine shall be a state or federal court located within the State of Delaware, in all cases subject to the court having jurisdiction over indispensable parties named as defendants. However, this exclusive forum provision would not apply to suits brought to enforce a duty or liability created by the Securities Act, the Exchange Act or any claim for which the federal district courts of the United States have exclusive jurisdiction.</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our amended and restated certificate of incorporation provides that, unless we consent in writing to the selection of an alternative forum, the federal district courts of the United States will be the exclusive forum for resolving any complaint asserting a cause of action arising under the Securities Act. However, this exclusive forum provision would not apply to suits brought to enforce a duty or liability created by the Exchange Act or any claim for which the federal district courts of the United States have exclusive jurisdiction.</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Any person or entity purchasing or otherwise acquiring any interest in our capital stock shall be deemed to have notice of and consented to these provisions and will not be deemed to have waived our compliance with the federal securities laws and the regulations promulgated thereunder. Although we believe these provisions benefit us by providing increased consistency in the application of Delaware law or federal law for the specified types of actions and proceedings, these provisions may have the effect of discouraging lawsuits against us or our directors and officers.</w:t>
      </w:r>
    </w:p>
    <w:p>
      <w:pPr>
        <w:pStyle w:val="TextBody"/>
        <w:spacing w:before="0" w:after="0"/>
        <w:ind w:left="0" w:right="0" w:firstLine="400"/>
        <w:jc w:val="both"/>
        <w:rPr/>
      </w:pPr>
      <w:r>
        <w:rPr/>
        <w:t>​</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Section 203 of the Delaware General Corporation Law</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before such date, our board of directors approved either the business combination or the transaction that resulted in the stockholder becoming an interested stockholder;</w:t>
            </w:r>
          </w:p>
        </w:tc>
      </w:tr>
    </w:tbl>
    <w:p>
      <w:pPr>
        <w:pStyle w:val="TextBody"/>
        <w:spacing w:before="0" w:after="0"/>
        <w:ind w:left="0" w:right="0" w:hanging="0"/>
        <w:jc w:val="both"/>
        <w:rPr/>
      </w:pPr>
      <w:r>
        <w:rPr/>
        <w:t>​</w:t>
      </w:r>
    </w:p>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tc>
      </w:tr>
    </w:tbl>
    <w:p>
      <w:pPr>
        <w:pStyle w:val="TextBody"/>
        <w:spacing w:before="0" w:after="0"/>
        <w:ind w:left="0" w:right="0" w:hanging="0"/>
        <w:jc w:val="both"/>
        <w:rPr/>
      </w:pPr>
      <w:r>
        <w:rPr/>
        <w:t>​</w:t>
      </w:r>
    </w:p>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on or after such date, the business combination is approved by our board of directors and authorized at an annual or special meeting of the stockholders, and not by written consent, by the affirmative vote of at least 66 2/3% of the outstanding voting stock that is not owned by the interested stockholder.</w:t>
            </w:r>
          </w:p>
        </w:tc>
      </w:tr>
    </w:tbl>
    <w:p>
      <w:pPr>
        <w:pStyle w:val="TextBody"/>
        <w:spacing w:before="0" w:after="0"/>
        <w:ind w:left="72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 general, Section 203 defines business combination to include the following:</w:t>
      </w:r>
    </w:p>
    <w:p>
      <w:pPr>
        <w:pStyle w:val="TextBody"/>
        <w:spacing w:before="0" w:after="0"/>
        <w:ind w:left="720" w:right="0" w:hanging="0"/>
        <w:jc w:val="both"/>
        <w:rPr/>
      </w:pPr>
      <w:r>
        <w:rPr/>
        <w:t>​</w:t>
      </w:r>
    </w:p>
    <w:tbl>
      <w:tblPr>
        <w:tblW w:w="7113" w:type="dxa"/>
        <w:jc w:val="left"/>
        <w:tblInd w:w="0" w:type="dxa"/>
        <w:tblCellMar>
          <w:top w:w="0" w:type="dxa"/>
          <w:left w:w="0" w:type="dxa"/>
          <w:bottom w:w="0" w:type="dxa"/>
          <w:right w:w="0" w:type="dxa"/>
        </w:tblCellMar>
      </w:tblPr>
      <w:tblGrid>
        <w:gridCol w:w="23"/>
        <w:gridCol w:w="95"/>
        <w:gridCol w:w="699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0"/>
              <w:jc w:val="both"/>
              <w:rPr>
                <w:rFonts w:ascii="Symbol" w:hAnsi="Symbol"/>
                <w:sz w:val="20"/>
              </w:rPr>
            </w:pPr>
            <w:r>
              <w:rPr>
                <w:rFonts w:ascii="Symbol" w:hAnsi="Symbol"/>
                <w:sz w:val="20"/>
              </w:rPr>
              <w:t>·</w:t>
            </w:r>
          </w:p>
        </w:tc>
        <w:tc>
          <w:tcPr>
            <w:tcW w:w="699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any merger or consolidation involving the corporation and the interested stockholder;</w:t>
            </w:r>
          </w:p>
        </w:tc>
      </w:tr>
    </w:tbl>
    <w:p>
      <w:pPr>
        <w:pStyle w:val="TextBody"/>
        <w:spacing w:before="0" w:after="0"/>
        <w:ind w:left="0" w:right="0" w:hanging="0"/>
        <w:jc w:val="both"/>
        <w:rPr/>
      </w:pPr>
      <w:r>
        <w:rPr/>
        <w:t>​</w:t>
      </w:r>
    </w:p>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any sale, transfer, pledge or other disposition of 10% or more of the assets of the corporation involving the interested stockholder;</w:t>
            </w:r>
          </w:p>
        </w:tc>
      </w:tr>
    </w:tbl>
    <w:p>
      <w:pPr>
        <w:pStyle w:val="TextBody"/>
        <w:spacing w:before="0" w:after="0"/>
        <w:ind w:left="0" w:right="0" w:hanging="0"/>
        <w:jc w:val="both"/>
        <w:rPr/>
      </w:pPr>
      <w:r>
        <w:rPr/>
        <w:t>​</w:t>
      </w:r>
    </w:p>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subject to certain exceptions, any transaction that results in the issuance or transfer by the corporation of any stock of the corporation to the interested stockholder;</w:t>
            </w:r>
          </w:p>
        </w:tc>
      </w:tr>
    </w:tbl>
    <w:p>
      <w:pPr>
        <w:pStyle w:val="TextBody"/>
        <w:spacing w:before="0" w:after="0"/>
        <w:ind w:left="0" w:right="0" w:hanging="0"/>
        <w:jc w:val="both"/>
        <w:rPr/>
      </w:pPr>
      <w:r>
        <w:rPr/>
        <w:t>​</w:t>
      </w:r>
    </w:p>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any transaction involving the corporation that has the effect of increasing the proportionate share of the stock or any class or series of the corporation beneficially owned by the interested stockholder; or</w:t>
            </w:r>
          </w:p>
        </w:tc>
      </w:tr>
    </w:tbl>
    <w:p>
      <w:pPr>
        <w:pStyle w:val="TextBody"/>
        <w:spacing w:before="0" w:after="0"/>
        <w:ind w:left="0" w:right="0" w:hanging="0"/>
        <w:jc w:val="both"/>
        <w:rPr/>
      </w:pPr>
      <w:r>
        <w:rPr/>
        <w:t>​</w:t>
      </w:r>
    </w:p>
    <w:p>
      <w:pPr>
        <w:pStyle w:val="TextBody"/>
        <w:spacing w:before="0" w:after="0"/>
        <w:ind w:left="720" w:right="0" w:hanging="0"/>
        <w:jc w:val="both"/>
        <w:rPr/>
      </w:pPr>
      <w:r>
        <w:rPr/>
        <w:t>​</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receipt by the interested stockholder of the benefit of any loss, advances, guarantees, pledges or other financial benefits by or through the corporation.</w:t>
            </w:r>
          </w:p>
        </w:tc>
      </w:tr>
    </w:tbl>
    <w:p>
      <w:pPr>
        <w:pStyle w:val="TextBody"/>
        <w:spacing w:before="0" w:after="0"/>
        <w:ind w:left="720" w:right="0" w:hanging="0"/>
        <w:jc w:val="both"/>
        <w:rPr/>
      </w:pPr>
      <w:r>
        <w:rPr/>
        <w:t>​</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Limitations on Liability and Indemnification Matters</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Our amended and restated certificate of incorporation and amended and restated bylaws provide that we indemnify each of our directors and executive officers to the fullest extent permitted by the DGCL. We have entered into indemnification agreements with each of our directors and executive officers that may, in some cases, be broader than the specific indemnification provisions contained under Delaware law. Further, pursuant to our indemnification agreements and directors’ and officers’ liability insurance, our directors and executive officers are indemnified and insured against the cost of defense, settlement or payment of a judgment under certain circumstances.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derivative suits to recover monetary damages against a director for breach of fiduciary duties as a director.</w:t>
      </w:r>
    </w:p>
    <w:p>
      <w:pPr>
        <w:pStyle w:val="TextBody"/>
        <w:spacing w:before="0" w:after="0"/>
        <w:ind w:left="0" w:right="0" w:firstLine="40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These provisions may be held not to be enforceable for violations of the federal securities laws of the United States.</w:t>
      </w:r>
    </w:p>
    <w:p>
      <w:pPr>
        <w:pStyle w:val="TextBody"/>
        <w:spacing w:before="0" w:after="0"/>
        <w:ind w:left="0" w:right="0" w:firstLine="40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Listing</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Our Class A common stock is listed on Nasdaq under the symbol “SNAL.”</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Transfer Agent and Registrar</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transfer agent and registrar for our common stock is American Stock Transfer &amp; Trust Company LLC.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1771" w:name="snal-20221231xex10d18.htm"/>
      <w:bookmarkStart w:id="1772" w:name="kssnal20221231xex10d18"/>
      <w:bookmarkEnd w:id="1771"/>
      <w:bookmarkEnd w:id="1772"/>
      <w:r>
        <w:rPr>
          <w:rFonts w:ascii="Times New Roman;Times;serif" w:hAnsi="Times New Roman;Times;serif"/>
          <w:b/>
          <w:sz w:val="24"/>
        </w:rPr>
        <w:t>Exhibit 10.18</w:t>
      </w:r>
    </w:p>
    <w:tbl>
      <w:tblPr>
        <w:tblW w:w="4467" w:type="dxa"/>
        <w:jc w:val="center"/>
        <w:tblInd w:w="0" w:type="dxa"/>
        <w:tblCellMar>
          <w:top w:w="0" w:type="dxa"/>
          <w:left w:w="0" w:type="dxa"/>
          <w:bottom w:w="0" w:type="dxa"/>
          <w:right w:w="0" w:type="dxa"/>
        </w:tblCellMar>
      </w:tblPr>
      <w:tblGrid>
        <w:gridCol w:w="1331"/>
        <w:gridCol w:w="3136"/>
      </w:tblGrid>
      <w:tr>
        <w:trPr/>
        <w:tc>
          <w:tcPr>
            <w:tcW w:w="1331" w:type="dxa"/>
            <w:tcBorders/>
            <w:shd w:fill="auto" w:val="clear"/>
            <w:vAlign w:val="center"/>
          </w:tcPr>
          <w:p>
            <w:pPr>
              <w:pStyle w:val="TableContents"/>
              <w:spacing w:before="0" w:after="0"/>
              <w:ind w:left="0" w:right="0" w:hanging="0"/>
              <w:rPr/>
            </w:pPr>
            <w:r>
              <w:rPr/>
              <w:t>​</w:t>
            </w:r>
          </w:p>
        </w:tc>
        <w:tc>
          <w:tcPr>
            <w:tcW w:w="3136" w:type="dxa"/>
            <w:tcBorders/>
            <w:shd w:fill="auto" w:val="clear"/>
            <w:vAlign w:val="center"/>
          </w:tcPr>
          <w:p>
            <w:pPr>
              <w:pStyle w:val="TableContents"/>
              <w:spacing w:before="0" w:after="0"/>
              <w:ind w:left="0" w:right="0" w:hanging="0"/>
              <w:jc w:val="right"/>
              <w:rPr/>
            </w:pPr>
            <w:r>
              <w:rPr/>
              <w:t>​</w:t>
            </w:r>
          </w:p>
          <w:p>
            <w:pPr>
              <w:pStyle w:val="TableContents"/>
              <w:spacing w:before="0" w:after="0"/>
              <w:ind w:left="0" w:right="0" w:hanging="0"/>
              <w:jc w:val="right"/>
              <w:rPr/>
            </w:pPr>
            <w:r>
              <w:rPr/>
              <w:t>​</w:t>
            </w:r>
          </w:p>
          <w:p>
            <w:pPr>
              <w:pStyle w:val="TableContents"/>
              <w:spacing w:before="0" w:after="0"/>
              <w:ind w:left="0" w:right="0" w:hanging="0"/>
              <w:jc w:val="right"/>
              <w:rPr/>
            </w:pPr>
            <w:r>
              <w:rPr/>
              <w:t>​</w:t>
            </w:r>
          </w:p>
          <w:p>
            <w:pPr>
              <w:pStyle w:val="TableContents"/>
              <w:spacing w:before="0" w:after="0"/>
              <w:ind w:left="0" w:right="0" w:hanging="0"/>
              <w:rPr/>
            </w:pPr>
            <w:r>
              <w:rPr/>
              <w:t>​</w:t>
            </w:r>
          </w:p>
        </w:tc>
      </w:tr>
      <w:tr>
        <w:trPr/>
        <w:tc>
          <w:tcPr>
            <w:tcW w:w="1331" w:type="dxa"/>
            <w:tcBorders/>
            <w:shd w:fill="auto" w:val="clear"/>
            <w:vAlign w:val="center"/>
          </w:tcPr>
          <w:p>
            <w:pPr>
              <w:pStyle w:val="TableContents"/>
              <w:spacing w:before="0" w:after="0"/>
              <w:rPr/>
            </w:pPr>
            <w:r>
              <w:rPr/>
              <w:drawing>
                <wp:inline distT="0" distB="0" distL="0" distR="0">
                  <wp:extent cx="781050" cy="1096645"/>
                  <wp:effectExtent l="0" t="0" r="0" b="0"/>
                  <wp:docPr id="35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 descr=""/>
                          <pic:cNvPicPr>
                            <a:picLocks noChangeAspect="1" noChangeArrowheads="1"/>
                          </pic:cNvPicPr>
                        </pic:nvPicPr>
                        <pic:blipFill>
                          <a:blip r:embed="rId25"/>
                          <a:stretch>
                            <a:fillRect/>
                          </a:stretch>
                        </pic:blipFill>
                        <pic:spPr bwMode="auto">
                          <a:xfrm>
                            <a:off x="0" y="0"/>
                            <a:ext cx="781050" cy="1096645"/>
                          </a:xfrm>
                          <a:prstGeom prst="rect">
                            <a:avLst/>
                          </a:prstGeom>
                        </pic:spPr>
                      </pic:pic>
                    </a:graphicData>
                  </a:graphic>
                </wp:inline>
              </w:drawing>
            </w:r>
          </w:p>
          <w:p>
            <w:pPr>
              <w:pStyle w:val="TableContents"/>
              <w:spacing w:before="0" w:after="0"/>
              <w:ind w:left="0" w:right="0" w:hanging="0"/>
              <w:rPr/>
            </w:pPr>
            <w:r>
              <w:rPr/>
              <w:t>​</w:t>
            </w:r>
          </w:p>
        </w:tc>
        <w:tc>
          <w:tcPr>
            <w:tcW w:w="31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40"/>
              </w:rPr>
              <w:t xml:space="preserve">Snail Games </w:t>
            </w:r>
            <w:r>
              <w:rPr>
                <w:rFonts w:ascii="Times New Roman;Times;serif" w:hAnsi="Times New Roman;Times;serif"/>
                <w:color w:val="FFC000"/>
                <w:sz w:val="40"/>
              </w:rPr>
              <w:t>USA</w:t>
            </w:r>
          </w:p>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12049 Jefferson Blvd.</w:t>
            </w:r>
          </w:p>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Culver City, CA 90230</w:t>
            </w:r>
          </w:p>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310.928.7429</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520 N Hillcrest Road</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Beverly Hills, CA 90210</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03/27/2023</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Dear Mr. Shi,</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2"/>
        </w:rPr>
        <w:t>On behalf of Snail Games USA, Inc., a California Corporation (“</w:t>
      </w:r>
      <w:r>
        <w:rPr>
          <w:rFonts w:ascii="Times New Roman;Times;serif" w:hAnsi="Times New Roman;Times;serif"/>
          <w:sz w:val="22"/>
          <w:u w:val="single"/>
        </w:rPr>
        <w:t>Snail Games</w:t>
      </w:r>
      <w:r>
        <w:rPr>
          <w:rFonts w:ascii="Times New Roman;Times;serif" w:hAnsi="Times New Roman;Times;serif"/>
          <w:sz w:val="20"/>
        </w:rPr>
        <w:t xml:space="preserve">” </w:t>
      </w:r>
      <w:r>
        <w:rPr>
          <w:rFonts w:ascii="Times New Roman;Times;serif" w:hAnsi="Times New Roman;Times;serif"/>
          <w:sz w:val="22"/>
        </w:rPr>
        <w:t>or the “</w:t>
      </w:r>
      <w:r>
        <w:rPr>
          <w:rFonts w:ascii="Times New Roman;Times;serif" w:hAnsi="Times New Roman;Times;serif"/>
          <w:sz w:val="22"/>
          <w:u w:val="single"/>
        </w:rPr>
        <w:t>Company</w:t>
      </w:r>
      <w:r>
        <w:rPr>
          <w:rFonts w:ascii="Times New Roman;Times;serif" w:hAnsi="Times New Roman;Times;serif"/>
          <w:sz w:val="20"/>
        </w:rPr>
        <w:t>”</w:t>
      </w:r>
      <w:r>
        <w:rPr>
          <w:rFonts w:ascii="Times New Roman;Times;serif" w:hAnsi="Times New Roman;Times;serif"/>
          <w:sz w:val="22"/>
        </w:rPr>
        <w:t>), I am excited to make an offer of employment as Chief Strategy Officer of the Company. This is a salaried, exempt position. In such capacity, you will be subject to the authority of, and will report to, the Company’s Chief Executive Officer. Your start date will be March 27, 2023.</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The following outlines the terms of your employment: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u w:val="single"/>
        </w:rPr>
        <w:t>Annual Salary</w:t>
      </w:r>
      <w:r>
        <w:rPr>
          <w:rFonts w:ascii="Times New Roman;Times;serif" w:hAnsi="Times New Roman;Times;serif"/>
          <w:sz w:val="22"/>
        </w:rPr>
        <w:t>. Your salary will be Four Hundred Thousand U.S. Dollars ($400,000) per year, to be paid in accordance with the Company standard payroll schedule.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u w:val="single"/>
        </w:rPr>
        <w:t>Performance Bonus</w:t>
      </w:r>
      <w:r>
        <w:rPr>
          <w:rFonts w:ascii="Times New Roman;Times;serif" w:hAnsi="Times New Roman;Times;serif"/>
          <w:sz w:val="22"/>
        </w:rPr>
        <w:t>. So long as you remain employed by Snail Games, you will be eligible to an annual bonus (“</w:t>
      </w:r>
      <w:r>
        <w:rPr>
          <w:rFonts w:ascii="Times New Roman;Times;serif" w:hAnsi="Times New Roman;Times;serif"/>
          <w:sz w:val="22"/>
          <w:u w:val="single"/>
        </w:rPr>
        <w:t>Performance Bonus</w:t>
      </w:r>
      <w:r>
        <w:rPr>
          <w:rFonts w:ascii="Times New Roman;Times;serif" w:hAnsi="Times New Roman;Times;serif"/>
          <w:sz w:val="20"/>
        </w:rPr>
        <w:t>”</w:t>
      </w:r>
      <w:r>
        <w:rPr>
          <w:rFonts w:ascii="Times New Roman;Times;serif" w:hAnsi="Times New Roman;Times;serif"/>
          <w:sz w:val="22"/>
        </w:rPr>
        <w:t>) as determined by the Board of Directors of the Company from time to time. The Performance Bonus will be computed based on your achieving the milestones established by mutual agreement between you and the Company. The Company will endeavor to prepare the milestones for the first year of your employment within 90 days of your start date, to be amended from time to time for subsequent years. The Performance Bonus, if any, will be paid no later than March 15</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of the year following the year for which the Performance Bonus was earned, subject to your continued employment with the Company through such payment date.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3.</w:t>
      </w:r>
      <w:r>
        <w:rPr>
          <w:rFonts w:ascii="Times New Roman;Times;serif" w:hAnsi="Times New Roman;Times;serif"/>
          <w:sz w:val="22"/>
          <w:u w:val="single"/>
        </w:rPr>
        <w:t>Severance Pay</w:t>
      </w:r>
      <w:r>
        <w:rPr>
          <w:rFonts w:ascii="Times New Roman;Times;serif" w:hAnsi="Times New Roman;Times;serif"/>
          <w:sz w:val="22"/>
        </w:rPr>
        <w:t xml:space="preserve">. If your employment with the Company is terminated by the Company without Cause (as defined below), you will be entitled to severance pay in an amount calculated in accordance with the Company’s severance pay policy for senior management then-in-effect, with any severance to be subject to your execution and nonrevocation of a release of claims provided by the Company. For purposes of this letter, the term “Cause” will mean one of the following: (i) you have materially breached this Agreement or have materially breached any other obligation or duty owed to, or the policy of, the Company, which remains uncured for 30 days after you receive notice thereof, (ii) you commit gross negligence or intentional misconduct that causes material harm to the Company, (iii) you engage in any willful misconduct likely to result in material discredit to or material loss of business, reputation or goodwill of the Company, (iv) you are indicted for, convicted of, or plead </w:t>
      </w:r>
      <w:r>
        <w:rPr>
          <w:rFonts w:ascii="Times New Roman;Times;serif" w:hAnsi="Times New Roman;Times;serif"/>
          <w:i/>
          <w:sz w:val="22"/>
        </w:rPr>
        <w:t>nolo contendere</w:t>
      </w:r>
      <w:r>
        <w:rPr>
          <w:rFonts w:ascii="Times New Roman;Times;serif" w:hAnsi="Times New Roman;Times;serif"/>
          <w:sz w:val="20"/>
        </w:rPr>
        <w:t xml:space="preserve"> </w:t>
      </w:r>
      <w:r>
        <w:rPr>
          <w:rFonts w:ascii="Times New Roman;Times;serif" w:hAnsi="Times New Roman;Times;serif"/>
          <w:sz w:val="22"/>
        </w:rPr>
        <w:t>to (x) a felony or any crime involving fraud, dishonesty, or misappropriation; or (y) any crime of moral turpitude, (v) you misappropriate funds or property of the Company, (vi) you attempt to obtain a personal profit from any transaction in which you know the Company has an interest, and which constitutes a corporate opportunity of the Company or is adverse to the interests of the Company or (vii) you commit a material violation of the rules or policies of the Company regarding sexual harassment or workplace discrimination or misconduct that has been previously disclosed to you. If your employment with the Company terminates for any other reason (including but not limited to your resignation during the employment term or by the</w:t>
      </w:r>
    </w:p>
    <w:p>
      <w:pPr>
        <w:pStyle w:val="TextBody"/>
        <w:spacing w:before="0" w:after="240"/>
        <w:ind w:left="0" w:right="0" w:hanging="0"/>
        <w:jc w:val="both"/>
        <w:rPr/>
      </w:pPr>
      <w:r>
        <w:rPr/>
        <w:t>​</w:t>
      </w:r>
    </w:p>
    <w:p>
      <w:pPr>
        <w:pStyle w:val="TextBody"/>
        <w:spacing w:before="0" w:after="160"/>
        <w:ind w:left="0" w:right="0" w:hanging="0"/>
        <w:rPr/>
      </w:pPr>
      <w:r>
        <w:rPr/>
        <w:t>​</w:t>
      </w:r>
    </w:p>
    <w:p>
      <w:pPr>
        <w:pStyle w:val="HorizontalLine"/>
        <w:rPr/>
      </w:pPr>
      <w:r>
        <w:rPr/>
      </w:r>
    </w:p>
    <w:tbl>
      <w:tblPr>
        <w:tblW w:w="4467" w:type="dxa"/>
        <w:jc w:val="left"/>
        <w:tblInd w:w="0" w:type="dxa"/>
        <w:tblCellMar>
          <w:top w:w="0" w:type="dxa"/>
          <w:left w:w="0" w:type="dxa"/>
          <w:bottom w:w="0" w:type="dxa"/>
          <w:right w:w="0" w:type="dxa"/>
        </w:tblCellMar>
      </w:tblPr>
      <w:tblGrid>
        <w:gridCol w:w="1331"/>
        <w:gridCol w:w="3136"/>
      </w:tblGrid>
      <w:tr>
        <w:trPr/>
        <w:tc>
          <w:tcPr>
            <w:tcW w:w="1331" w:type="dxa"/>
            <w:tcBorders/>
            <w:shd w:fill="auto" w:val="clear"/>
            <w:vAlign w:val="center"/>
          </w:tcPr>
          <w:p>
            <w:pPr>
              <w:pStyle w:val="TableContents"/>
              <w:spacing w:before="0" w:after="0"/>
              <w:ind w:left="0" w:right="0" w:hanging="0"/>
              <w:rPr/>
            </w:pPr>
            <w:r>
              <w:rPr/>
              <w:t>​</w:t>
            </w:r>
          </w:p>
        </w:tc>
        <w:tc>
          <w:tcPr>
            <w:tcW w:w="3136" w:type="dxa"/>
            <w:tcBorders/>
            <w:shd w:fill="auto" w:val="clear"/>
            <w:vAlign w:val="center"/>
          </w:tcPr>
          <w:p>
            <w:pPr>
              <w:pStyle w:val="TableContents"/>
              <w:spacing w:before="0" w:after="0"/>
              <w:ind w:left="0" w:right="0" w:hanging="0"/>
              <w:jc w:val="right"/>
              <w:rPr/>
            </w:pPr>
            <w:r>
              <w:rPr/>
              <w:t>​</w:t>
            </w:r>
          </w:p>
          <w:p>
            <w:pPr>
              <w:pStyle w:val="TableContents"/>
              <w:spacing w:before="0" w:after="0"/>
              <w:ind w:left="0" w:right="0" w:hanging="0"/>
              <w:jc w:val="right"/>
              <w:rPr/>
            </w:pPr>
            <w:r>
              <w:rPr/>
              <w:t>​</w:t>
            </w:r>
          </w:p>
          <w:p>
            <w:pPr>
              <w:pStyle w:val="TableContents"/>
              <w:spacing w:before="0" w:after="0"/>
              <w:ind w:left="0" w:right="0" w:hanging="0"/>
              <w:jc w:val="right"/>
              <w:rPr/>
            </w:pPr>
            <w:r>
              <w:rPr/>
              <w:t>​</w:t>
            </w:r>
          </w:p>
          <w:p>
            <w:pPr>
              <w:pStyle w:val="TableContents"/>
              <w:spacing w:before="0" w:after="0"/>
              <w:ind w:left="0" w:right="0" w:hanging="0"/>
              <w:rPr/>
            </w:pPr>
            <w:r>
              <w:rPr/>
              <w:t>​</w:t>
            </w:r>
          </w:p>
        </w:tc>
      </w:tr>
      <w:tr>
        <w:trPr/>
        <w:tc>
          <w:tcPr>
            <w:tcW w:w="1331" w:type="dxa"/>
            <w:tcBorders/>
            <w:shd w:fill="auto" w:val="clear"/>
            <w:vAlign w:val="center"/>
          </w:tcPr>
          <w:p>
            <w:pPr>
              <w:pStyle w:val="TableContents"/>
              <w:spacing w:before="0" w:after="0"/>
              <w:rPr/>
            </w:pPr>
            <w:r>
              <w:rPr/>
              <w:drawing>
                <wp:inline distT="0" distB="0" distL="0" distR="0">
                  <wp:extent cx="781050" cy="1096645"/>
                  <wp:effectExtent l="0" t="0" r="0" b="0"/>
                  <wp:docPr id="35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 descr=""/>
                          <pic:cNvPicPr>
                            <a:picLocks noChangeAspect="1" noChangeArrowheads="1"/>
                          </pic:cNvPicPr>
                        </pic:nvPicPr>
                        <pic:blipFill>
                          <a:blip r:embed="rId26"/>
                          <a:stretch>
                            <a:fillRect/>
                          </a:stretch>
                        </pic:blipFill>
                        <pic:spPr bwMode="auto">
                          <a:xfrm>
                            <a:off x="0" y="0"/>
                            <a:ext cx="781050" cy="1096645"/>
                          </a:xfrm>
                          <a:prstGeom prst="rect">
                            <a:avLst/>
                          </a:prstGeom>
                        </pic:spPr>
                      </pic:pic>
                    </a:graphicData>
                  </a:graphic>
                </wp:inline>
              </w:drawing>
            </w:r>
          </w:p>
          <w:p>
            <w:pPr>
              <w:pStyle w:val="TableContents"/>
              <w:spacing w:before="0" w:after="0"/>
              <w:ind w:left="0" w:right="0" w:hanging="0"/>
              <w:rPr/>
            </w:pPr>
            <w:r>
              <w:rPr/>
              <w:t>​</w:t>
            </w:r>
          </w:p>
        </w:tc>
        <w:tc>
          <w:tcPr>
            <w:tcW w:w="31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40"/>
              </w:rPr>
              <w:t xml:space="preserve">Snail Games </w:t>
            </w:r>
            <w:r>
              <w:rPr>
                <w:rFonts w:ascii="Times New Roman;Times;serif" w:hAnsi="Times New Roman;Times;serif"/>
                <w:color w:val="FFC000"/>
                <w:sz w:val="40"/>
              </w:rPr>
              <w:t>USA</w:t>
            </w:r>
          </w:p>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12049 Jefferson Blvd.</w:t>
            </w:r>
          </w:p>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Culver City, CA 90230</w:t>
            </w:r>
          </w:p>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310.928.7429</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Company for Cause), the Company shall have no further obligations to you other than the payment of base salary earned through your last day of employment, reimbursement for any unreimbursed business expenses and such employee benefits as to which you may be entitled under any employee benefit plans in which you are a participant.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4.</w:t>
      </w:r>
      <w:r>
        <w:rPr>
          <w:rFonts w:ascii="Times New Roman;Times;serif" w:hAnsi="Times New Roman;Times;serif"/>
          <w:sz w:val="22"/>
          <w:u w:val="single"/>
        </w:rPr>
        <w:t>Other Benefits</w:t>
      </w:r>
      <w:r>
        <w:rPr>
          <w:rFonts w:ascii="Times New Roman;Times;serif" w:hAnsi="Times New Roman;Times;serif"/>
          <w:sz w:val="22"/>
        </w:rPr>
        <w:t>. You will be eligible to participate in the company insurance benefits package the first of the month following your start date. You will also be entitled to paid time off (PTO) in accordance with the Company’s PTO policy. In addition to the offer letter, please reference the enclosed benefits overview for further details regarding benefit premiums, 401K eligibility and our paid time off program.</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5.</w:t>
      </w:r>
      <w:r>
        <w:rPr>
          <w:rFonts w:ascii="Times New Roman;Times;serif" w:hAnsi="Times New Roman;Times;serif"/>
          <w:sz w:val="22"/>
          <w:u w:val="single"/>
        </w:rPr>
        <w:t>Tax Withholdings</w:t>
      </w:r>
      <w:r>
        <w:rPr>
          <w:rFonts w:ascii="Times New Roman;Times;serif" w:hAnsi="Times New Roman;Times;serif"/>
          <w:sz w:val="22"/>
        </w:rPr>
        <w:t>. All forms of compensation referred to in this letter are subject to reduction to reflect applicable withholding, payroll taxes and other deductions required by law. You agree that you will not make any claim against the Company or its Board of Directors related to tax liabilities arising from your compensation.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6.</w:t>
      </w:r>
      <w:r>
        <w:rPr>
          <w:rFonts w:ascii="Times New Roman;Times;serif" w:hAnsi="Times New Roman;Times;serif"/>
          <w:sz w:val="22"/>
          <w:u w:val="single"/>
        </w:rPr>
        <w:t>Confidentiality and PIIA</w:t>
      </w:r>
      <w:r>
        <w:rPr>
          <w:rFonts w:ascii="Times New Roman;Times;serif" w:hAnsi="Times New Roman;Times;serif"/>
          <w:sz w:val="22"/>
        </w:rPr>
        <w:t>. In consideration of, and as a condition to, your employment by the Company, prior to your start date you must enter into an agreement with the Company, an Employee Inventions and Proprietary Information Agreement (“</w:t>
      </w:r>
      <w:r>
        <w:rPr>
          <w:rFonts w:ascii="Times New Roman;Times;serif" w:hAnsi="Times New Roman;Times;serif"/>
          <w:sz w:val="22"/>
          <w:u w:val="single"/>
        </w:rPr>
        <w:t>PIIA</w:t>
      </w:r>
      <w:r>
        <w:rPr>
          <w:rFonts w:ascii="Times New Roman;Times;serif" w:hAnsi="Times New Roman;Times;serif"/>
          <w:sz w:val="20"/>
        </w:rPr>
        <w:t>”</w:t>
      </w:r>
      <w:r>
        <w:rPr>
          <w:rFonts w:ascii="Times New Roman;Times;serif" w:hAnsi="Times New Roman;Times;serif"/>
          <w:sz w:val="22"/>
        </w:rPr>
        <w:t>) relating to, among other things, your use of our confidential or proprietary information, and competitive activities in which you may engage during your employment with the Company and thereafter. You understand and acknowledge that the Company has asked you enter into the PIIA in order to protect its legitimate business interests and that the Company would not offer you employment without you entering into such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7.</w:t>
      </w:r>
      <w:r>
        <w:rPr>
          <w:rFonts w:ascii="Times New Roman;Times;serif" w:hAnsi="Times New Roman;Times;serif"/>
          <w:sz w:val="22"/>
          <w:u w:val="single"/>
        </w:rPr>
        <w:t>Miscellaneous</w:t>
      </w:r>
      <w:r>
        <w:rPr>
          <w:rFonts w:ascii="Times New Roman;Times;serif" w:hAnsi="Times New Roman;Times;serif"/>
          <w:sz w:val="22"/>
        </w:rPr>
        <w:t>. Please note that your employment with Snail Games is subject to the terms and conditions outlined in the Application for Employment, Corporate Policies and Procedures and the Snail Games Employee Handbook.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2"/>
        </w:rPr>
        <w:t>Employment At-Will Disclaimer</w:t>
      </w:r>
      <w:r>
        <w:rPr>
          <w:rFonts w:ascii="Times New Roman;Times;serif" w:hAnsi="Times New Roman;Times;serif"/>
          <w:sz w:val="22"/>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In accepting our offer of employment, you certify your understanding that your employment will be on an “at-will” basis, and that neither you nor any Company representative has entered into a contract regarding the terms or the duration of your employment. As an “at-will” employee, you are free to terminate your employment with Company at any time, with or without cause or advance notice. Likewise, Company has the right to update your role, to change your compensation, or to terminate your employment at any time, with or without cause or advance notice. This agreement shall be governed by, construed, and enforced in accordance with the laws of the State of California, without any regard to any applicable principles of law.</w:t>
      </w:r>
    </w:p>
    <w:p>
      <w:pPr>
        <w:pStyle w:val="TextBody"/>
        <w:spacing w:before="0" w:after="160"/>
        <w:ind w:left="0" w:right="0" w:hanging="0"/>
        <w:jc w:val="both"/>
        <w:rPr/>
      </w:pPr>
      <w:r>
        <w:rPr/>
        <w:t>​</w:t>
      </w:r>
    </w:p>
    <w:p>
      <w:pPr>
        <w:pStyle w:val="TextBody"/>
        <w:spacing w:before="0" w:after="160"/>
        <w:ind w:left="0" w:right="0" w:hanging="0"/>
        <w:rPr/>
      </w:pPr>
      <w:r>
        <w:rPr/>
        <w:t>​</w:t>
      </w:r>
    </w:p>
    <w:p>
      <w:pPr>
        <w:pStyle w:val="HorizontalLine"/>
        <w:rPr/>
      </w:pPr>
      <w:r>
        <w:rPr/>
      </w:r>
    </w:p>
    <w:tbl>
      <w:tblPr>
        <w:tblW w:w="4467" w:type="dxa"/>
        <w:jc w:val="left"/>
        <w:tblInd w:w="0" w:type="dxa"/>
        <w:tblCellMar>
          <w:top w:w="0" w:type="dxa"/>
          <w:left w:w="0" w:type="dxa"/>
          <w:bottom w:w="0" w:type="dxa"/>
          <w:right w:w="0" w:type="dxa"/>
        </w:tblCellMar>
      </w:tblPr>
      <w:tblGrid>
        <w:gridCol w:w="1331"/>
        <w:gridCol w:w="3136"/>
      </w:tblGrid>
      <w:tr>
        <w:trPr/>
        <w:tc>
          <w:tcPr>
            <w:tcW w:w="1331" w:type="dxa"/>
            <w:tcBorders/>
            <w:shd w:fill="auto" w:val="clear"/>
            <w:vAlign w:val="center"/>
          </w:tcPr>
          <w:p>
            <w:pPr>
              <w:pStyle w:val="TableContents"/>
              <w:spacing w:before="0" w:after="0"/>
              <w:ind w:left="0" w:right="0" w:hanging="0"/>
              <w:rPr/>
            </w:pPr>
            <w:r>
              <w:rPr/>
              <w:t>​</w:t>
            </w:r>
          </w:p>
        </w:tc>
        <w:tc>
          <w:tcPr>
            <w:tcW w:w="3136" w:type="dxa"/>
            <w:tcBorders/>
            <w:shd w:fill="auto" w:val="clear"/>
            <w:vAlign w:val="center"/>
          </w:tcPr>
          <w:p>
            <w:pPr>
              <w:pStyle w:val="TableContents"/>
              <w:spacing w:before="0" w:after="0"/>
              <w:ind w:left="0" w:right="0" w:hanging="0"/>
              <w:jc w:val="right"/>
              <w:rPr/>
            </w:pPr>
            <w:r>
              <w:rPr/>
              <w:t>​</w:t>
            </w:r>
          </w:p>
          <w:p>
            <w:pPr>
              <w:pStyle w:val="TableContents"/>
              <w:spacing w:before="0" w:after="0"/>
              <w:ind w:left="0" w:right="0" w:hanging="0"/>
              <w:jc w:val="right"/>
              <w:rPr/>
            </w:pPr>
            <w:r>
              <w:rPr/>
              <w:t>​</w:t>
            </w:r>
          </w:p>
          <w:p>
            <w:pPr>
              <w:pStyle w:val="TableContents"/>
              <w:spacing w:before="0" w:after="0"/>
              <w:ind w:left="0" w:right="0" w:hanging="0"/>
              <w:jc w:val="right"/>
              <w:rPr/>
            </w:pPr>
            <w:r>
              <w:rPr/>
              <w:t>​</w:t>
            </w:r>
          </w:p>
          <w:p>
            <w:pPr>
              <w:pStyle w:val="TableContents"/>
              <w:spacing w:before="0" w:after="0"/>
              <w:ind w:left="0" w:right="0" w:hanging="0"/>
              <w:rPr/>
            </w:pPr>
            <w:r>
              <w:rPr/>
              <w:t>​</w:t>
            </w:r>
          </w:p>
        </w:tc>
      </w:tr>
      <w:tr>
        <w:trPr/>
        <w:tc>
          <w:tcPr>
            <w:tcW w:w="1331" w:type="dxa"/>
            <w:tcBorders/>
            <w:shd w:fill="auto" w:val="clear"/>
            <w:vAlign w:val="center"/>
          </w:tcPr>
          <w:p>
            <w:pPr>
              <w:pStyle w:val="TableContents"/>
              <w:spacing w:before="0" w:after="0"/>
              <w:rPr/>
            </w:pPr>
            <w:r>
              <w:rPr/>
              <w:drawing>
                <wp:inline distT="0" distB="0" distL="0" distR="0">
                  <wp:extent cx="781050" cy="1096645"/>
                  <wp:effectExtent l="0" t="0" r="0" b="0"/>
                  <wp:docPr id="35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4" descr=""/>
                          <pic:cNvPicPr>
                            <a:picLocks noChangeAspect="1" noChangeArrowheads="1"/>
                          </pic:cNvPicPr>
                        </pic:nvPicPr>
                        <pic:blipFill>
                          <a:blip r:embed="rId27"/>
                          <a:stretch>
                            <a:fillRect/>
                          </a:stretch>
                        </pic:blipFill>
                        <pic:spPr bwMode="auto">
                          <a:xfrm>
                            <a:off x="0" y="0"/>
                            <a:ext cx="781050" cy="1096645"/>
                          </a:xfrm>
                          <a:prstGeom prst="rect">
                            <a:avLst/>
                          </a:prstGeom>
                        </pic:spPr>
                      </pic:pic>
                    </a:graphicData>
                  </a:graphic>
                </wp:inline>
              </w:drawing>
            </w:r>
          </w:p>
          <w:p>
            <w:pPr>
              <w:pStyle w:val="TableContents"/>
              <w:spacing w:before="0" w:after="0"/>
              <w:ind w:left="0" w:right="0" w:hanging="0"/>
              <w:rPr/>
            </w:pPr>
            <w:r>
              <w:rPr/>
              <w:t>​</w:t>
            </w:r>
          </w:p>
        </w:tc>
        <w:tc>
          <w:tcPr>
            <w:tcW w:w="31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40"/>
              </w:rPr>
              <w:t xml:space="preserve">Snail Games </w:t>
            </w:r>
            <w:r>
              <w:rPr>
                <w:rFonts w:ascii="Times New Roman;Times;serif" w:hAnsi="Times New Roman;Times;serif"/>
                <w:color w:val="FFC000"/>
                <w:sz w:val="40"/>
              </w:rPr>
              <w:t>USA</w:t>
            </w:r>
          </w:p>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12049 Jefferson Blvd.</w:t>
            </w:r>
          </w:p>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Culver City, CA 90230</w:t>
            </w:r>
          </w:p>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310.928.7429</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2"/>
        </w:rPr>
      </w:pPr>
      <w:r>
        <w:rPr>
          <w:rFonts w:ascii="Times New Roman;Times;serif" w:hAnsi="Times New Roman;Times;serif"/>
          <w:sz w:val="22"/>
        </w:rPr>
        <w:t>If you choose to accept this offer, please sign a copy of this letter and return it to us at your earliest convenience.</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We are very excited to have you join the Snail Games’ management team! If you have any questions regarding this offer for employment or benefits, please do not hesitate to contact me.</w:t>
      </w:r>
    </w:p>
    <w:p>
      <w:pPr>
        <w:pStyle w:val="TextBody"/>
        <w:spacing w:before="0" w:after="0"/>
        <w:ind w:left="0" w:right="0" w:hanging="0"/>
        <w:jc w:val="center"/>
        <w:rPr/>
      </w:pPr>
      <w:r>
        <w:rPr/>
        <w:t>​</w:t>
      </w:r>
    </w:p>
    <w:tbl>
      <w:tblPr>
        <w:tblW w:w="4620" w:type="dxa"/>
        <w:jc w:val="center"/>
        <w:tblInd w:w="0" w:type="dxa"/>
        <w:tblCellMar>
          <w:top w:w="0" w:type="dxa"/>
          <w:left w:w="0" w:type="dxa"/>
          <w:bottom w:w="0" w:type="dxa"/>
          <w:right w:w="0" w:type="dxa"/>
        </w:tblCellMar>
      </w:tblPr>
      <w:tblGrid>
        <w:gridCol w:w="736"/>
        <w:gridCol w:w="1186"/>
        <w:gridCol w:w="326"/>
        <w:gridCol w:w="721"/>
        <w:gridCol w:w="1651"/>
      </w:tblGrid>
      <w:tr>
        <w:trPr/>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118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283"/>
              <w:ind w:left="0" w:right="0" w:hanging="0"/>
              <w:rPr>
                <w:sz w:val="4"/>
                <w:szCs w:val="4"/>
              </w:rPr>
            </w:pPr>
            <w:r>
              <w:rPr>
                <w:sz w:val="4"/>
                <w:szCs w:val="4"/>
              </w:rPr>
            </w:r>
          </w:p>
        </w:tc>
        <w:tc>
          <w:tcPr>
            <w:tcW w:w="1651" w:type="dxa"/>
            <w:tcBorders/>
            <w:shd w:fill="auto" w:val="clear"/>
            <w:vAlign w:val="center"/>
          </w:tcPr>
          <w:p>
            <w:pPr>
              <w:pStyle w:val="TableContents"/>
              <w:spacing w:before="0" w:after="283"/>
              <w:ind w:left="0" w:right="0" w:hanging="0"/>
              <w:rPr>
                <w:sz w:val="4"/>
                <w:szCs w:val="4"/>
              </w:rPr>
            </w:pPr>
            <w:r>
              <w:rPr>
                <w:sz w:val="4"/>
                <w:szCs w:val="4"/>
              </w:rPr>
            </w:r>
          </w:p>
        </w:tc>
      </w:tr>
      <w:tr>
        <w:trPr/>
        <w:tc>
          <w:tcPr>
            <w:tcW w:w="1922" w:type="dxa"/>
            <w:gridSpan w:val="2"/>
            <w:tcBorders/>
            <w:shd w:fill="auto" w:val="cle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Sincerely,</w:t>
            </w:r>
          </w:p>
        </w:tc>
        <w:tc>
          <w:tcPr>
            <w:tcW w:w="326" w:type="dxa"/>
            <w:tcBorders/>
            <w:shd w:fill="auto" w:val="clear"/>
            <w:vAlign w:val="center"/>
          </w:tcPr>
          <w:p>
            <w:pPr>
              <w:pStyle w:val="TableContents"/>
              <w:spacing w:before="0" w:after="0"/>
              <w:ind w:left="0" w:right="0" w:hanging="0"/>
              <w:jc w:val="both"/>
              <w:rPr/>
            </w:pPr>
            <w:r>
              <w:rPr/>
              <w:t>    </w:t>
            </w:r>
          </w:p>
        </w:tc>
        <w:tc>
          <w:tcPr>
            <w:tcW w:w="2372" w:type="dxa"/>
            <w:gridSpan w:val="2"/>
            <w:tcBorders/>
            <w:shd w:fill="auto" w:val="clear"/>
            <w:vAlign w:val="center"/>
          </w:tcPr>
          <w:p>
            <w:pPr>
              <w:pStyle w:val="TableContents"/>
              <w:spacing w:before="0" w:after="0"/>
              <w:ind w:left="0" w:right="0" w:hanging="0"/>
              <w:jc w:val="both"/>
              <w:rPr>
                <w:rFonts w:ascii="Times New Roman;Times;serif" w:hAnsi="Times New Roman;Times;serif"/>
                <w:b/>
                <w:sz w:val="22"/>
              </w:rPr>
            </w:pPr>
            <w:r>
              <w:rPr>
                <w:rFonts w:ascii="Times New Roman;Times;serif" w:hAnsi="Times New Roman;Times;serif"/>
                <w:b/>
                <w:sz w:val="22"/>
              </w:rPr>
              <w:t>ACCEPTED</w:t>
            </w:r>
          </w:p>
        </w:tc>
      </w:tr>
      <w:tr>
        <w:trPr/>
        <w:tc>
          <w:tcPr>
            <w:tcW w:w="1922" w:type="dxa"/>
            <w:gridSpan w:val="2"/>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2372" w:type="dxa"/>
            <w:gridSpan w:val="2"/>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/S/ Hai Shi</w:t>
            </w:r>
          </w:p>
        </w:tc>
      </w:tr>
      <w:tr>
        <w:trPr/>
        <w:tc>
          <w:tcPr>
            <w:tcW w:w="736" w:type="dxa"/>
            <w:tcBorders/>
            <w:shd w:fill="auto" w:val="cle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/S/ Jim Tsai</w:t>
            </w:r>
          </w:p>
        </w:tc>
        <w:tc>
          <w:tcPr>
            <w:tcW w:w="326" w:type="dxa"/>
            <w:tcBorders/>
            <w:shd w:fill="auto" w:val="clear"/>
            <w:vAlign w:val="center"/>
          </w:tcPr>
          <w:p>
            <w:pPr>
              <w:pStyle w:val="TableContents"/>
              <w:spacing w:before="0" w:after="0"/>
              <w:ind w:left="0" w:right="0" w:hanging="0"/>
              <w:jc w:val="both"/>
              <w:rPr/>
            </w:pPr>
            <w:r>
              <w:rPr/>
              <w:t>​</w:t>
            </w:r>
          </w:p>
        </w:tc>
        <w:tc>
          <w:tcPr>
            <w:tcW w:w="2372" w:type="dxa"/>
            <w:gridSpan w:val="2"/>
            <w:tcBorders>
              <w:top w:val="single" w:sz="2" w:space="0" w:color="000000"/>
            </w:tcBorders>
            <w:shd w:fill="auto" w:val="clear"/>
            <w:tcMar>
              <w:top w:w="28" w:type="dxa"/>
            </w:tcM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Hai Shi</w:t>
            </w:r>
          </w:p>
        </w:tc>
      </w:tr>
      <w:tr>
        <w:trPr/>
        <w:tc>
          <w:tcPr>
            <w:tcW w:w="736" w:type="dxa"/>
            <w:tcBorders/>
            <w:shd w:fill="auto" w:val="cle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118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Jim Tsai</w:t>
            </w:r>
          </w:p>
        </w:tc>
        <w:tc>
          <w:tcPr>
            <w:tcW w:w="326" w:type="dxa"/>
            <w:tcBorders/>
            <w:shd w:fill="auto" w:val="clear"/>
            <w:vAlign w:val="center"/>
          </w:tcPr>
          <w:p>
            <w:pPr>
              <w:pStyle w:val="TableContents"/>
              <w:spacing w:before="0" w:after="0"/>
              <w:ind w:left="0" w:right="0" w:hanging="0"/>
              <w:jc w:val="both"/>
              <w:rPr/>
            </w:pPr>
            <w:r>
              <w:rPr/>
              <w:t>​</w:t>
            </w:r>
          </w:p>
        </w:tc>
        <w:tc>
          <w:tcPr>
            <w:tcW w:w="721" w:type="dxa"/>
            <w:tcBorders/>
            <w:shd w:fill="auto" w:val="cle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Dated:</w:t>
            </w:r>
          </w:p>
        </w:tc>
        <w:tc>
          <w:tcPr>
            <w:tcW w:w="1651"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March 27, 2023</w:t>
            </w:r>
          </w:p>
        </w:tc>
      </w:tr>
      <w:tr>
        <w:trPr/>
        <w:tc>
          <w:tcPr>
            <w:tcW w:w="736" w:type="dxa"/>
            <w:tcBorders/>
            <w:shd w:fill="auto" w:val="cle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18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both"/>
              <w:rPr>
                <w:rFonts w:ascii="Times New Roman;Times;serif" w:hAnsi="Times New Roman;Times;serif"/>
                <w:sz w:val="22"/>
              </w:rPr>
            </w:pPr>
            <w:r>
              <w:rPr>
                <w:rFonts w:ascii="Times New Roman;Times;serif" w:hAnsi="Times New Roman;Times;serif"/>
                <w:sz w:val="22"/>
              </w:rPr>
              <w:t>CEO</w:t>
            </w:r>
          </w:p>
        </w:tc>
        <w:tc>
          <w:tcPr>
            <w:tcW w:w="326" w:type="dxa"/>
            <w:tcBorders/>
            <w:shd w:fill="auto" w:val="clear"/>
            <w:vAlign w:val="center"/>
          </w:tcPr>
          <w:p>
            <w:pPr>
              <w:pStyle w:val="TableContents"/>
              <w:spacing w:before="0" w:after="0"/>
              <w:ind w:left="0" w:right="0" w:hanging="0"/>
              <w:jc w:val="both"/>
              <w:rPr/>
            </w:pPr>
            <w:r>
              <w:rPr/>
              <w:t>​</w:t>
            </w:r>
          </w:p>
        </w:tc>
        <w:tc>
          <w:tcPr>
            <w:tcW w:w="2372" w:type="dxa"/>
            <w:gridSpan w:val="2"/>
            <w:tcBorders/>
            <w:shd w:fill="auto" w:val="clear"/>
            <w:vAlign w:val="center"/>
          </w:tcPr>
          <w:p>
            <w:pPr>
              <w:pStyle w:val="TableContents"/>
              <w:spacing w:before="0" w:after="0"/>
              <w:ind w:left="0" w:right="0" w:hanging="0"/>
              <w:jc w:val="both"/>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1773" w:name="snal-20221231xex10d19.htm"/>
      <w:bookmarkStart w:id="1774" w:name="kssnal20221231xex10d19"/>
      <w:bookmarkEnd w:id="1773"/>
      <w:bookmarkEnd w:id="1774"/>
      <w:r>
        <w:rPr>
          <w:rFonts w:ascii="Times New Roman;Times;serif" w:hAnsi="Times New Roman;Times;serif"/>
          <w:b/>
          <w:sz w:val="24"/>
        </w:rPr>
        <w:t>Exhibit 10.19</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FIRST AMENDMENT TO</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AMENDED AND RESTATED EXCLUSIVE SOFTWARE LICENSE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This First Amendment to AMENDED AND RESTATED EXCLUSIVE SOFTWARE LICENSE AGREEMENT (the “</w:t>
      </w:r>
      <w:r>
        <w:rPr>
          <w:rFonts w:ascii="Times New Roman;Times;serif" w:hAnsi="Times New Roman;Times;serif"/>
          <w:b/>
          <w:sz w:val="24"/>
        </w:rPr>
        <w:t>First Amendment</w:t>
      </w:r>
      <w:r>
        <w:rPr>
          <w:rFonts w:ascii="Times New Roman;Times;serif" w:hAnsi="Times New Roman;Times;serif"/>
          <w:sz w:val="20"/>
        </w:rPr>
        <w:t>”</w:t>
      </w:r>
      <w:r>
        <w:rPr>
          <w:rFonts w:ascii="Times New Roman;Times;serif" w:hAnsi="Times New Roman;Times;serif"/>
          <w:sz w:val="24"/>
        </w:rPr>
        <w:t>) is entered into as of March 10th, 2023,  by and between SDE, INC., a California corporation (“</w:t>
      </w:r>
      <w:r>
        <w:rPr>
          <w:rFonts w:ascii="Times New Roman;Times;serif" w:hAnsi="Times New Roman;Times;serif"/>
          <w:b/>
          <w:sz w:val="24"/>
        </w:rPr>
        <w:t>SDE</w:t>
      </w:r>
      <w:r>
        <w:rPr>
          <w:rFonts w:ascii="Times New Roman;Times;serif" w:hAnsi="Times New Roman;Times;serif"/>
          <w:sz w:val="20"/>
        </w:rPr>
        <w:t>”</w:t>
      </w:r>
      <w:r>
        <w:rPr>
          <w:rFonts w:ascii="Times New Roman;Times;serif" w:hAnsi="Times New Roman;Times;serif"/>
          <w:sz w:val="24"/>
        </w:rPr>
        <w:t>), and SNAIL GAMES USA, INC., a California corporation (“</w:t>
      </w:r>
      <w:r>
        <w:rPr>
          <w:rFonts w:ascii="Times New Roman;Times;serif" w:hAnsi="Times New Roman;Times;serif"/>
          <w:b/>
          <w:sz w:val="24"/>
        </w:rPr>
        <w:t>SGU</w:t>
      </w:r>
      <w:r>
        <w:rPr>
          <w:rFonts w:ascii="Times New Roman;Times;serif" w:hAnsi="Times New Roman;Times;serif"/>
          <w:sz w:val="20"/>
        </w:rPr>
        <w:t xml:space="preserve">” </w:t>
      </w:r>
      <w:r>
        <w:rPr>
          <w:rFonts w:ascii="Times New Roman;Times;serif" w:hAnsi="Times New Roman;Times;serif"/>
          <w:sz w:val="24"/>
        </w:rPr>
        <w:t>and together with SDE, the “</w:t>
      </w:r>
      <w:r>
        <w:rPr>
          <w:rFonts w:ascii="Times New Roman;Times;serif" w:hAnsi="Times New Roman;Times;serif"/>
          <w:b/>
          <w:sz w:val="24"/>
        </w:rPr>
        <w:t>Parties,</w:t>
      </w:r>
      <w:r>
        <w:rPr>
          <w:rFonts w:ascii="Times New Roman;Times;serif" w:hAnsi="Times New Roman;Times;serif"/>
          <w:sz w:val="20"/>
        </w:rPr>
        <w:t xml:space="preserve">” </w:t>
      </w:r>
      <w:r>
        <w:rPr>
          <w:rFonts w:ascii="Times New Roman;Times;serif" w:hAnsi="Times New Roman;Times;serif"/>
          <w:sz w:val="24"/>
        </w:rPr>
        <w:t>and each, a “</w:t>
      </w:r>
      <w:r>
        <w:rPr>
          <w:rFonts w:ascii="Times New Roman;Times;serif" w:hAnsi="Times New Roman;Times;serif"/>
          <w:b/>
          <w:sz w:val="24"/>
        </w:rPr>
        <w:t>Party</w:t>
      </w:r>
      <w:r>
        <w:rPr>
          <w:rFonts w:ascii="Times New Roman;Times;serif" w:hAnsi="Times New Roman;Times;serif"/>
          <w:sz w:val="20"/>
        </w:rPr>
        <w:t>”</w:t>
      </w:r>
      <w:r>
        <w:rPr>
          <w:rFonts w:ascii="Times New Roman;Times;serif" w:hAnsi="Times New Roman;Times;serif"/>
          <w:sz w:val="24"/>
        </w:rPr>
        <w:t>). Capitalized terms used and not defined in this First Amendment have the respective meanings assigned to them in the Existing Agreement (as defined below).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WHEREAS, the Parties have entered into that certain Amended and Restated Exclusive Software License Agreement, dated January 1, 2022 (the “</w:t>
      </w:r>
      <w:r>
        <w:rPr>
          <w:rFonts w:ascii="Times New Roman;Times;serif" w:hAnsi="Times New Roman;Times;serif"/>
          <w:b/>
          <w:sz w:val="24"/>
        </w:rPr>
        <w:t>Existing Agreement</w:t>
      </w:r>
      <w:r>
        <w:rPr>
          <w:rFonts w:ascii="Times New Roman;Times;serif" w:hAnsi="Times New Roman;Times;serif"/>
          <w:sz w:val="20"/>
        </w:rPr>
        <w:t>”</w:t>
      </w:r>
      <w:r>
        <w:rPr>
          <w:rFonts w:ascii="Times New Roman;Times;serif" w:hAnsi="Times New Roman;Times;serif"/>
          <w:sz w:val="24"/>
        </w:rPr>
        <w:t>); and</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WHEREAS, the Parties dsire to amend certain payment terms of the Existing Agreement as they relate to the timing of the DLC Payments.</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NOW, THEREFORE in consideration of the foregoing and other good and valuable consideration, the receipt and sufficiency of which are hereby acknowledged, the Parties agree as follows: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Amendment to the Existing Agreement</w:t>
      </w:r>
      <w:r>
        <w:rPr>
          <w:rFonts w:ascii="Times New Roman;Times;serif" w:hAnsi="Times New Roman;Times;serif"/>
          <w:sz w:val="24"/>
        </w:rPr>
        <w:t>. Section 4.03 of the Existing Agreement is amended by deleting it in its entirety and replacing it with the following:</w:t>
      </w:r>
    </w:p>
    <w:p>
      <w:pPr>
        <w:pStyle w:val="TextBody"/>
        <w:spacing w:before="0" w:after="240"/>
        <w:ind w:left="720" w:right="0" w:hanging="0"/>
        <w:jc w:val="both"/>
        <w:rPr/>
      </w:pPr>
      <w:r>
        <w:rPr/>
        <w:t>“</w:t>
      </w:r>
      <w:r>
        <w:rPr>
          <w:rFonts w:ascii="Times New Roman;Times;serif" w:hAnsi="Times New Roman;Times;serif"/>
          <w:sz w:val="24"/>
        </w:rPr>
        <w:t xml:space="preserve">Section 4.03. </w:t>
      </w:r>
      <w:r>
        <w:rPr>
          <w:rFonts w:ascii="Times New Roman;Times;serif" w:hAnsi="Times New Roman;Times;serif"/>
          <w:i/>
          <w:sz w:val="24"/>
        </w:rPr>
        <w:t>DLC Payments</w:t>
      </w:r>
      <w:r>
        <w:rPr>
          <w:rFonts w:ascii="Times New Roman;Times;serif" w:hAnsi="Times New Roman;Times;serif"/>
          <w:sz w:val="24"/>
        </w:rPr>
        <w:t>. Licensee shall pay Licensor a one-time payment of five million U.S. dollars ($5,000,000) with respect to the release of each DLC during the Term, which can be paid either (i) in whole or part, in advance of the DLC release, or (ii) in full, upon the DLC release, as mutually agreed upon by the parties from time to time, with respect to a DLC.  For the avoidance of doubt, no payment with respect to any DLC release shall exceed the sum of $5,000,000.  Such DLC shall be agreed to by the Parties pursuant to Section 3.02(a).</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Limitation of Amendment</w:t>
      </w:r>
      <w:r>
        <w:rPr>
          <w:rFonts w:ascii="Times New Roman;Times;serif" w:hAnsi="Times New Roman;Times;serif"/>
          <w:sz w:val="24"/>
        </w:rPr>
        <w:t>. Except as specifically set forth herein, this First Amendment shall not be deemed to waive, amend, or modify any term or condition of the Existing Agreement, which is hereby ratified and reaffirmed, and which shall remain in full force and effect according to its terms.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Counterparts; Electronic Signature</w:t>
      </w:r>
      <w:r>
        <w:rPr>
          <w:rFonts w:ascii="Times New Roman;Times;serif" w:hAnsi="Times New Roman;Times;serif"/>
          <w:sz w:val="24"/>
        </w:rPr>
        <w:t>. This First Amendment may be executed and delivered in two or more counterparts, each of which shall be deemed an original, and all of which shall be deemed to constitute one and the same agreement.  An executed counterpart of this First Amendment delivered by fax or other means of electronic communications shall be deemed to be an original and shall be as effective for all purposes as delivery of a manually executed counterpart.</w:t>
      </w:r>
    </w:p>
    <w:p>
      <w:pPr>
        <w:pStyle w:val="TextBody"/>
        <w:spacing w:before="0" w:after="160"/>
        <w:ind w:left="0" w:right="0" w:hanging="0"/>
        <w:rPr/>
      </w:pPr>
      <w:r>
        <w:rPr/>
        <w:t>​</w:t>
      </w:r>
    </w:p>
    <w:p>
      <w:pPr>
        <w:pStyle w:val="HorizontalLine"/>
        <w:rPr/>
      </w:pPr>
      <w:r>
        <w:rPr/>
      </w:r>
    </w:p>
    <w:p>
      <w:pPr>
        <w:pStyle w:val="TextBody"/>
        <w:spacing w:before="0" w:after="160"/>
        <w:ind w:left="0" w:right="0" w:hanging="0"/>
        <w:rPr/>
      </w:pPr>
      <w:r>
        <w:rPr/>
        <w:t>​</w:t>
      </w:r>
    </w:p>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IN WITNESS WHEREOF, the Parties have executed this First Amendment as of the date first written above.</w:t>
      </w:r>
    </w:p>
    <w:tbl>
      <w:tblPr>
        <w:tblW w:w="3249" w:type="dxa"/>
        <w:jc w:val="center"/>
        <w:tblInd w:w="0" w:type="dxa"/>
        <w:tblCellMar>
          <w:top w:w="0" w:type="dxa"/>
          <w:left w:w="0" w:type="dxa"/>
          <w:bottom w:w="0" w:type="dxa"/>
          <w:right w:w="0" w:type="dxa"/>
        </w:tblCellMar>
      </w:tblPr>
      <w:tblGrid>
        <w:gridCol w:w="124"/>
        <w:gridCol w:w="631"/>
        <w:gridCol w:w="1931"/>
        <w:gridCol w:w="409"/>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78740" cy="175260"/>
                      <wp:effectExtent l="0" t="0" r="0" b="0"/>
                      <wp:wrapNone/>
                      <wp:docPr id="356" name="Frame352"/>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0"/>
              <w:ind w:left="0" w:right="0" w:hanging="0"/>
              <w:rPr/>
            </w:pPr>
            <w:r>
              <w:rPr/>
              <w:t>​</w:t>
            </w:r>
          </w:p>
        </w:tc>
        <w:tc>
          <w:tcPr>
            <w:tcW w:w="1931" w:type="dxa"/>
            <w:tcBorders/>
            <w:shd w:fill="auto" w:val="clear"/>
            <w:vAlign w:val="center"/>
          </w:tcPr>
          <w:p>
            <w:pPr>
              <w:pStyle w:val="TableContents"/>
              <w:spacing w:before="0" w:after="0"/>
              <w:ind w:left="0" w:right="0" w:hanging="0"/>
              <w:rPr/>
            </w:pPr>
            <w:r>
              <w:rPr/>
              <w:t>​</w:t>
            </w:r>
          </w:p>
        </w:tc>
        <w:tc>
          <w:tcPr>
            <w:tcW w:w="563"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57505" cy="175260"/>
                      <wp:effectExtent l="0" t="0" r="0" b="0"/>
                      <wp:wrapNone/>
                      <wp:docPr id="357" name="Frame353"/>
                      <a:graphic xmlns:a="http://schemas.openxmlformats.org/drawingml/2006/main">
                        <a:graphicData uri="http://schemas.microsoft.com/office/word/2010/wordprocessingShape">
                          <wps:wsp>
                            <wps:cNvSpPr txBox="1"/>
                            <wps:spPr>
                              <a:xfrm>
                                <a:off x="0" y="0"/>
                                <a:ext cx="357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2340"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SNAIL GAMES USA, INC.</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2340" w:type="dxa"/>
            <w:gridSpan w:val="2"/>
            <w:tcBorders/>
            <w:shd w:fill="auto" w:val="clear"/>
            <w:vAlign w:val="center"/>
          </w:tcPr>
          <w:p>
            <w:pPr>
              <w:pStyle w:val="TableContents"/>
              <w:spacing w:before="0" w:after="0"/>
              <w:ind w:left="0" w:right="0" w:hanging="0"/>
              <w:rPr/>
            </w:pPr>
            <w:r>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1931" w:type="dxa"/>
            <w:tcBorders/>
            <w:shd w:fill="auto" w:val="clear"/>
            <w:vAlign w:val="center"/>
          </w:tcPr>
          <w:p>
            <w:pPr>
              <w:pStyle w:val="TableContents"/>
              <w:spacing w:before="0" w:after="0"/>
              <w:ind w:left="0" w:right="0" w:hanging="0"/>
              <w:rPr/>
            </w:pPr>
            <w:r>
              <w:rPr/>
              <w:t>​</w:t>
            </w:r>
          </w:p>
        </w:tc>
        <w:tc>
          <w:tcPr>
            <w:tcW w:w="563"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340"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JimTsai</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340"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JimTsai</w:t>
            </w:r>
            <w:r>
              <w:rPr>
                <w:rFonts w:ascii="Times New Roman;Times;serif" w:hAnsi="Times New Roman;Times;serif"/>
                <w:sz w:val="20"/>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34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CEO</w:t>
            </w:r>
            <w:r>
              <w:rPr>
                <w:rFonts w:ascii="Times New Roman;Times;serif" w:hAnsi="Times New Roman;Times;serif"/>
                <w:sz w:val="20"/>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0"/>
        <w:ind w:left="0" w:right="0" w:hanging="0"/>
        <w:jc w:val="center"/>
        <w:rPr/>
      </w:pPr>
      <w:r>
        <w:rPr/>
        <w:t>​</w:t>
      </w:r>
    </w:p>
    <w:tbl>
      <w:tblPr>
        <w:tblW w:w="2139" w:type="dxa"/>
        <w:jc w:val="center"/>
        <w:tblInd w:w="0" w:type="dxa"/>
        <w:tblCellMar>
          <w:top w:w="0" w:type="dxa"/>
          <w:left w:w="0" w:type="dxa"/>
          <w:bottom w:w="0" w:type="dxa"/>
          <w:right w:w="0" w:type="dxa"/>
        </w:tblCellMar>
      </w:tblPr>
      <w:tblGrid>
        <w:gridCol w:w="124"/>
        <w:gridCol w:w="631"/>
        <w:gridCol w:w="1015"/>
        <w:gridCol w:w="215"/>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78740" cy="175260"/>
                      <wp:effectExtent l="0" t="0" r="0" b="0"/>
                      <wp:wrapNone/>
                      <wp:docPr id="358" name="Frame354"/>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0"/>
              <w:ind w:left="0" w:right="0" w:hanging="0"/>
              <w:rPr/>
            </w:pPr>
            <w:r>
              <w:rPr/>
              <w:t>​</w:t>
            </w:r>
          </w:p>
        </w:tc>
        <w:tc>
          <w:tcPr>
            <w:tcW w:w="1015" w:type="dxa"/>
            <w:tcBorders/>
            <w:shd w:fill="auto" w:val="clear"/>
            <w:vAlign w:val="center"/>
          </w:tcPr>
          <w:p>
            <w:pPr>
              <w:pStyle w:val="TableContents"/>
              <w:spacing w:before="0" w:after="0"/>
              <w:ind w:left="0" w:right="0" w:hanging="0"/>
              <w:rPr/>
            </w:pPr>
            <w:r>
              <w:rPr/>
              <w:t>​</w:t>
            </w:r>
          </w:p>
        </w:tc>
        <w:tc>
          <w:tcPr>
            <w:tcW w:w="369"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34315" cy="175260"/>
                      <wp:effectExtent l="0" t="0" r="0" b="0"/>
                      <wp:wrapNone/>
                      <wp:docPr id="359" name="Frame355"/>
                      <a:graphic xmlns:a="http://schemas.openxmlformats.org/drawingml/2006/main">
                        <a:graphicData uri="http://schemas.microsoft.com/office/word/2010/wordprocessingShape">
                          <wps:wsp>
                            <wps:cNvSpPr txBox="1"/>
                            <wps:spPr>
                              <a:xfrm>
                                <a:off x="0" y="0"/>
                                <a:ext cx="234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1230"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SDE, INC.</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1230" w:type="dxa"/>
            <w:gridSpan w:val="2"/>
            <w:tcBorders/>
            <w:shd w:fill="auto" w:val="clear"/>
            <w:vAlign w:val="center"/>
          </w:tcPr>
          <w:p>
            <w:pPr>
              <w:pStyle w:val="TableContents"/>
              <w:spacing w:before="0" w:after="0"/>
              <w:ind w:left="0" w:right="0" w:hanging="0"/>
              <w:rPr/>
            </w:pPr>
            <w:r>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1015" w:type="dxa"/>
            <w:tcBorders/>
            <w:shd w:fill="auto" w:val="clear"/>
            <w:vAlign w:val="center"/>
          </w:tcPr>
          <w:p>
            <w:pPr>
              <w:pStyle w:val="TableContents"/>
              <w:spacing w:before="0" w:after="0"/>
              <w:ind w:left="0" w:right="0" w:hanging="0"/>
              <w:rPr/>
            </w:pPr>
            <w:r>
              <w:rPr/>
              <w:t>​</w:t>
            </w:r>
          </w:p>
        </w:tc>
        <w:tc>
          <w:tcPr>
            <w:tcW w:w="369"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230"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Ying Zhou</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1230"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Ying Zhou</w:t>
            </w:r>
            <w:r>
              <w:rPr>
                <w:rFonts w:ascii="Times New Roman;Times;serif" w:hAnsi="Times New Roman;Times;serif"/>
                <w:sz w:val="20"/>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1230" w:type="dxa"/>
            <w:gridSpan w:val="2"/>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5"/>
              </w:rPr>
              <w:t>CEO</w:t>
            </w:r>
            <w:r>
              <w:rPr>
                <w:rFonts w:ascii="Times New Roman;Times;serif" w:hAnsi="Times New Roman;Times;serif"/>
                <w:sz w:val="20"/>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pBdr/>
        <w:spacing w:before="0" w:after="0"/>
        <w:ind w:left="0" w:right="0" w:hanging="907"/>
        <w:jc w:val="right"/>
        <w:rPr>
          <w:rFonts w:ascii="Times New Roman;Times;serif" w:hAnsi="Times New Roman;Times;serif"/>
          <w:i/>
          <w:sz w:val="20"/>
        </w:rPr>
      </w:pPr>
      <w:bookmarkStart w:id="1775" w:name="snal-20221231xex23d1.htm"/>
      <w:bookmarkStart w:id="1776" w:name="kssnal20221231xex23d1"/>
      <w:bookmarkEnd w:id="1775"/>
      <w:bookmarkEnd w:id="1776"/>
      <w:r>
        <w:rPr>
          <w:rFonts w:ascii="Times New Roman;Times;serif" w:hAnsi="Times New Roman;Times;serif"/>
          <w:i/>
          <w:sz w:val="20"/>
        </w:rPr>
        <w:t>Exhibit 23.1</w:t>
      </w:r>
    </w:p>
    <w:p>
      <w:pPr>
        <w:pStyle w:val="TextBody"/>
        <w:spacing w:before="0" w:after="120"/>
        <w:ind w:left="0" w:right="0" w:hanging="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Snail, Inc.</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20"/>
        </w:rPr>
        <w:t>Culver City, California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 on Form S-8 (No.333-267483) of Snail, Inc. of our report dated March 29, 2023, relating to the consolidated financial statements, which appears in this Form 10-K.</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 BDO USA, LLP</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Costa Mesa, California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March 29, 2023</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777" w:name="snal-20221231xex31d1.htm"/>
      <w:bookmarkStart w:id="1778" w:name="kssnal20221231xex31d1"/>
      <w:bookmarkEnd w:id="1777"/>
      <w:bookmarkEnd w:id="1778"/>
      <w:r>
        <w:rPr>
          <w:rFonts w:ascii="Times New Roman;Times;serif" w:hAnsi="Times New Roman;Times;serif"/>
          <w:b/>
          <w:sz w:val="20"/>
        </w:rPr>
        <w:t>Exhibit 31.1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 Jim S. Tsai, certify that:</w:t>
      </w:r>
    </w:p>
    <w:tbl>
      <w:tblPr>
        <w:tblW w:w="8635" w:type="dxa"/>
        <w:jc w:val="left"/>
        <w:tblInd w:w="0" w:type="dxa"/>
        <w:tblCellMar>
          <w:top w:w="0" w:type="dxa"/>
          <w:left w:w="0" w:type="dxa"/>
          <w:bottom w:w="0" w:type="dxa"/>
          <w:right w:w="0" w:type="dxa"/>
        </w:tblCellMar>
      </w:tblPr>
      <w:tblGrid>
        <w:gridCol w:w="170"/>
        <w:gridCol w:w="8465"/>
      </w:tblGrid>
      <w:tr>
        <w:trPr/>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1.</w:t>
            </w:r>
          </w:p>
        </w:tc>
        <w:tc>
          <w:tcPr>
            <w:tcW w:w="846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 have reviewed this Annual Report on Form 10-K (the “Annual Report”) of Snail, Inc. (the “Company”);</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2.</w:t>
            </w:r>
          </w:p>
        </w:tc>
        <w:tc>
          <w:tcPr>
            <w:tcW w:w="1006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3.</w:t>
            </w:r>
          </w:p>
        </w:tc>
        <w:tc>
          <w:tcPr>
            <w:tcW w:w="1006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Annual Report, fairly present in all material respects the financial condition, results of operations and cash flows of the Company as of, and for, the periods presented in this Annual Report;</w:t>
            </w:r>
          </w:p>
        </w:tc>
      </w:tr>
    </w:tbl>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4.</w:t>
            </w:r>
          </w:p>
        </w:tc>
        <w:tc>
          <w:tcPr>
            <w:tcW w:w="1005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for the Company and have:</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Annual Report is being prepared;</w:t>
            </w:r>
          </w:p>
        </w:tc>
      </w:tr>
    </w:tbl>
    <w:tbl>
      <w:tblPr>
        <w:tblW w:w="8073" w:type="dxa"/>
        <w:jc w:val="left"/>
        <w:tblInd w:w="0" w:type="dxa"/>
        <w:tblCellMar>
          <w:top w:w="0" w:type="dxa"/>
          <w:left w:w="0" w:type="dxa"/>
          <w:bottom w:w="0" w:type="dxa"/>
          <w:right w:w="0" w:type="dxa"/>
        </w:tblCellMar>
      </w:tblPr>
      <w:tblGrid>
        <w:gridCol w:w="23"/>
        <w:gridCol w:w="170"/>
        <w:gridCol w:w="78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w:t>
            </w:r>
          </w:p>
        </w:tc>
        <w:tc>
          <w:tcPr>
            <w:tcW w:w="788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[Paragraph intentionally omitted in accordance with SEC Release Nos. 34-47986 and 34-54942];</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Disclosed in this Annual Report any change in the Company’s internal control over financial reporting that occurred during the Company's fourth fiscal quarter that has materially affected, or is reasonably likely to materially affect, the Company's internal control over financial reporting; and</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March 29, 2023</w:t>
      </w:r>
    </w:p>
    <w:p>
      <w:pPr>
        <w:pStyle w:val="TextBody"/>
        <w:spacing w:before="0" w:after="0"/>
        <w:ind w:left="0" w:right="0" w:hanging="0"/>
        <w:rPr/>
      </w:pPr>
      <w:r>
        <w:rPr/>
        <w:t>​</w:t>
      </w:r>
    </w:p>
    <w:tbl>
      <w:tblPr>
        <w:tblW w:w="2600" w:type="dxa"/>
        <w:jc w:val="center"/>
        <w:tblInd w:w="0" w:type="dxa"/>
        <w:tblCellMar>
          <w:top w:w="0" w:type="dxa"/>
          <w:left w:w="0" w:type="dxa"/>
          <w:bottom w:w="28" w:type="dxa"/>
          <w:right w:w="0" w:type="dxa"/>
        </w:tblCellMar>
      </w:tblPr>
      <w:tblGrid>
        <w:gridCol w:w="2446"/>
        <w:gridCol w:w="154"/>
      </w:tblGrid>
      <w:tr>
        <w:trPr/>
        <w:tc>
          <w:tcPr>
            <w:tcW w:w="244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 Jim S. Tsai</w:t>
            </w:r>
          </w:p>
        </w:tc>
        <w:tc>
          <w:tcPr>
            <w:tcW w:w="154" w:type="dxa"/>
            <w:tcBorders>
              <w:bottom w:val="single" w:sz="2" w:space="0" w:color="000000"/>
            </w:tcBorders>
            <w:shd w:fill="auto" w:val="clear"/>
            <w:vAlign w:val="center"/>
          </w:tcPr>
          <w:p>
            <w:pPr>
              <w:pStyle w:val="TableContents"/>
              <w:spacing w:before="0" w:after="0"/>
              <w:ind w:left="0" w:right="0" w:hanging="0"/>
              <w:rPr/>
            </w:pPr>
            <w:r>
              <w:rPr/>
              <w:t>​</w:t>
            </w:r>
          </w:p>
        </w:tc>
      </w:tr>
      <w:tr>
        <w:trPr/>
        <w:tc>
          <w:tcPr>
            <w:tcW w:w="244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Jim S. Tsai</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24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24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c>
          <w:tcPr>
            <w:tcW w:w="154"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779" w:name="snal-20221231xex31d2.htm"/>
      <w:bookmarkStart w:id="1780" w:name="kssnal20221231xex31d2"/>
      <w:bookmarkEnd w:id="1779"/>
      <w:bookmarkEnd w:id="1780"/>
      <w:r>
        <w:rPr>
          <w:rFonts w:ascii="Times New Roman;Times;serif" w:hAnsi="Times New Roman;Times;serif"/>
          <w:b/>
          <w:sz w:val="20"/>
        </w:rPr>
        <w:t>Exhibit 31.2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 Heidy Chow, certify that:</w:t>
      </w:r>
    </w:p>
    <w:tbl>
      <w:tblPr>
        <w:tblW w:w="8635" w:type="dxa"/>
        <w:jc w:val="left"/>
        <w:tblInd w:w="0" w:type="dxa"/>
        <w:tblCellMar>
          <w:top w:w="0" w:type="dxa"/>
          <w:left w:w="0" w:type="dxa"/>
          <w:bottom w:w="0" w:type="dxa"/>
          <w:right w:w="0" w:type="dxa"/>
        </w:tblCellMar>
      </w:tblPr>
      <w:tblGrid>
        <w:gridCol w:w="170"/>
        <w:gridCol w:w="8465"/>
      </w:tblGrid>
      <w:tr>
        <w:trPr/>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1.</w:t>
            </w:r>
          </w:p>
        </w:tc>
        <w:tc>
          <w:tcPr>
            <w:tcW w:w="846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 have reviewed this Annual Report on Form 10-K (the “Annual Report”) of Snail, Inc. (the “Company”);</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2.</w:t>
            </w:r>
          </w:p>
        </w:tc>
        <w:tc>
          <w:tcPr>
            <w:tcW w:w="1006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3.</w:t>
            </w:r>
          </w:p>
        </w:tc>
        <w:tc>
          <w:tcPr>
            <w:tcW w:w="1006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Annual Report, fairly present in all material respects the financial condition, results of operations and cash flows of the Company as of, and for, the periods presented in this Annual Report;</w:t>
            </w:r>
          </w:p>
        </w:tc>
      </w:tr>
    </w:tbl>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4.</w:t>
            </w:r>
          </w:p>
        </w:tc>
        <w:tc>
          <w:tcPr>
            <w:tcW w:w="10054"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for the Company and have:</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Annual Report is being prepared;</w:t>
            </w:r>
          </w:p>
        </w:tc>
      </w:tr>
    </w:tbl>
    <w:tbl>
      <w:tblPr>
        <w:tblW w:w="8073" w:type="dxa"/>
        <w:jc w:val="left"/>
        <w:tblInd w:w="0" w:type="dxa"/>
        <w:tblCellMar>
          <w:top w:w="0" w:type="dxa"/>
          <w:left w:w="0" w:type="dxa"/>
          <w:bottom w:w="0" w:type="dxa"/>
          <w:right w:w="0" w:type="dxa"/>
        </w:tblCellMar>
      </w:tblPr>
      <w:tblGrid>
        <w:gridCol w:w="23"/>
        <w:gridCol w:w="170"/>
        <w:gridCol w:w="78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w:t>
            </w:r>
          </w:p>
        </w:tc>
        <w:tc>
          <w:tcPr>
            <w:tcW w:w="788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[Paragraph intentionally omitted in accordance with SEC Release Nos. 34-47986 and 34-54942];</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Disclosed in this Annual Report any change in the Company’s internal control over financial reporting that occurred during the Company’s fourth fiscal quarter that has materially affected, or is reasonably likely to materially affect, the Company’s internal control over financial reporting; and</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March 29, 2023</w:t>
      </w:r>
    </w:p>
    <w:p>
      <w:pPr>
        <w:pStyle w:val="TextBody"/>
        <w:spacing w:before="0" w:after="0"/>
        <w:ind w:left="0" w:right="0" w:hanging="0"/>
        <w:rPr/>
      </w:pPr>
      <w:r>
        <w:rPr/>
        <w:t>​</w:t>
      </w:r>
    </w:p>
    <w:tbl>
      <w:tblPr>
        <w:tblW w:w="2540" w:type="dxa"/>
        <w:jc w:val="center"/>
        <w:tblInd w:w="0" w:type="dxa"/>
        <w:tblCellMar>
          <w:top w:w="0" w:type="dxa"/>
          <w:left w:w="0" w:type="dxa"/>
          <w:bottom w:w="28" w:type="dxa"/>
          <w:right w:w="0" w:type="dxa"/>
        </w:tblCellMar>
      </w:tblPr>
      <w:tblGrid>
        <w:gridCol w:w="2386"/>
        <w:gridCol w:w="154"/>
      </w:tblGrid>
      <w:tr>
        <w:trPr/>
        <w:tc>
          <w:tcPr>
            <w:tcW w:w="238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 Heidy Chow</w:t>
            </w:r>
          </w:p>
        </w:tc>
        <w:tc>
          <w:tcPr>
            <w:tcW w:w="154" w:type="dxa"/>
            <w:tcBorders>
              <w:bottom w:val="single" w:sz="2" w:space="0" w:color="000000"/>
            </w:tcBorders>
            <w:shd w:fill="auto" w:val="clear"/>
            <w:vAlign w:val="center"/>
          </w:tcPr>
          <w:p>
            <w:pPr>
              <w:pStyle w:val="TableContents"/>
              <w:spacing w:before="0" w:after="0"/>
              <w:ind w:left="0" w:right="0" w:hanging="0"/>
              <w:rPr/>
            </w:pPr>
            <w:r>
              <w:rPr/>
              <w:t>​</w:t>
            </w:r>
          </w:p>
        </w:tc>
      </w:tr>
      <w:tr>
        <w:trPr/>
        <w:tc>
          <w:tcPr>
            <w:tcW w:w="238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Heidy Chow</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23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23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c>
          <w:tcPr>
            <w:tcW w:w="154"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781" w:name="snal-20221231xex32d1.htm"/>
      <w:bookmarkStart w:id="1782" w:name="kssnal20221231xex32d1"/>
      <w:bookmarkEnd w:id="1781"/>
      <w:bookmarkEnd w:id="1782"/>
      <w:r>
        <w:rPr>
          <w:rFonts w:ascii="Times New Roman;Times;serif" w:hAnsi="Times New Roman;Times;serif"/>
          <w:b/>
          <w:sz w:val="20"/>
        </w:rPr>
        <w:t>Exhibit 32.1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 Jim S. Tsai, Chief Executive Officer of Snail, Inc. (the “Company”), certify, pursuant to 18 U.S.C. Section 1350, as adopted pursuant to Section 906 of the Sarbanes-Oxley Act of 2002, that, to my knowledge:</w:t>
      </w:r>
    </w:p>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1.</w:t>
            </w:r>
          </w:p>
        </w:tc>
        <w:tc>
          <w:tcPr>
            <w:tcW w:w="10058"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Annual Report of the Company on Form 10-K for the fiscal year ended December 31, 2022 (the “Annual Report”) fully complies with the requirements of Section 13(a) or Section 15(d) of the Securities Exchange Act of 1934; and</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2.</w:t>
            </w:r>
          </w:p>
        </w:tc>
        <w:tc>
          <w:tcPr>
            <w:tcW w:w="1004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information contained in the Annual Report fairly presents, in all material respects, the financial condition and results of operations of the Company.</w:t>
            </w:r>
          </w:p>
        </w:tc>
      </w:tr>
    </w:tbl>
    <w:p>
      <w:pPr>
        <w:pStyle w:val="TextBody"/>
        <w:spacing w:before="0" w:after="30"/>
        <w:ind w:left="0" w:right="0" w:hanging="0"/>
        <w:rPr>
          <w:rFonts w:ascii="Times New Roman;Times;serif" w:hAnsi="Times New Roman;Times;serif"/>
          <w:sz w:val="20"/>
        </w:rPr>
      </w:pPr>
      <w:r>
        <w:rPr>
          <w:rFonts w:ascii="Times New Roman;Times;serif" w:hAnsi="Times New Roman;Times;serif"/>
          <w:sz w:val="20"/>
        </w:rPr>
        <w:t>Date: March 29, 2023</w:t>
      </w:r>
    </w:p>
    <w:p>
      <w:pPr>
        <w:pStyle w:val="TextBody"/>
        <w:spacing w:before="0" w:after="0"/>
        <w:ind w:left="0" w:right="0" w:hanging="0"/>
        <w:rPr/>
      </w:pPr>
      <w:r>
        <w:rPr/>
        <w:t>​</w:t>
      </w:r>
    </w:p>
    <w:tbl>
      <w:tblPr>
        <w:tblW w:w="2600" w:type="dxa"/>
        <w:jc w:val="center"/>
        <w:tblInd w:w="0" w:type="dxa"/>
        <w:tblCellMar>
          <w:top w:w="0" w:type="dxa"/>
          <w:left w:w="0" w:type="dxa"/>
          <w:bottom w:w="28" w:type="dxa"/>
          <w:right w:w="0" w:type="dxa"/>
        </w:tblCellMar>
      </w:tblPr>
      <w:tblGrid>
        <w:gridCol w:w="2446"/>
        <w:gridCol w:w="154"/>
      </w:tblGrid>
      <w:tr>
        <w:trPr/>
        <w:tc>
          <w:tcPr>
            <w:tcW w:w="244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 Jim S. Tsai</w:t>
            </w:r>
          </w:p>
        </w:tc>
        <w:tc>
          <w:tcPr>
            <w:tcW w:w="154" w:type="dxa"/>
            <w:tcBorders>
              <w:bottom w:val="single" w:sz="2" w:space="0" w:color="000000"/>
            </w:tcBorders>
            <w:shd w:fill="auto" w:val="clear"/>
            <w:vAlign w:val="center"/>
          </w:tcPr>
          <w:p>
            <w:pPr>
              <w:pStyle w:val="TableContents"/>
              <w:spacing w:before="0" w:after="0"/>
              <w:ind w:left="0" w:right="0" w:hanging="0"/>
              <w:rPr/>
            </w:pPr>
            <w:r>
              <w:rPr/>
              <w:t>​</w:t>
            </w:r>
          </w:p>
        </w:tc>
      </w:tr>
      <w:tr>
        <w:trPr/>
        <w:tc>
          <w:tcPr>
            <w:tcW w:w="244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Jim S. Tsai</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24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24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c>
          <w:tcPr>
            <w:tcW w:w="154"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783" w:name="snal-20221231xex32d2.htm"/>
      <w:bookmarkStart w:id="1784" w:name="kssnal20221231xex32d2"/>
      <w:bookmarkEnd w:id="1783"/>
      <w:bookmarkEnd w:id="1784"/>
      <w:r>
        <w:rPr>
          <w:rFonts w:ascii="Times New Roman;Times;serif" w:hAnsi="Times New Roman;Times;serif"/>
          <w:b/>
          <w:sz w:val="20"/>
        </w:rPr>
        <w:t>Exhibit 32.2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 Heidy Chow, Chief Financial Officer of Snail, Inc. (the “Company”), certify, pursuant to 18 U.S.C. Section 1350, as adopted pursuant to Section 906 of the Sarbanes-Oxley Act of 2002, that, to my knowledge:</w:t>
      </w:r>
    </w:p>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1.</w:t>
            </w:r>
          </w:p>
        </w:tc>
        <w:tc>
          <w:tcPr>
            <w:tcW w:w="10058"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Annual Report of the Company on Form 10-K for the fiscal year ended December 31, 2022 (the “Annual Report”) fully complies with the requirements of Section 13(a) or Section 15(d) of the Securities Exchange Act of 1934; and</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2.</w:t>
            </w:r>
          </w:p>
        </w:tc>
        <w:tc>
          <w:tcPr>
            <w:tcW w:w="1004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information contained in the Annual Report fairly presents, in all material respects, the financial condition and results of operations of the Company.</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March 29, 2023</w:t>
      </w:r>
    </w:p>
    <w:p>
      <w:pPr>
        <w:pStyle w:val="TextBody"/>
        <w:spacing w:before="0" w:after="0"/>
        <w:ind w:left="0" w:right="0" w:hanging="0"/>
        <w:rPr/>
      </w:pPr>
      <w:r>
        <w:rPr/>
        <w:t>​</w:t>
      </w:r>
    </w:p>
    <w:tbl>
      <w:tblPr>
        <w:tblW w:w="2540" w:type="dxa"/>
        <w:jc w:val="center"/>
        <w:tblInd w:w="0" w:type="dxa"/>
        <w:tblCellMar>
          <w:top w:w="0" w:type="dxa"/>
          <w:left w:w="0" w:type="dxa"/>
          <w:bottom w:w="28" w:type="dxa"/>
          <w:right w:w="0" w:type="dxa"/>
        </w:tblCellMar>
      </w:tblPr>
      <w:tblGrid>
        <w:gridCol w:w="2386"/>
        <w:gridCol w:w="154"/>
      </w:tblGrid>
      <w:tr>
        <w:trPr/>
        <w:tc>
          <w:tcPr>
            <w:tcW w:w="238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 Heidy Chow</w:t>
            </w:r>
          </w:p>
        </w:tc>
        <w:tc>
          <w:tcPr>
            <w:tcW w:w="154" w:type="dxa"/>
            <w:tcBorders>
              <w:bottom w:val="single" w:sz="2" w:space="0" w:color="000000"/>
            </w:tcBorders>
            <w:shd w:fill="auto" w:val="clear"/>
            <w:vAlign w:val="center"/>
          </w:tcPr>
          <w:p>
            <w:pPr>
              <w:pStyle w:val="TableContents"/>
              <w:spacing w:before="0" w:after="0"/>
              <w:ind w:left="0" w:right="0" w:hanging="0"/>
              <w:rPr/>
            </w:pPr>
            <w:r>
              <w:rPr/>
              <w:t>​</w:t>
            </w:r>
          </w:p>
        </w:tc>
      </w:tr>
      <w:tr>
        <w:trPr/>
        <w:tc>
          <w:tcPr>
            <w:tcW w:w="238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Heidy Chow</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23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23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c>
          <w:tcPr>
            <w:tcW w:w="154"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86894/000110465922118795/tm2128835d28_ex3-1.htm" TargetMode="External"/><Relationship Id="rId4" Type="http://schemas.openxmlformats.org/officeDocument/2006/relationships/hyperlink" Target="https://www.sec.gov/Archives/edgar/data/1886894/000110465922118795/tm2128835d28_ex3-2.htm" TargetMode="External"/><Relationship Id="rId5" Type="http://schemas.openxmlformats.org/officeDocument/2006/relationships/hyperlink" Target="https://www.sec.gov/Archives/edgar/data/1886894/000110465922100894/tm2128835d11_ex4-1.htm" TargetMode="External"/><Relationship Id="rId6" Type="http://schemas.openxmlformats.org/officeDocument/2006/relationships/hyperlink" Target="https://www.sec.gov/Archives/edgar/data/1886894/000110465922109030/tm2128835d14_ex4-2.htm" TargetMode="External"/><Relationship Id="rId7" Type="http://schemas.openxmlformats.org/officeDocument/2006/relationships/hyperlink" Target="https://www.sec.gov/Archives/edgar/data/1886894/000110465922109030/tm2128835d14_ex10-12.htm" TargetMode="External"/><Relationship Id="rId8" Type="http://schemas.openxmlformats.org/officeDocument/2006/relationships/hyperlink" Target="https://www.sec.gov/Archives/edgar/data/1886894/000110465922127433/snal-20220930xex10d2.htm" TargetMode="External"/><Relationship Id="rId9" Type="http://schemas.openxmlformats.org/officeDocument/2006/relationships/hyperlink" Target="https://www.sec.gov/Archives/edgar/data/1886894/000110465922109030/tm2128835d14_ex10-5.htm" TargetMode="External"/><Relationship Id="rId10" Type="http://schemas.openxmlformats.org/officeDocument/2006/relationships/hyperlink" Target="https://www.sec.gov/Archives/edgar/data/1886894/000110465922111604/tm2128835d17_ex10-11.htm" TargetMode="External"/><Relationship Id="rId11" Type="http://schemas.openxmlformats.org/officeDocument/2006/relationships/hyperlink" Target="https://www.sec.gov/Archives/edgar/data/1886894/000110465922109030/tm2128835d14_ex10-15.htm" TargetMode="External"/><Relationship Id="rId12" Type="http://schemas.openxmlformats.org/officeDocument/2006/relationships/hyperlink" Target="https://www.sec.gov/Archives/edgar/data/1886894/000110465922109030/tm2128835d14_ex10-16.htm" TargetMode="External"/><Relationship Id="rId13" Type="http://schemas.openxmlformats.org/officeDocument/2006/relationships/hyperlink" Target="https://www.sec.gov/Archives/edgar/data/1886894/000110465922100894/tm2128835d11_ex10-1.htm" TargetMode="External"/><Relationship Id="rId14" Type="http://schemas.openxmlformats.org/officeDocument/2006/relationships/hyperlink" Target="https://www.sec.gov/Archives/edgar/data/1886894/000110465922100894/tm2128835d11_ex10-2.htm" TargetMode="External"/><Relationship Id="rId15" Type="http://schemas.openxmlformats.org/officeDocument/2006/relationships/hyperlink" Target="https://www.sec.gov/Archives/edgar/data/1886894/000110465922100894/tm2128835d11_ex10-3.htm" TargetMode="External"/><Relationship Id="rId16" Type="http://schemas.openxmlformats.org/officeDocument/2006/relationships/hyperlink" Target="https://www.sec.gov/Archives/edgar/data/1886894/000110465922109030/tm2128835d14_ex10-13.htm" TargetMode="External"/><Relationship Id="rId17" Type="http://schemas.openxmlformats.org/officeDocument/2006/relationships/hyperlink" Target="https://www.sec.gov/Archives/edgar/data/1886894/000110465922109030/tm2128835d14_ex10-14.htm" TargetMode="External"/><Relationship Id="rId18" Type="http://schemas.openxmlformats.org/officeDocument/2006/relationships/hyperlink" Target="https://www.sec.gov/Archives/edgar/data/1886894/000110465922100894/tm2128835d11_ex10-4.htm" TargetMode="External"/><Relationship Id="rId19" Type="http://schemas.openxmlformats.org/officeDocument/2006/relationships/hyperlink" Target="https://www.sec.gov/Archives/edgar/data/1886894/000110465922100894/tm2128835d11_ex10-6.htm" TargetMode="External"/><Relationship Id="rId20" Type="http://schemas.openxmlformats.org/officeDocument/2006/relationships/hyperlink" Target="https://www.sec.gov/Archives/edgar/data/1886894/000110465922100894/tm2128835d11_ex10-7.htm" TargetMode="External"/><Relationship Id="rId21" Type="http://schemas.openxmlformats.org/officeDocument/2006/relationships/hyperlink" Target="https://www.sec.gov/Archives/edgar/data/1886894/000110465922100894/tm2128835d11_ex10-8.htm" TargetMode="External"/><Relationship Id="rId22" Type="http://schemas.openxmlformats.org/officeDocument/2006/relationships/hyperlink" Target="https://www.sec.gov/Archives/edgar/data/1886894/000110465922100894/tm2128835d11_ex10-9.htm" TargetMode="External"/><Relationship Id="rId23" Type="http://schemas.openxmlformats.org/officeDocument/2006/relationships/hyperlink" Target="https://www.sec.gov/Archives/edgar/data/1886894/000110465922100894/tm2128835d11_ex10-10.htm" TargetMode="External"/><Relationship Id="rId24" Type="http://schemas.openxmlformats.org/officeDocument/2006/relationships/hyperlink" Target="https://www.sec.gov/Archives/edgar/data/1886894/000110465922109030/tm2128835d14_ex21-1.htm" TargetMode="External"/><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62562</Words>
  <CharactersWithSpaces>407414</CharactersWithSpaces>
  <Paragraphs>7661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