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434975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118745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122555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3340" w:right="1280" w:hanging="3332"/>
        <w:spacing w:after="0" w:line="355" w:lineRule="auto"/>
        <w:tabs>
          <w:tab w:leader="none" w:pos="45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3000"/>
        <w:spacing w:after="0"/>
        <w:tabs>
          <w:tab w:leader="none" w:pos="5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3258820</wp:posOffset>
            </wp:positionH>
            <wp:positionV relativeFrom="paragraph">
              <wp:posOffset>-4445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001-41556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123190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SNAIL,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94615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jc w:val="center"/>
              <w:ind w:left="2239"/>
              <w:spacing w:after="0"/>
              <w:rPr>
                <w:sz w:val="20"/>
                <w:szCs w:val="20"/>
                <w:color w:val="auto"/>
              </w:rPr>
            </w:pPr>
            <w:r>
              <w:rPr>
                <w:rFonts w:ascii="Arial" w:cs="Arial" w:eastAsia="Arial" w:hAnsi="Arial"/>
                <w:sz w:val="16"/>
                <w:szCs w:val="16"/>
                <w:b w:val="1"/>
                <w:bCs w:val="1"/>
                <w:color w:val="auto"/>
                <w:w w:val="91"/>
              </w:rPr>
              <w:t>Delaware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Pr>
          <w:p>
            <w:pPr>
              <w:jc w:val="center"/>
              <w:ind w:right="2239"/>
              <w:spacing w:after="0"/>
              <w:rPr>
                <w:sz w:val="20"/>
                <w:szCs w:val="20"/>
                <w:color w:val="auto"/>
              </w:rPr>
            </w:pPr>
            <w:r>
              <w:rPr>
                <w:rFonts w:ascii="Arial" w:cs="Arial" w:eastAsia="Arial" w:hAnsi="Arial"/>
                <w:sz w:val="16"/>
                <w:szCs w:val="16"/>
                <w:b w:val="1"/>
                <w:bCs w:val="1"/>
                <w:color w:val="auto"/>
                <w:w w:val="91"/>
              </w:rPr>
              <w:t>88-4146991</w:t>
            </w:r>
          </w:p>
        </w:tc>
      </w:tr>
      <w:tr>
        <w:trPr>
          <w:trHeight w:val="203"/>
        </w:trPr>
        <w:tc>
          <w:tcPr>
            <w:tcW w:w="6380" w:type="dxa"/>
            <w:vAlign w:val="bottom"/>
            <w:gridSpan w:val="6"/>
          </w:tcPr>
          <w:p>
            <w:pPr>
              <w:jc w:val="center"/>
              <w:ind w:right="580"/>
              <w:spacing w:after="0"/>
              <w:rPr>
                <w:sz w:val="20"/>
                <w:szCs w:val="20"/>
                <w:color w:val="auto"/>
              </w:rPr>
            </w:pPr>
            <w:r>
              <w:rPr>
                <w:rFonts w:ascii="Arial" w:cs="Arial" w:eastAsia="Arial" w:hAnsi="Arial"/>
                <w:sz w:val="16"/>
                <w:szCs w:val="16"/>
                <w:color w:val="auto"/>
                <w:w w:val="93"/>
              </w:rPr>
              <w:t>(State or other jurisdiction of</w:t>
            </w:r>
          </w:p>
        </w:tc>
        <w:tc>
          <w:tcPr>
            <w:tcW w:w="3540" w:type="dxa"/>
            <w:vAlign w:val="bottom"/>
          </w:tcPr>
          <w:p>
            <w:pPr>
              <w:jc w:val="center"/>
              <w:ind w:right="2239"/>
              <w:spacing w:after="0"/>
              <w:rPr>
                <w:sz w:val="20"/>
                <w:szCs w:val="20"/>
                <w:color w:val="auto"/>
              </w:rPr>
            </w:pPr>
            <w:r>
              <w:rPr>
                <w:rFonts w:ascii="Arial" w:cs="Arial" w:eastAsia="Arial" w:hAnsi="Arial"/>
                <w:sz w:val="16"/>
                <w:szCs w:val="16"/>
                <w:color w:val="auto"/>
                <w:w w:val="94"/>
              </w:rPr>
              <w:t>(IRS Employer</w:t>
            </w:r>
          </w:p>
        </w:tc>
      </w:tr>
      <w:tr>
        <w:trPr>
          <w:trHeight w:val="206"/>
        </w:trPr>
        <w:tc>
          <w:tcPr>
            <w:tcW w:w="6380" w:type="dxa"/>
            <w:vAlign w:val="bottom"/>
            <w:gridSpan w:val="6"/>
          </w:tcPr>
          <w:p>
            <w:pPr>
              <w:jc w:val="center"/>
              <w:ind w:right="580"/>
              <w:spacing w:after="0"/>
              <w:rPr>
                <w:sz w:val="20"/>
                <w:szCs w:val="20"/>
                <w:color w:val="auto"/>
              </w:rPr>
            </w:pPr>
            <w:r>
              <w:rPr>
                <w:rFonts w:ascii="Arial" w:cs="Arial" w:eastAsia="Arial" w:hAnsi="Arial"/>
                <w:sz w:val="16"/>
                <w:szCs w:val="16"/>
                <w:color w:val="auto"/>
                <w:w w:val="94"/>
              </w:rPr>
              <w:t>incorporation or organization)</w:t>
            </w:r>
          </w:p>
        </w:tc>
        <w:tc>
          <w:tcPr>
            <w:tcW w:w="3540" w:type="dxa"/>
            <w:vAlign w:val="bottom"/>
          </w:tcPr>
          <w:p>
            <w:pPr>
              <w:jc w:val="center"/>
              <w:ind w:right="2239"/>
              <w:spacing w:after="0"/>
              <w:rPr>
                <w:sz w:val="20"/>
                <w:szCs w:val="20"/>
                <w:color w:val="auto"/>
              </w:rPr>
            </w:pPr>
            <w:r>
              <w:rPr>
                <w:rFonts w:ascii="Arial" w:cs="Arial" w:eastAsia="Arial" w:hAnsi="Arial"/>
                <w:sz w:val="16"/>
                <w:szCs w:val="16"/>
                <w:color w:val="auto"/>
                <w:w w:val="97"/>
              </w:rPr>
              <w:t>Identification No.)</w:t>
            </w:r>
          </w:p>
        </w:tc>
      </w:tr>
      <w:tr>
        <w:trPr>
          <w:trHeight w:val="284"/>
        </w:trPr>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9"/>
              </w:rPr>
              <w:t>12049 Jefferson Blvd</w:t>
            </w:r>
          </w:p>
        </w:tc>
        <w:tc>
          <w:tcPr>
            <w:tcW w:w="3540" w:type="dxa"/>
            <w:vAlign w:val="bottom"/>
          </w:tcPr>
          <w:p>
            <w:pPr>
              <w:spacing w:after="0"/>
              <w:rPr>
                <w:sz w:val="24"/>
                <w:szCs w:val="24"/>
                <w:color w:val="auto"/>
              </w:rPr>
            </w:pPr>
          </w:p>
        </w:tc>
      </w:tr>
      <w:tr>
        <w:trPr>
          <w:trHeight w:val="231"/>
        </w:trPr>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Culver City, CA 90230</w:t>
            </w:r>
          </w:p>
        </w:tc>
        <w:tc>
          <w:tcPr>
            <w:tcW w:w="3540" w:type="dxa"/>
            <w:vAlign w:val="bottom"/>
          </w:tcPr>
          <w:p>
            <w:pPr>
              <w:spacing w:after="0"/>
              <w:rPr>
                <w:sz w:val="20"/>
                <w:szCs w:val="20"/>
                <w:color w:val="auto"/>
              </w:rPr>
            </w:pPr>
          </w:p>
        </w:tc>
      </w:tr>
      <w:tr>
        <w:trPr>
          <w:trHeight w:val="164"/>
        </w:trPr>
        <w:tc>
          <w:tcPr>
            <w:tcW w:w="3480" w:type="dxa"/>
            <w:vAlign w:val="bottom"/>
          </w:tcPr>
          <w:p>
            <w:pPr>
              <w:spacing w:after="0"/>
              <w:rPr>
                <w:sz w:val="14"/>
                <w:szCs w:val="14"/>
                <w:color w:val="auto"/>
              </w:rPr>
            </w:pPr>
          </w:p>
        </w:tc>
        <w:tc>
          <w:tcPr>
            <w:tcW w:w="2900" w:type="dxa"/>
            <w:vAlign w:val="bottom"/>
            <w:gridSpan w:val="5"/>
          </w:tcPr>
          <w:p>
            <w:pPr>
              <w:jc w:val="center"/>
              <w:spacing w:after="0"/>
              <w:rPr>
                <w:sz w:val="20"/>
                <w:szCs w:val="20"/>
                <w:color w:val="auto"/>
              </w:rPr>
            </w:pPr>
            <w:r>
              <w:rPr>
                <w:rFonts w:ascii="Arial" w:cs="Arial" w:eastAsia="Arial" w:hAnsi="Arial"/>
                <w:sz w:val="13"/>
                <w:szCs w:val="13"/>
                <w:b w:val="1"/>
                <w:bCs w:val="1"/>
                <w:color w:val="auto"/>
                <w:w w:val="85"/>
              </w:rPr>
              <w:t>(Address of principal executive offices) (zip code)</w:t>
            </w:r>
          </w:p>
        </w:tc>
        <w:tc>
          <w:tcPr>
            <w:tcW w:w="3540" w:type="dxa"/>
            <w:vAlign w:val="bottom"/>
          </w:tcPr>
          <w:p>
            <w:pPr>
              <w:spacing w:after="0"/>
              <w:rPr>
                <w:sz w:val="14"/>
                <w:szCs w:val="14"/>
                <w:color w:val="auto"/>
              </w:rPr>
            </w:pPr>
          </w:p>
        </w:tc>
      </w:tr>
      <w:tr>
        <w:trPr>
          <w:trHeight w:val="200"/>
        </w:trPr>
        <w:tc>
          <w:tcPr>
            <w:tcW w:w="3480" w:type="dxa"/>
            <w:vAlign w:val="bottom"/>
          </w:tcPr>
          <w:p>
            <w:pPr>
              <w:spacing w:after="0"/>
              <w:rPr>
                <w:sz w:val="17"/>
                <w:szCs w:val="17"/>
                <w:color w:val="auto"/>
              </w:rPr>
            </w:pPr>
          </w:p>
        </w:tc>
        <w:tc>
          <w:tcPr>
            <w:tcW w:w="2660" w:type="dxa"/>
            <w:vAlign w:val="bottom"/>
            <w:gridSpan w:val="3"/>
          </w:tcPr>
          <w:p>
            <w:pPr>
              <w:jc w:val="center"/>
              <w:ind w:left="251"/>
              <w:spacing w:after="0"/>
              <w:rPr>
                <w:sz w:val="20"/>
                <w:szCs w:val="20"/>
                <w:color w:val="auto"/>
              </w:rPr>
            </w:pPr>
            <w:r>
              <w:rPr>
                <w:rFonts w:ascii="Arial" w:cs="Arial" w:eastAsia="Arial" w:hAnsi="Arial"/>
                <w:sz w:val="16"/>
                <w:szCs w:val="16"/>
                <w:b w:val="1"/>
                <w:bCs w:val="1"/>
                <w:color w:val="auto"/>
                <w:w w:val="92"/>
              </w:rPr>
              <w:t>+1 (310) 988-0643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164"/>
        </w:trPr>
        <w:tc>
          <w:tcPr>
            <w:tcW w:w="3480" w:type="dxa"/>
            <w:vAlign w:val="bottom"/>
          </w:tcPr>
          <w:p>
            <w:pPr>
              <w:spacing w:after="0"/>
              <w:rPr>
                <w:sz w:val="14"/>
                <w:szCs w:val="14"/>
                <w:color w:val="auto"/>
              </w:rPr>
            </w:pPr>
          </w:p>
        </w:tc>
        <w:tc>
          <w:tcPr>
            <w:tcW w:w="2900" w:type="dxa"/>
            <w:vAlign w:val="bottom"/>
            <w:gridSpan w:val="5"/>
          </w:tcPr>
          <w:p>
            <w:pPr>
              <w:jc w:val="center"/>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540" w:type="dxa"/>
            <w:vAlign w:val="bottom"/>
          </w:tcPr>
          <w:p>
            <w:pPr>
              <w:spacing w:after="0"/>
              <w:rPr>
                <w:sz w:val="14"/>
                <w:szCs w:val="14"/>
                <w:color w:val="auto"/>
              </w:rPr>
            </w:pPr>
          </w:p>
        </w:tc>
      </w:tr>
      <w:tr>
        <w:trPr>
          <w:trHeight w:val="97"/>
        </w:trPr>
        <w:tc>
          <w:tcPr>
            <w:tcW w:w="3720" w:type="dxa"/>
            <w:vAlign w:val="bottom"/>
            <w:gridSpan w:val="3"/>
          </w:tcPr>
          <w:p>
            <w:pPr>
              <w:spacing w:after="0"/>
              <w:rPr>
                <w:sz w:val="8"/>
                <w:szCs w:val="8"/>
                <w:color w:val="auto"/>
              </w:rPr>
            </w:pPr>
          </w:p>
        </w:tc>
        <w:tc>
          <w:tcPr>
            <w:tcW w:w="2480" w:type="dxa"/>
            <w:vAlign w:val="bottom"/>
            <w:tcBorders>
              <w:bottom w:val="single" w:sz="8" w:color="auto"/>
            </w:tcBorders>
            <w:gridSpan w:val="2"/>
          </w:tcPr>
          <w:p>
            <w:pPr>
              <w:spacing w:after="0"/>
              <w:rPr>
                <w:sz w:val="8"/>
                <w:szCs w:val="8"/>
                <w:color w:val="auto"/>
              </w:rPr>
            </w:pPr>
          </w:p>
        </w:tc>
        <w:tc>
          <w:tcPr>
            <w:tcW w:w="3720" w:type="dxa"/>
            <w:vAlign w:val="bottom"/>
            <w:gridSpan w:val="2"/>
          </w:tcPr>
          <w:p>
            <w:pPr>
              <w:spacing w:after="0"/>
              <w:rPr>
                <w:sz w:val="8"/>
                <w:szCs w:val="8"/>
                <w:color w:val="auto"/>
              </w:rPr>
            </w:pPr>
          </w:p>
        </w:tc>
      </w:tr>
      <w:tr>
        <w:trPr>
          <w:trHeight w:val="271"/>
        </w:trPr>
        <w:tc>
          <w:tcPr>
            <w:tcW w:w="9920" w:type="dxa"/>
            <w:vAlign w:val="bottom"/>
            <w:gridSpan w:val="7"/>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310"/>
        </w:trPr>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Trading symbol</w:t>
            </w: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8"/>
        </w:trPr>
        <w:tc>
          <w:tcPr>
            <w:tcW w:w="3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Class A Common Stock, par value $0.0001 per</w:t>
            </w: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SNAL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r>
        <w:trPr>
          <w:trHeight w:val="210"/>
        </w:trPr>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88"/>
              </w:rPr>
              <w:t>share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tcPr>
          <w:p>
            <w:pPr>
              <w:spacing w:after="0"/>
              <w:rPr>
                <w:sz w:val="18"/>
                <w:szCs w:val="18"/>
                <w:color w:val="auto"/>
              </w:rPr>
            </w:pPr>
          </w:p>
        </w:tc>
      </w:tr>
    </w:tbl>
    <w:p>
      <w:pPr>
        <w:spacing w:after="0" w:line="68" w:lineRule="exact"/>
        <w:rPr>
          <w:sz w:val="24"/>
          <w:szCs w:val="24"/>
          <w:color w:val="auto"/>
        </w:rPr>
      </w:pPr>
    </w:p>
    <w:p>
      <w:pPr>
        <w:jc w:val="both"/>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40" w:val="left"/>
          <w:tab w:leader="none" w:pos="106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jc w:val="both"/>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7" w:lineRule="exact"/>
        <w:rPr>
          <w:sz w:val="24"/>
          <w:szCs w:val="24"/>
          <w:color w:val="auto"/>
        </w:rPr>
      </w:pPr>
    </w:p>
    <w:p>
      <w:pPr>
        <w:jc w:val="both"/>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5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800"/>
              <w:spacing w:after="0"/>
              <w:rPr>
                <w:sz w:val="20"/>
                <w:szCs w:val="20"/>
                <w:color w:val="auto"/>
              </w:rPr>
            </w:pPr>
            <w:r>
              <w:rPr>
                <w:rFonts w:ascii="Arial" w:cs="Arial" w:eastAsia="Arial" w:hAnsi="Arial"/>
                <w:sz w:val="14"/>
                <w:szCs w:val="14"/>
                <w:color w:val="auto"/>
              </w:rPr>
              <w:t>Accelerated filer</w:t>
            </w:r>
          </w:p>
        </w:tc>
        <w:tc>
          <w:tcPr>
            <w:tcW w:w="186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15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800"/>
              <w:spacing w:after="0"/>
              <w:rPr>
                <w:sz w:val="20"/>
                <w:szCs w:val="20"/>
                <w:color w:val="auto"/>
              </w:rPr>
            </w:pPr>
            <w:r>
              <w:rPr>
                <w:rFonts w:ascii="Arial" w:cs="Arial" w:eastAsia="Arial" w:hAnsi="Arial"/>
                <w:sz w:val="14"/>
                <w:szCs w:val="14"/>
                <w:color w:val="auto"/>
              </w:rPr>
              <w:t>Smaller reporting company</w:t>
            </w:r>
          </w:p>
        </w:tc>
        <w:tc>
          <w:tcPr>
            <w:tcW w:w="186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5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50"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right="2420"/>
        <w:spacing w:after="0" w:line="230" w:lineRule="exact"/>
        <w:rPr>
          <w:sz w:val="20"/>
          <w:szCs w:val="20"/>
          <w:color w:val="auto"/>
        </w:rPr>
      </w:pPr>
      <w:r>
        <w:rPr>
          <w:rFonts w:ascii="Arial" w:cs="Arial" w:eastAsia="Arial" w:hAnsi="Arial"/>
          <w:sz w:val="13"/>
          <w:szCs w:val="13"/>
          <w:color w:val="auto"/>
        </w:rPr>
        <w:t xml:space="preserve">Indicate by check mark whether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registrant’s classes of common stock, as of the latest practicable date.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 of Common Stock</w:t>
            </w:r>
          </w:p>
        </w:tc>
        <w:tc>
          <w:tcPr>
            <w:tcW w:w="200" w:type="dxa"/>
            <w:vAlign w:val="bottom"/>
          </w:tcPr>
          <w:p>
            <w:pPr>
              <w:spacing w:after="0"/>
              <w:rPr>
                <w:sz w:val="14"/>
                <w:szCs w:val="14"/>
                <w:color w:val="auto"/>
              </w:rPr>
            </w:pPr>
          </w:p>
        </w:tc>
        <w:tc>
          <w:tcPr>
            <w:tcW w:w="486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Outstanding Shares as of May 10, 2023</w:t>
            </w:r>
          </w:p>
        </w:tc>
      </w:tr>
      <w:tr>
        <w:trPr>
          <w:trHeight w:val="142"/>
        </w:trPr>
        <w:tc>
          <w:tcPr>
            <w:tcW w:w="4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Class A Common Stock, par value $0.0001 per share</w:t>
            </w:r>
          </w:p>
        </w:tc>
        <w:tc>
          <w:tcPr>
            <w:tcW w:w="200" w:type="dxa"/>
            <w:vAlign w:val="bottom"/>
          </w:tcPr>
          <w:p>
            <w:pPr>
              <w:spacing w:after="0"/>
              <w:rPr>
                <w:sz w:val="12"/>
                <w:szCs w:val="12"/>
                <w:color w:val="auto"/>
              </w:rPr>
            </w:pPr>
          </w:p>
        </w:tc>
        <w:tc>
          <w:tcPr>
            <w:tcW w:w="4860" w:type="dxa"/>
            <w:vAlign w:val="bottom"/>
            <w:tcBorders>
              <w:bottom w:val="single" w:sz="8" w:color="auto"/>
            </w:tcBorders>
          </w:tcPr>
          <w:p>
            <w:pPr>
              <w:jc w:val="right"/>
              <w:ind w:right="2068"/>
              <w:spacing w:after="0" w:line="142" w:lineRule="exact"/>
              <w:rPr>
                <w:sz w:val="20"/>
                <w:szCs w:val="20"/>
                <w:color w:val="auto"/>
              </w:rPr>
            </w:pPr>
            <w:r>
              <w:rPr>
                <w:rFonts w:ascii="Arial" w:cs="Arial" w:eastAsia="Arial" w:hAnsi="Arial"/>
                <w:sz w:val="14"/>
                <w:szCs w:val="14"/>
                <w:b w:val="1"/>
                <w:bCs w:val="1"/>
                <w:color w:val="auto"/>
              </w:rPr>
              <w:t>7,901,145</w:t>
            </w:r>
          </w:p>
        </w:tc>
      </w:tr>
      <w:tr>
        <w:trPr>
          <w:trHeight w:val="180"/>
        </w:trPr>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1"/>
              </w:rPr>
              <w:t>Class B Common Stock, par value $0.0001 per share</w:t>
            </w:r>
          </w:p>
        </w:tc>
        <w:tc>
          <w:tcPr>
            <w:tcW w:w="200" w:type="dxa"/>
            <w:vAlign w:val="bottom"/>
          </w:tcPr>
          <w:p>
            <w:pPr>
              <w:spacing w:after="0"/>
              <w:rPr>
                <w:sz w:val="15"/>
                <w:szCs w:val="15"/>
                <w:color w:val="auto"/>
              </w:rPr>
            </w:pPr>
          </w:p>
        </w:tc>
        <w:tc>
          <w:tcPr>
            <w:tcW w:w="4860" w:type="dxa"/>
            <w:vAlign w:val="bottom"/>
          </w:tcPr>
          <w:p>
            <w:pPr>
              <w:jc w:val="right"/>
              <w:ind w:right="2028"/>
              <w:spacing w:after="0"/>
              <w:rPr>
                <w:sz w:val="20"/>
                <w:szCs w:val="20"/>
                <w:color w:val="auto"/>
              </w:rPr>
            </w:pPr>
            <w:r>
              <w:rPr>
                <w:rFonts w:ascii="Arial" w:cs="Arial" w:eastAsia="Arial" w:hAnsi="Arial"/>
                <w:sz w:val="14"/>
                <w:szCs w:val="14"/>
                <w:b w:val="1"/>
                <w:bCs w:val="1"/>
                <w:color w:val="auto"/>
              </w:rPr>
              <w:t>28,748,580</w:t>
            </w:r>
          </w:p>
        </w:tc>
      </w:tr>
      <w:tr>
        <w:trPr>
          <w:trHeight w:val="70"/>
        </w:trPr>
        <w:tc>
          <w:tcPr>
            <w:tcW w:w="48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860" w:type="dxa"/>
            <w:vAlign w:val="bottom"/>
            <w:tcBorders>
              <w:bottom w:val="single" w:sz="8" w:color="auto"/>
            </w:tcBorders>
          </w:tcPr>
          <w:p>
            <w:pPr>
              <w:spacing w:after="0"/>
              <w:rPr>
                <w:sz w:val="6"/>
                <w:szCs w:val="6"/>
                <w:color w:val="auto"/>
              </w:rPr>
            </w:pPr>
          </w:p>
        </w:tc>
      </w:tr>
      <w:tr>
        <w:trPr>
          <w:trHeight w:val="82"/>
        </w:trPr>
        <w:tc>
          <w:tcPr>
            <w:tcW w:w="48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560"/>
        </w:trPr>
        <w:tc>
          <w:tcPr>
            <w:tcW w:w="4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7"/>
            <w:vMerge w:val="restart"/>
          </w:tcPr>
          <w:p>
            <w:pPr>
              <w:spacing w:after="0"/>
              <w:rPr>
                <w:sz w:val="20"/>
                <w:szCs w:val="20"/>
                <w:color w:val="auto"/>
              </w:rPr>
            </w:pPr>
            <w:r>
              <w:rPr>
                <w:rFonts w:ascii="Arial" w:cs="Arial" w:eastAsia="Arial" w:hAnsi="Arial"/>
                <w:sz w:val="18"/>
                <w:szCs w:val="18"/>
                <w:color w:val="0000EE"/>
                <w:w w:val="89"/>
              </w:rPr>
              <w:t>Cautionary Statement</w:t>
            </w:r>
          </w:p>
        </w:tc>
        <w:tc>
          <w:tcPr>
            <w:tcW w:w="7200" w:type="dxa"/>
            <w:vAlign w:val="bottom"/>
            <w:gridSpan w:val="16"/>
            <w:vMerge w:val="restart"/>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0000EE"/>
            </w:tcBorders>
            <w:gridSpan w:val="7"/>
            <w:vMerge w:val="continue"/>
          </w:tcPr>
          <w:p>
            <w:pPr>
              <w:spacing w:after="0"/>
              <w:rPr>
                <w:sz w:val="14"/>
                <w:szCs w:val="14"/>
                <w:color w:val="auto"/>
              </w:rPr>
            </w:pPr>
          </w:p>
        </w:tc>
        <w:tc>
          <w:tcPr>
            <w:tcW w:w="7200" w:type="dxa"/>
            <w:vAlign w:val="bottom"/>
            <w:gridSpan w:val="16"/>
            <w:vMerge w:val="continue"/>
          </w:tcPr>
          <w:p>
            <w:pPr>
              <w:spacing w:after="0"/>
              <w:rPr>
                <w:sz w:val="14"/>
                <w:szCs w:val="14"/>
                <w:color w:val="auto"/>
              </w:rPr>
            </w:pPr>
          </w:p>
        </w:tc>
        <w:tc>
          <w:tcPr>
            <w:tcW w:w="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F-3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9440" w:type="dxa"/>
            <w:vAlign w:val="bottom"/>
            <w:gridSpan w:val="26"/>
          </w:tcPr>
          <w:p>
            <w:pPr>
              <w:spacing w:after="0"/>
              <w:rPr>
                <w:sz w:val="20"/>
                <w:szCs w:val="20"/>
                <w:color w:val="auto"/>
              </w:rPr>
            </w:pPr>
            <w:r>
              <w:rPr>
                <w:rFonts w:ascii="Arial" w:cs="Arial" w:eastAsia="Arial" w:hAnsi="Arial"/>
                <w:sz w:val="18"/>
                <w:szCs w:val="18"/>
                <w:b w:val="1"/>
                <w:bCs w:val="1"/>
                <w:color w:val="0000EE"/>
              </w:rPr>
              <w:t>PART I. FINANCIAL INFORMATION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40" w:type="dxa"/>
            <w:vAlign w:val="bottom"/>
            <w:gridSpan w:val="26"/>
          </w:tcPr>
          <w:p>
            <w:pPr>
              <w:spacing w:after="0"/>
              <w:rPr>
                <w:sz w:val="20"/>
                <w:szCs w:val="20"/>
                <w:color w:val="auto"/>
              </w:rPr>
            </w:pPr>
            <w:r>
              <w:rPr>
                <w:rFonts w:ascii="Arial" w:cs="Arial" w:eastAsia="Arial" w:hAnsi="Arial"/>
                <w:sz w:val="18"/>
                <w:szCs w:val="18"/>
                <w:color w:val="0000EE"/>
              </w:rPr>
              <w:t>Item 1.  Condensed Consolidated Financial Statements (Unaudited)</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Snail, Inc. and Subsidiaries Condensed Consolidated Balance Sheets as of March 31, 2023 and December 31, 2022</w:t>
            </w:r>
          </w:p>
        </w:tc>
        <w:tc>
          <w:tcPr>
            <w:tcW w:w="48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(Unaudited)</w:t>
            </w:r>
          </w:p>
        </w:tc>
        <w:tc>
          <w:tcPr>
            <w:tcW w:w="7800" w:type="dxa"/>
            <w:vAlign w:val="bottom"/>
            <w:gridSpan w:val="1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9"/>
              </w:rPr>
              <w:t>Snail, Inc. and Subsidiaries Condensed Consolidated Statements of Operations and Comprehensive Income (Loss) for</w:t>
            </w:r>
          </w:p>
        </w:tc>
        <w:tc>
          <w:tcPr>
            <w:tcW w:w="2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the three months ended March 31, 2023 and 2022 (Unaudited)</w:t>
            </w:r>
          </w:p>
        </w:tc>
        <w:tc>
          <w:tcPr>
            <w:tcW w:w="4180" w:type="dxa"/>
            <w:vAlign w:val="bottom"/>
            <w:gridSpan w:val="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0000EE"/>
                <w:w w:val="92"/>
              </w:rPr>
              <w:t>Snail, Inc. and Subsidiaries Condensed Consolidated Statements of Equity for the three months ended March 31, 2023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40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and 2022 (Unaudited)</w:t>
            </w:r>
          </w:p>
        </w:tc>
        <w:tc>
          <w:tcPr>
            <w:tcW w:w="26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0000EE"/>
                <w:w w:val="92"/>
              </w:rPr>
              <w:t>Snail, Inc. and Subsidiaries Condensed Consolidated Statements of Cash Flows for the three months ended March 31,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98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2023 and 2022 (Unaudited)</w:t>
            </w:r>
          </w:p>
        </w:tc>
        <w:tc>
          <w:tcPr>
            <w:tcW w:w="6380" w:type="dxa"/>
            <w:vAlign w:val="bottom"/>
            <w:tcBorders>
              <w:top w:val="single" w:sz="8" w:color="0000EE"/>
            </w:tcBorders>
            <w:gridSpan w:val="10"/>
          </w:tcPr>
          <w:p>
            <w:pPr>
              <w:spacing w:after="0"/>
              <w:rPr>
                <w:sz w:val="17"/>
                <w:szCs w:val="17"/>
                <w:color w:val="auto"/>
              </w:rPr>
            </w:pPr>
          </w:p>
        </w:tc>
        <w:tc>
          <w:tcPr>
            <w:tcW w:w="300" w:type="dxa"/>
            <w:vAlign w:val="bottom"/>
            <w:gridSpan w:val="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0000EE"/>
              </w:rPr>
              <w:t>Snail, Inc. and Subsidiaries Notes to Condensed Consolidated Financial Statements (Unaudited)</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40" w:type="dxa"/>
            <w:vAlign w:val="bottom"/>
            <w:gridSpan w:val="26"/>
          </w:tcPr>
          <w:p>
            <w:pPr>
              <w:spacing w:after="0"/>
              <w:rPr>
                <w:sz w:val="20"/>
                <w:szCs w:val="20"/>
                <w:color w:val="auto"/>
              </w:rPr>
            </w:pPr>
            <w:r>
              <w:rPr>
                <w:rFonts w:ascii="Arial" w:cs="Arial" w:eastAsia="Arial" w:hAnsi="Arial"/>
                <w:sz w:val="18"/>
                <w:szCs w:val="18"/>
                <w:color w:val="0000EE"/>
              </w:rPr>
              <w:t>Item 2.  Management’s Discussion and Analysis of the Results of Operations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40" w:type="dxa"/>
            <w:vAlign w:val="bottom"/>
            <w:gridSpan w:val="26"/>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40" w:type="dxa"/>
            <w:vAlign w:val="bottom"/>
            <w:gridSpan w:val="26"/>
          </w:tcPr>
          <w:p>
            <w:pPr>
              <w:spacing w:after="0"/>
              <w:rPr>
                <w:sz w:val="20"/>
                <w:szCs w:val="20"/>
                <w:color w:val="auto"/>
              </w:rPr>
            </w:pPr>
            <w:r>
              <w:rPr>
                <w:rFonts w:ascii="Arial" w:cs="Arial" w:eastAsia="Arial" w:hAnsi="Arial"/>
                <w:sz w:val="18"/>
                <w:szCs w:val="18"/>
                <w:color w:val="0000EE"/>
              </w:rPr>
              <w:t>Item 4.  Controls and Procedures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b w:val="1"/>
                <w:bCs w:val="1"/>
                <w:color w:val="0000EE"/>
              </w:rPr>
              <w:t>PART II. OTHER INFORMATION</w:t>
            </w:r>
          </w:p>
        </w:tc>
        <w:tc>
          <w:tcPr>
            <w:tcW w:w="666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0000EE"/>
              </w:rPr>
              <w:t>Legal Proceedings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40" w:type="dxa"/>
            <w:vAlign w:val="bottom"/>
            <w:gridSpan w:val="26"/>
          </w:tcPr>
          <w:p>
            <w:pPr>
              <w:spacing w:after="0"/>
              <w:rPr>
                <w:sz w:val="20"/>
                <w:szCs w:val="20"/>
                <w:color w:val="auto"/>
              </w:rPr>
            </w:pPr>
            <w:r>
              <w:rPr>
                <w:rFonts w:ascii="Arial" w:cs="Arial" w:eastAsia="Arial" w:hAnsi="Arial"/>
                <w:sz w:val="18"/>
                <w:szCs w:val="18"/>
                <w:color w:val="0000EE"/>
              </w:rPr>
              <w:t>Item 1A. Risk Factors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40" w:type="dxa"/>
            <w:vAlign w:val="bottom"/>
            <w:gridSpan w:val="26"/>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020" w:type="dxa"/>
            <w:vAlign w:val="bottom"/>
            <w:tcBorders>
              <w:left w:val="single" w:sz="8" w:color="0000EE"/>
            </w:tcBorders>
            <w:gridSpan w:val="3"/>
            <w:shd w:val="clear" w:color="auto" w:fill="0000EE"/>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40" w:type="dxa"/>
            <w:vAlign w:val="bottom"/>
            <w:gridSpan w:val="26"/>
          </w:tcPr>
          <w:p>
            <w:pPr>
              <w:spacing w:after="0"/>
              <w:rPr>
                <w:sz w:val="20"/>
                <w:szCs w:val="20"/>
                <w:color w:val="auto"/>
              </w:rPr>
            </w:pPr>
            <w:r>
              <w:rPr>
                <w:rFonts w:ascii="Arial" w:cs="Arial" w:eastAsia="Arial" w:hAnsi="Arial"/>
                <w:sz w:val="18"/>
                <w:szCs w:val="18"/>
                <w:color w:val="0000EE"/>
              </w:rPr>
              <w:t>Item 3.  Defaults Upon Senior Securities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40" w:type="dxa"/>
            <w:vAlign w:val="bottom"/>
            <w:gridSpan w:val="26"/>
          </w:tcPr>
          <w:p>
            <w:pPr>
              <w:spacing w:after="0"/>
              <w:rPr>
                <w:sz w:val="20"/>
                <w:szCs w:val="20"/>
                <w:color w:val="auto"/>
              </w:rPr>
            </w:pPr>
            <w:r>
              <w:rPr>
                <w:rFonts w:ascii="Arial" w:cs="Arial" w:eastAsia="Arial" w:hAnsi="Arial"/>
                <w:sz w:val="18"/>
                <w:szCs w:val="18"/>
                <w:color w:val="0000EE"/>
              </w:rPr>
              <w:t>Item 4.  Mine Safety Disclosures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0"/>
              </w:rPr>
              <w:t>Item 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Other Information</w:t>
            </w:r>
          </w:p>
        </w:tc>
        <w:tc>
          <w:tcPr>
            <w:tcW w:w="7000" w:type="dxa"/>
            <w:vAlign w:val="bottom"/>
            <w:gridSpan w:val="1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0"/>
              </w:rPr>
              <w:t>Item 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Exhibits</w:t>
            </w:r>
          </w:p>
        </w:tc>
        <w:tc>
          <w:tcPr>
            <w:tcW w:w="7440" w:type="dxa"/>
            <w:vAlign w:val="bottom"/>
            <w:gridSpan w:val="1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180" w:type="dxa"/>
            <w:vAlign w:val="bottom"/>
            <w:gridSpan w:val="2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40" w:type="dxa"/>
            <w:vAlign w:val="bottom"/>
            <w:gridSpan w:val="26"/>
          </w:tcPr>
          <w:p>
            <w:pPr>
              <w:spacing w:after="0"/>
              <w:rPr>
                <w:sz w:val="20"/>
                <w:szCs w:val="20"/>
                <w:color w:val="auto"/>
              </w:rPr>
            </w:pPr>
            <w:r>
              <w:rPr>
                <w:rFonts w:ascii="Arial" w:cs="Arial" w:eastAsia="Arial" w:hAnsi="Arial"/>
                <w:sz w:val="18"/>
                <w:szCs w:val="18"/>
                <w:color w:val="0000EE"/>
              </w:rPr>
              <w:t>Signatures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1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This Quarterly Report on Form 10-Q (the “Quarterly Report”) contains statements that constitute forward-looking statements. Many of the forward-looking statements contained in this Quarterly Report can be identified by the use of forward-looking words such as “anticipate,” “believe,” “could,” “expect,” “should,” “plan,” “intend,” “may,” “predict,” “continue,” “estimate” and “potential,” or the negative of these terms or other similar expressions.</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7"/>
          <w:szCs w:val="17"/>
          <w:color w:val="auto"/>
        </w:rPr>
        <w:t>Forward-looking statements appear in a number of places in this Quarterly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II, Item 1A. – Risk Factors,” of this Quarterly Report. The statements we make regarding the following matters are forward-looking by their nature:</w:t>
      </w:r>
    </w:p>
    <w:p>
      <w:pPr>
        <w:spacing w:after="0" w:line="141"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re-establish profitable operations, raise additional capital or renegotiate our debt arrangements;</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prospects and strategies;</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launching new games and additional functionality to games that are commercially successful;</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significant drivers of our future growth;</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increase our player base and develop new video games and enhance our existing games;</w:t>
      </w:r>
    </w:p>
    <w:p>
      <w:pPr>
        <w:spacing w:after="0" w:line="171" w:lineRule="exact"/>
        <w:rPr>
          <w:rFonts w:ascii="Arial" w:cs="Arial" w:eastAsia="Arial" w:hAnsi="Arial"/>
          <w:sz w:val="18"/>
          <w:szCs w:val="18"/>
          <w:color w:val="auto"/>
        </w:rPr>
      </w:pPr>
    </w:p>
    <w:p>
      <w:pPr>
        <w:ind w:left="680" w:hanging="321"/>
        <w:spacing w:after="0" w:line="246"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companies in a number of industries, including other casual game developers and publishers and both large and small, public and private multimedia companies;</w:t>
      </w:r>
    </w:p>
    <w:p>
      <w:pPr>
        <w:spacing w:after="0" w:line="142"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a qualified management team and other team members while controlling our labor costs;</w:t>
      </w:r>
    </w:p>
    <w:p>
      <w:pPr>
        <w:spacing w:after="0" w:line="182" w:lineRule="exact"/>
        <w:rPr>
          <w:rFonts w:ascii="Arial" w:cs="Arial" w:eastAsia="Arial" w:hAnsi="Arial"/>
          <w:sz w:val="17"/>
          <w:szCs w:val="17"/>
          <w:color w:val="auto"/>
        </w:rPr>
      </w:pPr>
    </w:p>
    <w:p>
      <w:pPr>
        <w:ind w:left="680" w:hanging="321"/>
        <w:spacing w:after="0" w:line="261"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third-party platforms such as Xbox Live and Game Pass, PlayStation Network, Steam, Epic Games Store, the Apple App Store, the Google Play Store, My Nintendo Store and the Amazon Appstore;</w:t>
      </w:r>
    </w:p>
    <w:p>
      <w:pPr>
        <w:spacing w:after="0" w:line="130"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new markets and manage our international expansion;</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protecting and developing our brand and intellectual property portfolio;</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71"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rulings by courts or other governmental authorities;</w:t>
      </w:r>
    </w:p>
    <w:p>
      <w:pPr>
        <w:spacing w:after="0" w:line="171" w:lineRule="exact"/>
        <w:rPr>
          <w:rFonts w:ascii="Arial" w:cs="Arial" w:eastAsia="Arial" w:hAnsi="Arial"/>
          <w:sz w:val="18"/>
          <w:szCs w:val="18"/>
          <w:color w:val="auto"/>
        </w:rPr>
      </w:pPr>
    </w:p>
    <w:p>
      <w:pPr>
        <w:ind w:left="680" w:hanging="321"/>
        <w:spacing w:after="0" w:line="246"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Share Repurchase Program (as defined below), including expectations regarding the timing and manner of repurchases made under the program;</w:t>
      </w:r>
    </w:p>
    <w:p>
      <w:pPr>
        <w:spacing w:after="0" w:line="142"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pursue and successfully integrate strategic acquisitions;</w:t>
      </w:r>
    </w:p>
    <w:p>
      <w:pPr>
        <w:spacing w:after="0" w:line="171" w:lineRule="exact"/>
        <w:rPr>
          <w:rFonts w:ascii="Arial" w:cs="Arial" w:eastAsia="Arial" w:hAnsi="Arial"/>
          <w:sz w:val="18"/>
          <w:szCs w:val="18"/>
          <w:color w:val="auto"/>
        </w:rPr>
      </w:pPr>
    </w:p>
    <w:p>
      <w:pPr>
        <w:ind w:left="680" w:hanging="321"/>
        <w:spacing w:after="0" w:line="261"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in this Quarterly Report, including those described in Item 1A of Part II, “Risk Factors”; and</w:t>
      </w:r>
    </w:p>
    <w:p>
      <w:pPr>
        <w:spacing w:after="0" w:line="130"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Further information on risks, uncertainties and other factors that could affect our financial results are included in our filings with the Securities and Exchange Commission (the “SEC”) from time to time, including in Part II, Item 1A. – “Risk Factors,” of this Quarterly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Quarterly Report are based on management’s beliefs and assumptions and on information currently available to us, and we do not assume any obligation to update the forward-looking statements provided to reflect events that occur or circumstances that exist after the date on which they were made.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as of March 31, 2023 and December 31,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7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r>
      <w:tr>
        <w:trPr>
          <w:trHeight w:val="142"/>
        </w:trPr>
        <w:tc>
          <w:tcPr>
            <w:tcW w:w="20" w:type="dxa"/>
            <w:vAlign w:val="bottom"/>
          </w:tcPr>
          <w:p>
            <w:pPr>
              <w:spacing w:after="0"/>
              <w:rPr>
                <w:sz w:val="12"/>
                <w:szCs w:val="12"/>
                <w:color w:val="auto"/>
              </w:rPr>
            </w:pPr>
          </w:p>
        </w:tc>
        <w:tc>
          <w:tcPr>
            <w:tcW w:w="70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4,108,251</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12,863,817</w:t>
            </w:r>
          </w:p>
        </w:tc>
      </w:tr>
      <w:tr>
        <w:trPr>
          <w:trHeight w:val="148"/>
        </w:trPr>
        <w:tc>
          <w:tcPr>
            <w:tcW w:w="20" w:type="dxa"/>
            <w:vAlign w:val="bottom"/>
          </w:tcPr>
          <w:p>
            <w:pPr>
              <w:spacing w:after="0"/>
              <w:rPr>
                <w:sz w:val="12"/>
                <w:szCs w:val="12"/>
                <w:color w:val="auto"/>
              </w:rPr>
            </w:pPr>
          </w:p>
        </w:tc>
        <w:tc>
          <w:tcPr>
            <w:tcW w:w="7080" w:type="dxa"/>
            <w:vAlign w:val="bottom"/>
          </w:tcPr>
          <w:p>
            <w:pPr>
              <w:ind w:left="100"/>
              <w:spacing w:after="0" w:line="149" w:lineRule="exact"/>
              <w:rPr>
                <w:sz w:val="20"/>
                <w:szCs w:val="20"/>
                <w:color w:val="auto"/>
              </w:rPr>
            </w:pPr>
            <w:r>
              <w:rPr>
                <w:rFonts w:ascii="Arial" w:cs="Arial" w:eastAsia="Arial" w:hAnsi="Arial"/>
                <w:sz w:val="14"/>
                <w:szCs w:val="14"/>
                <w:color w:val="auto"/>
              </w:rPr>
              <w:t>Restricted escrow deposit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1,013,678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1,003,804</w:t>
            </w:r>
          </w:p>
        </w:tc>
      </w:tr>
      <w:tr>
        <w:trPr>
          <w:trHeight w:val="148"/>
        </w:trPr>
        <w:tc>
          <w:tcPr>
            <w:tcW w:w="20" w:type="dxa"/>
            <w:vAlign w:val="bottom"/>
          </w:tcPr>
          <w:p>
            <w:pPr>
              <w:spacing w:after="0"/>
              <w:rPr>
                <w:sz w:val="12"/>
                <w:szCs w:val="12"/>
                <w:color w:val="auto"/>
              </w:rPr>
            </w:pPr>
          </w:p>
        </w:tc>
        <w:tc>
          <w:tcPr>
            <w:tcW w:w="7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receivable, net of allowances for credit losses of $19,929 and $31,525, respectively</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6,988,909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6,758,024</w:t>
            </w:r>
          </w:p>
        </w:tc>
      </w:tr>
      <w:tr>
        <w:trPr>
          <w:trHeight w:val="148"/>
        </w:trPr>
        <w:tc>
          <w:tcPr>
            <w:tcW w:w="20" w:type="dxa"/>
            <w:vAlign w:val="bottom"/>
          </w:tcPr>
          <w:p>
            <w:pPr>
              <w:spacing w:after="0"/>
              <w:rPr>
                <w:sz w:val="12"/>
                <w:szCs w:val="12"/>
                <w:color w:val="auto"/>
              </w:rPr>
            </w:pPr>
          </w:p>
        </w:tc>
        <w:tc>
          <w:tcPr>
            <w:tcW w:w="708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 - related party, net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11,296,440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11,344,184</w:t>
            </w:r>
          </w:p>
        </w:tc>
      </w:tr>
      <w:tr>
        <w:trPr>
          <w:trHeight w:val="148"/>
        </w:trPr>
        <w:tc>
          <w:tcPr>
            <w:tcW w:w="20" w:type="dxa"/>
            <w:vAlign w:val="bottom"/>
          </w:tcPr>
          <w:p>
            <w:pPr>
              <w:spacing w:after="0"/>
              <w:rPr>
                <w:sz w:val="12"/>
                <w:szCs w:val="12"/>
                <w:color w:val="auto"/>
              </w:rPr>
            </w:pPr>
          </w:p>
        </w:tc>
        <w:tc>
          <w:tcPr>
            <w:tcW w:w="7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 and interest receivable - related party</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101,753</w:t>
            </w:r>
          </w:p>
        </w:tc>
      </w:tr>
      <w:tr>
        <w:trPr>
          <w:trHeight w:val="149"/>
        </w:trPr>
        <w:tc>
          <w:tcPr>
            <w:tcW w:w="20" w:type="dxa"/>
            <w:vAlign w:val="bottom"/>
          </w:tcPr>
          <w:p>
            <w:pPr>
              <w:spacing w:after="0"/>
              <w:rPr>
                <w:sz w:val="12"/>
                <w:szCs w:val="12"/>
                <w:color w:val="auto"/>
              </w:rPr>
            </w:pPr>
          </w:p>
        </w:tc>
        <w:tc>
          <w:tcPr>
            <w:tcW w:w="7080" w:type="dxa"/>
            <w:vAlign w:val="bottom"/>
          </w:tcPr>
          <w:p>
            <w:pPr>
              <w:ind w:left="100"/>
              <w:spacing w:after="0" w:line="149" w:lineRule="exact"/>
              <w:rPr>
                <w:sz w:val="20"/>
                <w:szCs w:val="20"/>
                <w:color w:val="auto"/>
              </w:rPr>
            </w:pPr>
            <w:r>
              <w:rPr>
                <w:rFonts w:ascii="Arial" w:cs="Arial" w:eastAsia="Arial" w:hAnsi="Arial"/>
                <w:sz w:val="14"/>
                <w:szCs w:val="14"/>
                <w:color w:val="auto"/>
              </w:rPr>
              <w:t>Prepaid expenses - related party</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708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11,197,381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10,565,141</w:t>
            </w:r>
          </w:p>
        </w:tc>
      </w:tr>
      <w:tr>
        <w:trPr>
          <w:trHeight w:val="142"/>
        </w:trPr>
        <w:tc>
          <w:tcPr>
            <w:tcW w:w="20" w:type="dxa"/>
            <w:vAlign w:val="bottom"/>
          </w:tcPr>
          <w:p>
            <w:pPr>
              <w:spacing w:after="0"/>
              <w:rPr>
                <w:sz w:val="12"/>
                <w:szCs w:val="12"/>
                <w:color w:val="auto"/>
              </w:rPr>
            </w:pPr>
          </w:p>
        </w:tc>
        <w:tc>
          <w:tcPr>
            <w:tcW w:w="7080" w:type="dxa"/>
            <w:vAlign w:val="bottom"/>
          </w:tcPr>
          <w:p>
            <w:pPr>
              <w:spacing w:after="0" w:line="142" w:lineRule="exact"/>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37,206,906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42,636,723</w:t>
            </w:r>
          </w:p>
        </w:tc>
      </w:tr>
      <w:tr>
        <w:trPr>
          <w:trHeight w:val="148"/>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and cash equivalents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6,380,657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6,374,368</w:t>
            </w: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Prepaid expenses - related party</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5,582,500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5,582,500</w:t>
            </w:r>
          </w:p>
        </w:tc>
      </w:tr>
      <w:tr>
        <w:trPr>
          <w:trHeight w:val="148"/>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4,999,739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5,114,799</w:t>
            </w:r>
          </w:p>
        </w:tc>
      </w:tr>
      <w:tr>
        <w:trPr>
          <w:trHeight w:val="148"/>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Intangible assets, net - license - related parties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688,406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1,384,058</w:t>
            </w:r>
          </w:p>
        </w:tc>
      </w:tr>
      <w:tr>
        <w:trPr>
          <w:trHeight w:val="148"/>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 - other</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272,320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272,521</w:t>
            </w:r>
          </w:p>
        </w:tc>
      </w:tr>
      <w:tr>
        <w:trPr>
          <w:trHeight w:val="148"/>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7,602,536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7,602,536</w:t>
            </w: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198,668</w:t>
            </w:r>
          </w:p>
        </w:tc>
      </w:tr>
      <w:tr>
        <w:trPr>
          <w:trHeight w:val="148"/>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Operating lease right-of-use assets, net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3,321,332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3,606,398</w:t>
            </w:r>
          </w:p>
        </w:tc>
      </w:tr>
      <w:tr>
        <w:trPr>
          <w:trHeight w:val="182"/>
        </w:trPr>
        <w:tc>
          <w:tcPr>
            <w:tcW w:w="20" w:type="dxa"/>
            <w:vAlign w:val="bottom"/>
          </w:tcPr>
          <w:p>
            <w:pPr>
              <w:spacing w:after="0"/>
              <w:rPr>
                <w:sz w:val="15"/>
                <w:szCs w:val="15"/>
                <w:color w:val="auto"/>
              </w:rPr>
            </w:pPr>
          </w:p>
        </w:tc>
        <w:tc>
          <w:tcPr>
            <w:tcW w:w="70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 assets</w:t>
            </w:r>
          </w:p>
        </w:tc>
        <w:tc>
          <w:tcPr>
            <w:tcW w:w="3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66,244,401</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72,772,571</w:t>
            </w:r>
          </w:p>
        </w:tc>
      </w:tr>
      <w:tr>
        <w:trPr>
          <w:trHeight w:val="129"/>
        </w:trPr>
        <w:tc>
          <w:tcPr>
            <w:tcW w:w="20" w:type="dxa"/>
            <w:vAlign w:val="bottom"/>
          </w:tcPr>
          <w:p>
            <w:pPr>
              <w:spacing w:after="0"/>
              <w:rPr>
                <w:sz w:val="11"/>
                <w:szCs w:val="11"/>
                <w:color w:val="auto"/>
              </w:rPr>
            </w:pPr>
          </w:p>
        </w:tc>
        <w:tc>
          <w:tcPr>
            <w:tcW w:w="7080" w:type="dxa"/>
            <w:vAlign w:val="bottom"/>
            <w:tcBorders>
              <w:top w:val="single" w:sz="8" w:color="CCEEFF"/>
            </w:tcBorders>
          </w:tcPr>
          <w:p>
            <w:pPr>
              <w:spacing w:after="0" w:line="129" w:lineRule="exact"/>
              <w:rPr>
                <w:sz w:val="20"/>
                <w:szCs w:val="20"/>
                <w:color w:val="auto"/>
              </w:rPr>
            </w:pPr>
            <w:r>
              <w:rPr>
                <w:rFonts w:ascii="Arial" w:cs="Arial" w:eastAsia="Arial" w:hAnsi="Arial"/>
                <w:sz w:val="14"/>
                <w:szCs w:val="14"/>
                <w:b w:val="1"/>
                <w:bCs w:val="1"/>
                <w:color w:val="auto"/>
              </w:rPr>
              <w:t>LIABILITIES, NONCONTROLLING INTERESTS AND STOCKHOLDERS’ EQUITY</w:t>
            </w:r>
          </w:p>
        </w:tc>
        <w:tc>
          <w:tcPr>
            <w:tcW w:w="22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8,111,718</w:t>
            </w:r>
          </w:p>
        </w:tc>
        <w:tc>
          <w:tcPr>
            <w:tcW w:w="120" w:type="dxa"/>
            <w:vAlign w:val="bottom"/>
          </w:tcPr>
          <w:p>
            <w:pPr>
              <w:spacing w:after="0"/>
              <w:rPr>
                <w:sz w:val="12"/>
                <w:szCs w:val="12"/>
                <w:color w:val="auto"/>
              </w:rPr>
            </w:pP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9,452,391</w:t>
            </w:r>
          </w:p>
        </w:tc>
      </w:tr>
      <w:tr>
        <w:trPr>
          <w:trHeight w:val="148"/>
        </w:trPr>
        <w:tc>
          <w:tcPr>
            <w:tcW w:w="20" w:type="dxa"/>
            <w:vAlign w:val="bottom"/>
          </w:tcPr>
          <w:p>
            <w:pPr>
              <w:spacing w:after="0"/>
              <w:rPr>
                <w:sz w:val="12"/>
                <w:szCs w:val="12"/>
                <w:color w:val="auto"/>
              </w:rPr>
            </w:pPr>
          </w:p>
        </w:tc>
        <w:tc>
          <w:tcPr>
            <w:tcW w:w="7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 - related party</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19,540,783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19,918,259</w:t>
            </w:r>
          </w:p>
        </w:tc>
      </w:tr>
      <w:tr>
        <w:trPr>
          <w:trHeight w:val="148"/>
        </w:trPr>
        <w:tc>
          <w:tcPr>
            <w:tcW w:w="20" w:type="dxa"/>
            <w:vAlign w:val="bottom"/>
          </w:tcPr>
          <w:p>
            <w:pPr>
              <w:spacing w:after="0"/>
              <w:rPr>
                <w:sz w:val="12"/>
                <w:szCs w:val="12"/>
                <w:color w:val="auto"/>
              </w:rPr>
            </w:pPr>
          </w:p>
        </w:tc>
        <w:tc>
          <w:tcPr>
            <w:tcW w:w="7080" w:type="dxa"/>
            <w:vAlign w:val="bottom"/>
          </w:tcPr>
          <w:p>
            <w:pPr>
              <w:ind w:left="100"/>
              <w:spacing w:after="0" w:line="149" w:lineRule="exact"/>
              <w:rPr>
                <w:sz w:val="20"/>
                <w:szCs w:val="20"/>
                <w:color w:val="auto"/>
              </w:rPr>
            </w:pPr>
            <w:r>
              <w:rPr>
                <w:rFonts w:ascii="Arial" w:cs="Arial" w:eastAsia="Arial" w:hAnsi="Arial"/>
                <w:sz w:val="14"/>
                <w:szCs w:val="14"/>
                <w:color w:val="auto"/>
              </w:rPr>
              <w:t>Accrued expenses and other liabilities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1,990,490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1,474,088</w:t>
            </w: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payable - related parties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527,770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527,770</w:t>
            </w:r>
          </w:p>
        </w:tc>
      </w:tr>
      <w:tr>
        <w:trPr>
          <w:trHeight w:val="148"/>
        </w:trPr>
        <w:tc>
          <w:tcPr>
            <w:tcW w:w="20" w:type="dxa"/>
            <w:vAlign w:val="bottom"/>
          </w:tcPr>
          <w:p>
            <w:pPr>
              <w:spacing w:after="0"/>
              <w:rPr>
                <w:sz w:val="12"/>
                <w:szCs w:val="12"/>
                <w:color w:val="auto"/>
              </w:rPr>
            </w:pPr>
          </w:p>
        </w:tc>
        <w:tc>
          <w:tcPr>
            <w:tcW w:w="7080" w:type="dxa"/>
            <w:vAlign w:val="bottom"/>
          </w:tcPr>
          <w:p>
            <w:pPr>
              <w:ind w:left="100"/>
              <w:spacing w:after="0" w:line="149" w:lineRule="exact"/>
              <w:rPr>
                <w:sz w:val="20"/>
                <w:szCs w:val="20"/>
                <w:color w:val="auto"/>
              </w:rPr>
            </w:pPr>
            <w:r>
              <w:rPr>
                <w:rFonts w:ascii="Arial" w:cs="Arial" w:eastAsia="Arial" w:hAnsi="Arial"/>
                <w:sz w:val="14"/>
                <w:szCs w:val="14"/>
                <w:color w:val="auto"/>
              </w:rPr>
              <w:t>Revolving loan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9,000,000</w:t>
            </w: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Short term note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4,166,667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5,416,666</w:t>
            </w:r>
          </w:p>
        </w:tc>
      </w:tr>
      <w:tr>
        <w:trPr>
          <w:trHeight w:val="148"/>
        </w:trPr>
        <w:tc>
          <w:tcPr>
            <w:tcW w:w="20" w:type="dxa"/>
            <w:vAlign w:val="bottom"/>
          </w:tcPr>
          <w:p>
            <w:pPr>
              <w:spacing w:after="0"/>
              <w:rPr>
                <w:sz w:val="12"/>
                <w:szCs w:val="12"/>
                <w:color w:val="auto"/>
              </w:rPr>
            </w:pPr>
          </w:p>
        </w:tc>
        <w:tc>
          <w:tcPr>
            <w:tcW w:w="7080" w:type="dxa"/>
            <w:vAlign w:val="bottom"/>
          </w:tcPr>
          <w:p>
            <w:pPr>
              <w:ind w:left="100"/>
              <w:spacing w:after="0" w:line="149" w:lineRule="exact"/>
              <w:rPr>
                <w:sz w:val="20"/>
                <w:szCs w:val="20"/>
                <w:color w:val="auto"/>
              </w:rPr>
            </w:pPr>
            <w:r>
              <w:rPr>
                <w:rFonts w:ascii="Arial" w:cs="Arial" w:eastAsia="Arial" w:hAnsi="Arial"/>
                <w:sz w:val="14"/>
                <w:szCs w:val="14"/>
                <w:color w:val="auto"/>
              </w:rPr>
              <w:t>Current portion of long-term debt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80,568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86,524</w:t>
            </w:r>
          </w:p>
        </w:tc>
      </w:tr>
      <w:tr>
        <w:trPr>
          <w:trHeight w:val="148"/>
        </w:trPr>
        <w:tc>
          <w:tcPr>
            <w:tcW w:w="20" w:type="dxa"/>
            <w:vAlign w:val="bottom"/>
          </w:tcPr>
          <w:p>
            <w:pPr>
              <w:spacing w:after="0"/>
              <w:rPr>
                <w:sz w:val="12"/>
                <w:szCs w:val="12"/>
                <w:color w:val="auto"/>
              </w:rPr>
            </w:pPr>
          </w:p>
        </w:tc>
        <w:tc>
          <w:tcPr>
            <w:tcW w:w="70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portion of deferred revenue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4,517,573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4,335,404</w:t>
            </w:r>
          </w:p>
        </w:tc>
      </w:tr>
      <w:tr>
        <w:trPr>
          <w:trHeight w:val="149"/>
        </w:trPr>
        <w:tc>
          <w:tcPr>
            <w:tcW w:w="20" w:type="dxa"/>
            <w:vAlign w:val="bottom"/>
          </w:tcPr>
          <w:p>
            <w:pPr>
              <w:spacing w:after="0"/>
              <w:rPr>
                <w:sz w:val="12"/>
                <w:szCs w:val="12"/>
                <w:color w:val="auto"/>
              </w:rPr>
            </w:pPr>
          </w:p>
        </w:tc>
        <w:tc>
          <w:tcPr>
            <w:tcW w:w="7080" w:type="dxa"/>
            <w:vAlign w:val="bottom"/>
          </w:tcPr>
          <w:p>
            <w:pPr>
              <w:ind w:left="100"/>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1,403,978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1,371,227</w:t>
            </w:r>
          </w:p>
        </w:tc>
      </w:tr>
      <w:tr>
        <w:trPr>
          <w:trHeight w:val="142"/>
        </w:trPr>
        <w:tc>
          <w:tcPr>
            <w:tcW w:w="20" w:type="dxa"/>
            <w:vAlign w:val="bottom"/>
          </w:tcPr>
          <w:p>
            <w:pPr>
              <w:spacing w:after="0"/>
              <w:rPr>
                <w:sz w:val="12"/>
                <w:szCs w:val="12"/>
                <w:color w:val="auto"/>
              </w:rPr>
            </w:pPr>
          </w:p>
        </w:tc>
        <w:tc>
          <w:tcPr>
            <w:tcW w:w="7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49,339,547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51,582,329</w:t>
            </w:r>
          </w:p>
        </w:tc>
      </w:tr>
      <w:tr>
        <w:trPr>
          <w:trHeight w:val="148"/>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384,150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457,024</w:t>
            </w:r>
          </w:p>
        </w:tc>
      </w:tr>
      <w:tr>
        <w:trPr>
          <w:trHeight w:val="148"/>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net of current portion</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2,784,749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3,221,963</w:t>
            </w: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Deferred revenue, net of current portion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4,882,744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5,216,042</w:t>
            </w:r>
          </w:p>
        </w:tc>
      </w:tr>
      <w:tr>
        <w:trPr>
          <w:trHeight w:val="148"/>
        </w:trPr>
        <w:tc>
          <w:tcPr>
            <w:tcW w:w="20" w:type="dxa"/>
            <w:vAlign w:val="bottom"/>
          </w:tcPr>
          <w:p>
            <w:pPr>
              <w:spacing w:after="0"/>
              <w:rPr>
                <w:sz w:val="12"/>
                <w:szCs w:val="12"/>
                <w:color w:val="auto"/>
              </w:rPr>
            </w:pPr>
          </w:p>
        </w:tc>
        <w:tc>
          <w:tcPr>
            <w:tcW w:w="7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Operating lease liabilities, net of current portion</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2,563,302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2,930,529</w:t>
            </w:r>
          </w:p>
        </w:tc>
      </w:tr>
      <w:tr>
        <w:trPr>
          <w:trHeight w:val="142"/>
        </w:trPr>
        <w:tc>
          <w:tcPr>
            <w:tcW w:w="20" w:type="dxa"/>
            <w:vAlign w:val="bottom"/>
          </w:tcPr>
          <w:p>
            <w:pPr>
              <w:spacing w:after="0"/>
              <w:rPr>
                <w:sz w:val="12"/>
                <w:szCs w:val="12"/>
                <w:color w:val="auto"/>
              </w:rPr>
            </w:pPr>
          </w:p>
        </w:tc>
        <w:tc>
          <w:tcPr>
            <w:tcW w:w="7080" w:type="dxa"/>
            <w:vAlign w:val="bottom"/>
          </w:tcPr>
          <w:p>
            <w:pPr>
              <w:spacing w:after="0" w:line="142" w:lineRule="exact"/>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59,954,492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63,407,887</w:t>
            </w:r>
          </w:p>
        </w:tc>
      </w:tr>
      <w:tr>
        <w:trPr>
          <w:trHeight w:val="142"/>
        </w:trPr>
        <w:tc>
          <w:tcPr>
            <w:tcW w:w="20" w:type="dxa"/>
            <w:vAlign w:val="bottom"/>
          </w:tcPr>
          <w:p>
            <w:pPr>
              <w:spacing w:after="0"/>
              <w:rPr>
                <w:sz w:val="12"/>
                <w:szCs w:val="12"/>
                <w:color w:val="auto"/>
              </w:rPr>
            </w:pPr>
          </w:p>
        </w:tc>
        <w:tc>
          <w:tcPr>
            <w:tcW w:w="70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Commitments and contingencies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Class A common stock, $0.0001 par value, 500,000,000 shares authorized, 9,251,420 shares issued, and 7,901,145 and</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8,053,771 shares outstanding, respectively</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r>
      <w:tr>
        <w:trPr>
          <w:trHeight w:val="148"/>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Class B common stock, $0.0001 par value, 100,000,000 shares authorized, 28,748,580 issued and 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2,875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2,875</w:t>
            </w: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23,589,537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23,436,942</w:t>
            </w:r>
          </w:p>
        </w:tc>
      </w:tr>
      <w:tr>
        <w:trPr>
          <w:trHeight w:val="148"/>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(304,880)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(307,200)</w:t>
            </w:r>
          </w:p>
        </w:tc>
      </w:tr>
      <w:tr>
        <w:trPr>
          <w:trHeight w:val="148"/>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(7,834,628)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(4,863,250)</w:t>
            </w:r>
          </w:p>
        </w:tc>
      </w:tr>
      <w:tr>
        <w:trPr>
          <w:trHeight w:val="142"/>
        </w:trPr>
        <w:tc>
          <w:tcPr>
            <w:tcW w:w="20" w:type="dxa"/>
            <w:vAlign w:val="bottom"/>
          </w:tcPr>
          <w:p>
            <w:pPr>
              <w:spacing w:after="0"/>
              <w:rPr>
                <w:sz w:val="12"/>
                <w:szCs w:val="12"/>
                <w:color w:val="auto"/>
              </w:rPr>
            </w:pPr>
          </w:p>
        </w:tc>
        <w:tc>
          <w:tcPr>
            <w:tcW w:w="70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15,453,829</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18,270,292</w:t>
            </w: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Treasury stock at cost (1,350,275 and 1,197,649 shares, respectively)</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(3,671,806)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(3,414,713)</w:t>
            </w:r>
          </w:p>
        </w:tc>
      </w:tr>
      <w:tr>
        <w:trPr>
          <w:trHeight w:val="142"/>
        </w:trPr>
        <w:tc>
          <w:tcPr>
            <w:tcW w:w="20" w:type="dxa"/>
            <w:vAlign w:val="bottom"/>
          </w:tcPr>
          <w:p>
            <w:pPr>
              <w:spacing w:after="0"/>
              <w:rPr>
                <w:sz w:val="12"/>
                <w:szCs w:val="12"/>
                <w:color w:val="auto"/>
              </w:rPr>
            </w:pPr>
          </w:p>
        </w:tc>
        <w:tc>
          <w:tcPr>
            <w:tcW w:w="708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Total Snail, Inc. equity</w:t>
            </w: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11,782,023</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14,855,579</w:t>
            </w: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(5,492,114)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(5,490,895)</w:t>
            </w:r>
          </w:p>
        </w:tc>
      </w:tr>
      <w:tr>
        <w:trPr>
          <w:trHeight w:val="142"/>
        </w:trPr>
        <w:tc>
          <w:tcPr>
            <w:tcW w:w="20" w:type="dxa"/>
            <w:vAlign w:val="bottom"/>
          </w:tcPr>
          <w:p>
            <w:pPr>
              <w:spacing w:after="0"/>
              <w:rPr>
                <w:sz w:val="12"/>
                <w:szCs w:val="12"/>
                <w:color w:val="auto"/>
              </w:rPr>
            </w:pPr>
          </w:p>
        </w:tc>
        <w:tc>
          <w:tcPr>
            <w:tcW w:w="708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6,289,909</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9,364,684</w:t>
            </w:r>
          </w:p>
        </w:tc>
      </w:tr>
      <w:tr>
        <w:trPr>
          <w:trHeight w:val="162"/>
        </w:trPr>
        <w:tc>
          <w:tcPr>
            <w:tcW w:w="20" w:type="dxa"/>
            <w:vAlign w:val="bottom"/>
          </w:tcPr>
          <w:p>
            <w:pPr>
              <w:spacing w:after="0"/>
              <w:rPr>
                <w:sz w:val="14"/>
                <w:szCs w:val="14"/>
                <w:color w:val="auto"/>
              </w:rPr>
            </w:pPr>
          </w:p>
        </w:tc>
        <w:tc>
          <w:tcPr>
            <w:tcW w:w="70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 liabilities, noncontrolling interests and stockholders’ equity</w:t>
            </w:r>
          </w:p>
        </w:tc>
        <w:tc>
          <w:tcPr>
            <w:tcW w:w="38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66,244,401</w:t>
            </w: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72,772,571</w:t>
            </w: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 for the Three Months Ended March 31,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and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Revenues, net</w:t>
            </w:r>
          </w:p>
        </w:tc>
        <w:tc>
          <w:tcPr>
            <w:tcW w:w="1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13,458,488</w:t>
            </w:r>
          </w:p>
        </w:tc>
        <w:tc>
          <w:tcPr>
            <w:tcW w:w="1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28,054,591</w:t>
            </w:r>
          </w:p>
        </w:tc>
        <w:tc>
          <w:tcPr>
            <w:tcW w:w="1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Arial" w:cs="Arial" w:eastAsia="Arial" w:hAnsi="Arial"/>
                <w:sz w:val="14"/>
                <w:szCs w:val="14"/>
                <w:color w:val="auto"/>
              </w:rPr>
              <w:t>Cost of revenues</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9,816,397</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14,889,017</w:t>
            </w:r>
          </w:p>
        </w:tc>
        <w:tc>
          <w:tcPr>
            <w:tcW w:w="1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3,642,091</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13,165,574</w:t>
            </w:r>
          </w:p>
        </w:tc>
        <w:tc>
          <w:tcPr>
            <w:tcW w:w="180" w:type="dxa"/>
            <w:vAlign w:val="bottom"/>
            <w:tcBorders>
              <w:bottom w:val="single" w:sz="8" w:color="CCEEFF"/>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General and administrative (including stock-based compensation expense of $152,595 and $0, respectively)</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5,570,291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5,620,010</w:t>
            </w: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Research and development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1,373,797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183,956</w:t>
            </w:r>
          </w:p>
        </w:tc>
        <w:tc>
          <w:tcPr>
            <w:tcW w:w="1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Advertising and marketing</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104,549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158,670</w:t>
            </w:r>
          </w:p>
        </w:tc>
        <w:tc>
          <w:tcPr>
            <w:tcW w:w="1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115,060</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168,317</w:t>
            </w:r>
          </w:p>
        </w:tc>
        <w:tc>
          <w:tcPr>
            <w:tcW w:w="1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7,163,697</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6,130,953</w:t>
            </w:r>
          </w:p>
        </w:tc>
        <w:tc>
          <w:tcPr>
            <w:tcW w:w="180" w:type="dxa"/>
            <w:vAlign w:val="bottom"/>
            <w:tcBorders>
              <w:bottom w:val="single" w:sz="8" w:color="CCEEFF"/>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gridSpan w:val="2"/>
          </w:tcPr>
          <w:p>
            <w:pPr>
              <w:spacing w:after="0" w:line="142" w:lineRule="exact"/>
              <w:rPr>
                <w:sz w:val="20"/>
                <w:szCs w:val="20"/>
                <w:color w:val="auto"/>
              </w:rPr>
            </w:pPr>
            <w:r>
              <w:rPr>
                <w:rFonts w:ascii="Arial" w:cs="Arial" w:eastAsia="Arial" w:hAnsi="Arial"/>
                <w:sz w:val="14"/>
                <w:szCs w:val="14"/>
                <w:color w:val="auto"/>
              </w:rPr>
              <w:t>Income (loss) from operations</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(3,521,606)</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7,034,621</w:t>
            </w:r>
          </w:p>
        </w:tc>
        <w:tc>
          <w:tcPr>
            <w:tcW w:w="1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31,473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15,372</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income - related parties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450,928</w:t>
            </w:r>
          </w:p>
        </w:tc>
        <w:tc>
          <w:tcPr>
            <w:tcW w:w="1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(294,583)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(166,055)</w:t>
            </w:r>
          </w:p>
        </w:tc>
        <w:tc>
          <w:tcPr>
            <w:tcW w:w="1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expense - related parties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(1,726)</w:t>
            </w:r>
          </w:p>
        </w:tc>
        <w:tc>
          <w:tcPr>
            <w:tcW w:w="1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income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8,175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2,684</w:t>
            </w:r>
          </w:p>
        </w:tc>
        <w:tc>
          <w:tcPr>
            <w:tcW w:w="1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240" w:type="dxa"/>
            <w:vAlign w:val="bottom"/>
            <w:tcBorders>
              <w:bottom w:val="single" w:sz="8" w:color="CCEEFF"/>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Foreign currency transaction loss</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(2,367)</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(2,406)</w:t>
            </w:r>
          </w:p>
        </w:tc>
        <w:tc>
          <w:tcPr>
            <w:tcW w:w="180" w:type="dxa"/>
            <w:vAlign w:val="bottom"/>
            <w:tcBorders>
              <w:bottom w:val="single" w:sz="8" w:color="CCEEFF"/>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gridSpan w:val="2"/>
          </w:tcPr>
          <w:p>
            <w:pPr>
              <w:spacing w:after="0" w:line="142" w:lineRule="exact"/>
              <w:rPr>
                <w:sz w:val="20"/>
                <w:szCs w:val="20"/>
                <w:color w:val="auto"/>
              </w:rPr>
            </w:pPr>
            <w:r>
              <w:rPr>
                <w:rFonts w:ascii="Arial" w:cs="Arial" w:eastAsia="Arial" w:hAnsi="Arial"/>
                <w:sz w:val="14"/>
                <w:szCs w:val="14"/>
                <w:color w:val="auto"/>
              </w:rPr>
              <w:t>Total other income, net</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(256,809)</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298,797</w:t>
            </w:r>
          </w:p>
        </w:tc>
        <w:tc>
          <w:tcPr>
            <w:tcW w:w="1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Income (loss) before (benefit from) provision for income taxes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(3,778,415)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7,333,418</w:t>
            </w:r>
          </w:p>
        </w:tc>
        <w:tc>
          <w:tcPr>
            <w:tcW w:w="1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Arial" w:cs="Arial" w:eastAsia="Arial" w:hAnsi="Arial"/>
                <w:sz w:val="14"/>
                <w:szCs w:val="14"/>
                <w:color w:val="auto"/>
              </w:rPr>
              <w:t>(Benefit from) provision for income taxes</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(805,818)</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1,529,651</w:t>
            </w:r>
          </w:p>
        </w:tc>
        <w:tc>
          <w:tcPr>
            <w:tcW w:w="1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(2,972,597)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5,803,767</w:t>
            </w:r>
          </w:p>
        </w:tc>
        <w:tc>
          <w:tcPr>
            <w:tcW w:w="1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Arial" w:cs="Arial" w:eastAsia="Arial" w:hAnsi="Arial"/>
                <w:sz w:val="14"/>
                <w:szCs w:val="14"/>
                <w:color w:val="auto"/>
              </w:rPr>
              <w:t>Net (loss) attributable to non-controlling interests</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(1,219)</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(7,290)</w:t>
            </w:r>
          </w:p>
        </w:tc>
        <w:tc>
          <w:tcPr>
            <w:tcW w:w="1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 (loss) attributable to Snail, Inc. and Snail Games USA Inc.</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(2,971,378)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5,811,057</w:t>
            </w:r>
          </w:p>
        </w:tc>
        <w:tc>
          <w:tcPr>
            <w:tcW w:w="1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Comprehensive income statement: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24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related to currency translation adjustments, net of tax</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2,320</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(51,203)</w:t>
            </w:r>
          </w:p>
        </w:tc>
        <w:tc>
          <w:tcPr>
            <w:tcW w:w="180" w:type="dxa"/>
            <w:vAlign w:val="bottom"/>
            <w:tcBorders>
              <w:bottom w:val="single" w:sz="8" w:color="CCEEFF"/>
            </w:tcBorders>
            <w:shd w:val="clear" w:color="auto" w:fill="CCEEFF"/>
          </w:tcPr>
          <w:p>
            <w:pPr>
              <w:spacing w:after="0"/>
              <w:rPr>
                <w:sz w:val="12"/>
                <w:szCs w:val="12"/>
                <w:color w:val="auto"/>
              </w:rPr>
            </w:pPr>
          </w:p>
        </w:tc>
      </w:tr>
      <w:tr>
        <w:trPr>
          <w:trHeight w:val="142"/>
        </w:trPr>
        <w:tc>
          <w:tcPr>
            <w:tcW w:w="7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Total comprehensive income (loss)</w:t>
            </w:r>
          </w:p>
        </w:tc>
        <w:tc>
          <w:tcPr>
            <w:tcW w:w="400" w:type="dxa"/>
            <w:vAlign w:val="bottom"/>
            <w:gridSpan w:val="2"/>
          </w:tcPr>
          <w:p>
            <w:pPr>
              <w:jc w:val="right"/>
              <w:ind w:right="68"/>
              <w:spacing w:after="0" w:line="12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(2,969,058)</w:t>
            </w:r>
          </w:p>
        </w:tc>
        <w:tc>
          <w:tcPr>
            <w:tcW w:w="400" w:type="dxa"/>
            <w:vAlign w:val="bottom"/>
            <w:gridSpan w:val="2"/>
          </w:tcPr>
          <w:p>
            <w:pPr>
              <w:jc w:val="right"/>
              <w:ind w:right="68"/>
              <w:spacing w:after="0" w:line="12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5,759,854</w:t>
            </w:r>
          </w:p>
        </w:tc>
        <w:tc>
          <w:tcPr>
            <w:tcW w:w="1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2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income (loss) attributable to Class A common stockholders:</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8"/>
        </w:trPr>
        <w:tc>
          <w:tcPr>
            <w:tcW w:w="7260" w:type="dxa"/>
            <w:vAlign w:val="bottom"/>
            <w:gridSpan w:val="3"/>
          </w:tcPr>
          <w:p>
            <w:pPr>
              <w:spacing w:after="0" w:line="129" w:lineRule="exact"/>
              <w:rPr>
                <w:sz w:val="20"/>
                <w:szCs w:val="20"/>
                <w:color w:val="auto"/>
              </w:rPr>
            </w:pPr>
            <w:r>
              <w:rPr>
                <w:rFonts w:ascii="Arial" w:cs="Arial" w:eastAsia="Arial" w:hAnsi="Arial"/>
                <w:sz w:val="14"/>
                <w:szCs w:val="14"/>
                <w:color w:val="auto"/>
              </w:rPr>
              <w:t>Basic</w:t>
            </w:r>
          </w:p>
        </w:tc>
        <w:tc>
          <w:tcPr>
            <w:tcW w:w="400" w:type="dxa"/>
            <w:vAlign w:val="bottom"/>
            <w:gridSpan w:val="2"/>
          </w:tcPr>
          <w:p>
            <w:pPr>
              <w:jc w:val="right"/>
              <w:ind w:right="68"/>
              <w:spacing w:after="0" w:line="12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(642,340)</w:t>
            </w:r>
          </w:p>
        </w:tc>
        <w:tc>
          <w:tcPr>
            <w:tcW w:w="400" w:type="dxa"/>
            <w:vAlign w:val="bottom"/>
            <w:gridSpan w:val="2"/>
          </w:tcPr>
          <w:p>
            <w:pPr>
              <w:jc w:val="right"/>
              <w:ind w:right="68"/>
              <w:spacing w:after="0" w:line="12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5,811,057</w:t>
            </w:r>
          </w:p>
        </w:tc>
        <w:tc>
          <w:tcPr>
            <w:tcW w:w="1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Diluted</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(642,340)</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5,811,057</w:t>
            </w:r>
          </w:p>
        </w:tc>
        <w:tc>
          <w:tcPr>
            <w:tcW w:w="180" w:type="dxa"/>
            <w:vAlign w:val="bottom"/>
            <w:tcBorders>
              <w:bottom w:val="single" w:sz="8" w:color="CCEEFF"/>
            </w:tcBorders>
            <w:shd w:val="clear" w:color="auto" w:fill="CCEEFF"/>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72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Net loss attributable to Class B common stockholders: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724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(2,329,038)</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r>
      <w:tr>
        <w:trPr>
          <w:trHeight w:val="129"/>
        </w:trPr>
        <w:tc>
          <w:tcPr>
            <w:tcW w:w="7260" w:type="dxa"/>
            <w:vAlign w:val="bottom"/>
            <w:gridSpan w:val="3"/>
          </w:tcPr>
          <w:p>
            <w:pPr>
              <w:spacing w:after="0" w:line="129" w:lineRule="exact"/>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1"/>
                <w:szCs w:val="11"/>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(2,329,038)</w:t>
            </w:r>
          </w:p>
        </w:tc>
        <w:tc>
          <w:tcPr>
            <w:tcW w:w="180" w:type="dxa"/>
            <w:vAlign w:val="bottom"/>
          </w:tcPr>
          <w:p>
            <w:pPr>
              <w:spacing w:after="0"/>
              <w:rPr>
                <w:sz w:val="11"/>
                <w:szCs w:val="11"/>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2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 (loss) per share attributable to Class A and B common stockholders:</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8"/>
        </w:trPr>
        <w:tc>
          <w:tcPr>
            <w:tcW w:w="7260" w:type="dxa"/>
            <w:vAlign w:val="bottom"/>
            <w:gridSpan w:val="3"/>
          </w:tcPr>
          <w:p>
            <w:pPr>
              <w:spacing w:after="0" w:line="129" w:lineRule="exact"/>
              <w:rPr>
                <w:sz w:val="20"/>
                <w:szCs w:val="20"/>
                <w:color w:val="auto"/>
              </w:rPr>
            </w:pPr>
            <w:r>
              <w:rPr>
                <w:rFonts w:ascii="Arial" w:cs="Arial" w:eastAsia="Arial" w:hAnsi="Arial"/>
                <w:sz w:val="14"/>
                <w:szCs w:val="14"/>
                <w:color w:val="auto"/>
              </w:rPr>
              <w:t>Basic</w:t>
            </w:r>
          </w:p>
        </w:tc>
        <w:tc>
          <w:tcPr>
            <w:tcW w:w="400" w:type="dxa"/>
            <w:vAlign w:val="bottom"/>
            <w:gridSpan w:val="2"/>
          </w:tcPr>
          <w:p>
            <w:pPr>
              <w:jc w:val="right"/>
              <w:ind w:right="68"/>
              <w:spacing w:after="0" w:line="12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(0.08)</w:t>
            </w:r>
          </w:p>
        </w:tc>
        <w:tc>
          <w:tcPr>
            <w:tcW w:w="400" w:type="dxa"/>
            <w:vAlign w:val="bottom"/>
            <w:gridSpan w:val="2"/>
          </w:tcPr>
          <w:p>
            <w:pPr>
              <w:jc w:val="right"/>
              <w:ind w:right="68"/>
              <w:spacing w:after="0" w:line="12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0.17</w:t>
            </w:r>
          </w:p>
        </w:tc>
        <w:tc>
          <w:tcPr>
            <w:tcW w:w="1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Diluted</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(0.08)</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0.17</w:t>
            </w:r>
          </w:p>
        </w:tc>
        <w:tc>
          <w:tcPr>
            <w:tcW w:w="180" w:type="dxa"/>
            <w:vAlign w:val="bottom"/>
            <w:tcBorders>
              <w:bottom w:val="single" w:sz="8" w:color="CCEEFF"/>
            </w:tcBorders>
            <w:shd w:val="clear" w:color="auto" w:fill="CCEEFF"/>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72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Weighted-average shares used to compute income per share attributable to Class A common stockholders: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724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7,928,742</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35,000,000</w:t>
            </w:r>
          </w:p>
        </w:tc>
        <w:tc>
          <w:tcPr>
            <w:tcW w:w="180" w:type="dxa"/>
            <w:vAlign w:val="bottom"/>
            <w:tcBorders>
              <w:bottom w:val="single" w:sz="8" w:color="CCEEFF"/>
            </w:tcBorders>
            <w:shd w:val="clear" w:color="auto" w:fill="CCEEFF"/>
          </w:tcPr>
          <w:p>
            <w:pPr>
              <w:spacing w:after="0"/>
              <w:rPr>
                <w:sz w:val="16"/>
                <w:szCs w:val="16"/>
                <w:color w:val="auto"/>
              </w:rPr>
            </w:pPr>
          </w:p>
        </w:tc>
      </w:tr>
      <w:tr>
        <w:trPr>
          <w:trHeight w:val="129"/>
        </w:trPr>
        <w:tc>
          <w:tcPr>
            <w:tcW w:w="7260" w:type="dxa"/>
            <w:vAlign w:val="bottom"/>
            <w:gridSpan w:val="3"/>
          </w:tcPr>
          <w:p>
            <w:pPr>
              <w:spacing w:after="0" w:line="129" w:lineRule="exact"/>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7,928,742</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35,000,000</w:t>
            </w:r>
          </w:p>
        </w:tc>
        <w:tc>
          <w:tcPr>
            <w:tcW w:w="1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2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Weighted-average shares used to compute income per share attributable to Class B common stockholders:</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8"/>
        </w:trPr>
        <w:tc>
          <w:tcPr>
            <w:tcW w:w="7260" w:type="dxa"/>
            <w:vAlign w:val="bottom"/>
            <w:gridSpan w:val="3"/>
          </w:tcPr>
          <w:p>
            <w:pPr>
              <w:spacing w:after="0" w:line="129" w:lineRule="exact"/>
              <w:rPr>
                <w:sz w:val="20"/>
                <w:szCs w:val="20"/>
                <w:color w:val="auto"/>
              </w:rPr>
            </w:pPr>
            <w:r>
              <w:rPr>
                <w:rFonts w:ascii="Arial" w:cs="Arial" w:eastAsia="Arial" w:hAnsi="Arial"/>
                <w:sz w:val="14"/>
                <w:szCs w:val="14"/>
                <w:color w:val="auto"/>
              </w:rPr>
              <w:t>Basic</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28,748,580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Diluted</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28,748,580</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4"/>
                <w:szCs w:val="14"/>
                <w:color w:val="auto"/>
              </w:rPr>
            </w:pPr>
          </w:p>
        </w:tc>
      </w:tr>
      <w:tr>
        <w:trPr>
          <w:trHeight w:val="75"/>
        </w:trPr>
        <w:tc>
          <w:tcPr>
            <w:tcW w:w="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4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63" w:lineRule="exact"/>
        <w:rPr>
          <w:sz w:val="20"/>
          <w:szCs w:val="20"/>
          <w:color w:val="auto"/>
        </w:rPr>
      </w:pPr>
    </w:p>
    <w:p>
      <w:pPr>
        <w:ind w:left="340" w:right="320" w:hanging="332"/>
        <w:spacing w:after="0" w:line="347" w:lineRule="auto"/>
        <w:tabs>
          <w:tab w:leader="none" w:pos="3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shares used for the denominator in the calculation of EPS are the number of shares transferred in the reorganization transaction for comparative purposes. Snail Games USA Inc. did not have Class A common stock as of March 31, 2022.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Condensed Consolidated Statements of Equity for the Three Months Ended March 31, 2023 and 2022</w:t>
      </w:r>
    </w:p>
    <w:p>
      <w:pPr>
        <w:spacing w:after="0" w:line="20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1"/>
              </w:rPr>
              <w:t>Due from</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2"/>
        </w:trPr>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Shareholder</w:t>
            </w:r>
          </w:p>
        </w:tc>
        <w:tc>
          <w:tcPr>
            <w:tcW w:w="160" w:type="dxa"/>
            <w:vAlign w:val="bottom"/>
          </w:tcPr>
          <w:p>
            <w:pPr>
              <w:spacing w:after="0"/>
              <w:rPr>
                <w:sz w:val="10"/>
                <w:szCs w:val="10"/>
                <w:color w:val="auto"/>
              </w:rPr>
            </w:pPr>
          </w:p>
        </w:tc>
        <w:tc>
          <w:tcPr>
            <w:tcW w:w="6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21"/>
        </w:trPr>
        <w:tc>
          <w:tcPr>
            <w:tcW w:w="1280" w:type="dxa"/>
            <w:vAlign w:val="bottom"/>
          </w:tcPr>
          <w:p>
            <w:pPr>
              <w:spacing w:after="0"/>
              <w:rPr>
                <w:sz w:val="10"/>
                <w:szCs w:val="10"/>
                <w:color w:val="auto"/>
              </w:rPr>
            </w:pPr>
          </w:p>
        </w:tc>
        <w:tc>
          <w:tcPr>
            <w:tcW w:w="1200" w:type="dxa"/>
            <w:vAlign w:val="bottom"/>
            <w:gridSpan w:val="6"/>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Common Stock - Snail</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Loan and</w:t>
            </w:r>
          </w:p>
        </w:tc>
        <w:tc>
          <w:tcPr>
            <w:tcW w:w="160" w:type="dxa"/>
            <w:vAlign w:val="bottom"/>
          </w:tcPr>
          <w:p>
            <w:pPr>
              <w:spacing w:after="0"/>
              <w:rPr>
                <w:sz w:val="10"/>
                <w:szCs w:val="10"/>
                <w:color w:val="auto"/>
              </w:rPr>
            </w:pPr>
          </w:p>
        </w:tc>
        <w:tc>
          <w:tcPr>
            <w:tcW w:w="6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tcPr>
          <w:p>
            <w:pPr>
              <w:jc w:val="center"/>
              <w:ind w:left="46"/>
              <w:spacing w:after="0" w:line="122" w:lineRule="exact"/>
              <w:rPr>
                <w:sz w:val="20"/>
                <w:szCs w:val="20"/>
                <w:color w:val="auto"/>
              </w:rPr>
            </w:pPr>
            <w:r>
              <w:rPr>
                <w:rFonts w:ascii="Arial" w:cs="Arial" w:eastAsia="Arial" w:hAnsi="Arial"/>
                <w:sz w:val="11"/>
                <w:szCs w:val="11"/>
                <w:b w:val="1"/>
                <w:bCs w:val="1"/>
                <w:color w:val="auto"/>
                <w:w w:val="87"/>
              </w:rPr>
              <w:t>Snail Games</w:t>
            </w:r>
          </w:p>
        </w:tc>
        <w:tc>
          <w:tcPr>
            <w:tcW w:w="100" w:type="dxa"/>
            <w:vAlign w:val="bottom"/>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Non</w:t>
            </w:r>
          </w:p>
        </w:tc>
        <w:tc>
          <w:tcPr>
            <w:tcW w:w="580" w:type="dxa"/>
            <w:vAlign w:val="bottom"/>
          </w:tcPr>
          <w:p>
            <w:pPr>
              <w:spacing w:after="0"/>
              <w:rPr>
                <w:sz w:val="10"/>
                <w:szCs w:val="10"/>
                <w:color w:val="auto"/>
              </w:rPr>
            </w:pPr>
          </w:p>
        </w:tc>
      </w:tr>
      <w:tr>
        <w:trPr>
          <w:trHeight w:val="135"/>
        </w:trPr>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89"/>
              </w:rPr>
              <w:t>Games USA Inc.</w:t>
            </w:r>
          </w:p>
        </w:tc>
        <w:tc>
          <w:tcPr>
            <w:tcW w:w="1180" w:type="dxa"/>
            <w:vAlign w:val="bottom"/>
            <w:gridSpan w:val="4"/>
          </w:tcPr>
          <w:p>
            <w:pPr>
              <w:spacing w:after="0"/>
              <w:rPr>
                <w:sz w:val="20"/>
                <w:szCs w:val="20"/>
                <w:color w:val="auto"/>
              </w:rPr>
            </w:pPr>
            <w:r>
              <w:rPr>
                <w:rFonts w:ascii="Arial" w:cs="Arial" w:eastAsia="Arial" w:hAnsi="Arial"/>
                <w:sz w:val="11"/>
                <w:szCs w:val="11"/>
                <w:b w:val="1"/>
                <w:bCs w:val="1"/>
                <w:color w:val="auto"/>
                <w:w w:val="93"/>
              </w:rPr>
              <w:t>Class A Common Stock</w:t>
            </w:r>
          </w:p>
        </w:tc>
        <w:tc>
          <w:tcPr>
            <w:tcW w:w="1180" w:type="dxa"/>
            <w:vAlign w:val="bottom"/>
            <w:gridSpan w:val="4"/>
          </w:tcPr>
          <w:p>
            <w:pPr>
              <w:spacing w:after="0"/>
              <w:rPr>
                <w:sz w:val="20"/>
                <w:szCs w:val="20"/>
                <w:color w:val="auto"/>
              </w:rPr>
            </w:pPr>
            <w:r>
              <w:rPr>
                <w:rFonts w:ascii="Arial" w:cs="Arial" w:eastAsia="Arial" w:hAnsi="Arial"/>
                <w:sz w:val="11"/>
                <w:szCs w:val="11"/>
                <w:b w:val="1"/>
                <w:bCs w:val="1"/>
                <w:color w:val="auto"/>
                <w:w w:val="93"/>
              </w:rPr>
              <w:t>Class B Common Stock</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9"/>
              </w:rPr>
              <w:t>Paid-In-</w:t>
            </w: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0"/>
              </w:rPr>
              <w:t>Interest</w:t>
            </w:r>
          </w:p>
        </w:tc>
        <w:tc>
          <w:tcPr>
            <w:tcW w:w="820" w:type="dxa"/>
            <w:vAlign w:val="bottom"/>
            <w:gridSpan w:val="2"/>
          </w:tcPr>
          <w:p>
            <w:pPr>
              <w:jc w:val="center"/>
              <w:ind w:left="46"/>
              <w:spacing w:after="0"/>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11"/>
                <w:szCs w:val="11"/>
                <w:color w:val="auto"/>
              </w:rPr>
            </w:pPr>
          </w:p>
        </w:tc>
        <w:tc>
          <w:tcPr>
            <w:tcW w:w="800" w:type="dxa"/>
            <w:vAlign w:val="bottom"/>
            <w:gridSpan w:val="4"/>
          </w:tcPr>
          <w:p>
            <w:pPr>
              <w:ind w:left="40"/>
              <w:spacing w:after="0"/>
              <w:rPr>
                <w:sz w:val="20"/>
                <w:szCs w:val="20"/>
                <w:color w:val="auto"/>
              </w:rPr>
            </w:pPr>
            <w:r>
              <w:rPr>
                <w:rFonts w:ascii="Arial" w:cs="Arial" w:eastAsia="Arial" w:hAnsi="Arial"/>
                <w:sz w:val="11"/>
                <w:szCs w:val="11"/>
                <w:b w:val="1"/>
                <w:bCs w:val="1"/>
                <w:color w:val="auto"/>
                <w:w w:val="93"/>
              </w:rPr>
              <w:t>Treasury Stock</w:t>
            </w:r>
          </w:p>
        </w:tc>
        <w:tc>
          <w:tcPr>
            <w:tcW w:w="10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2"/>
              </w:rPr>
              <w:t>USA Inc.</w:t>
            </w:r>
          </w:p>
        </w:tc>
        <w:tc>
          <w:tcPr>
            <w:tcW w:w="10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controlling</w:t>
            </w:r>
          </w:p>
        </w:tc>
        <w:tc>
          <w:tcPr>
            <w:tcW w:w="580" w:type="dxa"/>
            <w:vAlign w:val="bottom"/>
          </w:tcPr>
          <w:p>
            <w:pPr>
              <w:spacing w:after="0"/>
              <w:rPr>
                <w:sz w:val="11"/>
                <w:szCs w:val="11"/>
                <w:color w:val="auto"/>
              </w:rPr>
            </w:pPr>
          </w:p>
        </w:tc>
      </w:tr>
      <w:tr>
        <w:trPr>
          <w:trHeight w:val="115"/>
        </w:trPr>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top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97"/>
              </w:rPr>
              <w:t>Shares</w:t>
            </w: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420" w:type="dxa"/>
            <w:vAlign w:val="bottom"/>
            <w:tcBorders>
              <w:top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w w:val="92"/>
              </w:rPr>
              <w:t>Shares</w:t>
            </w: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440" w:type="dxa"/>
            <w:vAlign w:val="bottom"/>
            <w:tcBorders>
              <w:top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w w:val="97"/>
              </w:rPr>
              <w:t>Shares</w:t>
            </w: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6"/>
              </w:rPr>
              <w:t>Receivable</w:t>
            </w:r>
          </w:p>
        </w:tc>
        <w:tc>
          <w:tcPr>
            <w:tcW w:w="160" w:type="dxa"/>
            <w:vAlign w:val="bottom"/>
          </w:tcPr>
          <w:p>
            <w:pPr>
              <w:spacing w:after="0"/>
              <w:rPr>
                <w:sz w:val="10"/>
                <w:szCs w:val="10"/>
                <w:color w:val="auto"/>
              </w:rPr>
            </w:pPr>
          </w:p>
        </w:tc>
        <w:tc>
          <w:tcPr>
            <w:tcW w:w="660" w:type="dxa"/>
            <w:vAlign w:val="bottom"/>
          </w:tcPr>
          <w:p>
            <w:pPr>
              <w:jc w:val="center"/>
              <w:ind w:right="6"/>
              <w:spacing w:after="0" w:line="115" w:lineRule="exact"/>
              <w:rPr>
                <w:sz w:val="20"/>
                <w:szCs w:val="20"/>
                <w:color w:val="auto"/>
              </w:rPr>
            </w:pPr>
            <w:r>
              <w:rPr>
                <w:rFonts w:ascii="Arial" w:cs="Arial" w:eastAsia="Arial" w:hAnsi="Arial"/>
                <w:sz w:val="11"/>
                <w:szCs w:val="11"/>
                <w:b w:val="1"/>
                <w:bCs w:val="1"/>
                <w:color w:val="auto"/>
                <w:w w:val="77"/>
              </w:rPr>
              <w:t>Loss</w:t>
            </w:r>
          </w:p>
        </w:tc>
        <w:tc>
          <w:tcPr>
            <w:tcW w:w="100" w:type="dxa"/>
            <w:vAlign w:val="bottom"/>
          </w:tcPr>
          <w:p>
            <w:pPr>
              <w:spacing w:after="0"/>
              <w:rPr>
                <w:sz w:val="10"/>
                <w:szCs w:val="10"/>
                <w:color w:val="auto"/>
              </w:rPr>
            </w:pPr>
          </w:p>
        </w:tc>
        <w:tc>
          <w:tcPr>
            <w:tcW w:w="580" w:type="dxa"/>
            <w:vAlign w:val="bottom"/>
          </w:tcPr>
          <w:p>
            <w:pPr>
              <w:jc w:val="right"/>
              <w:ind w:right="26"/>
              <w:spacing w:after="0" w:line="115" w:lineRule="exact"/>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0"/>
                <w:szCs w:val="10"/>
                <w:color w:val="auto"/>
              </w:rPr>
            </w:pPr>
          </w:p>
        </w:tc>
        <w:tc>
          <w:tcPr>
            <w:tcW w:w="30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76"/>
              </w:rPr>
              <w:t>Shares</w:t>
            </w:r>
          </w:p>
        </w:tc>
        <w:tc>
          <w:tcPr>
            <w:tcW w:w="500" w:type="dxa"/>
            <w:vAlign w:val="bottom"/>
            <w:tcBorders>
              <w:top w:val="single" w:sz="8" w:color="auto"/>
            </w:tcBorders>
            <w:gridSpan w:val="3"/>
          </w:tcPr>
          <w:p>
            <w:pPr>
              <w:ind w:left="120"/>
              <w:spacing w:after="0" w:line="115" w:lineRule="exact"/>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9"/>
              </w:rPr>
              <w:t>Equity</w:t>
            </w:r>
          </w:p>
        </w:tc>
        <w:tc>
          <w:tcPr>
            <w:tcW w:w="100" w:type="dxa"/>
            <w:vAlign w:val="bottom"/>
          </w:tcPr>
          <w:p>
            <w:pPr>
              <w:spacing w:after="0"/>
              <w:rPr>
                <w:sz w:val="10"/>
                <w:szCs w:val="10"/>
                <w:color w:val="auto"/>
              </w:rPr>
            </w:pPr>
          </w:p>
        </w:tc>
        <w:tc>
          <w:tcPr>
            <w:tcW w:w="68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87"/>
              </w:rPr>
              <w:t>Interests</w:t>
            </w:r>
          </w:p>
        </w:tc>
        <w:tc>
          <w:tcPr>
            <w:tcW w:w="5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88"/>
              </w:rPr>
              <w:t>Total Equity</w:t>
            </w:r>
          </w:p>
        </w:tc>
      </w:tr>
      <w:tr>
        <w:trPr>
          <w:trHeight w:val="101"/>
        </w:trPr>
        <w:tc>
          <w:tcPr>
            <w:tcW w:w="1280" w:type="dxa"/>
            <w:vAlign w:val="bottom"/>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Balance at</w:t>
            </w:r>
          </w:p>
        </w:tc>
        <w:tc>
          <w:tcPr>
            <w:tcW w:w="60" w:type="dxa"/>
            <w:vAlign w:val="bottom"/>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r>
      <w:tr>
        <w:trPr>
          <w:trHeight w:val="135"/>
        </w:trPr>
        <w:tc>
          <w:tcPr>
            <w:tcW w:w="12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December 31, 2021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500,000</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5,000</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1"/>
                <w:szCs w:val="11"/>
                <w:b w:val="1"/>
                <w:bCs w:val="1"/>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1"/>
                <w:szCs w:val="11"/>
                <w:b w:val="1"/>
                <w:bCs w:val="1"/>
                <w:color w:val="auto"/>
              </w:rPr>
              <w:t>—</w:t>
            </w:r>
          </w:p>
        </w:tc>
        <w:tc>
          <w:tcPr>
            <w:tcW w:w="440" w:type="dxa"/>
            <w:vAlign w:val="bottom"/>
            <w:shd w:val="clear" w:color="auto" w:fill="CCEEFF"/>
          </w:tcPr>
          <w:p>
            <w:pPr>
              <w:ind w:left="280"/>
              <w:spacing w:after="0"/>
              <w:rPr>
                <w:sz w:val="20"/>
                <w:szCs w:val="20"/>
                <w:color w:val="auto"/>
              </w:rPr>
            </w:pPr>
            <w:r>
              <w:rPr>
                <w:rFonts w:ascii="Arial" w:cs="Arial" w:eastAsia="Arial" w:hAnsi="Arial"/>
                <w:sz w:val="11"/>
                <w:szCs w:val="11"/>
                <w:b w:val="1"/>
                <w:bCs w:val="1"/>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88"/>
              </w:rPr>
              <w:t>$94,159,167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$(94,353,522)</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(266,557)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$16,045,231</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1"/>
                <w:szCs w:val="11"/>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ind w:left="80"/>
              <w:spacing w:after="0"/>
              <w:rPr>
                <w:sz w:val="20"/>
                <w:szCs w:val="20"/>
                <w:color w:val="auto"/>
              </w:rPr>
            </w:pPr>
            <w:r>
              <w:rPr>
                <w:rFonts w:ascii="Arial" w:cs="Arial" w:eastAsia="Arial" w:hAnsi="Arial"/>
                <w:sz w:val="11"/>
                <w:szCs w:val="11"/>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$15,589,319</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$(5,537,266)</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84"/>
              </w:rPr>
              <w:t>$10,052,053</w:t>
            </w:r>
          </w:p>
        </w:tc>
      </w:tr>
      <w:tr>
        <w:trPr>
          <w:trHeight w:val="121"/>
        </w:trPr>
        <w:tc>
          <w:tcPr>
            <w:tcW w:w="1280" w:type="dxa"/>
            <w:vAlign w:val="bottom"/>
          </w:tcPr>
          <w:p>
            <w:pPr>
              <w:spacing w:after="0" w:line="122" w:lineRule="exact"/>
              <w:rPr>
                <w:sz w:val="20"/>
                <w:szCs w:val="20"/>
                <w:color w:val="auto"/>
              </w:rPr>
            </w:pPr>
            <w:r>
              <w:rPr>
                <w:rFonts w:ascii="Arial" w:cs="Arial" w:eastAsia="Arial" w:hAnsi="Arial"/>
                <w:sz w:val="11"/>
                <w:szCs w:val="11"/>
                <w:color w:val="auto"/>
              </w:rPr>
              <w:t>Loan to shareholder</w:t>
            </w: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ind w:left="280"/>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6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ind w:left="28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6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(450,681)</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300" w:type="dxa"/>
            <w:vAlign w:val="bottom"/>
          </w:tcPr>
          <w:p>
            <w:pPr>
              <w:ind w:lef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(450,681)</w:t>
            </w:r>
          </w:p>
        </w:tc>
        <w:tc>
          <w:tcPr>
            <w:tcW w:w="100" w:type="dxa"/>
            <w:vAlign w:val="bottom"/>
          </w:tcPr>
          <w:p>
            <w:pPr>
              <w:spacing w:after="0"/>
              <w:rPr>
                <w:sz w:val="10"/>
                <w:szCs w:val="10"/>
                <w:color w:val="auto"/>
              </w:rPr>
            </w:pPr>
          </w:p>
        </w:tc>
        <w:tc>
          <w:tcPr>
            <w:tcW w:w="6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(450,681)</w:t>
            </w:r>
          </w:p>
        </w:tc>
      </w:tr>
      <w:tr>
        <w:trPr>
          <w:trHeight w:val="122"/>
        </w:trPr>
        <w:tc>
          <w:tcPr>
            <w:tcW w:w="12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2"/>
              </w:rPr>
              <w:t>Foreign currency translation</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ind w:left="280"/>
              <w:spacing w:after="0" w:line="122" w:lineRule="exact"/>
              <w:rPr>
                <w:sz w:val="20"/>
                <w:szCs w:val="20"/>
                <w:color w:val="auto"/>
              </w:rPr>
            </w:pPr>
            <w:r>
              <w:rPr>
                <w:rFonts w:ascii="Arial" w:cs="Arial" w:eastAsia="Arial" w:hAnsi="Arial"/>
                <w:sz w:val="11"/>
                <w:szCs w:val="11"/>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56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(51,203)</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(51,203)</w:t>
            </w: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(51,203)</w:t>
            </w:r>
          </w:p>
        </w:tc>
      </w:tr>
      <w:tr>
        <w:trPr>
          <w:trHeight w:val="122"/>
        </w:trPr>
        <w:tc>
          <w:tcPr>
            <w:tcW w:w="128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20" w:type="dxa"/>
            <w:vAlign w:val="bottom"/>
          </w:tcPr>
          <w:p>
            <w:pPr>
              <w:ind w:left="280"/>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460" w:type="dxa"/>
            <w:vAlign w:val="bottom"/>
          </w:tcPr>
          <w:p>
            <w:pPr>
              <w:ind w:left="3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tcPr>
          <w:p>
            <w:pPr>
              <w:ind w:left="28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5,811,057</w:t>
            </w:r>
          </w:p>
        </w:tc>
        <w:tc>
          <w:tcPr>
            <w:tcW w:w="120" w:type="dxa"/>
            <w:vAlign w:val="bottom"/>
          </w:tcPr>
          <w:p>
            <w:pPr>
              <w:spacing w:after="0"/>
              <w:rPr>
                <w:sz w:val="10"/>
                <w:szCs w:val="10"/>
                <w:color w:val="auto"/>
              </w:rPr>
            </w:pPr>
          </w:p>
        </w:tc>
        <w:tc>
          <w:tcPr>
            <w:tcW w:w="300" w:type="dxa"/>
            <w:vAlign w:val="bottom"/>
          </w:tcPr>
          <w:p>
            <w:pPr>
              <w:ind w:lef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5,811,057</w:t>
            </w:r>
          </w:p>
        </w:tc>
        <w:tc>
          <w:tcPr>
            <w:tcW w:w="10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(7,290)</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5,803,767</w:t>
            </w: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35"/>
        </w:trPr>
        <w:tc>
          <w:tcPr>
            <w:tcW w:w="1280" w:type="dxa"/>
            <w:vAlign w:val="bottom"/>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2"/>
              </w:rPr>
              <w:t>Balance at March 31, 2022</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95"/>
              </w:rPr>
              <w:t>500,000</w:t>
            </w:r>
          </w:p>
        </w:tc>
        <w:tc>
          <w:tcPr>
            <w:tcW w:w="240" w:type="dxa"/>
            <w:vAlign w:val="bottom"/>
            <w:gridSpan w:val="2"/>
            <w:shd w:val="clear" w:color="auto" w:fill="CCEEFF"/>
          </w:tcPr>
          <w:p>
            <w:pPr>
              <w:jc w:val="right"/>
              <w:ind w:right="6"/>
              <w:spacing w:after="0" w:line="102" w:lineRule="exact"/>
              <w:rPr>
                <w:sz w:val="20"/>
                <w:szCs w:val="20"/>
                <w:color w:val="auto"/>
              </w:rPr>
            </w:pPr>
            <w:r>
              <w:rPr>
                <w:rFonts w:ascii="Arial" w:cs="Arial" w:eastAsia="Arial" w:hAnsi="Arial"/>
                <w:sz w:val="11"/>
                <w:szCs w:val="11"/>
                <w:b w:val="1"/>
                <w:bCs w:val="1"/>
                <w:color w:val="auto"/>
              </w:rPr>
              <w:t>$</w:t>
            </w:r>
          </w:p>
        </w:tc>
        <w:tc>
          <w:tcPr>
            <w:tcW w:w="3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5,000</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ind w:left="280"/>
              <w:spacing w:after="0" w:line="102" w:lineRule="exact"/>
              <w:rPr>
                <w:sz w:val="20"/>
                <w:szCs w:val="20"/>
                <w:color w:val="auto"/>
              </w:rPr>
            </w:pPr>
            <w:r>
              <w:rPr>
                <w:rFonts w:ascii="Arial" w:cs="Arial" w:eastAsia="Arial" w:hAnsi="Arial"/>
                <w:sz w:val="11"/>
                <w:szCs w:val="11"/>
                <w:b w:val="1"/>
                <w:bCs w:val="1"/>
                <w:color w:val="auto"/>
              </w:rPr>
              <w:t>—</w:t>
            </w:r>
          </w:p>
        </w:tc>
        <w:tc>
          <w:tcPr>
            <w:tcW w:w="200" w:type="dxa"/>
            <w:vAlign w:val="bottom"/>
            <w:tcBorders>
              <w:right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gridSpan w:val="2"/>
            <w:shd w:val="clear" w:color="auto" w:fill="CCEEFF"/>
          </w:tcPr>
          <w:p>
            <w:pPr>
              <w:ind w:left="300"/>
              <w:spacing w:after="0" w:line="102" w:lineRule="exact"/>
              <w:rPr>
                <w:sz w:val="20"/>
                <w:szCs w:val="20"/>
                <w:color w:val="auto"/>
              </w:rPr>
            </w:pPr>
            <w:r>
              <w:rPr>
                <w:rFonts w:ascii="Arial" w:cs="Arial" w:eastAsia="Arial" w:hAnsi="Arial"/>
                <w:sz w:val="11"/>
                <w:szCs w:val="11"/>
                <w:b w:val="1"/>
                <w:bCs w:val="1"/>
                <w:color w:val="auto"/>
              </w:rPr>
              <w:t>—</w:t>
            </w:r>
          </w:p>
        </w:tc>
        <w:tc>
          <w:tcPr>
            <w:tcW w:w="440" w:type="dxa"/>
            <w:vAlign w:val="bottom"/>
            <w:shd w:val="clear" w:color="auto" w:fill="CCEEFF"/>
          </w:tcPr>
          <w:p>
            <w:pPr>
              <w:ind w:left="280"/>
              <w:spacing w:after="0" w:line="102" w:lineRule="exact"/>
              <w:rPr>
                <w:sz w:val="20"/>
                <w:szCs w:val="20"/>
                <w:color w:val="auto"/>
              </w:rPr>
            </w:pPr>
            <w:r>
              <w:rPr>
                <w:rFonts w:ascii="Arial" w:cs="Arial" w:eastAsia="Arial" w:hAnsi="Arial"/>
                <w:sz w:val="11"/>
                <w:szCs w:val="11"/>
                <w:b w:val="1"/>
                <w:bCs w:val="1"/>
                <w:color w:val="auto"/>
              </w:rPr>
              <w:t>—</w:t>
            </w:r>
          </w:p>
        </w:tc>
        <w:tc>
          <w:tcPr>
            <w:tcW w:w="180" w:type="dxa"/>
            <w:vAlign w:val="bottom"/>
            <w:tcBorders>
              <w:right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60" w:type="dxa"/>
            <w:vAlign w:val="bottom"/>
            <w:gridSpan w:val="2"/>
            <w:shd w:val="clear" w:color="auto" w:fill="CCEEFF"/>
          </w:tcPr>
          <w:p>
            <w:pPr>
              <w:ind w:left="320"/>
              <w:spacing w:after="0" w:line="102" w:lineRule="exact"/>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u w:val="single" w:color="auto"/>
                <w:color w:val="auto"/>
                <w:w w:val="88"/>
              </w:rPr>
              <w:t>$</w:t>
            </w:r>
            <w:r>
              <w:rPr>
                <w:rFonts w:ascii="Arial" w:cs="Arial" w:eastAsia="Arial" w:hAnsi="Arial"/>
                <w:sz w:val="11"/>
                <w:szCs w:val="11"/>
                <w:b w:val="1"/>
                <w:bCs w:val="1"/>
                <w:color w:val="auto"/>
                <w:w w:val="88"/>
              </w:rPr>
              <w:t>94,159,167</w:t>
            </w:r>
          </w:p>
        </w:tc>
        <w:tc>
          <w:tcPr>
            <w:tcW w:w="7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(94,804,203)</w:t>
            </w:r>
          </w:p>
        </w:tc>
        <w:tc>
          <w:tcPr>
            <w:tcW w:w="160" w:type="dxa"/>
            <w:vAlign w:val="bottom"/>
            <w:tcBorders>
              <w:right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(317,760)</w:t>
            </w:r>
          </w:p>
        </w:tc>
        <w:tc>
          <w:tcPr>
            <w:tcW w:w="68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$21,856,288</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ind w:left="160"/>
              <w:spacing w:after="0" w:line="102" w:lineRule="exact"/>
              <w:rPr>
                <w:sz w:val="20"/>
                <w:szCs w:val="20"/>
                <w:color w:val="auto"/>
              </w:rPr>
            </w:pPr>
            <w:r>
              <w:rPr>
                <w:rFonts w:ascii="Arial" w:cs="Arial" w:eastAsia="Arial" w:hAnsi="Arial"/>
                <w:sz w:val="11"/>
                <w:szCs w:val="11"/>
                <w:b w:val="1"/>
                <w:bCs w:val="1"/>
                <w:color w:val="auto"/>
              </w:rPr>
              <w:t>—</w:t>
            </w:r>
          </w:p>
        </w:tc>
        <w:tc>
          <w:tcPr>
            <w:tcW w:w="260" w:type="dxa"/>
            <w:vAlign w:val="bottom"/>
            <w:gridSpan w:val="2"/>
            <w:shd w:val="clear" w:color="auto" w:fill="CCEEFF"/>
          </w:tcPr>
          <w:p>
            <w:pPr>
              <w:ind w:left="120"/>
              <w:spacing w:after="0" w:line="102" w:lineRule="exact"/>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CCEEFF"/>
          </w:tcPr>
          <w:p>
            <w:pPr>
              <w:ind w:left="80"/>
              <w:spacing w:after="0" w:line="102" w:lineRule="exact"/>
              <w:rPr>
                <w:sz w:val="20"/>
                <w:szCs w:val="20"/>
                <w:color w:val="auto"/>
              </w:rPr>
            </w:pPr>
            <w:r>
              <w:rPr>
                <w:rFonts w:ascii="Arial" w:cs="Arial" w:eastAsia="Arial" w:hAnsi="Arial"/>
                <w:sz w:val="11"/>
                <w:szCs w:val="11"/>
                <w:b w:val="1"/>
                <w:bCs w:val="1"/>
                <w:color w:val="auto"/>
              </w:rPr>
              <w:t>—</w:t>
            </w:r>
          </w:p>
        </w:tc>
        <w:tc>
          <w:tcPr>
            <w:tcW w:w="68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$20,898,492</w:t>
            </w:r>
          </w:p>
        </w:tc>
        <w:tc>
          <w:tcPr>
            <w:tcW w:w="780" w:type="dxa"/>
            <w:vAlign w:val="bottom"/>
            <w:gridSpan w:val="3"/>
            <w:shd w:val="clear" w:color="auto" w:fill="CCEEFF"/>
          </w:tcPr>
          <w:p>
            <w:pPr>
              <w:jc w:val="right"/>
              <w:ind w:right="120"/>
              <w:spacing w:after="0" w:line="102" w:lineRule="exact"/>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(5,544,556)</w:t>
            </w:r>
          </w:p>
        </w:tc>
        <w:tc>
          <w:tcPr>
            <w:tcW w:w="5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u w:val="single" w:color="auto"/>
                <w:color w:val="auto"/>
                <w:w w:val="84"/>
              </w:rPr>
              <w:t>$</w:t>
            </w:r>
            <w:r>
              <w:rPr>
                <w:rFonts w:ascii="Arial" w:cs="Arial" w:eastAsia="Arial" w:hAnsi="Arial"/>
                <w:sz w:val="11"/>
                <w:szCs w:val="11"/>
                <w:b w:val="1"/>
                <w:bCs w:val="1"/>
                <w:color w:val="auto"/>
                <w:w w:val="84"/>
              </w:rPr>
              <w:t>15,353,936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ind w:right="6"/>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2"/>
        </w:trPr>
        <w:tc>
          <w:tcPr>
            <w:tcW w:w="1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Non</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5"/>
        </w:trPr>
        <w:tc>
          <w:tcPr>
            <w:tcW w:w="1580" w:type="dxa"/>
            <w:vAlign w:val="bottom"/>
          </w:tcPr>
          <w:p>
            <w:pPr>
              <w:spacing w:after="0"/>
              <w:rPr>
                <w:sz w:val="11"/>
                <w:szCs w:val="11"/>
                <w:color w:val="auto"/>
              </w:rPr>
            </w:pPr>
          </w:p>
        </w:tc>
        <w:tc>
          <w:tcPr>
            <w:tcW w:w="1260" w:type="dxa"/>
            <w:vAlign w:val="bottom"/>
            <w:tcBorders>
              <w:bottom w:val="single" w:sz="8" w:color="auto"/>
            </w:tcBorders>
            <w:gridSpan w:val="4"/>
          </w:tcPr>
          <w:p>
            <w:pPr>
              <w:jc w:val="right"/>
              <w:ind w:right="46"/>
              <w:spacing w:after="0"/>
              <w:rPr>
                <w:sz w:val="20"/>
                <w:szCs w:val="20"/>
                <w:color w:val="auto"/>
              </w:rPr>
            </w:pPr>
            <w:r>
              <w:rPr>
                <w:rFonts w:ascii="Arial" w:cs="Arial" w:eastAsia="Arial" w:hAnsi="Arial"/>
                <w:sz w:val="11"/>
                <w:szCs w:val="11"/>
                <w:b w:val="1"/>
                <w:bCs w:val="1"/>
                <w:color w:val="auto"/>
                <w:w w:val="91"/>
              </w:rPr>
              <w:t>Class A Common Stock</w:t>
            </w:r>
          </w:p>
        </w:tc>
        <w:tc>
          <w:tcPr>
            <w:tcW w:w="120" w:type="dxa"/>
            <w:vAlign w:val="bottom"/>
          </w:tcPr>
          <w:p>
            <w:pPr>
              <w:spacing w:after="0"/>
              <w:rPr>
                <w:sz w:val="11"/>
                <w:szCs w:val="11"/>
                <w:color w:val="auto"/>
              </w:rPr>
            </w:pPr>
          </w:p>
        </w:tc>
        <w:tc>
          <w:tcPr>
            <w:tcW w:w="1340" w:type="dxa"/>
            <w:vAlign w:val="bottom"/>
            <w:tcBorders>
              <w:bottom w:val="single" w:sz="8" w:color="auto"/>
            </w:tcBorders>
            <w:gridSpan w:val="4"/>
          </w:tcPr>
          <w:p>
            <w:pPr>
              <w:jc w:val="right"/>
              <w:ind w:right="46"/>
              <w:spacing w:after="0"/>
              <w:rPr>
                <w:sz w:val="20"/>
                <w:szCs w:val="20"/>
                <w:color w:val="auto"/>
              </w:rPr>
            </w:pPr>
            <w:r>
              <w:rPr>
                <w:rFonts w:ascii="Arial" w:cs="Arial" w:eastAsia="Arial" w:hAnsi="Arial"/>
                <w:sz w:val="11"/>
                <w:szCs w:val="11"/>
                <w:b w:val="1"/>
                <w:bCs w:val="1"/>
                <w:color w:val="auto"/>
                <w:w w:val="98"/>
              </w:rPr>
              <w:t>Class B Common Stock</w:t>
            </w:r>
          </w:p>
        </w:tc>
        <w:tc>
          <w:tcPr>
            <w:tcW w:w="1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4"/>
              </w:rPr>
              <w:t>Paid-In-</w:t>
            </w:r>
          </w:p>
        </w:tc>
        <w:tc>
          <w:tcPr>
            <w:tcW w:w="860" w:type="dxa"/>
            <w:vAlign w:val="bottom"/>
            <w:gridSpan w:val="3"/>
          </w:tcPr>
          <w:p>
            <w:pPr>
              <w:jc w:val="center"/>
              <w:ind w:left="86"/>
              <w:spacing w:after="0"/>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w:t>
            </w:r>
          </w:p>
        </w:tc>
        <w:tc>
          <w:tcPr>
            <w:tcW w:w="1260" w:type="dxa"/>
            <w:vAlign w:val="bottom"/>
            <w:tcBorders>
              <w:bottom w:val="single" w:sz="8" w:color="auto"/>
            </w:tcBorders>
            <w:gridSpan w:val="4"/>
          </w:tcPr>
          <w:p>
            <w:pPr>
              <w:jc w:val="right"/>
              <w:ind w:right="226"/>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Snail, Inc.</w:t>
            </w:r>
          </w:p>
        </w:tc>
        <w:tc>
          <w:tcPr>
            <w:tcW w:w="60" w:type="dxa"/>
            <w:vAlign w:val="bottom"/>
          </w:tcPr>
          <w:p>
            <w:pPr>
              <w:spacing w:after="0"/>
              <w:rPr>
                <w:sz w:val="11"/>
                <w:szCs w:val="11"/>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7"/>
              </w:rPr>
              <w:t>controlling</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5"/>
        </w:trPr>
        <w:tc>
          <w:tcPr>
            <w:tcW w:w="1580" w:type="dxa"/>
            <w:vAlign w:val="bottom"/>
          </w:tcPr>
          <w:p>
            <w:pPr>
              <w:spacing w:after="0"/>
              <w:rPr>
                <w:sz w:val="10"/>
                <w:szCs w:val="10"/>
                <w:color w:val="auto"/>
              </w:rPr>
            </w:pPr>
          </w:p>
        </w:tc>
        <w:tc>
          <w:tcPr>
            <w:tcW w:w="520" w:type="dxa"/>
            <w:vAlign w:val="bottom"/>
          </w:tcPr>
          <w:p>
            <w:pPr>
              <w:jc w:val="right"/>
              <w:ind w:right="46"/>
              <w:spacing w:after="0" w:line="115" w:lineRule="exact"/>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26"/>
              <w:spacing w:after="0" w:line="115" w:lineRule="exact"/>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spacing w:after="0"/>
              <w:rPr>
                <w:sz w:val="10"/>
                <w:szCs w:val="10"/>
                <w:color w:val="auto"/>
              </w:rPr>
            </w:pPr>
          </w:p>
        </w:tc>
        <w:tc>
          <w:tcPr>
            <w:tcW w:w="600" w:type="dxa"/>
            <w:vAlign w:val="bottom"/>
          </w:tcPr>
          <w:p>
            <w:pPr>
              <w:jc w:val="right"/>
              <w:ind w:right="46"/>
              <w:spacing w:after="0" w:line="115" w:lineRule="exact"/>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26"/>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6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Capital</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ind w:right="6"/>
              <w:spacing w:after="0" w:line="115" w:lineRule="exact"/>
              <w:rPr>
                <w:sz w:val="20"/>
                <w:szCs w:val="20"/>
                <w:color w:val="auto"/>
              </w:rPr>
            </w:pPr>
            <w:r>
              <w:rPr>
                <w:rFonts w:ascii="Arial" w:cs="Arial" w:eastAsia="Arial" w:hAnsi="Arial"/>
                <w:sz w:val="11"/>
                <w:szCs w:val="11"/>
                <w:b w:val="1"/>
                <w:bCs w:val="1"/>
                <w:color w:val="auto"/>
                <w:w w:val="85"/>
              </w:rPr>
              <w:t>Loss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80"/>
              <w:spacing w:after="0" w:line="115" w:lineRule="exact"/>
              <w:rPr>
                <w:sz w:val="20"/>
                <w:szCs w:val="20"/>
                <w:color w:val="auto"/>
              </w:rPr>
            </w:pPr>
            <w:r>
              <w:rPr>
                <w:rFonts w:ascii="Arial" w:cs="Arial" w:eastAsia="Arial" w:hAnsi="Arial"/>
                <w:sz w:val="11"/>
                <w:szCs w:val="11"/>
                <w:b w:val="1"/>
                <w:bCs w:val="1"/>
                <w:color w:val="auto"/>
              </w:rPr>
              <w:t>Deficit</w:t>
            </w:r>
          </w:p>
        </w:tc>
        <w:tc>
          <w:tcPr>
            <w:tcW w:w="580" w:type="dxa"/>
            <w:vAlign w:val="bottom"/>
            <w:gridSpan w:val="2"/>
          </w:tcPr>
          <w:p>
            <w:pPr>
              <w:jc w:val="right"/>
              <w:ind w:right="160"/>
              <w:spacing w:after="0" w:line="115" w:lineRule="exact"/>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0"/>
                <w:szCs w:val="10"/>
                <w:color w:val="auto"/>
              </w:rPr>
            </w:pPr>
          </w:p>
        </w:tc>
        <w:tc>
          <w:tcPr>
            <w:tcW w:w="600" w:type="dxa"/>
            <w:vAlign w:val="bottom"/>
          </w:tcPr>
          <w:p>
            <w:pPr>
              <w:jc w:val="right"/>
              <w:ind w:right="26"/>
              <w:spacing w:after="0" w:line="115"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68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auto"/>
              </w:rPr>
              <w:t>Equity</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20"/>
              <w:spacing w:after="0" w:line="115" w:lineRule="exact"/>
              <w:rPr>
                <w:sz w:val="20"/>
                <w:szCs w:val="20"/>
                <w:color w:val="auto"/>
              </w:rPr>
            </w:pPr>
            <w:r>
              <w:rPr>
                <w:rFonts w:ascii="Arial" w:cs="Arial" w:eastAsia="Arial" w:hAnsi="Arial"/>
                <w:sz w:val="11"/>
                <w:szCs w:val="11"/>
                <w:b w:val="1"/>
                <w:bCs w:val="1"/>
                <w:color w:val="auto"/>
                <w:w w:val="87"/>
              </w:rPr>
              <w:t>Interests</w:t>
            </w:r>
          </w:p>
        </w:tc>
        <w:tc>
          <w:tcPr>
            <w:tcW w:w="58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w w:val="88"/>
              </w:rPr>
              <w:t>Total Equity</w:t>
            </w:r>
          </w:p>
        </w:tc>
      </w:tr>
      <w:tr>
        <w:trPr>
          <w:trHeight w:val="115"/>
        </w:trPr>
        <w:tc>
          <w:tcPr>
            <w:tcW w:w="15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w w:val="99"/>
              </w:rPr>
              <w:t>Balance at December 31, 2022</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3"/>
              </w:rPr>
              <w:t>9,251,420</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925</w:t>
            </w: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8"/>
              </w:rPr>
              <w:t>28,748,580</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2,875</w:t>
            </w: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8"/>
              </w:rPr>
              <w:t>$23,436,942</w:t>
            </w:r>
          </w:p>
        </w:tc>
        <w:tc>
          <w:tcPr>
            <w:tcW w:w="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(307,200)</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8"/>
              </w:rPr>
              <w:t>(4,863,250)</w:t>
            </w: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8"/>
              </w:rPr>
              <w:t>(1,197,649)</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8"/>
              </w:rPr>
              <w:t>$ (3,414,713)</w:t>
            </w: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4"/>
              </w:rPr>
              <w:t>$ 14,855,579</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8"/>
              </w:rPr>
              <w:t>(5,490,895)</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3"/>
              </w:rPr>
              <w:t>9,364,684</w:t>
            </w:r>
          </w:p>
        </w:tc>
      </w:tr>
      <w:tr>
        <w:trPr>
          <w:trHeight w:val="112"/>
        </w:trPr>
        <w:tc>
          <w:tcPr>
            <w:tcW w:w="1580" w:type="dxa"/>
            <w:vAlign w:val="bottom"/>
          </w:tcPr>
          <w:p>
            <w:pPr>
              <w:spacing w:after="0" w:line="112" w:lineRule="exact"/>
              <w:rPr>
                <w:sz w:val="20"/>
                <w:szCs w:val="20"/>
                <w:color w:val="auto"/>
              </w:rPr>
            </w:pPr>
            <w:r>
              <w:rPr>
                <w:rFonts w:ascii="Arial" w:cs="Arial" w:eastAsia="Arial" w:hAnsi="Arial"/>
                <w:sz w:val="11"/>
                <w:szCs w:val="11"/>
                <w:color w:val="auto"/>
              </w:rPr>
              <w:t>Stock based compensation</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21"/>
        </w:trPr>
        <w:tc>
          <w:tcPr>
            <w:tcW w:w="1580" w:type="dxa"/>
            <w:vAlign w:val="bottom"/>
          </w:tcPr>
          <w:p>
            <w:pPr>
              <w:ind w:left="120"/>
              <w:spacing w:after="0" w:line="122" w:lineRule="exact"/>
              <w:rPr>
                <w:sz w:val="20"/>
                <w:szCs w:val="20"/>
                <w:color w:val="auto"/>
              </w:rPr>
            </w:pPr>
            <w:r>
              <w:rPr>
                <w:rFonts w:ascii="Arial" w:cs="Arial" w:eastAsia="Arial" w:hAnsi="Arial"/>
                <w:sz w:val="11"/>
                <w:szCs w:val="11"/>
                <w:color w:val="auto"/>
              </w:rPr>
              <w:t>related to restricted stock</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1"/>
        </w:trPr>
        <w:tc>
          <w:tcPr>
            <w:tcW w:w="1580" w:type="dxa"/>
            <w:vAlign w:val="bottom"/>
          </w:tcPr>
          <w:p>
            <w:pPr>
              <w:ind w:left="120"/>
              <w:spacing w:after="0"/>
              <w:rPr>
                <w:sz w:val="20"/>
                <w:szCs w:val="20"/>
                <w:color w:val="auto"/>
              </w:rPr>
            </w:pPr>
            <w:r>
              <w:rPr>
                <w:rFonts w:ascii="Arial" w:cs="Arial" w:eastAsia="Arial" w:hAnsi="Arial"/>
                <w:sz w:val="11"/>
                <w:szCs w:val="11"/>
                <w:color w:val="auto"/>
              </w:rPr>
              <w:t>units</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152,595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152,595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152,595</w:t>
            </w:r>
          </w:p>
        </w:tc>
      </w:tr>
      <w:tr>
        <w:trPr>
          <w:trHeight w:val="122"/>
        </w:trPr>
        <w:tc>
          <w:tcPr>
            <w:tcW w:w="15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Repurchase of common stock</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(152,626)</w:t>
            </w:r>
          </w:p>
        </w:tc>
        <w:tc>
          <w:tcPr>
            <w:tcW w:w="6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(257,093)</w:t>
            </w:r>
          </w:p>
        </w:tc>
        <w:tc>
          <w:tcPr>
            <w:tcW w:w="80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(257,093)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(257,093)</w:t>
            </w:r>
          </w:p>
        </w:tc>
      </w:tr>
      <w:tr>
        <w:trPr>
          <w:trHeight w:val="121"/>
        </w:trPr>
        <w:tc>
          <w:tcPr>
            <w:tcW w:w="158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2,320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2,320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2,320</w:t>
            </w:r>
          </w:p>
        </w:tc>
      </w:tr>
      <w:tr>
        <w:trPr>
          <w:trHeight w:val="122"/>
        </w:trPr>
        <w:tc>
          <w:tcPr>
            <w:tcW w:w="15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w w:val="92"/>
              </w:rPr>
              <w:t>(2,971,378)</w:t>
            </w: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(2,971,378)</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(1,219)</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8"/>
              </w:rPr>
              <w:t>(2,972,597)</w:t>
            </w:r>
          </w:p>
        </w:tc>
      </w:tr>
      <w:tr>
        <w:trPr>
          <w:trHeight w:val="115"/>
        </w:trPr>
        <w:tc>
          <w:tcPr>
            <w:tcW w:w="1580" w:type="dxa"/>
            <w:vAlign w:val="bottom"/>
          </w:tcPr>
          <w:p>
            <w:pPr>
              <w:spacing w:after="0" w:line="115" w:lineRule="exact"/>
              <w:rPr>
                <w:sz w:val="20"/>
                <w:szCs w:val="20"/>
                <w:color w:val="auto"/>
              </w:rPr>
            </w:pPr>
            <w:r>
              <w:rPr>
                <w:rFonts w:ascii="Arial" w:cs="Arial" w:eastAsia="Arial" w:hAnsi="Arial"/>
                <w:sz w:val="11"/>
                <w:szCs w:val="11"/>
                <w:b w:val="1"/>
                <w:bCs w:val="1"/>
                <w:color w:val="auto"/>
              </w:rPr>
              <w:t>Balance at March 31, 2023</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3"/>
              </w:rPr>
              <w:t>9,251,420</w:t>
            </w: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925</w:t>
            </w:r>
          </w:p>
        </w:tc>
        <w:tc>
          <w:tcPr>
            <w:tcW w:w="12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8"/>
              </w:rPr>
              <w:t>28,748,580</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rPr>
              <w:t>2,875</w:t>
            </w:r>
          </w:p>
        </w:tc>
        <w:tc>
          <w:tcPr>
            <w:tcW w:w="12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4"/>
              </w:rPr>
              <w:t>$ 23,589,537</w:t>
            </w:r>
          </w:p>
        </w:tc>
        <w:tc>
          <w:tcPr>
            <w:tcW w:w="14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(304,880)</w:t>
            </w:r>
          </w:p>
        </w:tc>
        <w:tc>
          <w:tcPr>
            <w:tcW w:w="1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8"/>
              </w:rPr>
              <w:t>(7,834,628)</w:t>
            </w:r>
          </w:p>
        </w:tc>
        <w:tc>
          <w:tcPr>
            <w:tcW w:w="14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8"/>
              </w:rPr>
              <w:t>(1,350,275)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8"/>
              </w:rPr>
              <w:t>$ (3,671,806)</w:t>
            </w:r>
          </w:p>
        </w:tc>
        <w:tc>
          <w:tcPr>
            <w:tcW w:w="12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4"/>
              </w:rPr>
              <w:t>$ 11,782,023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8"/>
              </w:rPr>
              <w:t>(5,492,114)</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3"/>
              </w:rPr>
              <w:t>6,289,909</w:t>
            </w:r>
          </w:p>
        </w:tc>
      </w:tr>
      <w:tr>
        <w:trPr>
          <w:trHeight w:val="20"/>
        </w:trPr>
        <w:tc>
          <w:tcPr>
            <w:tcW w:w="1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620"/>
          </w:cols>
          <w:pgMar w:left="840" w:top="517"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for the Three Months Ended March 31, 2023 and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5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(2,972,597)</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5,803,767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(used in) provided by operating activities:</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Amortization - intangible assets - license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 intangible assets - license, related parties</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695,652</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Amortization - intangible assets - other</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 loan origination fees</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8,911</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 - property and equipment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115,060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168,317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 expense</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152,595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Loss on disposal of fixed assets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income from shareholder loan</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(450,681)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Interest income from restricted escrow deposit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(9,874)</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(230,885)</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1,240,699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receivable - related party</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47,744</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Prepaid expenses - related party</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(2,500,000)</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(632,240)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Other noncurrent assets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(1,248,355)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1,665,542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Accounts payable - related party</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(377,476)</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(317,976)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443,528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930,942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Interest receivable - related parties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(493)</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payable - related parties</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Lease liabilities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(49,411)</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(34,595)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(151,130)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(2,636,431)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960" w:type="dxa"/>
            <w:vAlign w:val="bottom"/>
          </w:tcPr>
          <w:p>
            <w:pPr>
              <w:spacing w:after="0" w:line="142" w:lineRule="exact"/>
              <w:rPr>
                <w:sz w:val="20"/>
                <w:szCs w:val="20"/>
                <w:color w:val="auto"/>
              </w:rPr>
            </w:pPr>
            <w:r>
              <w:rPr>
                <w:rFonts w:ascii="Arial" w:cs="Arial" w:eastAsia="Arial" w:hAnsi="Arial"/>
                <w:sz w:val="14"/>
                <w:szCs w:val="14"/>
                <w:color w:val="auto"/>
              </w:rPr>
              <w:t>Net cash (used in) provided by operating activities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(6,708,770)</w:t>
            </w:r>
          </w:p>
        </w:tc>
        <w:tc>
          <w:tcPr>
            <w:tcW w:w="2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4,995,518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 on Pound Sand note</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1,496,063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line="142" w:lineRule="exact"/>
              <w:rPr>
                <w:sz w:val="20"/>
                <w:szCs w:val="20"/>
                <w:color w:val="auto"/>
              </w:rPr>
            </w:pPr>
            <w:r>
              <w:rPr>
                <w:rFonts w:ascii="Arial" w:cs="Arial" w:eastAsia="Arial" w:hAnsi="Arial"/>
                <w:sz w:val="14"/>
                <w:szCs w:val="14"/>
                <w:color w:val="auto"/>
              </w:rPr>
              <w:t>Net cash provided by investing activities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1,490,807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Repayments on long-term debt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(26,503)</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(19,438)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Repayments on short-term note</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(1,666,667)</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Borrowings on short-term note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Payments on paycheck protection program and economic injury disaster loan</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color w:val="auto"/>
              </w:rPr>
              <w:t>Purchase of treasury stock</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(257,093)</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Payments of offering costs in accounts payable</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(92,318)</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960" w:type="dxa"/>
            <w:vAlign w:val="bottom"/>
          </w:tcPr>
          <w:p>
            <w:pPr>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(2,042,581)</w:t>
            </w:r>
          </w:p>
        </w:tc>
        <w:tc>
          <w:tcPr>
            <w:tcW w:w="2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9,057,031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Effect of currency translation on cash and cash equivalents</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2,074</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line="142" w:lineRule="exact"/>
              <w:rPr>
                <w:sz w:val="20"/>
                <w:szCs w:val="20"/>
                <w:color w:val="auto"/>
              </w:rPr>
            </w:pPr>
            <w:r>
              <w:rPr>
                <w:rFonts w:ascii="Arial" w:cs="Arial" w:eastAsia="Arial" w:hAnsi="Arial"/>
                <w:sz w:val="14"/>
                <w:szCs w:val="14"/>
                <w:color w:val="auto"/>
              </w:rPr>
              <w:t>Net increase (decrease) in cash and cash equivalents, and restricted cash and cash equivalents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(8,749,277)</w:t>
            </w:r>
          </w:p>
        </w:tc>
        <w:tc>
          <w:tcPr>
            <w:tcW w:w="2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15,502,871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and restricted cash and cash equivalents - beginning of period</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19,238,185</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16,554,115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Cash and cash equivalents, and restricted cash and cash equivalents – end of period</w:t>
            </w:r>
          </w:p>
        </w:tc>
        <w:tc>
          <w:tcPr>
            <w:tcW w:w="500" w:type="dxa"/>
            <w:vAlign w:val="bottom"/>
            <w:gridSpan w:val="2"/>
          </w:tcPr>
          <w:p>
            <w:pPr>
              <w:jc w:val="right"/>
              <w:ind w:right="169"/>
              <w:spacing w:after="0" w:line="129"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10,488,908</w:t>
            </w:r>
          </w:p>
        </w:tc>
        <w:tc>
          <w:tcPr>
            <w:tcW w:w="220" w:type="dxa"/>
            <w:vAlign w:val="bottom"/>
          </w:tcPr>
          <w:p>
            <w:pPr>
              <w:spacing w:after="0"/>
              <w:rPr>
                <w:sz w:val="12"/>
                <w:szCs w:val="12"/>
                <w:color w:val="auto"/>
              </w:rPr>
            </w:pPr>
          </w:p>
        </w:tc>
        <w:tc>
          <w:tcPr>
            <w:tcW w:w="280" w:type="dxa"/>
            <w:vAlign w:val="bottom"/>
          </w:tcPr>
          <w:p>
            <w:pPr>
              <w:jc w:val="right"/>
              <w:ind w:right="128"/>
              <w:spacing w:after="0" w:line="129" w:lineRule="exact"/>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32,056,986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Cash paid during the period for:</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color w:val="auto"/>
              </w:rPr>
              <w:t>Interest</w:t>
            </w:r>
          </w:p>
        </w:tc>
        <w:tc>
          <w:tcPr>
            <w:tcW w:w="500" w:type="dxa"/>
            <w:vAlign w:val="bottom"/>
            <w:gridSpan w:val="2"/>
            <w:shd w:val="clear" w:color="auto" w:fill="CCEEFF"/>
          </w:tcPr>
          <w:p>
            <w:pPr>
              <w:jc w:val="right"/>
              <w:ind w:right="169"/>
              <w:spacing w:after="0" w:line="12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285,672</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160,089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Borders>
              <w:top w:val="single" w:sz="8" w:color="CCEEFF"/>
            </w:tcBorders>
          </w:tcPr>
          <w:p>
            <w:pPr>
              <w:ind w:left="200"/>
              <w:spacing w:after="0" w:line="129" w:lineRule="exact"/>
              <w:rPr>
                <w:sz w:val="20"/>
                <w:szCs w:val="20"/>
                <w:color w:val="auto"/>
              </w:rPr>
            </w:pPr>
            <w:r>
              <w:rPr>
                <w:rFonts w:ascii="Arial" w:cs="Arial" w:eastAsia="Arial" w:hAnsi="Arial"/>
                <w:sz w:val="14"/>
                <w:szCs w:val="14"/>
                <w:color w:val="auto"/>
              </w:rPr>
              <w:t>Income taxes</w:t>
            </w:r>
          </w:p>
        </w:tc>
        <w:tc>
          <w:tcPr>
            <w:tcW w:w="220" w:type="dxa"/>
            <w:vAlign w:val="bottom"/>
            <w:tcBorders>
              <w:top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182,387</w:t>
            </w:r>
          </w:p>
        </w:tc>
        <w:tc>
          <w:tcPr>
            <w:tcW w:w="220" w:type="dxa"/>
            <w:vAlign w:val="bottom"/>
            <w:tcBorders>
              <w:top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94,421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shd w:val="clear" w:color="auto" w:fill="CCEEFF"/>
          </w:tcPr>
          <w:p>
            <w:pPr>
              <w:ind w:left="320"/>
              <w:spacing w:after="0" w:line="129" w:lineRule="exact"/>
              <w:rPr>
                <w:sz w:val="20"/>
                <w:szCs w:val="20"/>
                <w:color w:val="auto"/>
              </w:rPr>
            </w:pPr>
            <w:r>
              <w:rPr>
                <w:rFonts w:ascii="Arial" w:cs="Arial" w:eastAsia="Arial" w:hAnsi="Arial"/>
                <w:sz w:val="14"/>
                <w:szCs w:val="14"/>
                <w:b w:val="1"/>
                <w:bCs w:val="1"/>
                <w:color w:val="auto"/>
              </w:rPr>
              <w:t>Noncash transactions during the period for:</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320"/>
              <w:spacing w:after="0" w:line="129" w:lineRule="exact"/>
              <w:rPr>
                <w:sz w:val="20"/>
                <w:szCs w:val="20"/>
                <w:color w:val="auto"/>
              </w:rPr>
            </w:pPr>
            <w:r>
              <w:rPr>
                <w:rFonts w:ascii="Arial" w:cs="Arial" w:eastAsia="Arial" w:hAnsi="Arial"/>
                <w:sz w:val="14"/>
                <w:szCs w:val="14"/>
                <w:color w:val="auto"/>
              </w:rPr>
              <w:t>Loan and interest payable - related parties</w:t>
            </w:r>
          </w:p>
        </w:tc>
        <w:tc>
          <w:tcPr>
            <w:tcW w:w="500" w:type="dxa"/>
            <w:vAlign w:val="bottom"/>
            <w:gridSpan w:val="2"/>
          </w:tcPr>
          <w:p>
            <w:pPr>
              <w:jc w:val="right"/>
              <w:ind w:right="169"/>
              <w:spacing w:after="0" w:line="12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29" w:lineRule="exact"/>
              <w:rPr>
                <w:sz w:val="20"/>
                <w:szCs w:val="20"/>
                <w:color w:val="auto"/>
              </w:rPr>
            </w:pPr>
            <w:r>
              <w:rPr>
                <w:rFonts w:ascii="Arial" w:cs="Arial" w:eastAsia="Arial" w:hAnsi="Arial"/>
                <w:sz w:val="14"/>
                <w:szCs w:val="14"/>
                <w:color w:val="auto"/>
              </w:rPr>
              <w:t>103,890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tcBorders>
              <w:bottom w:val="single" w:sz="8" w:color="CCEEFF"/>
            </w:tcBorders>
            <w:shd w:val="clear" w:color="auto" w:fill="CCEEFF"/>
          </w:tcPr>
          <w:p>
            <w:pPr>
              <w:ind w:left="100"/>
              <w:spacing w:after="0" w:line="129" w:lineRule="exact"/>
              <w:rPr>
                <w:sz w:val="20"/>
                <w:szCs w:val="20"/>
                <w:color w:val="auto"/>
              </w:rPr>
            </w:pPr>
            <w:r>
              <w:rPr>
                <w:rFonts w:ascii="Arial" w:cs="Arial" w:eastAsia="Arial" w:hAnsi="Arial"/>
                <w:sz w:val="14"/>
                <w:szCs w:val="14"/>
                <w:color w:val="auto"/>
              </w:rPr>
              <w:t>Loan and interest receivable - related parties</w:t>
            </w:r>
          </w:p>
        </w:tc>
        <w:tc>
          <w:tcPr>
            <w:tcW w:w="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(103,890)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PRESENTATION AND NATURE OF OPERATIONS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Snail, Inc. was incorporated under the laws of Delaware in January 2022. The terms “Snail, Inc,” “Snail Games,” “our” and the “Company” are used to refer collectively to Snail, Inc. and its subsidiaries. The Company’s fiscal year end is December 31. The Registrant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 The Company is a global developer and publisher of interactive entertainment content and support on video game consoles, personal computers, mobile devices, and other platforms.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13, 2022, Suzhou Snail transferred all of its right, title, and interest to all of the 500,000 shares of common stock of the Company (“Shares”) to Snail Technology (HK) Limited (“Snail Technology”), an entity organized under the laws of Hong Kong, pursuant to the certain Share Transfer Agreement dated July 13, 2022 between Suzhou Snail and Snail Technology. Subsequently, Snail Technology transferred all of its right, title, and interest in the shares to certain individuals per the Share Transfer Agreement. In connection with the reorganization transaction described below the individuals contributed their interest in the Company to Snail, Inc. in return for common stock of Snail, Inc in connection with Snail, Inc.’s IPO. Because the Company and Suzhou Snail are owned by the same shareholders, Suzhou Snail is considered a related party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 and IPO</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16, 2022, Snail, Inc., filed a Registration Statement on Form S-1 with the United States Securities and Exchange Commission in connection with its IPO. On November 9, 2022, effective as of the IPO pricing, Snail Games USA Inc.’s existing shareholders transferred their 500,000 shares of common stock of Snail Games USA Inc. to Snail, Inc. in exchange for 6,251,420 shares of Class A common stock and 28,748,580 shares of Class B common stock of Snail, Inc., and Snail, Inc. became the parent of Snail Games USA Inc. Because the reorganization transaction was considered a transaction between entities under common control, the financial statements for periods prior to the reorganization transaction and the IPO have been adjusted to combine the previously separate entities for presentation purposes. On November 9, 2022, Snail, Inc. priced its IPO, and on November 10, 2022, Snail, Inc.’s Class A common stock began trading on The Nasdaq Capital Market under the ticker symbol SNAL. In the IPO, Snail, Inc. issued 3,000,000 shares of Class A common stock at $5.00 per share and net proceeds from the IPO were distributed to Snail Games USA Inc. in November 2022 in the amount of approximately $12.0 million, net of the underwriting discount and offering costs of $3.0 million. In connection with the IPO, $1.0 million of the IPO proceeds were remitted to an escrow account which is held to provide a source of funding for certain indemnification obligations of Snail, Inc. to the underwriters. The amount in escrow is reported as a restricted escrow deposit in the consolidated balance sheets for 12 months from the date of the offering, at which time the restrictions will be removed and the balance will be reverted to unrestricted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the rules and regulations of the SEC and generally accepted accounting principles as promulgated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consolidated financial statements but does not include all disclosures required by U.S. GAAP. Accordingly, the unaudited condensed consolidated financial statements should be read in conjunction with the audited consolidated financial statements and notes thereto for the year ended December 31, 2022 included in the Company’s Annual Report on Form 10-K for the fiscal year ended December 31, 2022, filed on March 29, 2023. The condensed consolidated results of operations for any interim period are not necessarily indicative of the results to be expected for the full year or for any other future annual or interim period.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opinion of management, all adjustments considered necessary for the fair presentation of the Company’s financial position and its results of operations in accordance with U.S. GAAP (consisting of normal recurring adjustments) have been included in the accompanying unaudited condensed consolidated financial statements.</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Certain comparative amounts have been reclassified to conform with the current period presentation. The common stock of Snail Games USA Inc., as of March 31, 2022, has been reclassified as Class A common stock as the stockholders of the Snail Games USA Inc. common stock had their shares converted to Class A shares of Snail Inc. during the reorganization transaction that occurred amongst a common controlled group. For more information regarding the reorganization transaction see Note 20 - </w:t>
      </w:r>
      <w:r>
        <w:rPr>
          <w:rFonts w:ascii="Arial" w:cs="Arial" w:eastAsia="Arial" w:hAnsi="Arial"/>
          <w:sz w:val="17"/>
          <w:szCs w:val="17"/>
          <w:i w:val="1"/>
          <w:iCs w:val="1"/>
          <w:color w:val="auto"/>
        </w:rPr>
        <w:t>Equity</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condensed consolidated financial statements include the accounts of Snail, Inc. and the following subsidiaries: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Equity %</w:t>
            </w:r>
          </w:p>
        </w:tc>
      </w:tr>
      <w:tr>
        <w:trPr>
          <w:trHeight w:val="171"/>
        </w:trPr>
        <w:tc>
          <w:tcPr>
            <w:tcW w:w="6740" w:type="dxa"/>
            <w:vAlign w:val="bottom"/>
          </w:tcPr>
          <w:p>
            <w:pPr>
              <w:ind w:left="2840"/>
              <w:spacing w:after="0"/>
              <w:rPr>
                <w:sz w:val="20"/>
                <w:szCs w:val="20"/>
                <w:color w:val="auto"/>
              </w:rPr>
            </w:pPr>
            <w:r>
              <w:rPr>
                <w:rFonts w:ascii="Arial" w:cs="Arial" w:eastAsia="Arial" w:hAnsi="Arial"/>
                <w:sz w:val="14"/>
                <w:szCs w:val="14"/>
                <w:b w:val="1"/>
                <w:bCs w:val="1"/>
                <w:color w:val="auto"/>
              </w:rPr>
              <w:t>Subsidiary Name</w:t>
            </w:r>
          </w:p>
        </w:tc>
        <w:tc>
          <w:tcPr>
            <w:tcW w:w="200" w:type="dxa"/>
            <w:vAlign w:val="bottom"/>
          </w:tcPr>
          <w:p>
            <w:pPr>
              <w:spacing w:after="0"/>
              <w:rPr>
                <w:sz w:val="14"/>
                <w:szCs w:val="14"/>
                <w:color w:val="auto"/>
              </w:rPr>
            </w:pPr>
          </w:p>
        </w:tc>
        <w:tc>
          <w:tcPr>
            <w:tcW w:w="10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Owned</w:t>
            </w:r>
          </w:p>
        </w:tc>
      </w:tr>
      <w:tr>
        <w:trPr>
          <w:trHeight w:val="210"/>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Snail Games USA Inc.</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Snail Innovation Institute</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70 %</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Frostkeep Studios, Inc.</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Eminence Corp</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Wandering Wizard, LLC</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Donkey Crew, LLC</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99 %</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Interactive Films, LLC</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Project AWK Productions, LLC</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BTBX.IO, LLC</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transactions, and profits have been eliminated upon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the Company to make estimates and assumptions that affect the amounts reported in our condensed consolidated financial statements and the accompanying notes. Such estimates include revenue recognition, provisions for credit losses, deferred income tax assets and associated valuation allowances, deferred revenue, income taxes, valuation of intangibles, including those with related parties, impairment of intangible assets, stock-based compensation and fair value of warrants.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has one operating and reportable segment. Our operations involve similar products and customers worldwide. Revenue earned is primarily derived from the sale of software titles, which are developed internally or licensed from related parties. Financial information about our segment and geographic regions is included in Note 3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incurred a net loss of $3.0 million and negative cash flows of $6.7 million for the three months ended March 31, 2023. As of March 31, 2023, the Company had cash and cash equivalents of $4.1 million, restricted cash of $7.3 million and current debt of $13.2 million.</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2023, the Company’s 2021 Revolving Loan (as defined below) and 2022 Short Term Note (as defined below) of $9.0 million and $4.2 million are due in December 2023 and January 2024, respectively. Management intends to renegotiate with the lender to extend the maturity date of the 2021 Revolving Loan. However, there is no guarantee that management will be able to renegotiate the terms of the 2021 Revolving Loan with its lender at terms acceptable to the Company or at all. Additionally, management plans to repay the outstanding amounts under the 2022 Short Term Note pursuant to the terms of the 2022 Short Term Note agreement and to secure an additional debt arrangement. Currently, management expects that the Company will not be in compliance with its quarterly debt covenant for the three months ending June 30, 2023. Management is working with the lender to resolve the expected non-compliance with the debt covenant.</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may need to raise additional capital. The need for additional capital depends on many factors, including, among other things, whether the Company can successfully renegotiate the terms of its debt arrangements, the rate at which the Company’s business</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grows, demands for working capital, revenue generated from existing DLCs and game titles and launches of new DLCs and new game titles, and any acquisitions that the Company may pursue. From time to time, the Company could be required, or may otherwise attempt, to seek additional sources of capital, including, but not limited to, equity and/or debt financings. The Company cannot provide assurance that it will be able to successfully access any such equity or debt financings or that the required equity or debt financings would be available on terms acceptable to the Company, if at all, or that any such financings would not be dilutive to its stockholders.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recent net loss, level of cash used in operations, debt obligations coming due in less than 12 months, potential need for additional capital, and the uncertainties surrounding its ability to raise additional capital and renegotiate its debt arrangements raise substantial doubt about its ability to continue as a going concern. The unaudited condensed consolidated financial statements do not include any adjustments that might be necessary if the Company is unable to continue as a going concern.</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for the Company to continue operations beyond the next 12 months and be able to discharge its liabilities and commitments in the normal course of business, the Company must re-establish profitable operations in order to generate cash from operations by increasing revenue or controlling or potentially reducing expenses, renegotiate the terms of its debt arrangements, or obtain additional funds when needed.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revenue includes the publishing of software games delivered digitally and through physical discs (e.g., packaged goods). The Company’s digital games may include additional downloadable content that are new feature releases to digital full-game downloads. Revenue also includes sales of mobile in-app purchases that require the Company’s hosting support in order to utilize the game or related content. Such games include virtual goods that can be purchased by the end users, as desired. When control of the promised products and services is transferred to the customers, the Company recognizes revenue in the amount that reflects the consideration it expects to receive in exchange for these products and services. Revenue from delivery of products is recognized at a point in time when the end consumers download the games and the control of the license is transferred to them.</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recognizes revenue using the following five steps as provided by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1) identify the contract(s) with the customer; 2) identify the performance obligations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3) determine the transaction price; 4) allocate the transaction price to the performance obligations; and 5) recognize revenue when, or as, the entity satisfies a performance obligation. The Company’s terms and conditions vary by customers and typically provide net 30 to 75 days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vs Agent Consideration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offers certain software products via third-party digital storefronts, such as Microsoft’s Xbox Live, Sony’s PlayStation Network, Valve’s Steam, Epic Games Store, My Nintendo Store, Apple’s App Store, the Google Play Store, and retail distributors. For sales of our software products via third-party digital storefronts and retail distributor, the Company determines whether or not it is acting as the principal in the sale to the end user, which the Company considers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the Company uses in evaluating these sales transactions include, but are not limited to, the following:</w:t>
      </w:r>
    </w:p>
    <w:p>
      <w:pPr>
        <w:spacing w:after="0" w:line="177" w:lineRule="exact"/>
        <w:rPr>
          <w:sz w:val="20"/>
          <w:szCs w:val="20"/>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underlying contract terms and conditions between the various parties to the transaction;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Which party is primarily responsible for fulfilling the promise to provide the specified good or service;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Which party has discretion in establishing the price for the specified good or service.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Based on our evaluation of the above indicators, for sales arrangements via Microsoft’s Xbox Live, Sony’s PlayStation Network, Valve’s Steam, Epic Games Store, and retail distributor, the digital platforms and distributors have discretion in establishing the price for the specified good or service and the Company has determined it is the agent in the sales transaction to the end user and therefore the Company reports revenue on a net basis based on the consideration received from the digital storefront. For sales arrangements via Apple’s App Store and the Google Play Store, the Company has discretion in establishing the price for the specified good or service and it has determined that the Company is the principal to the end user and thus reports revenue on a gross basis and mobile platform fees charged by these digital storefronts are expensed as incurred and reported within cost of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even if amounts are refundable.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Deferred revenue is comprised of the transaction price allocable to the Company’s performance obligation on technical support and the sale of virtual goods available for in-app purchases, and payments received from customers prior to launching the games on the platforms. The Company categorizes the virtual goods as either “consumable” or “durable.” Consumable virtual goods represent goods that can be consumed by a specific player action; accordingly, the Company recognizes revenues from the sale of consumable virtual goods as the goods are consumed and the performance obligation is satisfied. Durable virtual goods represent goods that are accessible to the players over an extended period of time; accordingly, the Company recognize revenues from the sale of durable virtual goods ratably over the period of time the goods are available to the player and the performance obligation is satisfied, which is generally the estimated service period, 30 to 90 days from date of activation.</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has a long-term title license agreement with a platform. The agreement was initially made between the parties in November 2018 and valid through December 31, 2021. The agreement was subsequently amended in June 2020 to extend the </w:t>
      </w:r>
      <w:r>
        <w:rPr>
          <w:rFonts w:ascii="Arial" w:cs="Arial" w:eastAsia="Arial" w:hAnsi="Arial"/>
          <w:sz w:val="17"/>
          <w:szCs w:val="17"/>
          <w:i w:val="1"/>
          <w:iCs w:val="1"/>
          <w:color w:val="auto"/>
        </w:rPr>
        <w:t>ARK 1</w:t>
      </w:r>
      <w:r>
        <w:rPr>
          <w:rFonts w:ascii="Arial" w:cs="Arial" w:eastAsia="Arial" w:hAnsi="Arial"/>
          <w:sz w:val="17"/>
          <w:szCs w:val="17"/>
          <w:color w:val="auto"/>
        </w:rPr>
        <w:t xml:space="preserve"> availability on the platform perpetually, effective January 1, 2022 and to put </w:t>
      </w:r>
      <w:r>
        <w:rPr>
          <w:rFonts w:ascii="Arial" w:cs="Arial" w:eastAsia="Arial" w:hAnsi="Arial"/>
          <w:sz w:val="17"/>
          <w:szCs w:val="17"/>
          <w:i w:val="1"/>
          <w:iCs w:val="1"/>
          <w:color w:val="auto"/>
        </w:rPr>
        <w:t>ARK 2</w:t>
      </w:r>
      <w:r>
        <w:rPr>
          <w:rFonts w:ascii="Arial" w:cs="Arial" w:eastAsia="Arial" w:hAnsi="Arial"/>
          <w:sz w:val="17"/>
          <w:szCs w:val="17"/>
          <w:color w:val="auto"/>
        </w:rPr>
        <w:t xml:space="preserve"> on the platform for three years upon release. The Company recognized $2.5 million in revenue related to </w:t>
      </w:r>
      <w:r>
        <w:rPr>
          <w:rFonts w:ascii="Arial" w:cs="Arial" w:eastAsia="Arial" w:hAnsi="Arial"/>
          <w:sz w:val="17"/>
          <w:szCs w:val="17"/>
          <w:i w:val="1"/>
          <w:iCs w:val="1"/>
          <w:color w:val="auto"/>
        </w:rPr>
        <w:t>ARK 1</w:t>
      </w:r>
      <w:r>
        <w:rPr>
          <w:rFonts w:ascii="Arial" w:cs="Arial" w:eastAsia="Arial" w:hAnsi="Arial"/>
          <w:sz w:val="17"/>
          <w:szCs w:val="17"/>
          <w:color w:val="auto"/>
        </w:rPr>
        <w:t xml:space="preserve"> perpetual license during the three months ended March 31, 2022 and deferred $2.3 million related to </w:t>
      </w:r>
      <w:r>
        <w:rPr>
          <w:rFonts w:ascii="Arial" w:cs="Arial" w:eastAsia="Arial" w:hAnsi="Arial"/>
          <w:sz w:val="17"/>
          <w:szCs w:val="17"/>
          <w:i w:val="1"/>
          <w:iCs w:val="1"/>
          <w:color w:val="auto"/>
        </w:rPr>
        <w:t>ARK 2</w:t>
      </w:r>
      <w:r>
        <w:rPr>
          <w:rFonts w:ascii="Arial" w:cs="Arial" w:eastAsia="Arial" w:hAnsi="Arial"/>
          <w:sz w:val="17"/>
          <w:szCs w:val="17"/>
          <w:color w:val="auto"/>
        </w:rPr>
        <w:t xml:space="preserve"> that is included in the long-term portion of deferred revenue.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2021, the Company entered an agreement with a platform to make </w:t>
      </w:r>
      <w:r>
        <w:rPr>
          <w:rFonts w:ascii="Arial" w:cs="Arial" w:eastAsia="Arial" w:hAnsi="Arial"/>
          <w:sz w:val="18"/>
          <w:szCs w:val="18"/>
          <w:i w:val="1"/>
          <w:iCs w:val="1"/>
          <w:color w:val="auto"/>
        </w:rPr>
        <w:t>ARK 1</w:t>
      </w:r>
      <w:r>
        <w:rPr>
          <w:rFonts w:ascii="Arial" w:cs="Arial" w:eastAsia="Arial" w:hAnsi="Arial"/>
          <w:sz w:val="18"/>
          <w:szCs w:val="18"/>
          <w:color w:val="auto"/>
        </w:rPr>
        <w:t xml:space="preserve"> available on a platform for a period of 5 weeks in exchange for $3.5 million. The platform launched the 5-week program on March 1, 2022 and the Company recognized the full amount of revenue from this contract during the period ended March 31, 2022, as the significant performance obligation of making the game available on the platform was met on the first day of the contract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Service Period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certain performance obligations satisfied over time, the Company has determined that the estimated service period is the time period in which an average user plays our software products (“user life”) which most faithfully depicts the timing of satisfying our performance obligation.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Handling and Value Added Taxes (“VAT”)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distributor, as the principal, is responsible for the shipping of the game discs to the retail stores and incurring the shipping and VAT costs. The Company is paid the net sales amount after deducting shipping costs, VAT and other related expenses by the distributor.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revenues include software license royalty fees, merchant fees, server and database center costs, game localization costs, game licenses, engine fees and amortization costs. Cost of revenues for the three months ended March 31, 2023 and 2022 were comprised of the following:</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Software license royalties - related parties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$ 2,863,013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6,521,178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Software license royalties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352,439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License and amortization - related parties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5,195,651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6,350,979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License and amortization</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150,224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Merchant fees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459,471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657,536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Engine fees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424,227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713,993</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Internet, server and data center</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496,150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495,107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Costs related to advertising revenue</w:t>
            </w:r>
          </w:p>
        </w:tc>
        <w:tc>
          <w:tcPr>
            <w:tcW w:w="14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$ 9,816,397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14,889,017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costs include rents, salaries, stock-based compensation, legal and professional expenses, internet and server, contractor costs, insurance expense, licenses and permits, other taxes and travel expenses. These costs are expensed as they are incurred. For the three months ended March 31, 2023 and 2022, general and administrative expenses totaled $5,570,291 and $5,620,010, respectively. Stock-based compensation of $152,595 was incurred during the three months ended March 31, 2023; no such compensation was incurred in the three months ended March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advertising costs as incurred. For the three months ended March 31, 2023 and 2022, advertising expenses totaled $104,549 and $158,670,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costs are expensed as incurred. Research and development costs include travel, payroll, and other general expenses specific to research and development activities. Research and development costs for the three months ended March 31, 2023 and 2022 were $1,373,797 and $183,956,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Non-controlling interests on the condensed consolidated balance sheets and condensed consolidated statements of operations and comprehensive income (loss) include the equity allocated to non-controlling interest holders. As of March 31, 2023 and December 31, 2022, there were non-controlling interests with the following subsidiaries: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260" w:type="dxa"/>
            <w:vAlign w:val="bottom"/>
          </w:tcPr>
          <w:p>
            <w:pPr>
              <w:spacing w:after="0"/>
              <w:rPr>
                <w:sz w:val="14"/>
                <w:szCs w:val="14"/>
                <w:color w:val="auto"/>
              </w:rPr>
            </w:pPr>
          </w:p>
        </w:tc>
        <w:tc>
          <w:tcPr>
            <w:tcW w:w="16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Equity % Owned</w:t>
            </w:r>
          </w:p>
        </w:tc>
        <w:tc>
          <w:tcPr>
            <w:tcW w:w="16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Non-Controlling %</w:t>
            </w:r>
          </w:p>
        </w:tc>
      </w:tr>
      <w:tr>
        <w:trPr>
          <w:trHeight w:val="210"/>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Snail Innovative Institute</w:t>
            </w:r>
          </w:p>
        </w:tc>
        <w:tc>
          <w:tcPr>
            <w:tcW w:w="2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BTBX.IO, LLC</w:t>
            </w:r>
          </w:p>
        </w:tc>
        <w:tc>
          <w:tcPr>
            <w:tcW w:w="1940" w:type="dxa"/>
            <w:vAlign w:val="bottom"/>
            <w:gridSpan w:val="3"/>
          </w:tcPr>
          <w:p>
            <w:pPr>
              <w:jc w:val="right"/>
              <w:ind w:right="10"/>
              <w:spacing w:after="0"/>
              <w:rPr>
                <w:sz w:val="20"/>
                <w:szCs w:val="20"/>
                <w:color w:val="auto"/>
              </w:rPr>
            </w:pPr>
            <w:r>
              <w:rPr>
                <w:rFonts w:ascii="Arial" w:cs="Arial" w:eastAsia="Arial" w:hAnsi="Arial"/>
                <w:sz w:val="18"/>
                <w:szCs w:val="18"/>
                <w:color w:val="auto"/>
              </w:rPr>
              <w:t>70 %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Donkey Crew, LLC</w:t>
            </w:r>
          </w:p>
        </w:tc>
        <w:tc>
          <w:tcPr>
            <w:tcW w:w="19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99 %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is available for use in current operations or other activities such as capital expenditures and business combinations. Restricted cash and cash equivalents are time deposits, that are currently provided as security to our debts with a financial institution and the issuance of a standby letter of credit to landlords.</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Escrow Deposits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restricted deposits held in escrow are to provide a source of funding for certain indemnification obligations of Snail, Inc. to our underwriters in connection with our IPO. The deposit and related interest earnings are restricted for one year from the IPO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generally records a receivable related to revenue when it has an unconditional right to invoice and receive payment. Accounts receivable are carried at original invoice amount less a allowance made for credit losses. The Company uses a combination of quantitative and qualitative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follows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describes the hierarchy of inputs used to measure fair value and the primary valuation methodologies used by the Company for financial instruments measured at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inputs are as follows:</w:t>
      </w:r>
    </w:p>
    <w:p>
      <w:pPr>
        <w:spacing w:after="0" w:line="221" w:lineRule="exact"/>
        <w:rPr>
          <w:sz w:val="20"/>
          <w:szCs w:val="20"/>
          <w:color w:val="auto"/>
        </w:rPr>
      </w:pPr>
    </w:p>
    <w:p>
      <w:pPr>
        <w:ind w:left="680" w:hanging="321"/>
        <w:spacing w:after="0" w:line="282"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in active markets for identical assets or liabilities that the Company has an ability to access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date.</w:t>
      </w:r>
    </w:p>
    <w:p>
      <w:pPr>
        <w:spacing w:after="0" w:line="161" w:lineRule="exact"/>
        <w:rPr>
          <w:rFonts w:ascii="Arial" w:cs="Arial" w:eastAsia="Arial" w:hAnsi="Arial"/>
          <w:sz w:val="18"/>
          <w:szCs w:val="18"/>
          <w:color w:val="auto"/>
        </w:rPr>
      </w:pPr>
    </w:p>
    <w:p>
      <w:pPr>
        <w:jc w:val="both"/>
        <w:ind w:left="680" w:hanging="321"/>
        <w:spacing w:after="0" w:line="266"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: Inputs that are observable, either directly or indirectly, such as quoted prices for similar assets or liabilities, quoted</w:t>
      </w:r>
      <w:r>
        <w:rPr>
          <w:rFonts w:ascii="Arial" w:cs="Arial" w:eastAsia="Arial" w:hAnsi="Arial"/>
          <w:sz w:val="18"/>
          <w:szCs w:val="18"/>
          <w:b w:val="1"/>
          <w:b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same term of the assets or liabilities.</w:t>
      </w:r>
    </w:p>
    <w:p>
      <w:pPr>
        <w:spacing w:after="0" w:line="175" w:lineRule="exact"/>
        <w:rPr>
          <w:rFonts w:ascii="Arial" w:cs="Arial" w:eastAsia="Arial" w:hAnsi="Arial"/>
          <w:sz w:val="18"/>
          <w:szCs w:val="18"/>
          <w:color w:val="auto"/>
        </w:rPr>
      </w:pPr>
    </w:p>
    <w:p>
      <w:pPr>
        <w:ind w:left="680" w:hanging="321"/>
        <w:spacing w:after="0" w:line="282"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that are supported by little or no market activity and that are significant to the fair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liabilities.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accounts payable and current liabilities. The carrying values of these financial instruments approximate their fair value due to their short maturities. The carrying amount of our debt approximates fair value because the interest rates on these instruments approximate the interest rate on debt with similar terms available to us for a similar duration with the exception of the Company’s promissory note which has a fixed rate for 5 years, then a floating rate that approximates</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Wall Street Journal Prime Rate plus 0.50%. The Company considers the carrying amount of the loan to approximate fair value as the discounted cost in comparison to market rates would not be materially different than the cost to acquire a loan with similar terms. The Company does not have any other assets or liabilities measured at fair value on a recurring or non-recurring basis as of March 31, 2023 and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Amortizable Intangibles and Other Long-lived Assets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long-lived assets and other assets consisting of property, plant and equipment and purchased intangible assets, are reviewed for impairment in accordance with the guidance of Financial Accounting Standards Board (“FASB”) Topic ASC 360, Property, Plant,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are provided for the tax effects of transactions reported in the condensed consolidated financial statements and consisted of taxes currently due and deferred taxes. Deferred taxes are recognized for the differences between the basis of assets and liabilities for financial statement and income tax purposes.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follows FASB Topic ASC 740, Income Taxes, which requires the recognition of deferred tax assets and liabilities for the expected future tax consequences of events that have been included in the condensed consolidated financial statements or tax returns.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condensed consolidated financial statements from such a position are measured based on the largest benefit that has a greater than 50% likelihood of being realized upon ultimate resolution. The Company recognizes liabilities for uncertain tax positions pursuant to FASB ASC 740-10-25. Such amounts are included in the current and long-term accrued expenses on the accompanying condensed consolidated balance sheets in the amount of $457,024 as of March 31, 2023 and December 31, 2022. The Company accrues and recognizes interest and penalties related to unrecognized tax benefits in operating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maintains cash balances at several major financial institutions. While the Company attempts to limit credit exposure with any single institution, balances often exceed insurable amounts. As of March 31, 2023 and December 31, 2022, the Company had</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deposits of $9,443,584 and $17,929,308, respectively, that were not insured by the Federal Deposit Insurance Corporation and are included in the cash and cash equivalents, restricted escrow deposit and restricted cash and cash equivalents, in the accompanying condensed consolidated balance sheets.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extends credit to various digital resellers and partners. Collection of trade receivables may be affected by changes in economic or other industry conditions and may, accordingly, impact our overall credit risk. The Company performs ongoing credit evaluations of customers and maintains reserves for potentially uncollectible accounts. As of March 31, 2023 and December 31, 2022, the Company had three customers who accounted for approximately 71% and two customers who accounted for approximately 57% of consolidated gross receivables, respectively. Among the three customers as of March 31, 2023 and two customers as of December 31, 2022, each customer accounted for 30%, 23% and 18% as of March 31, 2023, and 29% and 28% as of December 31, 2022 of the consolidated gross receivables outstanding. During the three months ended March 31, 2023 and 2022, approximately 60% and 61%, respectively, of net revenue was derived from these customers. The loss of these customers or declines in the forecasts of their accounts receivable collectability would have a significant impact on the Company’s financial performance.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2023 and December 31, 2022, the Company had two vendors who accounted for approximately 67% and two vendors who accounted for approximately 55% of consolidated gross payables, respectively. Among the two vendors as of March 31, 2023 and December 31, 2022, each vendor accounted for 55% and 12% as of March 31, 2023, and 43% and 12% as of December 31, 2022 of our consolidated gross payables outstanding. The loss of these vendors could have a significant impact on the Company’s financial performance and regulatory compliance.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one vendor, SDE Inc. (“SDE”), a related party, that accounted for 58% and 53% of the Company’s combined cost of revenues and operating expenses during the three months ended March 31, 2023 and 2022, respectively. Amounts payable to SDE are netted with receivables from them and presented as accounts receivable - related party in the condensed consolidated balance sheets as of March 31, 2023 and December 31, 2022. The loss of SDE as a vendor would significantly and adversely affect the Company’s core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replaces the incurred loss impairment methodology in current US GAAP with a methodology that requires the reflection of expected credit losses and also requires consideration of a broader range of reasonable and supportable information to determine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For most financial instruments, the standard requires the use of a forward-looking expected loss model rather than the incurred loss model for recognizing credit losses, which generally results in the earlier recognition of credit losses on financial instruments. The Company adopted ASC 2016-13 on January 1, 2023. The impact of adopting the new standard did not have a material impact on the Company’s condensed consolidated financial statements.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Contracts in Entity’s Own Equity (Subtopic 815-40) – Accounting for Convertible</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and Contracts in an Entity’s Own Equity</w:t>
      </w:r>
      <w:r>
        <w:rPr>
          <w:rFonts w:ascii="Arial" w:cs="Arial" w:eastAsia="Arial" w:hAnsi="Arial"/>
          <w:sz w:val="17"/>
          <w:szCs w:val="17"/>
          <w:color w:val="auto"/>
        </w:rPr>
        <w:t>, to simplify the application of GAAP for certain financial instruments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characteristics of liabilities and equity. The FASB decided to eliminate certain accounting models to simplify the accounting for convertible instruments, reduce complexity for preparers and practitioners, and improve the decision usefulness and relevance of the information provided to financial statement users. The GASB also amended the guidance for derivatives scope exception for contracts in an entity’s own equity to reduce form-over-substance-based accounting conclusion and amended the related earnings per share guidance. The Company has elected to delay implementation of this standard until January 1, 2024 based on its emerging growth status. The impact of adopting the new accounting standard is being evaluated.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Savings Plans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 401(k) for its United States based employees. The plan is offered to all eligible employees to make voluntary contributions. Employer contributions to the plan are reported under general and administrative costs in the amounts of $26,619 and $13,182 for the three months ended March 31, 2023 and 2022.</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issued restricted stock units (“Restricted Stock Units” or “restricted stock units”) during the year ended December 31, 2022. The fair value of Restricted Stock Units is determined based on the quoted market price of our common stock on the date of grant.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5,718,000 shares, (b) 1% of the shares of the Company’s Class B common stock outstanding (on a fully diluted basis) on the final day of the immediately preceding calendar year or (c) such smaller number of shares as determined by the Company’s board of directors. As of March 31, 2023, there were 4,498,666 shares reserved for issuance under the 2022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granted restricted stock units under our 2022 Omnibus Incentive Plan to employees and directors.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IPO, offering costs related to legal, accounting, and underwriting costs were net with the proceeds and recorded as a reduction in additional paid in capital, in the stockholders’ equity section of the condensed consolidated balance sheets. The Company also issued Underwriters Warrants (as defined below) for services provided during the IPO to purchase 120,000 shares of Class A common stock. The Underwriters Warrants are accounted for as equity instruments and are included in the stockholders’ equity section of the condensed consolidated balance sheets. The fair value of the Underwriters Warrants has been estimated using the Black-Scholes option pricing model.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10, 2022, the Company’s board of directors authorized a share repurchase program under which the Company may repurchase up to $5 million of outstanding shares of Class A common stock of the Company, subject to ongoing compliance with the Nasdaq listing rules. The program does not have a fixed expiration date. Repurchased shares are accounted for at cost and reported as a reduction of equity in the condensed consolidated balance sheets under treasury stock. No treasury stock was sold during the three months ended March 31, 2023. As of March 31,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Earnings (loss) per share (“EPS”) is calculated by dividing the net income (loss) that is applicable to the common stockholders for the period by the weighted average number of shares of common stock during that period. The diluted EPS for the period is calculated by dividing the net income (loss) applicable to common stockholders for the period by the weighted average number of shares of common stock and common stock equivalents outstanding during the period. The Company’s common stock equivalents are measured using the treasury stock method and represent unvested restricted stock units and warrants. The Company issues two classes of common stock</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with differing voting rights, and as such, reports EPS using the dual class method. For comparative purposes the Company has presented EPS for the three months ended March 31, 2022 using the number of shares exchanged in the reorganization of the Company as the denominator. For more information see Note 19 – </w:t>
      </w:r>
      <w:r>
        <w:rPr>
          <w:rFonts w:ascii="Arial" w:cs="Arial" w:eastAsia="Arial" w:hAnsi="Arial"/>
          <w:sz w:val="18"/>
          <w:szCs w:val="18"/>
          <w:i w:val="1"/>
          <w:iCs w:val="1"/>
          <w:color w:val="auto"/>
        </w:rPr>
        <w:t>Earnings (Loss)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pay cash dividends is currently restricted by the terms of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net revenue to geographic regions based on customer location. Net revenue by geographic region for the three months ended March 31, 2023 and 2022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11,777,874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26,286,796</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1,680,614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1,767,795</w:t>
            </w:r>
          </w:p>
        </w:tc>
      </w:tr>
      <w:tr>
        <w:trPr>
          <w:trHeight w:val="250"/>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13,458,488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28,054,591</w:t>
            </w:r>
          </w:p>
        </w:tc>
      </w:tr>
      <w:tr>
        <w:trPr>
          <w:trHeight w:val="413"/>
        </w:trPr>
        <w:tc>
          <w:tcPr>
            <w:tcW w:w="7200" w:type="dxa"/>
            <w:vAlign w:val="bottom"/>
            <w:tcBorders>
              <w:top w:val="single" w:sz="8" w:color="CCEEFF"/>
            </w:tcBorders>
          </w:tcPr>
          <w:p>
            <w:pPr>
              <w:spacing w:after="0"/>
              <w:rPr>
                <w:sz w:val="20"/>
                <w:szCs w:val="20"/>
                <w:color w:val="auto"/>
              </w:rPr>
            </w:pPr>
            <w:r>
              <w:rPr>
                <w:rFonts w:ascii="Arial" w:cs="Arial" w:eastAsia="Arial" w:hAnsi="Arial"/>
                <w:sz w:val="18"/>
                <w:szCs w:val="18"/>
                <w:i w:val="1"/>
                <w:iCs w:val="1"/>
                <w:color w:val="auto"/>
              </w:rPr>
              <w:t>Platform</w:t>
            </w:r>
          </w:p>
        </w:tc>
        <w:tc>
          <w:tcPr>
            <w:tcW w:w="3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color w:val="auto"/>
                <w:w w:val="94"/>
              </w:rPr>
              <w:t>Net revenue by platform for the three months ended March 31, 2023 and 2022 were as follows: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1"/>
        </w:trPr>
        <w:tc>
          <w:tcPr>
            <w:tcW w:w="7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Console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5,773,590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17,991,579</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PC</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5,012,180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6,684,436</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Mobile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1,718,032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2,791,320</w:t>
            </w:r>
          </w:p>
        </w:tc>
      </w:tr>
      <w:tr>
        <w:trPr>
          <w:trHeight w:val="216"/>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954,686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587,256</w:t>
            </w:r>
          </w:p>
        </w:tc>
      </w:tr>
      <w:tr>
        <w:trPr>
          <w:trHeight w:val="210"/>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13,458,488</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28,054,591</w:t>
            </w:r>
          </w:p>
        </w:tc>
      </w:tr>
      <w:tr>
        <w:trPr>
          <w:trHeight w:val="20"/>
        </w:trPr>
        <w:tc>
          <w:tcPr>
            <w:tcW w:w="7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channel</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products are delivered through digital online services (digital download, online platforms, and cloud streaming), mobile, and retail distribution and other. Net revenue by distribution channel for the three months ended March 31, 2023 and 2022 was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Digital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10,785,770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24,676,015</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Mobile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1,718,032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2,791,320</w:t>
            </w:r>
          </w:p>
        </w:tc>
      </w:tr>
      <w:tr>
        <w:trPr>
          <w:trHeight w:val="216"/>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Physical retail and other</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954,686</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587,256</w:t>
            </w:r>
          </w:p>
        </w:tc>
      </w:tr>
      <w:tr>
        <w:trPr>
          <w:trHeight w:val="209"/>
        </w:trPr>
        <w:tc>
          <w:tcPr>
            <w:tcW w:w="7520" w:type="dxa"/>
            <w:vAlign w:val="bottom"/>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13,458,488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28,054,591</w:t>
            </w:r>
          </w:p>
        </w:tc>
      </w:tr>
      <w:tr>
        <w:trPr>
          <w:trHeight w:val="20"/>
        </w:trPr>
        <w:tc>
          <w:tcPr>
            <w:tcW w:w="7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records deferred revenue when payments are due or received in advance of the fulfillment of our associated performance obligations; reductions to deferred revenue balance were primarily due to the recognition of revenue upon fulfillment of our performance obligations, which were in the ordinary course of business. As of March 31, 2023, the balance of deferred revenue was $9,400,317, of which $3.0 million is due to non-refundable payments. The Company is expecting to recognize $0.7 million of the $3.0 million in the next 12 months through the platform releases of certain DLCs and the remaining $2.3 million in the next 24 months through the release of </w:t>
      </w:r>
      <w:r>
        <w:rPr>
          <w:rFonts w:ascii="Arial" w:cs="Arial" w:eastAsia="Arial" w:hAnsi="Arial"/>
          <w:sz w:val="16"/>
          <w:szCs w:val="16"/>
          <w:i w:val="1"/>
          <w:iCs w:val="1"/>
          <w:color w:val="auto"/>
        </w:rPr>
        <w:t>ARK 2</w:t>
      </w:r>
      <w:r>
        <w:rPr>
          <w:rFonts w:ascii="Arial" w:cs="Arial" w:eastAsia="Arial" w:hAnsi="Arial"/>
          <w:sz w:val="16"/>
          <w:szCs w:val="16"/>
          <w:color w:val="auto"/>
        </w:rPr>
        <w:t>. The Company expects to recognize $4.5 million of current deferred revenues and $4.9 million of long term deferred revenue as revenue over the next 12 to 60 months. The revenue will be recognized primarily on a straight-line basis, based on our estimates of</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technical support obligations and activation of durable virtual goods. Activities in the Company’s deferred revenue as of March 31, 2023 and December 31, 2022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beginning balance in advance of revenue recognition billing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20,280,934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Revenue recognized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(453,223)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(18,832,396)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 deferred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8,102,908</w:t>
            </w: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Deferred revenue, ending balance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9,400,317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9,551,446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short term portion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(4,517,573)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(4,335,404)</w:t>
            </w: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Deferred revenue, long term</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4,882,744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5,216,042</w:t>
            </w:r>
          </w:p>
        </w:tc>
      </w:tr>
      <w:tr>
        <w:trPr>
          <w:trHeight w:val="20"/>
        </w:trPr>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RESTRICTED CASH AND CASH EQUIVALENTS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equivalents are valued using quoted market prices or other readily available market information. The Company has $6,380,657 and $6,374,368 as of March 31, 2023 and December 31, 2022, respectively, as security for the debt with a financial institution (see Note 15</w:t>
      </w:r>
    </w:p>
    <w:p>
      <w:pPr>
        <w:jc w:val="both"/>
        <w:spacing w:after="0" w:line="25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Revolving Loan, Short Term Note, and Long-Term Debt</w:t>
      </w:r>
      <w:r>
        <w:rPr>
          <w:rFonts w:ascii="Arial" w:cs="Arial" w:eastAsia="Arial" w:hAnsi="Arial"/>
          <w:sz w:val="18"/>
          <w:szCs w:val="18"/>
          <w:color w:val="auto"/>
        </w:rPr>
        <w:t>) and to secure standby letters of credit with landlords. The following table summarizes the components of the Company’s cash and cash equivalents, and restricted cash and cash equivalents as of March 31, 2023 and December 31,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4,108,251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12,863,817</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6,380,657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6,374,368</w:t>
            </w: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and cash equivalents</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10,488,908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19,238,185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 RELATED PARTY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 — related party represents receivables in the ordinary course of business attributable to certain mobile game revenues that, for administrative reasons, are collected by a related party and that the related party has not remitted back to the Company. The accounts receivable is offset by payables due to the related party for royalties, internet data center (“IDC”) and marketing costs. Accounts receivable — related party is non-interest bearing and due on demand. The related party is 100% owned and controlled by the wife of the Founder, Chief Strategy Officer and Chairman of the Company. As of March 31, 2023 and December 31, 2022, the outstanding balance of net accounts receivable from related party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related party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13,519,409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13,519,409</w:t>
            </w:r>
          </w:p>
        </w:tc>
      </w:tr>
      <w:tr>
        <w:trPr>
          <w:trHeight w:val="216"/>
        </w:trPr>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Accounts payable - related party</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(2,222,969)</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(2,175,225)</w:t>
            </w:r>
          </w:p>
        </w:tc>
      </w:tr>
      <w:tr>
        <w:trPr>
          <w:trHeight w:val="250"/>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related party,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11,296,440</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11,344,184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DUE FROM SHAREHOLDER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Other receivables from related party consisted of monies that the Company lent to the Company’s Founder, Chief Strategy Officer and Chairman, who is also the majority shareholder of Suzhou Snail. The loan bore 2.0% per annum interest. On April 26, 2022, the Company, with approval from its Board of Directors and in accordance with applicable laws and regulations, assigned the other receivables </w:t>
      </w:r>
      <w:r>
        <w:rPr>
          <w:rFonts w:ascii="Arial" w:cs="Arial" w:eastAsia="Arial" w:hAnsi="Arial"/>
          <w:sz w:val="17"/>
          <w:szCs w:val="17"/>
          <w:color w:val="222222"/>
        </w:rPr>
        <w:t>–</w:t>
      </w:r>
      <w:r>
        <w:rPr>
          <w:rFonts w:ascii="Arial" w:cs="Arial" w:eastAsia="Arial" w:hAnsi="Arial"/>
          <w:sz w:val="17"/>
          <w:szCs w:val="17"/>
          <w:color w:val="auto"/>
        </w:rPr>
        <w:t xml:space="preserve"> related party (“due from shareholder” or the “Shi Loan”) of $94,934,400 outstanding including interest, to Suzhou Snail, which assumed the loan as creditor. Simultaneously, the Company declared and paid Suzhou Snail an in-kind dividend with an aggregate amount equal to $94,934,400 on April 26, 2022; see Note 7 </w:t>
      </w:r>
      <w:r>
        <w:rPr>
          <w:rFonts w:ascii="Arial" w:cs="Arial" w:eastAsia="Arial" w:hAnsi="Arial"/>
          <w:sz w:val="17"/>
          <w:szCs w:val="17"/>
          <w:color w:val="222222"/>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Dividend Distribution</w:t>
      </w:r>
      <w:r>
        <w:rPr>
          <w:rFonts w:ascii="Arial" w:cs="Arial" w:eastAsia="Arial" w:hAnsi="Arial"/>
          <w:sz w:val="17"/>
          <w:szCs w:val="17"/>
          <w:color w:val="auto"/>
        </w:rPr>
        <w:t>. As of December 31, 2022, the other receivable was $0 and no longer reflected on the Company’s consolidated balance sheets. The loan accrued interest of $0 and $450,681 during the three months ended March 31, 2023 and 2022 respectively. The earned interest is reported in interest income – related parties in the Company’s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DIVIDEND DISTRIBUTION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April 26, 2022, the Company declared an in-kind dividend of $94,934,400 for the assignment of the due from shareholder and a cash dividend of $8,200,000 to pay the related withholding taxes; see Note 6 – </w:t>
      </w:r>
      <w:r>
        <w:rPr>
          <w:rFonts w:ascii="Arial" w:cs="Arial" w:eastAsia="Arial" w:hAnsi="Arial"/>
          <w:sz w:val="18"/>
          <w:szCs w:val="18"/>
          <w:i w:val="1"/>
          <w:iCs w:val="1"/>
          <w:color w:val="auto"/>
        </w:rPr>
        <w:t>Due from Shareholder.</w:t>
      </w:r>
      <w:r>
        <w:rPr>
          <w:rFonts w:ascii="Arial" w:cs="Arial" w:eastAsia="Arial" w:hAnsi="Arial"/>
          <w:sz w:val="18"/>
          <w:szCs w:val="18"/>
          <w:color w:val="auto"/>
        </w:rPr>
        <w:t xml:space="preserve"> There were no such distributions during the three months ended March 31, 2023 and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PREPAID EXPENSES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March 10, 2023, the Company amended its exclusive software license agreement with SDE relating to the </w:t>
      </w:r>
      <w:r>
        <w:rPr>
          <w:rFonts w:ascii="Arial" w:cs="Arial" w:eastAsia="Arial" w:hAnsi="Arial"/>
          <w:sz w:val="18"/>
          <w:szCs w:val="18"/>
          <w:i w:val="1"/>
          <w:iCs w:val="1"/>
          <w:color w:val="auto"/>
        </w:rPr>
        <w:t>ARK</w:t>
      </w:r>
      <w:r>
        <w:rPr>
          <w:rFonts w:ascii="Arial" w:cs="Arial" w:eastAsia="Arial" w:hAnsi="Arial"/>
          <w:sz w:val="18"/>
          <w:szCs w:val="18"/>
          <w:color w:val="auto"/>
        </w:rPr>
        <w:t xml:space="preserve"> franchise. For DLC’s, the Company plans to release during the term of the agreement, the Company will now have the option to pay the $5.0 million DLC payment in whole or in part, when paid in advance; or in full, upon the DLC release. No payment for any DLC under this agreement will exceed $5.0 million.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three months ended March 31, 2023, the Company prepaid $2,500,000 for exclusive license rights for an </w:t>
      </w:r>
      <w:r>
        <w:rPr>
          <w:rFonts w:ascii="Arial" w:cs="Arial" w:eastAsia="Arial" w:hAnsi="Arial"/>
          <w:sz w:val="18"/>
          <w:szCs w:val="18"/>
          <w:i w:val="1"/>
          <w:iCs w:val="1"/>
          <w:color w:val="auto"/>
        </w:rPr>
        <w:t>ARK 1</w:t>
      </w:r>
      <w:r>
        <w:rPr>
          <w:rFonts w:ascii="Arial" w:cs="Arial" w:eastAsia="Arial" w:hAnsi="Arial"/>
          <w:sz w:val="18"/>
          <w:szCs w:val="18"/>
          <w:color w:val="auto"/>
        </w:rPr>
        <w:t xml:space="preserve"> DLC to SDE. During the year ended December 31, 2022, the Company prepaid $5,000,000 for exclusive license rights to </w:t>
      </w:r>
      <w:r>
        <w:rPr>
          <w:rFonts w:ascii="Arial" w:cs="Arial" w:eastAsia="Arial" w:hAnsi="Arial"/>
          <w:sz w:val="18"/>
          <w:szCs w:val="18"/>
          <w:i w:val="1"/>
          <w:iCs w:val="1"/>
          <w:color w:val="auto"/>
        </w:rPr>
        <w:t>ARK 2</w:t>
      </w:r>
      <w:r>
        <w:rPr>
          <w:rFonts w:ascii="Arial" w:cs="Arial" w:eastAsia="Arial" w:hAnsi="Arial"/>
          <w:sz w:val="18"/>
          <w:szCs w:val="18"/>
          <w:color w:val="auto"/>
        </w:rPr>
        <w:t xml:space="preserve"> to SDE. Prepaid expenses — related party consisted of the following as of March 31, 2023 and 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582,500</w:t>
            </w:r>
          </w:p>
        </w:tc>
      </w:tr>
      <w:tr>
        <w:trPr>
          <w:trHeight w:val="216"/>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licenses</w:t>
            </w:r>
          </w:p>
        </w:tc>
        <w:tc>
          <w:tcPr>
            <w:tcW w:w="2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5,000,000</w:t>
            </w: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 related party, ending balance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5,582,500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Less: short-term portion</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(2,500,000)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 related party, long-term</w:t>
            </w: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5,582,500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5,582,500</w:t>
            </w:r>
          </w:p>
        </w:tc>
      </w:tr>
      <w:tr>
        <w:trPr>
          <w:trHeight w:val="20"/>
        </w:trPr>
        <w:tc>
          <w:tcPr>
            <w:tcW w:w="5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as of March 31, 2023 and December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1640" w:type="dxa"/>
            <w:vAlign w:val="bottom"/>
            <w:gridSpan w:val="4"/>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10,637,171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9,822,603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prepaids</w:t>
            </w: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80,271</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4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508,457</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662,267</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1640" w:type="dxa"/>
            <w:vAlign w:val="bottom"/>
            <w:gridSpan w:val="4"/>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11,197,381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10,565,141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NOTE 10 – PROPERTY, PLANT AND EQUIPMENT, NET</w:t>
            </w:r>
          </w:p>
        </w:tc>
        <w:tc>
          <w:tcPr>
            <w:tcW w:w="1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40" w:type="dxa"/>
            <w:vAlign w:val="bottom"/>
            <w:gridSpan w:val="8"/>
          </w:tcPr>
          <w:p>
            <w:pPr>
              <w:spacing w:after="0"/>
              <w:rPr>
                <w:sz w:val="20"/>
                <w:szCs w:val="20"/>
                <w:color w:val="auto"/>
              </w:rPr>
            </w:pPr>
            <w:r>
              <w:rPr>
                <w:rFonts w:ascii="Arial" w:cs="Arial" w:eastAsia="Arial" w:hAnsi="Arial"/>
                <w:sz w:val="18"/>
                <w:szCs w:val="18"/>
                <w:color w:val="auto"/>
              </w:rPr>
              <w:t>Property, plant and equipment, net consisted of the following as of March 31, 2023 and December 31, 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06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5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1,874,049</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Land</w:t>
            </w: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2,700,000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1,010,218</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1,537,775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1,537,775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Autos and trucks</w:t>
            </w: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178,695</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Computer and equipment</w:t>
            </w: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1,821,819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1,821,819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411,801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411,801</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9,534,357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9,534,357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(4,534,618)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(4,419,558)</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5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4,999,739</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5,114,799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Depreciation and amortization expense was $115,060 and $168,317 for the three months ended March 31, 2023 and 2022, respectively. The Company did not have any disposals during the three months ended March 31, 2023. During the three months ended March 31, 2022, the Company disposed of $11,615 in computer equipment with an accumulated depreciation of $9,182. The total loss resulting</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from the disposal of the assets amounted to $2,433. The Company’s subsidiary, Donkey Crew, LLC, held net property, plant and equipment outside of the United States in the amount of $9,751 and $13,569, as of March 31, 2023 and December 31, 2022,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INTANGIBLE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Intangible assets consist of game licenses, game software underlying intellectual property rights, game trademarks and other branding items. The Company amortizes the intangible assets over its useful life.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reflect all the intangible assets presented on the condensed consolidated balance sheets as of March 31,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600"/>
        <w:spacing w:after="0" w:line="289" w:lineRule="auto"/>
        <w:rPr>
          <w:sz w:val="20"/>
          <w:szCs w:val="20"/>
          <w:color w:val="auto"/>
        </w:rPr>
      </w:pPr>
      <w:r>
        <w:rPr>
          <w:rFonts w:ascii="Arial" w:cs="Arial" w:eastAsia="Arial" w:hAnsi="Arial"/>
          <w:sz w:val="18"/>
          <w:szCs w:val="18"/>
          <w:color w:val="auto"/>
        </w:rPr>
        <w:t>License rights from related parties License rights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In-progress patent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March 31,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6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118"/>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4"/>
                <w:szCs w:val="14"/>
                <w:b w:val="1"/>
                <w:bCs w:val="1"/>
                <w:color w:val="auto"/>
                <w:w w:val="98"/>
              </w:rPr>
              <w:t>Impairment</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center"/>
              <w:ind w:right="77"/>
              <w:spacing w:after="0"/>
              <w:rPr>
                <w:sz w:val="20"/>
                <w:szCs w:val="20"/>
                <w:color w:val="auto"/>
              </w:rPr>
            </w:pPr>
            <w:r>
              <w:rPr>
                <w:rFonts w:ascii="Arial" w:cs="Arial" w:eastAsia="Arial" w:hAnsi="Arial"/>
                <w:sz w:val="14"/>
                <w:szCs w:val="14"/>
                <w:b w:val="1"/>
                <w:bCs w:val="1"/>
                <w:color w:val="auto"/>
                <w:w w:val="94"/>
              </w:rPr>
              <w:t>Net Book</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136,665,000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(135,976,594)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688,406</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3 - 5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3,000,000</w:t>
            </w:r>
          </w:p>
        </w:tc>
        <w:tc>
          <w:tcPr>
            <w:tcW w:w="1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(3,000,000)</w:t>
            </w: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51,784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(51,784)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1,434</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270,886</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270,886</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333,415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272,320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8"/>
              </w:rPr>
              <w:t>Impairment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4"/>
              </w:rPr>
              <w:t>Net Book</w:t>
            </w:r>
          </w:p>
        </w:tc>
        <w:tc>
          <w:tcPr>
            <w:tcW w:w="2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18"/>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-1585595</wp:posOffset>
            </wp:positionV>
            <wp:extent cx="629221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5430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-1268095</wp:posOffset>
            </wp:positionV>
            <wp:extent cx="629221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5430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-976630</wp:posOffset>
            </wp:positionV>
            <wp:extent cx="629221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-693420</wp:posOffset>
            </wp:positionV>
            <wp:extent cx="629221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80" w:space="720"/>
            <w:col w:w="6120"/>
          </w:cols>
          <w:pgMar w:left="980" w:top="517" w:right="99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30"/>
        </w:trPr>
        <w:tc>
          <w:tcPr>
            <w:tcW w:w="38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License rights from related parties</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136,665,000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w w:val="92"/>
              </w:rPr>
              <w:t>(135,280,942)</w:t>
            </w:r>
          </w:p>
        </w:tc>
        <w:tc>
          <w:tcPr>
            <w:tcW w:w="46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1,384,058</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3 - 5 years</w:t>
            </w:r>
          </w:p>
        </w:tc>
      </w:tr>
      <w:tr>
        <w:trPr>
          <w:trHeight w:val="196"/>
        </w:trPr>
        <w:tc>
          <w:tcPr>
            <w:tcW w:w="38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License rights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3,000,000</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(3,000,000)</w:t>
            </w: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6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jc w:val="center"/>
              <w:spacing w:after="0" w:line="196" w:lineRule="exact"/>
              <w:rPr>
                <w:sz w:val="20"/>
                <w:szCs w:val="20"/>
                <w:color w:val="auto"/>
              </w:rPr>
            </w:pPr>
            <w:r>
              <w:rPr>
                <w:rFonts w:ascii="Arial" w:cs="Arial" w:eastAsia="Arial" w:hAnsi="Arial"/>
                <w:sz w:val="18"/>
                <w:szCs w:val="18"/>
                <w:color w:val="auto"/>
                <w:w w:val="84"/>
              </w:rPr>
              <w:t>5 years</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197"/>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Intangible assets - other: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Software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51,784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(51,784)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3 years</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 years</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In-progress patent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270,886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270,886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333,415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(60,894)</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272,521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was $695,853 and $2,001,203 for the three months ended March 31, 2023 and 2022, respectively. These amounts are included in cost of revenues in the accompanying condensed consolidated statements of operations and comprehensive income (loss). The weighted average remaining useful life for which amortization expense will be recognized is 0.8 years as of March 31, 2023. Future amortization expense of intangible assets is as follows:</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ending December 31,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Amount</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689,009</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270,886</w:t>
            </w: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960,726</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ACCOUNTS PAYABLE — RELATED PARTY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Accounts payable due to related party represents payables in the ordinary course of business primarily for purchases of game distribution licenses and also the royalties due to Suzhou Snail. As of March 31, 2023 and December 31, 2022, the Company had $19,540,783 and $19,918,259, respectively, as accounts payable due to Suzhou Snail. During the three months ended March 31, 2023 and 2022, the</w:t>
      </w:r>
    </w:p>
    <w:p>
      <w:pPr>
        <w:sectPr>
          <w:pgSz w:w="11900" w:h="16838" w:orient="portrait"/>
          <w:cols w:equalWidth="0" w:num="1">
            <w:col w:w="9920"/>
          </w:cols>
          <w:pgMar w:left="980" w:top="517" w:right="999" w:bottom="1440" w:gutter="0" w:footer="0" w:header="0"/>
          <w:type w:val="continuous"/>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incurred $72,524 and $126,460, respectively as license costs due to Suzhou Snail. During the three months ended March 31, 2023 and 2022, respectively, there were $450,000 and $444,263 in payments to Suzhou Snail for royalties.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LOAN AND INTEREST RECEIVABLE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2021, the Company lent $200,000 to a wholly owned subsidiary of Suzhou Snail, the loan bears 2.0% per annum interest, interest and principal are due in February 2022. In February 2022, Suzhou Snail signed an agreement with this subsidiary and assumed the loan and related interest for a total of $203,890. Subsequently, $103,890 was offset against the loan and interest payable owed to Suzhou Snail on a separate note. Please refer to Note 14 — </w:t>
      </w:r>
      <w:r>
        <w:rPr>
          <w:rFonts w:ascii="Arial" w:cs="Arial" w:eastAsia="Arial" w:hAnsi="Arial"/>
          <w:sz w:val="18"/>
          <w:szCs w:val="18"/>
          <w:i w:val="1"/>
          <w:iCs w:val="1"/>
          <w:color w:val="auto"/>
        </w:rPr>
        <w:t>Loan Payable and Interest Payable — Related Parties</w:t>
      </w:r>
      <w:r>
        <w:rPr>
          <w:rFonts w:ascii="Arial" w:cs="Arial" w:eastAsia="Arial" w:hAnsi="Arial"/>
          <w:sz w:val="18"/>
          <w:szCs w:val="18"/>
          <w:color w:val="auto"/>
        </w:rPr>
        <w:t>. The total amount of loan and interest receivable — related parties was $102,247 and $101,753, as of March 31, 2023 and December 31, 2022, respectively. The Company earned $493 and $247 in interest on the related party loans receivable during the three months ended March 31, 2023 and 2022,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LOAN PAYABLE AND INTEREST PAYABLE — RELATED PARTIES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had a loan amount due to related parties of $400,000 bearing 2.00% per annum interest. $300,000 of the loan is from a wholly owned subsidiary of Suzhou Snail and due in June 2022, and $100,000 is from Suzhou Snail and due in December 2023. The $100,000 loan along with $3,890 interest payable to Suzhou Snail was offset by the loan receivable Suzhou Snail assumed in February 2022. Please refer to Note 13 — </w:t>
      </w:r>
      <w:r>
        <w:rPr>
          <w:rFonts w:ascii="Arial" w:cs="Arial" w:eastAsia="Arial" w:hAnsi="Arial"/>
          <w:sz w:val="16"/>
          <w:szCs w:val="16"/>
          <w:i w:val="1"/>
          <w:iCs w:val="1"/>
          <w:color w:val="auto"/>
        </w:rPr>
        <w:t>Loan and Interest Receivable — Related Party</w:t>
      </w:r>
      <w:r>
        <w:rPr>
          <w:rFonts w:ascii="Arial" w:cs="Arial" w:eastAsia="Arial" w:hAnsi="Arial"/>
          <w:sz w:val="16"/>
          <w:szCs w:val="16"/>
          <w:color w:val="auto"/>
        </w:rPr>
        <w:t>. In July 2022, the Company paid off the outstanding principal balance of $300,000. As of March 31, 2023 and December 31, 2022, the total loan payable — related parties amounted to $0 and total unpaid interest amounted to $527,770, as of March 31, 2023 and December 31, 2022. Interest expenses for the loans payable to related parties were $0 and $1,726 during the three months ended March 31, 2023 and 2022, respectively.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REVOLVING LOAN, SHORT TERM NOTE AND LONG - TERM DEBT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5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8"/>
              </w:rPr>
              <w:t xml:space="preserve">2021 Revolving Loan </w:t>
            </w:r>
            <w:r>
              <w:rPr>
                <w:rFonts w:ascii="Arial" w:cs="Arial" w:eastAsia="Arial" w:hAnsi="Arial"/>
                <w:sz w:val="18"/>
                <w:szCs w:val="18"/>
                <w:color w:val="auto"/>
                <w:w w:val="98"/>
              </w:rPr>
              <w:t>- On June 17, 2021, the Company amended its revolving loan agreement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(“amended revolver”) and increased the maximum balance to $9,000,000. The amended revolver</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matures on December 31, 2023 and has an annual interest rate equal to the prime rate less 0.25%.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 March 31, 2023, the interest rate on this loan was 7.75%. The revolver is secured by the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certificate of deposit accounts held with the financial institution, and reported as restricted cash, in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 amount of $5,267,819 and $5,262,627 as of March 31, 2023, and December 31, 2022,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respectively. Debt covenants of this loan require the Company to maintain a minimum debt service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coverage ratio of at least 1.5 to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tcPr>
          <w:p>
            <w:pPr>
              <w:spacing w:after="0" w:line="201" w:lineRule="exact"/>
              <w:rPr>
                <w:sz w:val="20"/>
                <w:szCs w:val="20"/>
                <w:color w:val="auto"/>
              </w:rPr>
            </w:pPr>
            <w:r>
              <w:rPr>
                <w:rFonts w:ascii="Arial" w:cs="Arial" w:eastAsia="Arial" w:hAnsi="Arial"/>
                <w:sz w:val="18"/>
                <w:szCs w:val="18"/>
                <w:b w:val="1"/>
                <w:bCs w:val="1"/>
                <w:color w:val="auto"/>
                <w:w w:val="93"/>
              </w:rPr>
              <w:t xml:space="preserve">2021 Promissory Note </w:t>
            </w:r>
            <w:r>
              <w:rPr>
                <w:rFonts w:ascii="Arial" w:cs="Arial" w:eastAsia="Arial" w:hAnsi="Arial"/>
                <w:sz w:val="18"/>
                <w:szCs w:val="18"/>
                <w:color w:val="auto"/>
                <w:w w:val="93"/>
              </w:rPr>
              <w:t>- On June 17, 2021, the Company amended its loan agreement to reduce the</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7"/>
              </w:rPr>
              <w:t>principal amount with financial institution for 10 years, annual interest rate of 3.5% for the first 5</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6"/>
              </w:rPr>
              <w:t>years, and then floating at Wall Street Journal rate from years 6 to 10, the loan is secured by the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6"/>
              </w:rPr>
              <w:t>Company’s building and matures on June 30, 2031. The note is subject to a prepayment penalty.</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7"/>
              </w:rPr>
              <w:t>Debt covenants of this loan require the Company to maintain a minimum debt service coverage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ratio of at least 1.5 to 1.</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2,865,317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2,891,820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 xml:space="preserve">2022 Short Term Note </w:t>
            </w:r>
            <w:r>
              <w:rPr>
                <w:rFonts w:ascii="Arial" w:cs="Arial" w:eastAsia="Arial" w:hAnsi="Arial"/>
                <w:sz w:val="18"/>
                <w:szCs w:val="18"/>
                <w:color w:val="auto"/>
                <w:w w:val="95"/>
              </w:rPr>
              <w:t>- On January 26, 2022, the Company amended its revolving loan and long-</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term debt agreements to obtain an additional note with a principal balance of $10,000,000 which</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was originally set to mature on January 26, 2023. Interest shall be equal to the higher of 3.75% or</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the Wall Street Journal Prime Rate plus 0.50%. The loan is secured by the Company’s assets. In the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event of a default, all outstanding amounts under the note will bear interest at a default rate equal to</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5% over the note rate. Debt covenants of this loan require the Company to maintain a minimum</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debt service coverage ratio of at least 1.5 to 1 and will be measured quarterly. In November 2022,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the maturity was extended to January 26, 2024 and the interest rate amended to the higher of the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Wall Street Journal Prime Rate plus 0.25%, or 5.75%. At March 31, 2023, the interest rate on this</w:t>
            </w: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4,166,667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5,833,333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loan was 7.75%.</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16,031,984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17,725,153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Less: revolving loan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9,000,000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short term note</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4,166,667</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5,416,666</w:t>
            </w:r>
          </w:p>
        </w:tc>
        <w:tc>
          <w:tcPr>
            <w:tcW w:w="0" w:type="dxa"/>
            <w:vAlign w:val="bottom"/>
          </w:tcPr>
          <w:p>
            <w:pPr>
              <w:spacing w:after="0"/>
              <w:rPr>
                <w:sz w:val="1"/>
                <w:szCs w:val="1"/>
                <w:color w:val="auto"/>
              </w:rPr>
            </w:pPr>
          </w:p>
        </w:tc>
      </w:tr>
      <w:tr>
        <w:trPr>
          <w:trHeight w:val="210"/>
        </w:trPr>
        <w:tc>
          <w:tcPr>
            <w:tcW w:w="756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2,784,749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3,221,963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interest expense for above debt and revolver loan amounted to $294,245 and $166,055 for the three months ended March 31, 2023 and 2022, respectively. Amortization of loan origination expenses of $8,911 and $5,966 are included as part of interest expense for the three months ended March 31, 2023 and 2022, respectively. The Company is in compliance with, or received waivers for, its debt covenants as of March 31, 2023 and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future minimum payments of its long-term debt as of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00" w:type="dxa"/>
            <w:vAlign w:val="bottom"/>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3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12,810,021</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2024</w:t>
            </w: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499,414</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86,013</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2026</w:t>
            </w: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89,115</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Thereafter</w:t>
            </w: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2,455,092</w:t>
            </w:r>
          </w:p>
        </w:tc>
        <w:tc>
          <w:tcPr>
            <w:tcW w:w="980" w:type="dxa"/>
            <w:vAlign w:val="bottom"/>
          </w:tcPr>
          <w:p>
            <w:pPr>
              <w:spacing w:after="0"/>
              <w:rPr>
                <w:sz w:val="18"/>
                <w:szCs w:val="18"/>
                <w:color w:val="auto"/>
              </w:rPr>
            </w:pPr>
          </w:p>
        </w:tc>
      </w:tr>
      <w:tr>
        <w:trPr>
          <w:trHeight w:val="250"/>
        </w:trPr>
        <w:tc>
          <w:tcPr>
            <w:tcW w:w="1000" w:type="dxa"/>
            <w:vAlign w:val="bottom"/>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16,031,984</w:t>
            </w:r>
          </w:p>
        </w:tc>
        <w:tc>
          <w:tcPr>
            <w:tcW w:w="980" w:type="dxa"/>
            <w:vAlign w:val="bottom"/>
          </w:tcPr>
          <w:p>
            <w:pPr>
              <w:spacing w:after="0"/>
              <w:rPr>
                <w:sz w:val="21"/>
                <w:szCs w:val="21"/>
                <w:color w:val="auto"/>
              </w:rPr>
            </w:pPr>
          </w:p>
        </w:tc>
      </w:tr>
      <w:tr>
        <w:trPr>
          <w:trHeight w:val="858"/>
        </w:trPr>
        <w:tc>
          <w:tcPr>
            <w:tcW w:w="1000" w:type="dxa"/>
            <w:vAlign w:val="bottom"/>
          </w:tcPr>
          <w:p>
            <w:pPr>
              <w:spacing w:after="0"/>
              <w:rPr>
                <w:sz w:val="24"/>
                <w:szCs w:val="24"/>
                <w:color w:val="auto"/>
              </w:rPr>
            </w:pPr>
          </w:p>
        </w:tc>
        <w:tc>
          <w:tcPr>
            <w:tcW w:w="2740" w:type="dxa"/>
            <w:vAlign w:val="bottom"/>
            <w:tcBorders>
              <w:top w:val="single" w:sz="8" w:color="CCEEFF"/>
            </w:tcBorders>
          </w:tcPr>
          <w:p>
            <w:pPr>
              <w:spacing w:after="0"/>
              <w:rPr>
                <w:sz w:val="24"/>
                <w:szCs w:val="24"/>
                <w:color w:val="auto"/>
              </w:rPr>
            </w:pPr>
          </w:p>
        </w:tc>
        <w:tc>
          <w:tcPr>
            <w:tcW w:w="4160" w:type="dxa"/>
            <w:vAlign w:val="bottom"/>
            <w:tcBorders>
              <w:top w:val="single" w:sz="8" w:color="CCEEFF"/>
            </w:tcBorders>
            <w:gridSpan w:val="2"/>
          </w:tcPr>
          <w:p>
            <w:pPr>
              <w:ind w:left="1060"/>
              <w:spacing w:after="0"/>
              <w:rPr>
                <w:sz w:val="20"/>
                <w:szCs w:val="20"/>
                <w:color w:val="auto"/>
              </w:rPr>
            </w:pPr>
            <w:r>
              <w:rPr>
                <w:rFonts w:ascii="Arial" w:cs="Arial" w:eastAsia="Arial" w:hAnsi="Arial"/>
                <w:sz w:val="18"/>
                <w:szCs w:val="18"/>
                <w:color w:val="auto"/>
              </w:rPr>
              <w:t>F-22</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an income tax benefit of $805,818 and an income tax expense of $1,529,651 for the three months ended March 31, 2023 and 2022, respectively. As of March 31, 2023 and 2022, the Company’s effective tax rate did not differ from the federal statutory rate of 21%</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assessed all positive and negative evidence of whether sufficient future taxable income will be generated to realize the deferred tax assets, including the level of historical taxable income and projections of future taxable income over the periods during which the deferred tax assets are deductible. The Company has a history of significant book income and taxable income for the three most recent years – with a three-year cumulative pre-tax book income of $49.2 million and three-year cumulative taxable income of $71.7 million. Therefore management believes it is more likely than not that the Company will realize the benefits of these deductible differences.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its subsidiaries currently file tax returns in the United States (federal and state) and Poland. The statute of limitations for its consolidated federal income tax returns are open for tax years ended December 31, 2019 and after. The statute of limitations for its consolidated state income tax returns are open for tax years ended December 31, 2018 and after. All tax periods for its Polish subsidiary are currently subject to examination since its inception in 2018. While the Company has historically only filed a state tax return in California, the management has accrued income tax liabilities for additional states as of March 31, 2023 and December 31, 2022, respectively and is also undergoing the Voluntary Disclosure Agreement process in additional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OPERATING LEASE RIGHT-OF-USE ASSETS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$1,075,000 to lease office space. The standby letter of credit was valid for a one-year term and was amended in January 2021 to extend to January 31, 2026. As of March 31, 2023 and December 31, 2022, the Company’s net operating lease right-of-use assets amounted to $3,321,332 and $3,606,398, respectively. The Company had variable lease payments of approximately $24,510 and $18,333 during the three months ended March 31, 2023 and 2022, respectively; which consisted primarily of common area maintenance charges and administrative fees. Operating lease costs for the three months ended March 31, 2023 and 2022 are as follows:</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5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391,860</w:t>
            </w: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 term lease costs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lease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397,562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391,860</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Supplemental information related to operating leases is as follows for lease liabilities as of March 31, 2023 and December 31, 2022: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385,254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378,010</w:t>
            </w:r>
          </w:p>
        </w:tc>
        <w:tc>
          <w:tcPr>
            <w:tcW w:w="2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2.7 years</w:t>
            </w:r>
          </w:p>
        </w:tc>
        <w:tc>
          <w:tcPr>
            <w:tcW w:w="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2.9 years</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5.00 %</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Future undiscounted lease payments for operating leases and a reconciliation of these payments to our operating lease liabilities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Years ending December 31,</w:t>
            </w:r>
          </w:p>
        </w:tc>
        <w:tc>
          <w:tcPr>
            <w:tcW w:w="1920" w:type="dxa"/>
            <w:vAlign w:val="bottom"/>
          </w:tcPr>
          <w:p>
            <w:pPr>
              <w:spacing w:after="0"/>
              <w:rPr>
                <w:sz w:val="14"/>
                <w:szCs w:val="14"/>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Future lease payments</w:t>
            </w:r>
          </w:p>
        </w:tc>
        <w:tc>
          <w:tcPr>
            <w:tcW w:w="14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Imputed Interest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Lease Liabilities</w:t>
            </w:r>
          </w:p>
        </w:tc>
        <w:tc>
          <w:tcPr>
            <w:tcW w:w="0" w:type="dxa"/>
            <w:vAlign w:val="bottom"/>
          </w:tcPr>
          <w:p>
            <w:pPr>
              <w:spacing w:after="0"/>
              <w:rPr>
                <w:sz w:val="1"/>
                <w:szCs w:val="1"/>
                <w:color w:val="auto"/>
              </w:rPr>
            </w:pPr>
          </w:p>
        </w:tc>
      </w:tr>
      <w:tr>
        <w:trPr>
          <w:trHeight w:val="142"/>
        </w:trPr>
        <w:tc>
          <w:tcPr>
            <w:tcW w:w="3900" w:type="dxa"/>
            <w:vAlign w:val="bottom"/>
            <w:tcBorders>
              <w:bottom w:val="single" w:sz="8" w:color="CCEEFF"/>
            </w:tcBorders>
            <w:vMerge w:val="continue"/>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i w:val="1"/>
                <w:iCs w:val="1"/>
                <w:color w:val="auto"/>
                <w:w w:val="98"/>
              </w:rPr>
              <w:t>Amount</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1,036,751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2024</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1,610,844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105,810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1,505,034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1,453,785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1,425,495</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9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1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4,228,265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260,985</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concerns a videogame titled </w:t>
      </w:r>
      <w:r>
        <w:rPr>
          <w:rFonts w:ascii="Arial" w:cs="Arial" w:eastAsia="Arial" w:hAnsi="Arial"/>
          <w:sz w:val="16"/>
          <w:szCs w:val="16"/>
          <w:i w:val="1"/>
          <w:iCs w:val="1"/>
          <w:color w:val="auto"/>
        </w:rPr>
        <w:t>Myth of Empires</w:t>
      </w:r>
      <w:r>
        <w:rPr>
          <w:rFonts w:ascii="Arial" w:cs="Arial" w:eastAsia="Arial" w:hAnsi="Arial"/>
          <w:sz w:val="16"/>
          <w:szCs w:val="16"/>
          <w:color w:val="auto"/>
        </w:rPr>
        <w:t xml:space="preserve">, which was developed by Suzhou Angela Online Game Technology Co., Ltd. (“Angela Game”) and published by Imperium Interactive Entertainment Limited (“Imperium”). The DCMA Takedown Notice alleges that Angela Game and Imperium misappropriated the copyrighted source code of </w:t>
      </w:r>
      <w:r>
        <w:rPr>
          <w:rFonts w:ascii="Arial" w:cs="Arial" w:eastAsia="Arial" w:hAnsi="Arial"/>
          <w:sz w:val="16"/>
          <w:szCs w:val="16"/>
          <w:i w:val="1"/>
          <w:iCs w:val="1"/>
          <w:color w:val="auto"/>
        </w:rPr>
        <w:t>ARK: Survival Evolved</w:t>
      </w:r>
      <w:r>
        <w:rPr>
          <w:rFonts w:ascii="Arial" w:cs="Arial" w:eastAsia="Arial" w:hAnsi="Arial"/>
          <w:sz w:val="16"/>
          <w:szCs w:val="16"/>
          <w:color w:val="auto"/>
        </w:rPr>
        <w:t xml:space="preserve"> and used it to develop the game </w:t>
      </w:r>
      <w:r>
        <w:rPr>
          <w:rFonts w:ascii="Arial" w:cs="Arial" w:eastAsia="Arial" w:hAnsi="Arial"/>
          <w:sz w:val="16"/>
          <w:szCs w:val="16"/>
          <w:i w:val="1"/>
          <w:iCs w:val="1"/>
          <w:color w:val="auto"/>
        </w:rPr>
        <w:t>Myth of Empires</w:t>
      </w:r>
      <w:r>
        <w:rPr>
          <w:rFonts w:ascii="Arial" w:cs="Arial" w:eastAsia="Arial" w:hAnsi="Arial"/>
          <w:sz w:val="16"/>
          <w:szCs w:val="16"/>
          <w:color w:val="auto"/>
        </w:rPr>
        <w:t xml:space="preserve">. The DCMA Takedown Notice requested that Steam cease distributing </w:t>
      </w:r>
      <w:r>
        <w:rPr>
          <w:rFonts w:ascii="Arial" w:cs="Arial" w:eastAsia="Arial" w:hAnsi="Arial"/>
          <w:sz w:val="16"/>
          <w:szCs w:val="16"/>
          <w:i w:val="1"/>
          <w:iCs w:val="1"/>
          <w:color w:val="auto"/>
        </w:rPr>
        <w:t>Myth of Empires</w:t>
      </w:r>
      <w:r>
        <w:rPr>
          <w:rFonts w:ascii="Arial" w:cs="Arial" w:eastAsia="Arial" w:hAnsi="Arial"/>
          <w:sz w:val="16"/>
          <w:szCs w:val="16"/>
          <w:color w:val="auto"/>
        </w:rPr>
        <w:t xml:space="preserve"> and remove the game from the Steam platform. Steam complied with the DCMA Takedown Notice and removed </w:t>
      </w:r>
      <w:r>
        <w:rPr>
          <w:rFonts w:ascii="Arial" w:cs="Arial" w:eastAsia="Arial" w:hAnsi="Arial"/>
          <w:sz w:val="16"/>
          <w:szCs w:val="16"/>
          <w:i w:val="1"/>
          <w:iCs w:val="1"/>
          <w:color w:val="auto"/>
        </w:rPr>
        <w:t>Myth of Empires</w:t>
      </w:r>
      <w:r>
        <w:rPr>
          <w:rFonts w:ascii="Arial" w:cs="Arial" w:eastAsia="Arial" w:hAnsi="Arial"/>
          <w:sz w:val="16"/>
          <w:szCs w:val="16"/>
          <w:color w:val="auto"/>
        </w:rPr>
        <w:t xml:space="preserve"> from its platform. The DCMA Takedown Notice was also sent to Tencent Cloud LLC (“Tencent”), which hosts the United States servers for users who downloaded the game before it was removed from Steam, but Tencent has not complied with the DCMA Takedown Notice.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December 9, 2021, Angela Game and Imperium filed a complaint against the Company and Studio Wildcard in the United States District Court for the Central District of California (the “District Court”) in response to the DCMA Takedown Notice. The lawsuit seeks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once again reinstate </w:t>
      </w:r>
      <w:r>
        <w:rPr>
          <w:rFonts w:ascii="Arial" w:cs="Arial" w:eastAsia="Arial" w:hAnsi="Arial"/>
          <w:sz w:val="17"/>
          <w:szCs w:val="17"/>
          <w:i w:val="1"/>
          <w:iCs w:val="1"/>
          <w:color w:val="auto"/>
        </w:rPr>
        <w:t>Myth of Empires</w:t>
      </w:r>
      <w:r>
        <w:rPr>
          <w:rFonts w:ascii="Arial" w:cs="Arial" w:eastAsia="Arial" w:hAnsi="Arial"/>
          <w:sz w:val="17"/>
          <w:szCs w:val="17"/>
          <w:color w:val="auto"/>
        </w:rPr>
        <w:t xml:space="preserve">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Arial" w:cs="Arial" w:eastAsia="Arial" w:hAnsi="Arial"/>
          <w:sz w:val="17"/>
          <w:szCs w:val="17"/>
          <w:i w:val="1"/>
          <w:iCs w:val="1"/>
          <w:color w:val="auto"/>
        </w:rPr>
        <w:t>ARK: Survival Evolved</w:t>
      </w:r>
      <w:r>
        <w:rPr>
          <w:rFonts w:ascii="Arial" w:cs="Arial" w:eastAsia="Arial" w:hAnsi="Arial"/>
          <w:sz w:val="17"/>
          <w:szCs w:val="17"/>
          <w:color w:val="auto"/>
        </w:rPr>
        <w:t xml:space="preserve"> source code. On December 23, 2021 the court denied the application for a temporary restraining order and issued an order to show cause as to why a preliminary injunction should not be issued. On January 31, 2022, a hearing was held on the order to show cause, and the court issued an order denying the preliminary injunction.</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3, 2022, Angela Game and Imperium appealed the order to the Ninth Circuit Court of Appeals (“Ninth Circuit”), claiming that the District Court judge abused her discretion in denying the injunction. On October 6, 2022, the Ninth Circuit issued an order affirming the District Court’s denial of the injunction.</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Meanwhile, the District Court has appointed a neutral expert to compare the parties’ computer code and issue a report about the extent of similarities. The parties also retained their own experts to compare the code. The expert served his report and in it detailed the basis for his conclusion that Angela copied substantial portions of the </w:t>
      </w:r>
      <w:r>
        <w:rPr>
          <w:rFonts w:ascii="Arial" w:cs="Arial" w:eastAsia="Arial" w:hAnsi="Arial"/>
          <w:sz w:val="16"/>
          <w:szCs w:val="16"/>
          <w:i w:val="1"/>
          <w:iCs w:val="1"/>
          <w:color w:val="auto"/>
        </w:rPr>
        <w:t>ARK: Survival Evolved</w:t>
      </w:r>
      <w:r>
        <w:rPr>
          <w:rFonts w:ascii="Arial" w:cs="Arial" w:eastAsia="Arial" w:hAnsi="Arial"/>
          <w:sz w:val="16"/>
          <w:szCs w:val="16"/>
          <w:color w:val="auto"/>
        </w:rPr>
        <w:t xml:space="preserve"> source code and made extensive efforts to hide its copying. Angela Game moved the District Court to strike the expert reports. The hearing occurred on February 27, 2023 and the District Court denied Angela Game’s motion to strike the expert reports. Also on that date, the District Court heard the Company’s motion to require that Angela Game file a $3.0 million bond to support an award of costs and fees if the Company prevails on Angela Game’s claims. The District Court granted the Company’s motion for a bond and ordered Angela Game to post a bond in the amount of $750,000.</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9, 2023, both parties are in the midst of fact discovery, and anticipate beginning the exchange of electronically stored information in the near future. Fact discovery is expected to end around June 2023 and the District Court has set a January 2024 trial date.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the Company is unable to quantify the magnitude of the potential loss should the plaintiffs’ lawsuit succeed.</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14, 2023, Bel Air Soto, LLC (“Plaintiff”) filed suit in the Superior Court of California, County of Los Angeles, against Snail Games USA Inc. and INDIEV, Inc. (“INDIEV”), an affiliate company that is owned by Mr. Hai Shi, the Company’s Founder,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$3 million. Snail Games USA Inc. disputes the allegations and the amount of damages. Snail Games USA Inc. has not yet responded to the complaint or otherwise appeared in the action, but does intend to vigorously defend against the claims asserted.</w:t>
      </w:r>
    </w:p>
    <w:p>
      <w:pPr>
        <w:sectPr>
          <w:pgSz w:w="11900" w:h="16838" w:orient="portrait"/>
          <w:cols w:equalWidth="0" w:num="1">
            <w:col w:w="9920"/>
          </w:cols>
          <w:pgMar w:left="980" w:top="517"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the Company is unable to quantify the magnitude of the potential loss should the plaintiffs’ lawsuit succeed.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(LOSS) PER SHARE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uses the two class method to compute its basic earnings (loss) per share (“Basic EPS”) and diluted earnings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income (loss) divided by the weighted-average number of common shares outstanding for the period. Diluted EPS reflects the potential dilution that could occur from common shares issuable through stock-based compensation plans including restricted stock units using the treasury stock method. The restricted stock units were excluded from the treasury stock method computation of diluted shares as their inclusion would have had an antidilutive effect for the three months ended March 31, 2023. There were no such exclusions made in the 2022 calculation. For the three months ended March 31, 2022, the Company has used the number of shares transferred in the reorganization transaction for the denominator in the EPS calculation. The following table provides a reconciliation of the weighted average number of shares used in the calculation of basic and diluted EPS.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Net income (loss) attributable to Class A common stockholders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(642,340)</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5,811,057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(loss) attributable to Class B common stockholders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(2,329,038)</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Total net income (loss) attributable to Snail Inc and Snail Games USA Inc.</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(2,971,378)</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5,811,057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Class A weighted average shares outstanding - basic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7,928,742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Class B weighted average shares outstanding - basic</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28,748,580</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Class A and B basic earnings per share</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Net income (loss) attributable to Class A common stockholders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(642,340)</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5,811,057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0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Net income (loss) attributable to Class B common stockholders</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(2,329,038)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Class A weighted average shares outstanding - basic</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7,928,742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w w:val="93"/>
              </w:rPr>
              <w:t>35,000,000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Dilutive effects of common stock equivalents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Class A weighted average shares outstanding - diluted</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7,928,742</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Class B weighted average shares outstanding - basic</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28,748,580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Dilutive effects of common stock equivalents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Class B weighted average shares outstanding - diluted</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28,748,580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Diluted earnings (loss) per Class A and B share</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EQUITY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authorized 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one vote. Each share of Class B common stock will be entitled to ten votes and will be convertible into one share of Class A common stock automatically upon transfer, subject to certain exceptions. Holders of Class A common stock and Class B common stock will vote together as a single class on all matters unless otherwise required by law.</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November 9, 2022, in connection with the IPO, the Company entered into an underwriting agreement (the “Underwriting Agreement” with the underwriters (the “Underwriters”), pursuant to which the Company agreed to issue and sell 3,000,000 shares of Class A common stock (the “Firm Shares”) at a purchase price of $4.675 per share to the Underwriters and granted the Underwriters an option (the “Over-Allotment Option”) to purchase up to 450,000 additional shares of Class A common stock (the “Option Shares”) at a purchase price of</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$4.675 per share. The Underwriters may exercise the Over-Allotment Option at any time in whole, or from time to time in part, on or before the forty-fifth day following the effectiveness of the IPO. The Over-Allotment Option was not exercised by the Underwriters prior to its expiration.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Underwriting Agreement, on November 9, 2022, the Company also issued to the Underwriters warrants to purchase such number of shares of the Company’s Class A common stock in an amount equal to four percent of the total number of shares of Class A common stock sold in the IPO, or 120,000 shares of Class A common stock (the “Underwriters Warrants”). The Underwriters Warrants may be exercised at a price per share equal to 125% of the IPO price, or $6.25 per share. The Underwriters Warrants are exercisable, in whole or in part, commencing on November 9, 2022, and expiring on the three-year anniversary thereof. The Underwriters Warrants have not been exercised as of the filing of this Quarterly Report.</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Underwriters Warrants and Over-Allotment Option are legally detachable and separately exercisable from each other and from the Firm Shares; therefore, they meet the definition of freestanding and are not considered embedded in the Firm Shares.</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Underwriters Warrants are considered indexed to the Company’s own stock. Additionally, the Company concludes that the Underwriters Warrants meet all requirements for equity classification. Because the Underwriters Warrants are issued to the Underwriters for their services and can be exercised immediately (subject to certain transfer conditions) they will be measured at their fair value on their date of issuance and recorded within stockholders’ equity. As long as the Underwriters Warrants remain classified as equity, they shall not be revalued. The fair value of the Underwriters Warrants was determined using the Black-Scholes model. The key assumptions used in the valuation were a average expected volatility of 53%, discount rate of 4.49% and remaining term of 3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allocates all the issuance costs to the firm shares as a reduction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Vesting for restricted stock units granted to directors vest based on the directors’ continued employment with us through each applicable vest date, which is generally over one year. If the vesting conditions are not met, unvested restricted stock units will be forfeited. The following table summarizes our restricted stock units activity with directors for the three months ended March 31, 2023. There were no activities during the three months ended March 31, 2022.</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0"/>
              </w:rPr>
              <w:t>Restricted Stock</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Weighted-Average</w:t>
            </w:r>
          </w:p>
        </w:tc>
      </w:tr>
      <w:tr>
        <w:trPr>
          <w:trHeight w:val="171"/>
        </w:trPr>
        <w:tc>
          <w:tcPr>
            <w:tcW w:w="5220" w:type="dxa"/>
            <w:vAlign w:val="bottom"/>
          </w:tcPr>
          <w:p>
            <w:pPr>
              <w:spacing w:after="0"/>
              <w:rPr>
                <w:sz w:val="14"/>
                <w:szCs w:val="14"/>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4"/>
                <w:szCs w:val="1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Grant-Date Fair Values</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0"/>
        </w:trPr>
        <w:tc>
          <w:tcPr>
            <w:tcW w:w="5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grant date fair value of restricted stock units granted to directors is based on the quoted market price of our common stock on the date of grant.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restricted stock units granted to employees vest upon the achievement of pre-determined performance-based milestones as well as service conditions. The pre-determined performance-based milestones are based on specified percentages of the restricted stock units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performance-based restricted stock units will not vest, in which case any compensation expense the Company has recognized to date will be reversed. Generally, the total aggregate measurement period of our performance-based restricted stock units is 5 years, with awards cliff-vesting after each annual measurement period during the total aggregate measurement period.</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quarter, the Company updates our assessment of the probability that the performance milestones will be achieved. The Company amortizes the fair values of performance-based restricted stock units over the requisite service period. Each performance-based milestone is weighted evenly and the number of shares that vest based on each performance-based milestone is independent from the other.</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our restricted stock unit activity with employees, presented with the maximum number of shares that could potentially vest, for the three months ended March 31, 2023. There were no activities during the three months ended March 31, 2022.</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Restricted Stock</w:t>
            </w:r>
          </w:p>
        </w:tc>
        <w:tc>
          <w:tcPr>
            <w:tcW w:w="140" w:type="dxa"/>
            <w:vAlign w:val="bottom"/>
          </w:tcPr>
          <w:p>
            <w:pPr>
              <w:spacing w:after="0"/>
              <w:rPr>
                <w:sz w:val="14"/>
                <w:szCs w:val="14"/>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Weighted-Average</w:t>
            </w:r>
          </w:p>
        </w:tc>
      </w:tr>
      <w:tr>
        <w:trPr>
          <w:trHeight w:val="171"/>
        </w:trPr>
        <w:tc>
          <w:tcPr>
            <w:tcW w:w="522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Grant-Date Fair Values</w:t>
            </w: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1,197,552</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(2,218)</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49"/>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March 31,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1,195,334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grant date fair value of restricted stock units granted to employees is based on the quoted market price of our common stock on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share repurchases settled in the three months ended March 31, 2023 were open market transactions. As of March 31,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Stock-based compensation expense resulting from restricted stock units and performance-based restricted stock units of $152,595 and $0 are recorded under General and Administrative expenses included in our condensed consolidated statements of operations and comprehensive income (loss) for the three months ended March 31, 2023 and 2022,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2023 and 2022, the Company recognized approximately $32,045 and $0 respectively, of deferred income tax benefit related to our stock-based compensation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our total unrecognized compensation cost related to restricted stock units was approximately $1.8 million and is expected to be recognized over a weighted-average service period of 3.1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2023, Snail Games USA Inc. entered into an indemnity and reimbursement agreement with INDIEV pursuant to which INDIEV agreed to assume all obligations and liabilities pursuant to the lease with Bel Air Soto, LLC and indemnify and reimburse Snail Games USA Inc. for any amounts, damages, expenses, costs or other liability incurred by it arising under or pursuant to the lease or relating to the premises. See Note 18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in conjunction with our unaudited condensed consolidated financial statements and the related notes included elsewhere in this Quarterly Report on Form 10-Q (the “Quarterly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Quarterly Report, particularly under “Risk Factors,” in Part II, Item 1A of this Quarterly Report, and the “Cautionary Statement Regarding Forward-Looking Statements” section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Arial" w:cs="Arial" w:eastAsia="Arial" w:hAnsi="Arial"/>
          <w:sz w:val="16"/>
          <w:szCs w:val="16"/>
          <w:i w:val="1"/>
          <w:iCs w:val="1"/>
          <w:color w:val="auto"/>
        </w:rPr>
        <w:t>ARK: Survival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Evolved </w:t>
      </w:r>
      <w:r>
        <w:rPr>
          <w:rFonts w:ascii="Arial" w:cs="Arial" w:eastAsia="Arial" w:hAnsi="Arial"/>
          <w:sz w:val="16"/>
          <w:szCs w:val="16"/>
          <w:color w:val="auto"/>
        </w:rPr>
        <w:t>has been a top-25 selling game on the Steam platform by gross revenue in each year we released an</w:t>
      </w:r>
      <w:r>
        <w:rPr>
          <w:rFonts w:ascii="Arial" w:cs="Arial" w:eastAsia="Arial" w:hAnsi="Arial"/>
          <w:sz w:val="16"/>
          <w:szCs w:val="16"/>
          <w:i w:val="1"/>
          <w:iCs w:val="1"/>
          <w:color w:val="auto"/>
        </w:rPr>
        <w:t xml:space="preserve"> ARK </w:t>
      </w:r>
      <w:r>
        <w:rPr>
          <w:rFonts w:ascii="Arial" w:cs="Arial" w:eastAsia="Arial" w:hAnsi="Arial"/>
          <w:sz w:val="16"/>
          <w:szCs w:val="16"/>
          <w:color w:val="auto"/>
        </w:rPr>
        <w:t>DLC. Our expertise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Arial" w:cs="Arial" w:eastAsia="Arial" w:hAnsi="Arial"/>
          <w:sz w:val="16"/>
          <w:szCs w:val="16"/>
          <w:i w:val="1"/>
          <w:iCs w:val="1"/>
          <w:color w:val="auto"/>
        </w:rPr>
        <w:t>ARK: Survival Evolved</w:t>
      </w:r>
      <w:r>
        <w:rPr>
          <w:rFonts w:ascii="Arial" w:cs="Arial" w:eastAsia="Arial" w:hAnsi="Arial"/>
          <w:sz w:val="16"/>
          <w:szCs w:val="16"/>
          <w:color w:val="auto"/>
        </w:rPr>
        <w:t xml:space="preserve">, is a leader within the sandbox survival genre with 86.3 million console and PC installs through March 31, 2023. See “— Key Performance Metrics and Non-GAAP Measures.” In the three months ended March 31, 2023, </w:t>
      </w:r>
      <w:r>
        <w:rPr>
          <w:rFonts w:ascii="Arial" w:cs="Arial" w:eastAsia="Arial" w:hAnsi="Arial"/>
          <w:sz w:val="16"/>
          <w:szCs w:val="16"/>
          <w:i w:val="1"/>
          <w:iCs w:val="1"/>
          <w:color w:val="auto"/>
        </w:rPr>
        <w:t>ARK: Survival Evolved</w:t>
      </w:r>
      <w:r>
        <w:rPr>
          <w:rFonts w:ascii="Arial" w:cs="Arial" w:eastAsia="Arial" w:hAnsi="Arial"/>
          <w:sz w:val="16"/>
          <w:szCs w:val="16"/>
          <w:color w:val="auto"/>
        </w:rPr>
        <w:t xml:space="preserve"> averaged a total of 276,144 daily active users (“DAUs”) on the Steam and Epic platforms as compared to 257,168 DAUs in the three months ended March 31, 2022. We experienced a peak of approximately 1,113,143 DAUs in June 2022. We define “daily active users” as the number of unique users who play any given game on any given day. For the three months ended March 31, 2023 and 2022, we generated 90.0% and 93.3%, respectively, of our revenues from </w:t>
      </w:r>
      <w:r>
        <w:rPr>
          <w:rFonts w:ascii="Arial" w:cs="Arial" w:eastAsia="Arial" w:hAnsi="Arial"/>
          <w:sz w:val="16"/>
          <w:szCs w:val="16"/>
          <w:i w:val="1"/>
          <w:iCs w:val="1"/>
          <w:color w:val="auto"/>
        </w:rPr>
        <w:t>ARK: Survival Evolved</w:t>
      </w:r>
      <w:r>
        <w:rPr>
          <w:rFonts w:ascii="Arial" w:cs="Arial" w:eastAsia="Arial" w:hAnsi="Arial"/>
          <w:sz w:val="16"/>
          <w:szCs w:val="16"/>
          <w:color w:val="auto"/>
        </w:rPr>
        <w:t>.</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Our dedication to provide audiences with high-quality entertainment experiences utilizing the latest gaming technology has produced strong user engagement, continued revenue growth, and increased cash flows. Through March 31, 2023, our </w:t>
      </w:r>
      <w:r>
        <w:rPr>
          <w:rFonts w:ascii="Arial" w:cs="Arial" w:eastAsia="Arial" w:hAnsi="Arial"/>
          <w:sz w:val="18"/>
          <w:szCs w:val="18"/>
          <w:i w:val="1"/>
          <w:iCs w:val="1"/>
          <w:color w:val="auto"/>
        </w:rPr>
        <w:t>ARK</w:t>
      </w:r>
      <w:r>
        <w:rPr>
          <w:rFonts w:ascii="Arial" w:cs="Arial" w:eastAsia="Arial" w:hAnsi="Arial"/>
          <w:sz w:val="18"/>
          <w:szCs w:val="18"/>
          <w:color w:val="auto"/>
        </w:rPr>
        <w:t xml:space="preserve"> franchise game has been played for 3.2 billion hours with an average playing time per user of more than 160 hours and with the top 21.0% of all players spending over 100 hours in the game, according to data related to the Steam platform. For the three months ended March 31, 2023 and 2022, our net revenue was $13.5 million and $28.1 million, respectively. During the three months ended March 31, 2023, approximately 42.9% of our revenue came from consoles, 37.2% from PC and 12.8% from mobile platforms. We had a net loss of $3.0 million for the three months ended March 31, 2023 as compared to net income of $5.8 million for the three months ended March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are a number of factors that affect the performance of our business, and the comparability of our results from period to period, including: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our content strategy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Arial" w:cs="Arial" w:eastAsia="Arial" w:hAnsi="Arial"/>
          <w:sz w:val="18"/>
          <w:szCs w:val="18"/>
          <w:i w:val="1"/>
          <w:iCs w:val="1"/>
          <w:color w:val="auto"/>
        </w:rPr>
        <w:t>NOIZ</w:t>
      </w:r>
      <w:r>
        <w:rPr>
          <w:rFonts w:ascii="Arial" w:cs="Arial" w:eastAsia="Arial" w:hAnsi="Arial"/>
          <w:sz w:val="18"/>
          <w:szCs w:val="18"/>
          <w:color w:val="auto"/>
        </w:rPr>
        <w:t>, by attracting new influencers and brand customers.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Growth of user base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experienced significant growth in our number of downloads over the last several years. We have sold 40.5 million units between January 1, 2016 and March 31, 2023. During the three months ended March 31, 2023, we sold 1.7 million units compared to 1.3 million in the three months ended March 31, 2022.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on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believe we have a significant opportunity to grow our install base, we anticipate that our overall install growth rate will fluctuate over time as we continue to release new master games and companion DLCs. Download rates and user engagement may increase or decrease based on other factors such as growth in console, PC and mobile games, ability to release content, and market effectively and distribute to users.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our technology platform</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release content, market effectively through cross media and expand the gaming group</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relationship with developers, Studio Wildcard &amp; Suzhou Snail</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We have an exclusive license with Studio Wildcard for rights to </w:t>
      </w:r>
      <w:r>
        <w:rPr>
          <w:rFonts w:ascii="Arial" w:cs="Arial" w:eastAsia="Arial" w:hAnsi="Arial"/>
          <w:sz w:val="17"/>
          <w:szCs w:val="17"/>
          <w:i w:val="1"/>
          <w:iCs w:val="1"/>
          <w:color w:val="auto"/>
        </w:rPr>
        <w:t>ARK</w:t>
      </w:r>
      <w:r>
        <w:rPr>
          <w:rFonts w:ascii="Arial" w:cs="Arial" w:eastAsia="Arial" w:hAnsi="Arial"/>
          <w:sz w:val="17"/>
          <w:szCs w:val="17"/>
          <w:color w:val="auto"/>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Relationship with third party distribution platforms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derive nearly all of our revenue from third-party distribution platforms, such as Xbox Live and Game Pass, PlayStation Network, Steam, Epic Games Store, the Apple App Store, the Google Play Store, My Nintendo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 and Non-GAAP Measures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Units Sold</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 Units Sold increased by 0.4 million, or 31.3%, due to increased sales promotions run across the Company’s platform partners in the three months ended March 31, 2023.</w:t>
      </w:r>
    </w:p>
    <w:p>
      <w:pPr>
        <w:spacing w:after="0" w:line="181" w:lineRule="exact"/>
        <w:rPr>
          <w:sz w:val="20"/>
          <w:szCs w:val="20"/>
          <w:color w:val="auto"/>
        </w:rPr>
      </w:pPr>
    </w:p>
    <w:p>
      <w:pPr>
        <w:ind w:left="61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6350</wp:posOffset>
            </wp:positionV>
            <wp:extent cx="20656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jc w:val="center"/>
        <w:ind w:left="4340"/>
        <w:spacing w:after="0"/>
        <w:tabs>
          <w:tab w:leader="none" w:pos="540" w:val="left"/>
          <w:tab w:leader="none" w:pos="460" w:val="left"/>
          <w:tab w:leader="none" w:pos="2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-3175</wp:posOffset>
            </wp:positionV>
            <wp:extent cx="2065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jc w:val="center"/>
        <w:ind w:left="4420"/>
        <w:spacing w:after="0" w:line="214" w:lineRule="auto"/>
        <w:rPr>
          <w:sz w:val="20"/>
          <w:szCs w:val="20"/>
          <w:color w:val="auto"/>
        </w:rPr>
      </w:pPr>
      <w:r>
        <w:rPr>
          <w:rFonts w:ascii="Arial" w:cs="Arial" w:eastAsia="Arial" w:hAnsi="Arial"/>
          <w:sz w:val="14"/>
          <w:szCs w:val="14"/>
          <w:b w:val="1"/>
          <w:bCs w:val="1"/>
          <w:color w:val="auto"/>
        </w:rPr>
        <w:t>(in millions)</w:t>
      </w:r>
    </w:p>
    <w:tbl>
      <w:tblPr>
        <w:tblLayout w:type="fixed"/>
        <w:tblInd w:w="0" w:type="dxa"/>
        <w:tblCellMar>
          <w:top w:w="0" w:type="dxa"/>
          <w:left w:w="0" w:type="dxa"/>
          <w:bottom w:w="0" w:type="dxa"/>
          <w:right w:w="0" w:type="dxa"/>
        </w:tblCellMar>
      </w:tblPr>
      <w:tr>
        <w:trPr>
          <w:trHeight w:val="229"/>
        </w:trPr>
        <w:tc>
          <w:tcPr>
            <w:tcW w:w="1000" w:type="dxa"/>
            <w:vAlign w:val="bottom"/>
          </w:tcPr>
          <w:p>
            <w:pPr>
              <w:spacing w:after="0"/>
              <w:rPr>
                <w:sz w:val="19"/>
                <w:szCs w:val="19"/>
                <w:color w:val="auto"/>
              </w:rPr>
            </w:pPr>
          </w:p>
        </w:tc>
        <w:tc>
          <w:tcPr>
            <w:tcW w:w="1480" w:type="dxa"/>
            <w:vAlign w:val="bottom"/>
            <w:shd w:val="clear" w:color="auto" w:fill="CCEEFF"/>
          </w:tcPr>
          <w:p>
            <w:pPr>
              <w:spacing w:after="0" w:line="228" w:lineRule="exact"/>
              <w:rPr>
                <w:sz w:val="20"/>
                <w:szCs w:val="20"/>
                <w:color w:val="auto"/>
              </w:rPr>
            </w:pPr>
            <w:r>
              <w:rPr>
                <w:rFonts w:ascii="Arial" w:cs="Arial" w:eastAsia="Arial" w:hAnsi="Arial"/>
                <w:sz w:val="18"/>
                <w:szCs w:val="18"/>
                <w:color w:val="auto"/>
              </w:rPr>
              <w:t>Units Sold</w:t>
            </w:r>
            <w:r>
              <w:rPr>
                <w:rFonts w:ascii="Arial" w:cs="Arial" w:eastAsia="Arial" w:hAnsi="Arial"/>
                <w:sz w:val="26"/>
                <w:szCs w:val="26"/>
                <w:color w:val="auto"/>
                <w:vertAlign w:val="superscript"/>
              </w:rPr>
              <w:t>(1)</w:t>
            </w:r>
          </w:p>
        </w:tc>
        <w:tc>
          <w:tcPr>
            <w:tcW w:w="3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31.3 %</w:t>
            </w:r>
          </w:p>
        </w:tc>
      </w:tr>
      <w:tr>
        <w:trPr>
          <w:trHeight w:val="108"/>
        </w:trPr>
        <w:tc>
          <w:tcPr>
            <w:tcW w:w="10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6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Units Sold include master games, DLCs, season pass and bundles and excludes skins, soundtracks and other items.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Bookings &amp; EBITDA</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our financial results determined in accordance with U.S. generally accepted accounting principles (“U.S. GAAP” or “GAAP”), we believe Bookings and EBITDA, as non-GAAP measures, are useful in evaluating our operating performance. Bookings and EBITDA, as used in this Quarterly Report on Form 10-Q, are non-GAAP financial measures that are presented as supplemental disclosures and should not be construed as alternatives to net income (loss) or revenue as indicators of operating performance, as determined in accordance with GAAP.</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supplementally present Bookings and EBITDA because they are key operating measures used by our management to assess our financial performance. Bookings adjusts for the impact of deferrals and, we believe, provides a useful indicator of sales in a given period. EBITDA adjusts for items that we believe do not reflect the ongoing operating performance of our business, such as certain non-cash items, unusual or infrequent items or items that change from period to period without any material relevance to our operating performance. Management believes Bookings and EBITDA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Bookings and EBITDA to supplement GAAP measures of performance in the evaluation of the effectiveness of our business strategies, to make budgeting decisions, and to compare our performance against other peer companies using similar measures. We evaluate Bookings and EBITDA in conjunction with our results according to GAAP because we believe it provides investors and analysts a more complete understanding of factors and trends affecting our business than GAAP measures alone. Bookings and EBITDA should not be considered as alternatives to net income (loss), as measures of financial performance or any other performance measure derived in accordance with GAAP.</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total net revenue to Bookings, the closest GAAP financial measure.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Bookings is defined as the net amount of products and services sold digitally or physically in the period. Bookings is equal to revenues excluding the impact from deferrals.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gridSpan w:val="6"/>
          </w:tcPr>
          <w:p>
            <w:pPr>
              <w:jc w:val="right"/>
              <w:ind w:right="17"/>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317"/>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4"/>
                <w:szCs w:val="14"/>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80" w:type="dxa"/>
            <w:vAlign w:val="bottom"/>
          </w:tcPr>
          <w:p>
            <w:pPr>
              <w:spacing w:after="0"/>
              <w:rPr>
                <w:sz w:val="12"/>
                <w:szCs w:val="12"/>
                <w:color w:val="auto"/>
              </w:rPr>
            </w:pPr>
          </w:p>
        </w:tc>
        <w:tc>
          <w:tcPr>
            <w:tcW w:w="6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Change in deferred net revenue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94.3 %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Bookings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For the three months ended March 31, 2023, bookings decreased by $12.2 million, or 47.6%, compared to the three months ended March 31, 2022, primarily as a result of decreased </w:t>
      </w:r>
      <w:r>
        <w:rPr>
          <w:rFonts w:ascii="Arial" w:cs="Arial" w:eastAsia="Arial" w:hAnsi="Arial"/>
          <w:sz w:val="16"/>
          <w:szCs w:val="16"/>
          <w:i w:val="1"/>
          <w:iCs w:val="1"/>
          <w:color w:val="auto"/>
        </w:rPr>
        <w:t>ARK</w:t>
      </w:r>
      <w:r>
        <w:rPr>
          <w:rFonts w:ascii="Arial" w:cs="Arial" w:eastAsia="Arial" w:hAnsi="Arial"/>
          <w:sz w:val="16"/>
          <w:szCs w:val="16"/>
          <w:color w:val="auto"/>
        </w:rPr>
        <w:t xml:space="preserve"> revenues in 2023 due to decreased average selling prices (“ASPs”) and in game purchases which contributed to $3.1 million of the decrease and no one-time contract payments during the three months ended March 31, 2023 while there was $8.5 million in one-time contract payments and $2.5 million in one-time deferred contract revenue recognized during the three months ended March 31, 2022. We define ASP as the price at which our products are sold on average. ASP is calculated by dividing the total revenue generated from the sales of a specific title by the total number of units sold of that title, during the period.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Below is a reconciliation of net income (loss) to EBITDA, the closest GAAP financial measure. We define EBITDA as net income (loss) before (i) interest income, (ii) interest expense, (iii) provision for (benefit from) income taxes, and (iv) depreciation and amortization expense, property and equipment.</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 EBITDA decreased by $10.6 million, or 147.2%, due primarily to a reduction in net income of $8.8 million and a related decrease in the income tax provision of $2.3 million.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2"/>
              </w:rPr>
              <w:t>Three months ended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vMerge w:val="restart"/>
          </w:tcPr>
          <w:p>
            <w:pPr>
              <w:spacing w:after="0"/>
              <w:rPr>
                <w:sz w:val="12"/>
                <w:szCs w:val="12"/>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293"/>
              <w:spacing w:after="0" w:line="142" w:lineRule="exact"/>
              <w:rPr>
                <w:sz w:val="20"/>
                <w:szCs w:val="20"/>
                <w:color w:val="auto"/>
              </w:rPr>
            </w:pPr>
            <w:r>
              <w:rPr>
                <w:rFonts w:ascii="Arial" w:cs="Arial" w:eastAsia="Arial" w:hAnsi="Arial"/>
                <w:sz w:val="14"/>
                <w:szCs w:val="14"/>
                <w:b w:val="1"/>
                <w:bCs w:val="1"/>
                <w:color w:val="auto"/>
                <w:w w:val="90"/>
              </w:rPr>
              <w:t>millions)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Interest income and interest income – related parties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interest expense – related parties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75.6 %</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 property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My Nintendo Store and the Amazon Appstore, and certain retail distributors. For sales arrangements through Xbox Live and Game Pass, PlayStation Network, Steam, Epic Game Stores, My Nintendo Store and retail distributors, the digital platforms and distributors have discretion in establishing the price for the specified good or service, and we have determined we are the agent in the sales transaction to the end user and therefore report revenue on a net basis based on the consideration received from the digital storefront. For sales arrangements through the Apple App Store and the Google Play Store, we have discretion in establishing the price for the specified good or service and have determined that we are the principal to the end user and therefore report revenue on a gross basis. Mobile platform fees charged by these digital storefronts are expensed as incurred and reported within cost of revenue as merchant fees.</w:t>
      </w:r>
    </w:p>
    <w:p>
      <w:pPr>
        <w:sectPr>
          <w:pgSz w:w="11900" w:h="16838" w:orient="portrait"/>
          <w:cols w:equalWidth="0" w:num="1">
            <w:col w:w="9920"/>
          </w:cols>
          <w:pgMar w:left="980" w:top="517"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record deferred revenue when payments are due or received in advance of the fulfillment of our associated performance obligations.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net revenues through our top four platform providers as a proportion of our total net revenue for the three months ended March 31, 2023 and 2022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10"/>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280" w:type="dxa"/>
            <w:vAlign w:val="bottom"/>
          </w:tcPr>
          <w:p>
            <w:pPr>
              <w:spacing w:after="0"/>
              <w:rPr>
                <w:sz w:val="18"/>
                <w:szCs w:val="18"/>
                <w:color w:val="auto"/>
              </w:rPr>
            </w:pPr>
          </w:p>
        </w:tc>
      </w:tr>
      <w:tr>
        <w:trPr>
          <w:trHeight w:val="142"/>
        </w:trPr>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jc w:val="right"/>
              <w:ind w:right="393"/>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Platform 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Platform 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(78.1)%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Platform 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Platform 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120" w:type="dxa"/>
            <w:vAlign w:val="bottom"/>
            <w:gridSpan w:val="3"/>
          </w:tcPr>
          <w:p>
            <w:pPr>
              <w:jc w:val="right"/>
              <w:ind w:right="30"/>
              <w:spacing w:after="0"/>
              <w:rPr>
                <w:sz w:val="20"/>
                <w:szCs w:val="20"/>
                <w:color w:val="auto"/>
              </w:rPr>
            </w:pPr>
            <w:r>
              <w:rPr>
                <w:rFonts w:ascii="Arial" w:cs="Arial" w:eastAsia="Arial" w:hAnsi="Arial"/>
                <w:sz w:val="18"/>
                <w:szCs w:val="18"/>
                <w:color w:val="auto"/>
              </w:rPr>
              <w:t>185.1 %</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All Other 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We expect changes in revenue to correlate with trends in the use and purchase of our games. The decrease in net revenues of Platform 1 was due to decreased ASP of the </w:t>
      </w:r>
      <w:r>
        <w:rPr>
          <w:rFonts w:ascii="Arial" w:cs="Arial" w:eastAsia="Arial" w:hAnsi="Arial"/>
          <w:sz w:val="16"/>
          <w:szCs w:val="16"/>
          <w:i w:val="1"/>
          <w:iCs w:val="1"/>
          <w:color w:val="auto"/>
        </w:rPr>
        <w:t>ARK 1</w:t>
      </w:r>
      <w:r>
        <w:rPr>
          <w:rFonts w:ascii="Arial" w:cs="Arial" w:eastAsia="Arial" w:hAnsi="Arial"/>
          <w:sz w:val="16"/>
          <w:szCs w:val="16"/>
          <w:color w:val="auto"/>
        </w:rPr>
        <w:t xml:space="preserve"> franchise due to significantly more sales days in the 2023 period. The decreased ASP was partially offset by an increase in Units Sold. The decrease in net revenues of Platforms 2 and 3 were due to one off payments and deferred revenues recognized in the 2022 period, in addition to reduced ASP’s. The increase in net revenues of Platform 4 was due to the three months ended March 31, 2023 being the first full quarter of sales for a remastered and upgraded version of </w:t>
      </w:r>
      <w:r>
        <w:rPr>
          <w:rFonts w:ascii="Arial" w:cs="Arial" w:eastAsia="Arial" w:hAnsi="Arial"/>
          <w:sz w:val="16"/>
          <w:szCs w:val="16"/>
          <w:i w:val="1"/>
          <w:iCs w:val="1"/>
          <w:color w:val="auto"/>
        </w:rPr>
        <w:t>ARK 1</w:t>
      </w:r>
      <w:r>
        <w:rPr>
          <w:rFonts w:ascii="Arial" w:cs="Arial" w:eastAsia="Arial" w:hAnsi="Arial"/>
          <w:sz w:val="16"/>
          <w:szCs w:val="16"/>
          <w:color w:val="auto"/>
        </w:rPr>
        <w:t xml:space="preserve"> on the platform.</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Cost of revenues includes license royalty fees, merchant fees, engine fees, server and database cost centers, game licenses and license right amortization. For a description of our licensing arrangements, please see Note 2 –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to the unaudited condensed consolidated financial statements. We generally expect cost of revenues to fluctuate proportionately</w:t>
      </w:r>
      <w:r>
        <w:rPr>
          <w:rFonts w:ascii="Arial" w:cs="Arial" w:eastAsia="Arial" w:hAnsi="Arial"/>
          <w:sz w:val="18"/>
          <w:szCs w:val="18"/>
          <w:i w:val="1"/>
          <w:iCs w:val="1"/>
          <w:color w:val="auto"/>
        </w:rPr>
        <w:t xml:space="preserve"> </w:t>
      </w:r>
      <w:r>
        <w:rPr>
          <w:rFonts w:ascii="Arial" w:cs="Arial" w:eastAsia="Arial" w:hAnsi="Arial"/>
          <w:sz w:val="18"/>
          <w:szCs w:val="18"/>
          <w:color w:val="auto"/>
        </w:rPr>
        <w:t>with revenues.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General and administrative expenses include rent expense, outsourced professional services such as consulting, legal and accounting services, taxes and dues, insurance premiums, and costs associated with maintaining our property and infrastructure. General and administrative expenses also include salaries and wages, which consist of compensation we pay to our employees. We expect salaries and wages to increase in a manner that is proportional with the added expenses and expertise of operating as a public company. We also expect salaries and wages to increase as we increase headcount as we expand our product offerings. Future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consists primarily of consulting expenses and salaries and wages devoted towards the development of new games and related technologies. We do not fund or enter into arrangements relating to the research and development activities from third-party developers from whom we license games. We expect our research and development to increase as we develop new content, games or technologies.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and marketing</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and other, net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consists of interest incurred under our term loans, 2021 Revolving Loan and promissory notes. We expect to continue to incur interest expense under our debt instruments, although with respect to certain instruments, our interest expense will fluctuate based upon the underlying variable interest rates.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(benefit from) provision for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did not differ from the federal statutory rate of 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March 31, 2023 versus the three months ended March 31,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2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(14.6)</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646.8 %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Advertising and marketing</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Income (loss) from operations</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0"/>
              </w:rPr>
              <w:t>$ (10.5)</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(150.1)%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Net revenues for the three months ended March 31, 2023 decreased by $14.6 million, or 52.0%, compared to the three months ended March 31, 2022. The decrease in net revenues was due to a decrease in sales of </w:t>
      </w:r>
      <w:r>
        <w:rPr>
          <w:rFonts w:ascii="Arial" w:cs="Arial" w:eastAsia="Arial" w:hAnsi="Arial"/>
          <w:sz w:val="18"/>
          <w:szCs w:val="18"/>
          <w:i w:val="1"/>
          <w:iCs w:val="1"/>
          <w:color w:val="auto"/>
        </w:rPr>
        <w:t>ARK,</w:t>
      </w:r>
      <w:r>
        <w:rPr>
          <w:rFonts w:ascii="Arial" w:cs="Arial" w:eastAsia="Arial" w:hAnsi="Arial"/>
          <w:sz w:val="18"/>
          <w:szCs w:val="18"/>
          <w:color w:val="auto"/>
        </w:rPr>
        <w:t xml:space="preserve"> attributed to a decrease in the ASP, additional deferred revenue and one-time payments related to contracts with certain platforms. </w:t>
      </w:r>
      <w:r>
        <w:rPr>
          <w:rFonts w:ascii="Arial" w:cs="Arial" w:eastAsia="Arial" w:hAnsi="Arial"/>
          <w:sz w:val="18"/>
          <w:szCs w:val="18"/>
          <w:i w:val="1"/>
          <w:iCs w:val="1"/>
          <w:color w:val="auto"/>
        </w:rPr>
        <w:t>ARK</w:t>
      </w:r>
      <w:r>
        <w:rPr>
          <w:rFonts w:ascii="Arial" w:cs="Arial" w:eastAsia="Arial" w:hAnsi="Arial"/>
          <w:sz w:val="18"/>
          <w:szCs w:val="18"/>
          <w:color w:val="auto"/>
        </w:rPr>
        <w:t xml:space="preserve"> sales decreased by $3.1 million, deferred revenue from contracts decreased by $2.5 million, and one-off payments decreased by $8.5 million. Sales of the smaller titles decreased by a collective $0.7 million. These decreases in the Company’s smaller titles were partially offset by an increase of $0.2 million in revenue related to </w:t>
      </w:r>
      <w:r>
        <w:rPr>
          <w:rFonts w:ascii="Arial" w:cs="Arial" w:eastAsia="Arial" w:hAnsi="Arial"/>
          <w:sz w:val="18"/>
          <w:szCs w:val="18"/>
          <w:i w:val="1"/>
          <w:iCs w:val="1"/>
          <w:color w:val="auto"/>
        </w:rPr>
        <w:t>West Hunt</w:t>
      </w:r>
      <w:r>
        <w:rPr>
          <w:rFonts w:ascii="Arial" w:cs="Arial" w:eastAsia="Arial" w:hAnsi="Arial"/>
          <w:sz w:val="18"/>
          <w:szCs w:val="18"/>
          <w:color w:val="auto"/>
        </w:rPr>
        <w: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revenues for the three months ended March 31, 2023 decreased by $5.0 million, or 34.1%, compared to the three months ended March 31,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revenues for the three months ended March 31, 2023 and 2022 comprised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7"/>
              </w:rPr>
              <w:t>$Change</w:t>
            </w:r>
          </w:p>
        </w:tc>
        <w:tc>
          <w:tcPr>
            <w:tcW w:w="140" w:type="dxa"/>
            <w:vAlign w:val="bottom"/>
            <w:vMerge w:val="restart"/>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license royalties - related parties</w:t>
            </w:r>
          </w:p>
        </w:tc>
        <w:tc>
          <w:tcPr>
            <w:tcW w:w="580" w:type="dxa"/>
            <w:vAlign w:val="bottom"/>
            <w:shd w:val="clear" w:color="auto" w:fill="CCEEFF"/>
          </w:tcPr>
          <w:p>
            <w:pPr>
              <w:jc w:val="right"/>
              <w:ind w:right="459"/>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Software license royalties</w:t>
            </w:r>
          </w:p>
        </w:tc>
        <w:tc>
          <w:tcPr>
            <w:tcW w:w="5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6"/>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and amortization - related parties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License and amortization</w:t>
            </w:r>
          </w:p>
        </w:tc>
        <w:tc>
          <w:tcPr>
            <w:tcW w:w="5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Merchant fees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Engine fees</w:t>
            </w:r>
          </w:p>
        </w:tc>
        <w:tc>
          <w:tcPr>
            <w:tcW w:w="5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6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Internet, server and data center</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60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Pr>
          <w:p>
            <w:pPr>
              <w:jc w:val="right"/>
              <w:ind w:right="459"/>
              <w:spacing w:after="0"/>
              <w:rPr>
                <w:sz w:val="20"/>
                <w:szCs w:val="20"/>
                <w:color w:val="auto"/>
              </w:rPr>
            </w:pPr>
            <w:r>
              <w:rPr>
                <w:rFonts w:ascii="Arial" w:cs="Arial" w:eastAsia="Arial" w:hAnsi="Arial"/>
                <w:sz w:val="10"/>
                <w:szCs w:val="10"/>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87"/>
              </w:rPr>
              <w:t>9.9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(34.1)%</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decrease in cost of revenues for the three months ended March 31, 2023 was due to a decrease in </w:t>
      </w:r>
      <w:r>
        <w:rPr>
          <w:rFonts w:ascii="Arial" w:cs="Arial" w:eastAsia="Arial" w:hAnsi="Arial"/>
          <w:sz w:val="18"/>
          <w:szCs w:val="18"/>
          <w:i w:val="1"/>
          <w:iCs w:val="1"/>
          <w:color w:val="auto"/>
        </w:rPr>
        <w:t>ARK</w:t>
      </w:r>
      <w:r>
        <w:rPr>
          <w:rFonts w:ascii="Arial" w:cs="Arial" w:eastAsia="Arial" w:hAnsi="Arial"/>
          <w:sz w:val="18"/>
          <w:szCs w:val="18"/>
          <w:color w:val="auto"/>
        </w:rPr>
        <w:t xml:space="preserve"> related royalties of $3.2 million, a decrease in merchant fees of $0.2 million, commensurate with the decrease in </w:t>
      </w:r>
      <w:r>
        <w:rPr>
          <w:rFonts w:ascii="Arial" w:cs="Arial" w:eastAsia="Arial" w:hAnsi="Arial"/>
          <w:sz w:val="18"/>
          <w:szCs w:val="18"/>
          <w:i w:val="1"/>
          <w:iCs w:val="1"/>
          <w:color w:val="auto"/>
        </w:rPr>
        <w:t>ARK</w:t>
      </w:r>
      <w:r>
        <w:rPr>
          <w:rFonts w:ascii="Arial" w:cs="Arial" w:eastAsia="Arial" w:hAnsi="Arial"/>
          <w:sz w:val="18"/>
          <w:szCs w:val="18"/>
          <w:color w:val="auto"/>
        </w:rPr>
        <w:t xml:space="preserve"> sales, and a decrease in engine fees of $0.3 million. The Company also reported a decrease in license and amortization cost of $1.3 million due to a lower amortizable base that is the result of the age of certain licenses.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Research and development expenses for the three months ended March 31, 2023 increased by $1.2 million, or 646.8%. The increase in research and development expenses was primarily due to additional development of the Company’s </w:t>
      </w:r>
      <w:r>
        <w:rPr>
          <w:rFonts w:ascii="Arial" w:cs="Arial" w:eastAsia="Arial" w:hAnsi="Arial"/>
          <w:sz w:val="18"/>
          <w:szCs w:val="18"/>
          <w:i w:val="1"/>
          <w:iCs w:val="1"/>
          <w:color w:val="auto"/>
        </w:rPr>
        <w:t>ARK 1, Atlas, Last Oasis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Agartha </w:t>
      </w:r>
      <w:r>
        <w:rPr>
          <w:rFonts w:ascii="Arial" w:cs="Arial" w:eastAsia="Arial" w:hAnsi="Arial"/>
          <w:sz w:val="18"/>
          <w:szCs w:val="18"/>
          <w:color w:val="auto"/>
        </w:rPr>
        <w:t>titles during the three months ended March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Net Income</w:t>
      </w:r>
    </w:p>
    <w:p>
      <w:pPr>
        <w:spacing w:after="0" w:line="248" w:lineRule="exact"/>
        <w:rPr>
          <w:sz w:val="20"/>
          <w:szCs w:val="20"/>
          <w:color w:val="auto"/>
        </w:rPr>
      </w:pPr>
    </w:p>
    <w:p>
      <w:pPr>
        <w:ind w:left="6160"/>
        <w:spacing w:after="0"/>
        <w:rPr>
          <w:sz w:val="20"/>
          <w:szCs w:val="20"/>
          <w:color w:val="auto"/>
        </w:rPr>
      </w:pPr>
      <w:r>
        <w:rPr>
          <w:rFonts w:ascii="Arial" w:cs="Arial" w:eastAsia="Arial" w:hAnsi="Arial"/>
          <w:sz w:val="14"/>
          <w:szCs w:val="14"/>
          <w:b w:val="1"/>
          <w:bCs w:val="1"/>
          <w:u w:val="single" w:color="auto"/>
          <w:color w:val="auto"/>
        </w:rPr>
        <w:t>Three months ended March 31,</w:t>
      </w:r>
    </w:p>
    <w:p>
      <w:pPr>
        <w:spacing w:after="0" w:line="17" w:lineRule="exact"/>
        <w:rPr>
          <w:sz w:val="20"/>
          <w:szCs w:val="20"/>
          <w:color w:val="auto"/>
        </w:rPr>
      </w:pPr>
    </w:p>
    <w:p>
      <w:pPr>
        <w:ind w:left="6420"/>
        <w:spacing w:after="0"/>
        <w:tabs>
          <w:tab w:leader="none" w:pos="7520" w:val="left"/>
          <w:tab w:leader="none" w:pos="8300" w:val="left"/>
          <w:tab w:leader="none" w:pos="90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-3175</wp:posOffset>
            </wp:positionV>
            <wp:extent cx="18084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ind w:left="7580"/>
        <w:spacing w:after="0" w:line="232" w:lineRule="auto"/>
        <w:rPr>
          <w:sz w:val="20"/>
          <w:szCs w:val="20"/>
          <w:color w:val="auto"/>
        </w:rPr>
      </w:pPr>
      <w:r>
        <w:rPr>
          <w:rFonts w:ascii="Arial" w:cs="Arial" w:eastAsia="Arial" w:hAnsi="Arial"/>
          <w:sz w:val="14"/>
          <w:szCs w:val="14"/>
          <w:b w:val="1"/>
          <w:bCs w:val="1"/>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 related parties</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expense</w:t>
            </w:r>
          </w:p>
        </w:tc>
        <w:tc>
          <w:tcPr>
            <w:tcW w:w="18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82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income — related parties was $0.0 million, and $0.5 million for the three months ended March 31, 2023 and 2022, respectively. The decrease was due to the distribution of the Shi Loan to Suzhou Snail in April 2022.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Interest expense is primarily related to our outstanding indebtedness with third-party lenders. Interest expense increased by $0.1 million for the three months ended March 31, 2023 as a result of interest charges on the short-term note issued in January 2022.</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had an income tax benefit of ($0.8) million for the three months ended March 31, 2023 and a provision for income taxes of $1.5 million for the three months ended March 31, 2022 representing a decrease of $2.3 million. Our effective income tax rate was 21.3% and 20.9% for the three months ended March 31, 2023 and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spending</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primary sources of liquidity are the cash flows generated from our operations, that are currently available unrestricted cash. Our unrestricted cash was $4.1 million and $12.9 million as of March 31, 2023 and December 31, 2022, respectively.</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restricted cash and cash equivalents were $6.4 million and $6.4 million as of March 31, 2023 and December 31, 2022, respectively. Our restricted cash primarily consists of time deposits, and is used as security for certain of our debt instruments and to secure standby letters of credit with certain of our landlords.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March 31, 2023, our 2021 Revolving Loan and 2022 Short Term Note of $9.0 million and $4.2 million are due in December 2023 and January 2024, respectively. We intend to renegotiate with the lender to extend the maturity date of the 2021 Revolving Loan. However, there is no guarantee that we will be able to renegotiate the terms of the 2021 Revolving Loan with the lender at terms acceptable to us or at all. Additionally, we plan to repay the outstanding amounts under the 2022 Short Term Note pursuant to the terms of the 2022 Short Term Note agreement and to secure an additional debt arrangement. Currently, we expect that we will not be in compliance with its quarterly debt covenant for the three months ending June 30, 2023. We are working with the lender to resolve the expected non-compliance with the debt covenant.</w:t>
      </w:r>
    </w:p>
    <w:p>
      <w:pPr>
        <w:spacing w:after="0" w:line="19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need to raise additional capital.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spacing w:after="0" w:line="1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recent net loss, level of cash used in operations, debt obligations coming due in less than 12 months, potential need for additional capital, and the uncertainties surrounding our ability to raise additional capital and renegotiate our debt arrangements raise substantial doubt about our ability to continue as a going concern. The unaudited condensed consolidated financial statements do not include any adjustments that might be necessary if we are unable to continue as a going concern.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order for us to continue operations beyond the next 12 months and be able to discharge our liabilities and commitments in the normal course of business, we must re-establish profitable operations in order to generate cash from operations by increasing revenue or controlling or potentially reducing expenses, renegotiate the terms of its debt arrangements, or obtain additional funds when needed. Our current goal is to improve our financial condition and ultimately improve our financial results by increasing revenues through increased sales of existing DLCs and game titles, launches of new DLCs and game titles and reduced expenses.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a summary of our cash flows for the periods indicated (in millions):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740"/>
        <w:spacing w:after="0" w:line="291" w:lineRule="auto"/>
        <w:rPr>
          <w:sz w:val="20"/>
          <w:szCs w:val="20"/>
          <w:color w:val="auto"/>
        </w:rPr>
      </w:pPr>
      <w:r>
        <w:rPr>
          <w:rFonts w:ascii="Arial" w:cs="Arial" w:eastAsia="Arial" w:hAnsi="Arial"/>
          <w:sz w:val="16"/>
          <w:szCs w:val="16"/>
          <w:color w:val="auto"/>
        </w:rPr>
        <w:t>Net cash flows (used in) provided by operating activities Net cash flows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-273685</wp:posOffset>
            </wp:positionV>
            <wp:extent cx="629221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flows (used in) provided by financing activities</w:t>
      </w:r>
    </w:p>
    <w:p>
      <w:pPr>
        <w:spacing w:after="0" w:line="23" w:lineRule="exact"/>
        <w:rPr>
          <w:sz w:val="20"/>
          <w:szCs w:val="20"/>
          <w:color w:val="auto"/>
        </w:rPr>
      </w:pPr>
    </w:p>
    <w:p>
      <w:pPr>
        <w:ind w:left="140" w:hanging="129"/>
        <w:spacing w:after="0" w:line="260" w:lineRule="auto"/>
        <w:rPr>
          <w:sz w:val="20"/>
          <w:szCs w:val="20"/>
          <w:color w:val="auto"/>
        </w:rPr>
      </w:pPr>
      <w:r>
        <w:rPr>
          <w:rFonts w:ascii="Arial" w:cs="Arial" w:eastAsia="Arial" w:hAnsi="Arial"/>
          <w:sz w:val="18"/>
          <w:szCs w:val="18"/>
          <w:color w:val="auto"/>
        </w:rPr>
        <w:t>Net increase (decrease) in cash and cash equivalents and restricted cash and cash equivalents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2941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300"/>
        <w:spacing w:after="0"/>
        <w:tabs>
          <w:tab w:leader="none" w:pos="1440" w:val="left"/>
          <w:tab w:leader="none" w:pos="2220" w:val="left"/>
          <w:tab w:leader="none" w:pos="29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2941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jc w:val="center"/>
        <w:ind w:right="160"/>
        <w:spacing w:after="0" w:line="235" w:lineRule="auto"/>
        <w:rPr>
          <w:sz w:val="20"/>
          <w:szCs w:val="20"/>
          <w:color w:val="auto"/>
        </w:rPr>
      </w:pPr>
      <w:r>
        <w:rPr>
          <w:rFonts w:ascii="Arial" w:cs="Arial" w:eastAsia="Arial" w:hAnsi="Arial"/>
          <w:sz w:val="14"/>
          <w:szCs w:val="14"/>
          <w:b w:val="1"/>
          <w:bCs w:val="1"/>
          <w:color w:val="auto"/>
        </w:rPr>
        <w:t>(in millions)</w:t>
      </w:r>
    </w:p>
    <w:tbl>
      <w:tblPr>
        <w:tblLayout w:type="fixed"/>
        <w:tblInd w:w="0" w:type="dxa"/>
        <w:tblCellMar>
          <w:top w:w="0" w:type="dxa"/>
          <w:left w:w="0" w:type="dxa"/>
          <w:bottom w:w="0" w:type="dxa"/>
          <w:right w:w="0" w:type="dxa"/>
        </w:tblCellMar>
      </w:tblPr>
      <w:tr>
        <w:trPr>
          <w:trHeight w:val="200"/>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(6.7)</w:t>
            </w:r>
          </w:p>
        </w:tc>
        <w:tc>
          <w:tcPr>
            <w:tcW w:w="5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5.0</w:t>
            </w: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 (11.7)</w:t>
            </w:r>
          </w:p>
        </w:tc>
        <w:tc>
          <w:tcPr>
            <w:tcW w:w="100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(234.3)%</w:t>
            </w:r>
          </w:p>
        </w:tc>
      </w:tr>
      <w:tr>
        <w:trPr>
          <w:trHeight w:val="216"/>
        </w:trPr>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(122.6)%</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(24.2)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(156.3)%</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5820" w:space="280"/>
            <w:col w:w="3820"/>
          </w:cols>
          <w:pgMar w:left="980" w:top="517" w:right="99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Net cash flows provided by operating activities for the three months ended March 31, 2023 decreased $11.7 million as compared to the three months ended March 31, 2022, which resulted primarily from a period-over-period decrease in net income of $8.8 million</w:t>
      </w:r>
    </w:p>
    <w:p>
      <w:pPr>
        <w:sectPr>
          <w:pgSz w:w="11900" w:h="16838" w:orient="portrait"/>
          <w:cols w:equalWidth="0" w:num="1">
            <w:col w:w="9920"/>
          </w:cols>
          <w:pgMar w:left="980" w:top="517" w:right="99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a decrease of $0.8 million in non-cash reconciling items, an increase in prepaid expenses – related party and prepaid expenses and other current assets of $1.5 million, a decrease in accounts payable and accounts payable – related party of a $3.0 million, decrease in accrued expenses of $0.5 million, offset by a $2.5 million increase in deferred revenues and a $0.4 million increase in net accounts receivable and accounts receivable - related party.</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loss was $3.0 million for the three months ended March 31, 2023 as compared to a net income of $5.8 million for the three months ended March 31, 2022, representing a decrease of $8.8 million. The decrease was primarily due to a decrease in revenue of $14.6 million, an increase in research and development expense of $1.2 million, a net decrease in interest income – related party of $0.5 million, an increase in interest expense of $0.1 million, offset by a decrease in royalties of $3.2 million, a decrease in license cost and license right amortization of $1.3 million, a decrease in merchant and engine fees of $0.5 million, and a decrease in the Company’s tax provision of $2.3 million.</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Non-cash reconciling items were $1.0 million and $1.7 million for the three months ended March 31, 2023 and 2022, respectively, representing a decrease of $0.7 million. The decrease in the non-cash reconciling items was primarily due to a decrease of $1.3 million in amortization, partially offset by decrease in the interest income from shareholder loan of $0.5 million.</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increase in our net operating assets and liabilities between the three months ended March 31, 2023 and 2022 of $1.6 million was primarily the result of a net increase in accounts receivable and accounts receivable — related party of $0.4 million due to timing of receipts and payments from customers and a related party, a net increase in prepaid expenses — related party and prepaid expenses and other current assets of $1.5 million primarily driven by timing of payments of federal and state taxes and DLC development costs, a decrease in accounts payable and accounts payable — related party of $3.0 million resulting from decreased vendor accruals near the end of the period, a decrease in accrued expenses of $0.5 million due to timing of payments increasing in 2023 and the payoff of the accrued litigation in 2023, partially offset by an increase in deferred revenue of $2.5 million.</w:t>
      </w:r>
    </w:p>
    <w:p>
      <w:pPr>
        <w:spacing w:after="0" w:line="1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Our accounts receivable — related party represent revenues attributable to certain mobile games that, for administrative reasons, were collected on our behalf by SDE Inc. (“SDE”), an affiliated entity. SDE no longer collects such payments on our behalf; all such payments are received directly from the platforms through which we offer the relevant games. As of March 31, 2023 and December 31, 2022, the net outstanding balances of receivables due from SDE were $11.3 million. We expect accounts receivables owed to us by SDE will be repaid within a commercially reasonable period of time. In the event we do not receive timely remittance from SDE, we may hold back amounts owed to SDE from future licensing costs payable to SDE pursuant to our existing contractual relationship. See Note 5 — </w:t>
      </w:r>
      <w:r>
        <w:rPr>
          <w:rFonts w:ascii="Arial" w:cs="Arial" w:eastAsia="Arial" w:hAnsi="Arial"/>
          <w:sz w:val="16"/>
          <w:szCs w:val="16"/>
          <w:i w:val="1"/>
          <w:iCs w:val="1"/>
          <w:color w:val="auto"/>
        </w:rPr>
        <w:t xml:space="preserve">Accounts Receivable — Related Party </w:t>
      </w:r>
      <w:r>
        <w:rPr>
          <w:rFonts w:ascii="Arial" w:cs="Arial" w:eastAsia="Arial" w:hAnsi="Arial"/>
          <w:sz w:val="16"/>
          <w:szCs w:val="16"/>
          <w:color w:val="auto"/>
        </w:rPr>
        <w:t>to our condensed consolidated financial statements included in this Quarterly Report.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provided by investing activities for the three months ended March 31, 2023 decreased $1.5 million compared to the three months ended March 31, 2022 due to receipt by the Company of $1.5 million on the Pound Sand note in 2022.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Net cash flows used in financing activities for the three months ended March 31, 2023 were $2.0 million compared to net cash flows provided by financing activities of $9.0 million for the three months ended March 31, 2022. Financing activities for the three months ended March 31, 2023 included repayments of $1.7 million on a short term note, purchases of treasury stock in the amount of $0.3 million. Financing activities for the three months ended March 31, 2022 included $10.0 million of borrowings under our term loan, which was partially offset by repayments on our short term note in the amount of $0.8 million.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Registered Offering</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September 2022, we filed a Form S-1 Registration Statement with the United States Securities and Exchange Commission in connection with our IPO. As of the effective date of the Registration Statement, we became the parent company of Snail Games USA and a holding company, with our principal asset consisting of all the shares of common stock of Snail Games USA.</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is held to provide a source of funding for our indemnification obligations to the underwriters. The amount in escrow will be reported as a restricted escrow deposit for 12 months from the date of the IPO, at which time the restrictions will be removed and the balance will be reverted to unrestricted cash.</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primarily fund our operations from our net cash flows provided by operating activities. In addition to these cash flows, we have entered into certain debt arrangements to provide additional liquidity and to finance our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Revolving Loan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December 2018, we entered into a revolving loan and security agreement with a financial institution for a revolving note in the amount of $5.5 million. On June 17, 2021, we amended and restated our revolving loan and security agreement (the “2021 Revolving Loan”) to increase our revolving line of credit to $9.0 million. As amended, the 2021 Revolving Loan matures on December 31, 2023 and bears interest at a rate equal to the prime rate less 0.25%. Interest is due and payable under the 2021 Revolving Loan on a monthly basis, and borrowings under the 2021 Revolving Loan are secured by certain deposit accounts. The 2021 Revolving Loan is partially secured by the certificate of deposit accounts held with the financial institution, and reported as restricted cash, in the amounts of $5.3 million as of March 31, 2023. As of March 31, 2023, we had borrowings of $9.0 million outstanding under our 2021 Revolving Loan. We intend to extend the 2021 Revolving Loan prior to its maturity date. There is no guarantee that we will be able to extend the 2021 Revolving Loan on terms acceptable to us in the future, or at all.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 The Term Loan replaced and refinanced a previously outstanding $3.0 million promissory note due September 2021.</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January 2022, we amended and restated our 2021 Revolving Loan and we executed a promissory note to obtain an additional long-term loan with a principal balance of $10.0 million which was set to mature on January 26, 2023 (the “2022 Short Term Note”). In November 2022, the maturity date was extended to January 26, 2024. Interest is equal to the higher of 5.75% and the Wall Street Journal prime rate plus 0.50%. The 2022 Short Term Note is secured and collateralized by our existing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2023, we had borrowings of $4.2 million outstanding under the 2022 Short Term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2021 Revolving Loan, Term Loan and the 2022 Short Term Note require us to maintain a minimum debt service coverage ratio of 1.5 to 1.0. We were in compliance with, or had waivers for, all covenants under our debt facilities as of March 31, 2023.</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regarding our indebtedness, see Note 15 — </w:t>
      </w:r>
      <w:r>
        <w:rPr>
          <w:rFonts w:ascii="Arial" w:cs="Arial" w:eastAsia="Arial" w:hAnsi="Arial"/>
          <w:sz w:val="18"/>
          <w:szCs w:val="18"/>
          <w:i w:val="1"/>
          <w:iCs w:val="1"/>
          <w:color w:val="auto"/>
        </w:rPr>
        <w:t>Revolving Loan, Short Term Note and Long-Term Debt</w:t>
      </w:r>
      <w:r>
        <w:rPr>
          <w:rFonts w:ascii="Arial" w:cs="Arial" w:eastAsia="Arial" w:hAnsi="Arial"/>
          <w:sz w:val="18"/>
          <w:szCs w:val="18"/>
          <w:color w:val="auto"/>
        </w:rPr>
        <w:t xml:space="preserve"> to our unaudited condensed consolidated financial statements included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Our discussion and analysis of results of operations, financial condition, and liquidity are based upon our condensed consolidated financial statements, which have been prepared in accordance with U.S. GAAP. The preparation of these condensed consolidated financial statements requires us to make estimates and judgements that affect the reported amounts of assets and liabilities and disclosure of contingent assets and liabilities at the date of the condensed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Arial" w:cs="Arial" w:eastAsia="Arial" w:hAnsi="Arial"/>
          <w:sz w:val="17"/>
          <w:szCs w:val="17"/>
          <w:i w:val="1"/>
          <w:iCs w:val="1"/>
          <w:color w:val="auto"/>
        </w:rPr>
        <w:t>Summary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Significant Accounting Policies </w:t>
      </w:r>
      <w:r>
        <w:rPr>
          <w:rFonts w:ascii="Arial" w:cs="Arial" w:eastAsia="Arial" w:hAnsi="Arial"/>
          <w:sz w:val="17"/>
          <w:szCs w:val="17"/>
          <w:color w:val="auto"/>
        </w:rPr>
        <w:t>to our unaudited condensed consolidated financial statements included in this Quarterly Report.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that the following critical accounting policies and estimates have the greatest potential impact on our unaudited condensed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Company’s publishing and development business requires significant investments in intangible assets such as licensing rights. The carrying values of these intangibles are periodically reviewed and adjusted, as appropriate, based on estimates of their useful lives, futures cash flows and fair values. Estimates of futures cash flows may vary from period to period depending on market factors such as media and gaming trends and current sales trends. If these estimates result in a reduction in cash flows the Company may recognize an impairment loss on the intangible asset, similar to what occurred with the Company’s </w:t>
      </w:r>
      <w:r>
        <w:rPr>
          <w:rFonts w:ascii="Arial" w:cs="Arial" w:eastAsia="Arial" w:hAnsi="Arial"/>
          <w:sz w:val="17"/>
          <w:szCs w:val="17"/>
          <w:i w:val="1"/>
          <w:iCs w:val="1"/>
          <w:color w:val="auto"/>
        </w:rPr>
        <w:t>Atlas</w:t>
      </w:r>
      <w:r>
        <w:rPr>
          <w:rFonts w:ascii="Arial" w:cs="Arial" w:eastAsia="Arial" w:hAnsi="Arial"/>
          <w:sz w:val="17"/>
          <w:szCs w:val="17"/>
          <w:color w:val="auto"/>
        </w:rPr>
        <w:t xml:space="preserve"> license in fiscal year 2021. The Company did not have any material changes in these estimates during the three months ended March 31, 2023 but believe it is reasonably possible that changes may occur in future periods.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recognizes, defers, and classifies the timing of deferred revenues from the sale of its products based on the release date, technical support obligations and timing of its performance obligations. The technical support obligations are estimated based on our internal estimates of the average period a player is expected to play the game. These estimates will vary by platform and could change from period to period depending on user trends. An increase in use estimate could result in a reclassification of deferred revenues from short term to long term and extend the period over which we would recognize said revenue resulting in a lower net income in future periods. Changes in estimates of our release schedule may also affect the classification of short and long term deferred revenues and the rate at which deferred revenue is recognized, which could have a material impact on the Company’s condensed consolidated financial statements.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Service Period</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consider a variety of data points when determining and subsequently reassessing the estimated service period for players of our software products. Primarily, we review the weighted average number of days between players’ first and last days played online. When a new game is launched and no history of online player data is available, we consider other factors to determine the user life, such as the estimated service period of other games actively being sold with similar characteristics. We also consider known online trends, the service periods of our previously released software products, and, to the extent publicly available, the service periods of our competitors’ software products that are similar in nature to ours.</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believe this provides a reasonable depiction of the use of games by our customers, as it is the best representation of the period during which our customers play our software products.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virtual goods are generally approximately 30 to 100 days.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recognizes deferred income taxes based on estimates of future taxable income and the utilization of tax loss carryforwards. Changes in tax laws or the level of future taxable income could affect the realizability of deferred income tax assets. The Company’s deferred income tax assets reflect the net tax effects of temporary differences between the carrying amounts of assets and liabilities for financial reporting purposes and the amounts used for income tax purposes. The Company’s estimates of deferred income taxes are based on its assessment of the likelihood of realizing the benefits of the tax assets and are reviewed annually. Changes in these estimates may have a material impact on the Company’s unaudited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please 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unaudited condensed consolidated financial statements included in this Quarterly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condensed consolidated financial statements may not be comparable to those of companies that comply with new or revised accounting pronouncements as of public company effective dates.</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“smaller reporting company” as defined by Item 10 of Regulation S-K, the Company is not required to provide the information required by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maintains disclosure controls and procedures (as defined in Rule 13a-15 € under the Exchange Act) that are designed to ensure that information required to be disclosed in the Company’s reports under the Exchange Act is recorded, processed, summarized and reported within the time periods specified in the Securities and Exchange Commission’s rules and forms, and that such information is accumulated and communicated to the Company’s management, including the Chief Executive Officer and the Chief Financial Officer, as appropriate, to allow timely decisions regarding required disclosure.</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Exchange Act), as of March 31, 2023. A material weakness is a deficiency, or combination of deficiencies, in internal control over financial reporting, such that there is a reasonable possibility that a material misstatement of our annual and interim financial statements will not be prevented or detected in a timely manner. Based on that evaluation, the Chief Executive Officer and Chief Financial Officer have concluded that our disclosure controls and procedures were not effective as of such date due to a material weakness in the internal control over financial reporting involving failure to properly design and implement controls related to the accounting for income taxes and equity, failure to design and implement sufficient disclosure controls related to certain items in the statement of cash flows, and failure to properly classify certain operating expenses in the consolidated financial statements and deferred taxes in the consolidated footnotes. We intend to enhance our financial reporting close control procedures and hire additional personnel with a depth of knowledge and experience to join our accounting and finance organization in order to remediate this material weakness. During the process for preparing the unaudited condensed consolidated financial statements for the three months ended March 31, 2023, we identified a previously undisclosed related party transaction involving an affiliate of Mr. Hai Shi, our Founder, Chairman, and Chief Strategy Officer. The previously undisclosed related party transaction was a commercial real property lease that was executed by Snail Games USA Inc., our principal operating subsidiary, but was utilized and paid for by an affiliated entity controlled by Mr. Shi. We</w:t>
      </w:r>
    </w:p>
    <w:p>
      <w:pPr>
        <w:sectPr>
          <w:pgSz w:w="11900" w:h="16838" w:orient="portrait"/>
          <w:cols w:equalWidth="0" w:num="1">
            <w:col w:w="9920"/>
          </w:cols>
          <w:pgMar w:left="980" w:top="517" w:right="99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evaluated the impact of including the previously unreported right of use asset and lease liability related to this lease on our historical consolidated financial statements and concluded it did not have a material impact on our previously filed financial statements. Accordingly, we corrected the reporting in the unaudited condensed consolidated financial statements for the three months ended March 31, 2023. However, the lack of effective control over the identification of related party transactions gives rise to a material weakness in our internal control over financial reporting. We plan to remediate this internal control weakness by inquiring of all executive management and board of directors of any contracts entered into on behalf of the Company, or its subsidiaries, on a quarterly basis. Further, the Company intends to review any unusual and recurring significant payments for related contracts. See Part II Item 1A “Risk Factors — General Risk Factors — 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spacing w:after="0" w:line="17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light of the material weakness, we performed additional analyses and reconciliations to determine that our unaudited condensed consolidated financial statements are prepared in accordance with U.S. GAAP. Accordingly, the Chief Executive Officer and Chief Financial Officer concluded that the unaudited condensed consolidated financial statements included in this Quarterly Report fairly present in all material respects our financial condition, results of operations and cash flows for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March 31, 2023,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Item 1 of Part I, “Unaudited Condensed Consolidated Financial Statements — Note 18 </w:t>
      </w:r>
      <w:r>
        <w:rPr>
          <w:rFonts w:ascii="Arial" w:cs="Arial" w:eastAsia="Arial" w:hAnsi="Arial"/>
          <w:sz w:val="18"/>
          <w:szCs w:val="18"/>
          <w:i w:val="1"/>
          <w:iCs w:val="1"/>
          <w:color w:val="auto"/>
        </w:rPr>
        <w:t>Commitments and Contingencies —</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description of the risks and uncertainties associated with our business is set forth below. You should carefully consider the risks and uncertainties described below, as well as the other information in this Quarterly Report, including our unaudited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 the following:</w:t>
      </w:r>
    </w:p>
    <w:p>
      <w:pPr>
        <w:spacing w:after="0" w:line="188" w:lineRule="exact"/>
        <w:rPr>
          <w:sz w:val="20"/>
          <w:szCs w:val="20"/>
          <w:color w:val="auto"/>
        </w:rPr>
      </w:pPr>
    </w:p>
    <w:p>
      <w:pPr>
        <w:ind w:left="1000" w:hanging="317"/>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Due to our recent net loss, negative cash flow from operations, and significant revolving and term debt coming due in less than 12 months, there is substantial doubt about our ability to continue as a going concern.</w:t>
      </w:r>
    </w:p>
    <w:p>
      <w:pPr>
        <w:spacing w:after="0" w:line="170"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We are dependent on the future success of our </w:t>
      </w:r>
      <w:r>
        <w:rPr>
          <w:rFonts w:ascii="Arial" w:cs="Arial" w:eastAsia="Arial" w:hAnsi="Arial"/>
          <w:sz w:val="18"/>
          <w:szCs w:val="18"/>
          <w:i w:val="1"/>
          <w:iCs w:val="1"/>
          <w:color w:val="auto"/>
        </w:rPr>
        <w:t>ARK</w:t>
      </w:r>
      <w:r>
        <w:rPr>
          <w:rFonts w:ascii="Arial" w:cs="Arial" w:eastAsia="Arial" w:hAnsi="Arial"/>
          <w:sz w:val="18"/>
          <w:szCs w:val="18"/>
          <w:color w:val="auto"/>
        </w:rPr>
        <w:t xml:space="preserve"> franchise, and we must continue to publish “hit” titles or sequels to such “hit” titles in order to compete successfully in our industry.</w:t>
      </w:r>
    </w:p>
    <w:p>
      <w:pPr>
        <w:spacing w:after="0" w:line="170"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do not consistently deliver popular, high-quality content in a timely manner, if we are not successful in meaningfully expanding our existing franchise, or if consumers prefer products from our competitors, our business may be negatively impacted.</w:t>
      </w:r>
    </w:p>
    <w:p>
      <w:pPr>
        <w:spacing w:after="0" w:line="183" w:lineRule="exact"/>
        <w:rPr>
          <w:rFonts w:ascii="Arial" w:cs="Arial" w:eastAsia="Arial" w:hAnsi="Arial"/>
          <w:sz w:val="18"/>
          <w:szCs w:val="18"/>
          <w:color w:val="auto"/>
        </w:rPr>
      </w:pPr>
    </w:p>
    <w:p>
      <w:pPr>
        <w:jc w:val="both"/>
        <w:ind w:left="1000" w:hanging="317"/>
        <w:spacing w:after="0" w:line="25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We rely on license agreements to publish certain games, including games in our </w:t>
      </w:r>
      <w:r>
        <w:rPr>
          <w:rFonts w:ascii="Arial" w:cs="Arial" w:eastAsia="Arial" w:hAnsi="Arial"/>
          <w:sz w:val="18"/>
          <w:szCs w:val="18"/>
          <w:i w:val="1"/>
          <w:iCs w:val="1"/>
          <w:color w:val="auto"/>
        </w:rPr>
        <w:t>ARK</w:t>
      </w:r>
      <w:r>
        <w:rPr>
          <w:rFonts w:ascii="Arial" w:cs="Arial" w:eastAsia="Arial" w:hAnsi="Arial"/>
          <w:sz w:val="18"/>
          <w:szCs w:val="18"/>
          <w:color w:val="auto"/>
        </w:rPr>
        <w:t xml:space="preserve">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spacing w:after="0" w:line="186"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our key management and product development personnel.</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management team has limited experience managing a public company.</w:t>
      </w:r>
    </w:p>
    <w:p>
      <w:pPr>
        <w:spacing w:after="0" w:line="225"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subject to the risks of earthquakes, fire, floods, public health crises and other natural catastrophes and to interruption by man-made problems such as power disruptions, computer viruses, data security breaches or other incidents or terrorism.</w:t>
      </w:r>
    </w:p>
    <w:p>
      <w:pPr>
        <w:spacing w:after="0" w:line="183"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industry is subject to rapid technological change, and if we do not adapt to, and appropriately allocate our resources among, emerging technologies and business models, our business may be negatively impacted.</w:t>
      </w:r>
    </w:p>
    <w:p>
      <w:pPr>
        <w:spacing w:after="0" w:line="170" w:lineRule="exact"/>
        <w:rPr>
          <w:rFonts w:ascii="Arial" w:cs="Arial" w:eastAsia="Arial" w:hAnsi="Arial"/>
          <w:sz w:val="18"/>
          <w:szCs w:val="18"/>
          <w:color w:val="auto"/>
        </w:rPr>
      </w:pPr>
    </w:p>
    <w:p>
      <w:pPr>
        <w:jc w:val="both"/>
        <w:ind w:left="1000" w:hanging="317"/>
        <w:spacing w:after="0" w:line="25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third-party platforms, such as Xbox Live and Game Pass, PlayStation Network, Steam, Epic Games Store, the Apple App Store, the Google Play Store, My Nintendo Store and the Amazon Appstore, to distribute our games and collect revenues generated on such platforms and rely on third-party payment service providers to collect revenues generated on our own platforms.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100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on servers and networks to operate our games with online features. If we were to lose functionality in any of these areas for any reason, our business may be negatively impacted.</w:t>
      </w:r>
    </w:p>
    <w:p>
      <w:pPr>
        <w:spacing w:after="0" w:line="170"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effectively manage the continued growth and the scope and complexity of our business, including our expansion into new business models that are untested and into adjacent business opportunities with large, established competitors.</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interactive entertainment software industry is highly competitive.</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product development risks, which could result in delays and additional costs, and often times we must adapt to changes in software technologies.</w:t>
      </w:r>
    </w:p>
    <w:p>
      <w:pPr>
        <w:spacing w:after="0" w:line="170"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spacing w:after="0" w:line="183"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results of operations or reputation may be harmed as a result of objectionable consumer- or other third party-created content, or if our distributors, retailers, development, and licensing partners, or other third parties with whom we are affiliated, act in ways that put our brand at risk.</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debt obligations with short term durations that are coming due within one year.</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products or services we release may contain defects, bugs or errors.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External game developers may not meet product development schedules or otherwise fulfill their contractual obligations.</w:t>
      </w:r>
    </w:p>
    <w:p>
      <w:pPr>
        <w:spacing w:after="0" w:line="248" w:lineRule="exact"/>
        <w:rPr>
          <w:rFonts w:ascii="Arial" w:cs="Arial" w:eastAsia="Arial" w:hAnsi="Arial"/>
          <w:sz w:val="16"/>
          <w:szCs w:val="16"/>
          <w:color w:val="auto"/>
        </w:rPr>
      </w:pPr>
    </w:p>
    <w:p>
      <w:pPr>
        <w:ind w:left="100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cybersecurity-related attack, significant data breach, or disruption of the information technology systems or networks on which we rely could negatively impact our business.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results may fluctuate from quarter to quarter, which makes our future results difficult to predict.</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protect the intellectual property relating to our material software, the commercial value of our products will be adversely affected, and our competitive position could be harmed.</w:t>
      </w:r>
    </w:p>
    <w:p>
      <w:pPr>
        <w:spacing w:after="0" w:line="170" w:lineRule="exact"/>
        <w:rPr>
          <w:rFonts w:ascii="Arial" w:cs="Arial" w:eastAsia="Arial" w:hAnsi="Arial"/>
          <w:sz w:val="18"/>
          <w:szCs w:val="18"/>
          <w:color w:val="auto"/>
        </w:rPr>
      </w:pPr>
    </w:p>
    <w:p>
      <w:pPr>
        <w:jc w:val="both"/>
        <w:ind w:left="1000" w:hanging="317"/>
        <w:spacing w:after="0" w:line="259"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 “controlled company” under the corporate governance rules of Nasdaq and, as a result, qualify for and rely on exemptions from certain corporate governance requirements. Since we elected to rely on the exemptions available to a “controlled company,” you do not have the same protections afforded to stockholders of companies that are subject to such corporate governance requirements.</w:t>
      </w:r>
    </w:p>
    <w:p>
      <w:pPr>
        <w:spacing w:after="0" w:line="186"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Shi, our Founder, Chief Strategy Officer and Chairman, controls us, and his ownership of our common stock prevents you and other stockholders from influencing significant decisions.</w:t>
      </w:r>
    </w:p>
    <w:p>
      <w:pPr>
        <w:spacing w:after="0" w:line="170"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cannot guarantee that our Share Repurchase Program will be fully implemented, nor that it will enhance stockholder value, and share repurchases could affect the price of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Due to our recent net loss, negative cash flow from operations, and significant revolving and term debt coming due in less than 12 months, there is substantial doubt about our ability to continue as a going concern.</w:t>
      </w:r>
    </w:p>
    <w:p>
      <w:pPr>
        <w:spacing w:after="0" w:line="170"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For the three months ended March 31, 2023, we incurred a net loss of $3.0 million and had a negative cash flow from operations of $6.7 million. Our 2021 Revolving Loan and 2022 Short Term Note of $9.0 million and $4.2 million are due in December 2023 and January 2024, respectively. We intend to renegotiate with the lender to extend the maturity date of the 2021 Revolving Loan. However, there is no guarantee that we will be able to renegotiate the terms of the 2021 Revolving Loan with the lender at terms</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acceptable to us or at all. Additionally, we plan to repay the outstanding amounts under the 2022 Short Term Note pursuant to the terms of the 2022 Short Term Note agreement and to secure an additional debt arrangement.</w:t>
      </w:r>
    </w:p>
    <w:p>
      <w:pPr>
        <w:spacing w:after="0" w:line="17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may need to raise additional capital.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spacing w:after="0" w:line="177"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Our recent net loss, level of cash used in operations, debt obligations coming due in less than 12 months, potential need for additional capital, and the uncertainties surrounding our ability to raise additional capital and renegotiate our debt arrangements raise substantial doubt about our ability to continue as a going concern. For us to continue operations beyond the next 12 months and be able to discharge our liabilities and commitments in the normal course of business, we must re-establish profitable operations, renegotiate the terms of our debt arrangements or raise additional capital when needed. Our current goal is to improve our financial condition and ultimately improve our financial results by increasing revenues through increased sales of existing DLCs and game titles, launches of new DLCs and game titles and reduced expenses. However, if we are unable to do so on a timely basis, we will be required to seek additional sources of capital, including, but not limited to, equity and/or debt financings. There is no guarantee that we will be able to obtain additional capital on terms acceptable to us, if at all. If we are unable to renegotiate the terms of our debt arrangements, raise additional capital or re-establish profitable operations, we will be unable to continue to fund our operations, develop new gaming content, realize value from our assets or discharge our liabilities in the normal course of business. If we are unable to continue as a going concern, we could be required to liquidate our assets, and potentially realize significantly less than the values at which our assets are carried on our unaudited condensed consolidated financial statements, and our stockholders could lose all or part of their investment in our common stock.</w:t>
      </w:r>
    </w:p>
    <w:p>
      <w:pPr>
        <w:spacing w:after="0" w:line="18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unaudited condensed consolidated financial statements for the three months ended March 31, 2023 were prepared on a going concern basis in accordance with GAAP. The going concern basis assumes that we will continue in operation for the next 12 months and will be able to realize our assets and discharge our liabilities and commitments in the normal course of business. Thus, our unaudited condensed consolidated financial statements included in this Quarterly Report do not include any adjustments that might be necessary if we are unable to continue as a going concern.</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dependent on the future success of our ARK franchise, and we must continue to publish “hit” titles or sequels to such “hit” titles in order to compete successfully in our industry.</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ARK </w:t>
      </w:r>
      <w:r>
        <w:rPr>
          <w:rFonts w:ascii="Arial" w:cs="Arial" w:eastAsia="Arial" w:hAnsi="Arial"/>
          <w:sz w:val="17"/>
          <w:szCs w:val="17"/>
          <w:color w:val="auto"/>
        </w:rPr>
        <w:t>is a “hit” product and has historically accounted for a substantial portion of our revenue. The</w:t>
      </w:r>
      <w:r>
        <w:rPr>
          <w:rFonts w:ascii="Arial" w:cs="Arial" w:eastAsia="Arial" w:hAnsi="Arial"/>
          <w:sz w:val="17"/>
          <w:szCs w:val="17"/>
          <w:i w:val="1"/>
          <w:iCs w:val="1"/>
          <w:color w:val="auto"/>
        </w:rPr>
        <w:t xml:space="preserve"> ARK </w:t>
      </w:r>
      <w:r>
        <w:rPr>
          <w:rFonts w:ascii="Arial" w:cs="Arial" w:eastAsia="Arial" w:hAnsi="Arial"/>
          <w:sz w:val="17"/>
          <w:szCs w:val="17"/>
          <w:color w:val="auto"/>
        </w:rPr>
        <w:t>franchise contributed 90.0%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our net revenue for the three months ended March 31, 2023, and our five best-selling franchises (including </w:t>
      </w:r>
      <w:r>
        <w:rPr>
          <w:rFonts w:ascii="Arial" w:cs="Arial" w:eastAsia="Arial" w:hAnsi="Arial"/>
          <w:sz w:val="17"/>
          <w:szCs w:val="17"/>
          <w:i w:val="1"/>
          <w:iCs w:val="1"/>
          <w:color w:val="auto"/>
        </w:rPr>
        <w:t>ARK</w:t>
      </w:r>
      <w:r>
        <w:rPr>
          <w:rFonts w:ascii="Arial" w:cs="Arial" w:eastAsia="Arial" w:hAnsi="Arial"/>
          <w:sz w:val="17"/>
          <w:szCs w:val="17"/>
          <w:color w:val="auto"/>
        </w:rPr>
        <w:t>), which may change year over year, in the aggregate accounted for 94.9% of our net revenue for the three months ended March 31, 2023.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spacing w:after="0" w:line="182"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we do not consistently deliver popular, high-quality content in a timely manner, if we are not successful in meaningfully expanding our existing franchise, or if consumers prefer products from our competitors, our business may be negatively impacted.</w:t>
      </w:r>
    </w:p>
    <w:p>
      <w:pPr>
        <w:spacing w:after="0" w:line="10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Consumer preferences for games are usually cyclical and difficult to predict. Even the most successful games can lose consumer audiences over time, and remaining popular is increasingly dependent on the games being refreshed with new content or other enhancements. In order to remain competitive and maximize the chances that consumers select our products as opposed to the various entertainment options available to them and with which we compete, we must continuously develop new products or new content for, or other enhancements to, our existing products. These products or enhancements may not be well-received by consumers, even if well-reviewed and of high quality. Our competitors include very large corporations with significantly greater financial, marketing and product development resources than we have and many smaller competitors, particularly on the mobile platform. Our larger competitors may be able to leverage their greater financial, technical, personnel and other resources to provide larger budgets for development and marketing</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and make higher offers to licensors and developers for commercially desirable properties, as well as adopt more aggressive pricing policies to develop more commercially successful video game products than we do. Further, competitors may develop content that imitates or competes with our best-selling games, potentially reducing our sales or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high-quality and well-received games or enhancements to those games, if our marketing fails to resonate with our consumers, if we are not successful in meaningfully expanding our franchises further on the mobile platform or if consumers lose interest in a genre of games we produce, our revenues and profit margins could decline. In addition, our own best-selling products could compete with our other games, reducing sales for those other games. Further, a failure by us to develop a high-quality product, or our development of a product that is otherwise not well-received, could potentially result in additional expenditures to respond to consumer demands, harm our reputation, and increase the likelihood that our future products will not be well-received. The increased importance of DLC to our business amplifies these risks, as DLC for poorly-received games typically generates lower-than-expected sales. The increased demand for consistent enhancements to our products also requires a greater allocation of financial resources to those products.</w:t>
      </w:r>
    </w:p>
    <w:p>
      <w:pPr>
        <w:spacing w:after="0" w:line="18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proprietary online gaming service,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 Our games with online features are also frequently updated, increasing the risk that a game may contain significant errors, or “bugs.” If any of these issues occur, consumers may stop playing the game and may be less likely to return to the game as often in the future, which may negatively impact our business.</w:t>
      </w:r>
    </w:p>
    <w:p>
      <w:pPr>
        <w:spacing w:after="0" w:line="16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 delays in product releases or disruptions following the commercial release of one or more new products could negatively impact our business and reputation and could cause our results of operations to be materially different from expectations. If we fail to release our products in a timely manner, or if we are unable to continue to extend the life of existing games by adding features and functionality that will encourage continued engagement with the game, our business may be negatively impacted.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amount of lead time and cost involved in the development of high-quality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up-front development and marketing costs associated with those products.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We rely on license agreements to publish certain games, including games in our </w:t>
      </w:r>
      <w:r>
        <w:rPr>
          <w:rFonts w:ascii="Arial" w:cs="Arial" w:eastAsia="Arial" w:hAnsi="Arial"/>
          <w:sz w:val="18"/>
          <w:szCs w:val="18"/>
          <w:b w:val="1"/>
          <w:bCs w:val="1"/>
          <w:color w:val="auto"/>
        </w:rPr>
        <w:t>ARK</w:t>
      </w:r>
      <w:r>
        <w:rPr>
          <w:rFonts w:ascii="Arial" w:cs="Arial" w:eastAsia="Arial" w:hAnsi="Arial"/>
          <w:sz w:val="18"/>
          <w:szCs w:val="18"/>
          <w:b w:val="1"/>
          <w:bCs w:val="1"/>
          <w:i w:val="1"/>
          <w:iCs w:val="1"/>
          <w:color w:val="auto"/>
        </w:rPr>
        <w:t xml:space="preserve">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from SDE, the parent company of Studio Wildcard, which is also an entity that is owned and controlled by the spouse of our Founder, Chief Strategy Officer and Chairman, Mr. Shi. We entered into an original exclusive software license agreement with SDE in November 2015, for the rights to </w:t>
      </w:r>
      <w:r>
        <w:rPr>
          <w:rFonts w:ascii="Arial" w:cs="Arial" w:eastAsia="Arial" w:hAnsi="Arial"/>
          <w:sz w:val="17"/>
          <w:szCs w:val="17"/>
          <w:i w:val="1"/>
          <w:iCs w:val="1"/>
          <w:color w:val="auto"/>
        </w:rPr>
        <w:t>ARK: Survival Evolved</w:t>
      </w:r>
      <w:r>
        <w:rPr>
          <w:rFonts w:ascii="Arial" w:cs="Arial" w:eastAsia="Arial" w:hAnsi="Arial"/>
          <w:sz w:val="17"/>
          <w:szCs w:val="17"/>
          <w:color w:val="auto"/>
        </w:rPr>
        <w:t xml:space="preserve">, and subsequently entered into the amended and restated ARK1 License Agreement. In December 2022, we amended the ARK1 License Agreement.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contributed 90.0% of our net revenue for the three months ended March 31, 2023.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 included in the Company’s Annual Report on Form 10-K for the fiscal year ended December 31, 2022.</w:t>
      </w:r>
    </w:p>
    <w:p>
      <w:pPr>
        <w:sectPr>
          <w:pgSz w:w="11900" w:h="16838" w:orient="portrait"/>
          <w:cols w:equalWidth="0" w:num="1">
            <w:col w:w="9920"/>
          </w:cols>
          <w:pgMar w:left="980" w:top="517"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key management and product development personnel.</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Our continued success will depend to a significant extent on our senior management team and maintaining positive relationships with our games’ developers, including Studio Wildcard, and the product development personnel responsible for content creation and development of our </w:t>
      </w:r>
      <w:r>
        <w:rPr>
          <w:rFonts w:ascii="Arial" w:cs="Arial" w:eastAsia="Arial" w:hAnsi="Arial"/>
          <w:sz w:val="16"/>
          <w:szCs w:val="16"/>
          <w:i w:val="1"/>
          <w:iCs w:val="1"/>
          <w:color w:val="auto"/>
        </w:rPr>
        <w:t>ARK</w:t>
      </w:r>
      <w:r>
        <w:rPr>
          <w:rFonts w:ascii="Arial" w:cs="Arial" w:eastAsia="Arial" w:hAnsi="Arial"/>
          <w:sz w:val="16"/>
          <w:szCs w:val="16"/>
          <w:color w:val="auto"/>
        </w:rPr>
        <w:t xml:space="preserve"> franchise. We are also highly dependent on the expertise, skill and knowledge of Mr. Shi, our Founder Chief Strategy Officer and Chairman, Mr. Jim Tsai, our Chief Executive Officer, and Mr. Peter Kang, our Chief Operating Officer.</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loss of the services of our executive officers, including Messrs. Shi, Tsai or Kang or certain key product development personnel, including those employed by studio partners, such as Studio Wildcard,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regulators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impact our business, operating results and financial condition.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public health crises and other natural catastrophes and to interruption by man-made problems such as power disruptions, computer viruses, data security breaches or other incidents, war or terrorism.</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corporate headquarters is located in Culver City, California. Additionally, we rely on third-party infrastructure, enterprise applications and internal technology systems for our development, marketing, operational support and sales activities. The West Coast of the United States, where our corporate headquarters are located, contains active earthquake zones and has been subject to numerous devastating wildfires and associated electrical blackouts. In the event of a catastrophic event, including a natural disaster such as an earthquake, hurricane, fire, flood, tsunami or tornado, or other catastrophic event such as power loss, telecommunications failure, software or hardware malfunction, cyber-attack, war, terrorist attack or incident of mass violence in the Los Angeles area or elsewhere where our operations are located or where certain other systems and applications that we rely on are hosted, we may be unable to continue our operations and may endure significant system interruptions, reputational harm, delays in our application development, lengthy interruptions in our platform, breaches of data security and loss of critical data, all of which could have an adverse effect on our future operating results. In addition, natural disasters, cyber-attacks, escalation of geopolitical tensions, including as a result of escalations in the ongoing conflict between Russia and Ukraine, acts of terrorism, public health crises, such as pandemics and epidemics, or other catastrophic events could cause disruptions in our or our customers’ businesses, national economies or the world economy as a whole.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industry is subject to rapid technological change, and if we do not adapt to, and appropriately allocate our resources among, emerging technologies and business models, our business may be negatively impacted.</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Technology changes rapidly in the interactive entertainment industry. We must continually anticipate and adapt to emerging technologies, such as cloud-based game streaming, and business models, such as free-to-play and subscription-based access to a portfolio of interactive content, to stay competitive. Forecasting the financial impact of these rapidly changing technologies and business models is inherently uncertain and volatile. Supporting a new technology or business model may require partnering with a new platform, business, or technology partner, which may be on terms that are less favorable to us than those for more traditional technologies or business models. If we invest in the development of interactive entertainment products for distribution channels that incorporate a new technology or business model that does not achieve significant commercial success, whether because of competition or otherwise, we may not recover the often substantial up-front costs of developing and marketing those products, or recover the opportunity cost of diverting management and financial resources away from other products or opportunities. Further, our competitors may adapt to an emerging technology or business model more quickly or effectively than we do, creating products that are technologically superior to ours, more appealing to consumers, or both.</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on the other hand, we elect not to pursue the development of products incorporating a new technology, or otherwise elect not to pursue new business models that achieve significant commercial success, it may have adverse consequences. It may take significant time and expenditures to shift product development resources to that technology or business model, and it may be more difficult to compete against existing products incorporating that technology or using that business model.</w:t>
      </w:r>
    </w:p>
    <w:p>
      <w:pPr>
        <w:spacing w:after="0" w:line="18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rely on third-party platforms, such as Xbox Live and Game Pass, PlayStation Network, Steam, Epic Games Store, the Apple App Store, the Google Play Store, My Nintendo Store and the Amazon Appstore, to distribute our games and collect revenues generated on such platforms and rely on third-party payment service providers to collect revenues generated on our own platforms.</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games are primarily purchased, accessed and operated through Xbox Live and Game Pass, PlayStation Network, Steam, Epic Games Store, and in the case of our mobile games, the Apple App Store, the Google Play Store and the Amazon Appstore. Substantially all of the games, DLC and in-game virtual items that we sell are purchased using the payment processing systems of these platforms and, for the three months ended March 31, 2023, 90.7% of our revenues were generated through Xbox Live and Game Pass, PlayStation Network, Steam, Epic Games Store, the Apple App Store, the Google Play Store, My Nintendo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spacing w:after="0" w:line="172" w:lineRule="exact"/>
        <w:rPr>
          <w:sz w:val="20"/>
          <w:szCs w:val="20"/>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platform providers discontinue or limit our access to their platforms;</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governments or private parties, such as internet providers, impose bandwidth restrictions, increase charges or restrict or prohibit access to those platforms;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platforms increase the fees they charge us;</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platforms modify their algorithms, communication channels available to developers, respective terms of service or other policies;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platforms decline in popularity;</w:t>
      </w:r>
    </w:p>
    <w:p>
      <w:pPr>
        <w:spacing w:after="0" w:line="225"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platforms elect or are required to change how they label free-to-play games or take payment for in-game purchases;</w:t>
      </w:r>
    </w:p>
    <w:p>
      <w:pPr>
        <w:spacing w:after="0" w:line="248" w:lineRule="exact"/>
        <w:rPr>
          <w:rFonts w:ascii="Arial" w:cs="Arial" w:eastAsia="Arial" w:hAnsi="Arial"/>
          <w:sz w:val="16"/>
          <w:szCs w:val="16"/>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platforms block or limit access to the genres of games that we provide in any jurisdiction;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platform experiences a bankruptcy or other form of insolvency event; or</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unable to comply with the platform providers’ terms of service.</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servers and networks to operate our games with online features. If we were to lose functionality in any of these areas for any reason, our business may be negatively impacted.</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business relies on the continuous operation of servers, the vast majority of which are owned and operated by third parties. Although we strive to maintain more than sufficient server capacity, and provide for active redundancy in the event of limited hardware failure, any broad-based catastrophic server malfunction, a significant service-disrupting attack or intrusion by hackers that circumvents security measures, a failure of disaster recovery service or the failure of a company on which we are relying for server capacity to provide that capacity for whatever reason would likely degrade or interrupt the functionality of our games with online features, and could prevent the operation of such games altogether, any of which could result in the loss of sales for, or in, such games. The risk is particularly pronounced with respect to our multiplayer game services, which rely on systems hosted in a hybrid of data centers across the world as well as cloud providers. Further, insufficient server capacity, in particular during times of peak player activity corresponding with the release of new games or DLC, could affect our ability to provide game services, which could negatively impact our business. Conversely, if we overestimate the amount of server capacity required by our business, we may incur additional operating costs.</w:t>
      </w:r>
    </w:p>
    <w:p>
      <w:pPr>
        <w:spacing w:after="0" w:line="16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also rely on platforms and networks operated by third parties, such as Xbox Live and Game Pass, PlayStation Network, Steam, My Nintendo Store and Epic Games Store for the sale and digital delivery of downloadable console and PC game content, the functionality of our games with online features. Similarly, we rely on those platforms and networks, as well as the continued operation of the Apple App Store, the Google Play Store and the Amazon Appstore for our free-to-play games. An extended interruption to any of these services could adversely affect our ability to sell and distribute our digital products and operate our games with online features, which could result in a loss of revenue and otherwise negatively impact our business.</w:t>
      </w:r>
    </w:p>
    <w:p>
      <w:pPr>
        <w:spacing w:after="0" w:line="17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may be unable to effectively manage the continued growth and the scope and complexity of our business, including our expansion into new business models that are untested and into adjacent business opportunities with large, established competitors.</w:t>
      </w:r>
    </w:p>
    <w:p>
      <w:pPr>
        <w:spacing w:after="0" w:line="10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recent years, we have experienced significant growth in the scope and complexity of our business. From time to time we seek to establish and implement new business models, including eSports offerings, our </w:t>
      </w:r>
      <w:r>
        <w:rPr>
          <w:rFonts w:ascii="Arial" w:cs="Arial" w:eastAsia="Arial" w:hAnsi="Arial"/>
          <w:sz w:val="17"/>
          <w:szCs w:val="17"/>
          <w:i w:val="1"/>
          <w:iCs w:val="1"/>
          <w:color w:val="auto"/>
        </w:rPr>
        <w:t>NOIZ</w:t>
      </w:r>
      <w:r>
        <w:rPr>
          <w:rFonts w:ascii="Arial" w:cs="Arial" w:eastAsia="Arial" w:hAnsi="Arial"/>
          <w:sz w:val="17"/>
          <w:szCs w:val="17"/>
          <w:color w:val="auto"/>
        </w:rPr>
        <w:t xml:space="preserve"> influencer platform and animation ventures. Forecasting the success of any new business model is inherently uncertain and depends on a number of factors both within and outside of our control. Our actual revenue and profit for these businesses may be significantly greater or less than our forecasts. In addition, these new business models could fail, resulting in the loss of our investment in the development and infrastructure needed to support these new business models, as well as the opportunity cost of diverting management and financial resources away from more successful and established businesses. While we anticipate growth in these areas of our business, consumer demand is difficult to predict as a result of a number of factors, including satisfaction with our products and services, our ability to provide engaging products and services, reliability of our infrastructure and the infrastructure of our partners, pricing, the actual or perceived security of our and our partners’ information technology systems and reductions in consumer spending levels.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do not know to what extent these and any future expansions into new business models will be successful. Further, even if successful, our aspirations for growth in our core businesses and these adjacent businesses could create significant challenges for our management, operational, and financial resources. If not managed effectively, this growth could result in the over-extension of our operating infrastructure, and our management systems, information technology systems, and internal controls and procedures may not be adequate to support this growth. Failure by these new businesses or failure to adequately manage our growth in any of these ways may damage our brand or otherwise negatively impact our core business. Further, the success of these new businesses is largely contingent on the success of our underlying franchises and as such, a decline in the popularity of a franchise may impact the success of the new businesses adjacent to that franchise.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interactive entertainment software industry is highly competitive.</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compete for the sale of interactive entertainment software with Sony and Microsoft, each of which is a large developer and marketer of software for its own platforms. We also compete with game publishers, such as Activision Blizzard, Inc., Electronic Arts Inc., Take-Two Interactive, Ubisoft, Epic Games, Tencent, Zynga, Netmarble, Sony, Microsoft and Nintendo primarily for game development on consoles, PCs and mobile devices. Across the sandbox survival game genre, we primarily compete with Embracer Group, Saber Group, Enand Global 7, FunCom, Axolot Games and Facepunch Studios. As our business is dependent upon our ability to develop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and make higher offers to licensors and developers for commercially desirable properties. Our titles also compete with other forms of entertainment, such as social media and casual games, in addition to film, television and audio and video products featuring similar themes, online computer programs and other entertainment, which may be less expensive or provide other advantages to consumers.</w:t>
      </w:r>
    </w:p>
    <w:p>
      <w:pPr>
        <w:spacing w:after="0" w:line="17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 number of software publishers who compete with us have developed and commercialized or are currently developing online games. As technological advances significantly increase the availability of online games and as consumer acceptance of online gaming grows substantially, it could result in a decline in our platform-based software sales and negatively affect sales of such products.</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we compete with other forms of entertainment and leisure activities. While we monitor general market conditions, significant shifts in consumer demand that could materially alter public preferences for different forms of entertainment and leisure activities are difficult to predict. Failure to adequately identify and adapt to these competitive pressures could have a negative impact on our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product development risks, which could result in delays and additional costs, and often times we must adapt to changes in software technologies.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depend on our internal development studios and related-party developers to develop new interactive entertainment software within anticipated release schedules and cost projections. Our development costs can be substantial. If we or our related-party developers experience unanticipated development delays, financial difficulties or additional costs, for example, as a result of the COVID-19 pandemic or increasing costs due to inflation, we may not be able to release titles according to our schedule and at budgeted costs. There can be no assurance that our products will be sufficiently successful so that we can recoup these costs or make a profit on these products.</w:t>
      </w:r>
    </w:p>
    <w:p>
      <w:pPr>
        <w:spacing w:after="0" w:line="16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in order to stay competitive, our internal development studios must anticipate and adapt to rapid technological changes affecting software development, such as cloud-based game streaming. Any inability to respond to technological advances and implement new technologies could render our products obsolete or less marketable. Further, the failure to pursue the development of new technology, platforms, or business models that obtain meaningful commercial success in a timely manner may negatively affect our business, resulting in increased production or development costs and more strenuous competition.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derive most of our revenue from publishing video games on third-party platform providers, such as Xbox Live and Game Pass, PlayStation Network, Steam, Epic Games Store, the Apple App Store, the Google Play Store, My Nintendo Store and the Amazon Appstore, which, in the aggregate, comprised 90.7% of our net revenue by product platform for the three months ended March 31, 2023. The success of our business is subject to the continued popularity of these platforms and our ability to develop commercially successful products for these platforms.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results of operations or reputation may be harmed as a result of objectionable consumer- or other third party-created content, or if our distributors, retailers, development and licensing partners, or other third parties with whom we are affiliated, act in ways that put our brand at risk.</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Certain of our games support collaborative online features that allow consumers to communicate with one another and post narrative comments, in real time, that are visible to other consumers. Additionally, certain of our games allow consumers to create and share “user-generated content” that is visible to other consumers. From time to time, objectionable and offensive consumer content may be distributed within our games and on our broadcasts through these features or to gaming websites or other sites or forums with online chat features or that otherwise allow consumers to post comments. We may be subject to lawsuits, governmental regulation or restrictions, and consumer backlash (including decreased sales and harmed reputation), as a result of consumers posting offensive content.</w:t>
      </w:r>
    </w:p>
    <w:p>
      <w:pPr>
        <w:spacing w:after="0" w:line="16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many cases, our business partners and other third party affiliates are given access to sensitive and proprietary information or control over our intellectual property to provide services and support to our team. These third parties may misappropriate or misuse our information or intellectual property and engage in unauthorized use of it. Further, the failure of these third parties to provide adequate services and technologies or to adequately maintain or update their services and technologies could result in a disruption to our business operations or an adverse effect on our reputation and may negatively impact our business. At the same time, if the media, consumers or employees raise any concerns about our actions vis-à-vis third parties, including consumers who play our games, this could also harm our business, results of operations or our reputation.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products or services we release may contain defects, bugs or errors.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products and services contain or rely upon extremely complex software programs and are difficult to develop and distribute. We have quality controls in place to detect defects, bugs or other errors in our products and services before they are released. Nonetheless, these quality controls are subject to human error, overriding and resource or technical constraints. In addition, the effectiveness of our quality controls and preventative measures may be negatively affected by the distribution of our workforce resulting from, among other things, the COVID-19 pandemic. As such, these quality controls and preventative measures may not be effective in detecting all defects, bugs or errors in our products and services before they have been released into the marketplace. In such an event, the technological reliability and stability of our products and services could be below our standards and the standards of our players, and our reputation, brand and sales could be adversely affected. In addition, we could be required to, or may find it necessary to, offer a refund for the product or service, suspend the availability or sale of the product or service or expend significant resources to cure the defect, bug or error each of which could significantly harm our business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External game developers may not meet product development schedules or otherwise fulfill their contractual obligations.</w:t>
      </w:r>
    </w:p>
    <w:p>
      <w:pPr>
        <w:spacing w:after="0" w:line="2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heavily reliant upon contracts with external game developers to develop our games or distribute our games. While we maintain contractual protections, we have less control over the product development schedules of games developed by external developers. We depend on their ability to meet product development schedules which could be negatively affected by, among other things, the distributed workforce model resulting from the COVID-19 pandemic or the loss of key development personnel. In addition, disputes occasionally arise with external developers, including with respect to game content, launch timing, achievement of certain milestones, the game development timeline, marketing campaigns, contractual terms and interpretation of such terms. If we have disputes with external developers or they cannot meet product development schedules, acquire certain approvals or are otherwise unable or unwilling to fulfill their contractual obligations to us, we may delay or cancel previously announced games, alter our launch schedule or experience increased costs and expenses, which could result in a delay or significant shortfall in anticipated revenue, harm our profitability and reputation and cause our financial results to be materially affected.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cybersecurity-related attack, significant data breach or disruption of the information technology systems or networks on which we rely could negatively impact our business.</w:t>
      </w:r>
    </w:p>
    <w:p>
      <w:pPr>
        <w:spacing w:after="0" w:line="17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the course of our day-to-day business, we and third parties operating on our behalf and from which we license certain intellectual property create, store, and/or use commercially sensitive information, such as the source code and game assets for our interactive entertainment software products and sensitive and confidential information with respect to our customers, consumers, and employees. Our ability to effectively manage our business and coordinate the manufacturing, sourcing, distribution and sale of our interactive entertainment software products depends significantly on the reliability and capacity of these systems. We are critically dependent on the integrity, security and consistent operations of these systems. A malicious cybersecurity-related attack, intrusion or disruption by hackers (including through spyware, ransomware, viruses, phishing, denial of service and similar attacks) or other breach of the systems on which such source code and assets, account information (including personal information) and other sensitive data is stored could lead to piracy of our software, fraudulent activity, disclosure or misappropriation of, or access to, our customers’, consumers’ or employees’ personal information, or our own business data. Such incidents could also lead to product code-base and game distribution platform exploitation, should undetected viruses, spyware, or other malware be inserted into our products, services, or networks, or systems used by our consumers. We have implemented cybersecurity programs and the tools, technologies, processes, and procedures intended to secure our data and systems, and prevent and detect unauthorized access to, or loss of, our data, or the data of our customers, consumers or employees. However, because these cyberattacks may remain undetected for prolonged periods of time and the techniques used by criminal hackers and other third parties to breach systems are constantly evolving, change frequently and we may be unable to anticipate these techniques or implement adequate preventative measures. A data intrusion into a server for a game with online features or for our proprietary online gaming service could also disrupt the operation of such game or platform. If we are subject to cybersecurity breaches, or a security-related incident that materially disrupts the availability of our products and services, we may have a loss in sales or subscriptions or be forced to pay damages or incur other costs, including from the implementation of additional cyber and physical security measures, or suffer reputational damage. If there were a public perception that our data protection measures are inadequate, whether or not the case, it could result in reputational damage and potential harm to our business relationships or the public perception of our business model. In addition, such cybersecurity breaches may subject us to legal claims or proceedings, like individual claims and regulatory investigations and actions, including fines, especially if there is loss, disclosure, or misappropriation of, or access to, our customers’ personal information or other sensitive information, or there is otherwise an intrusion into our customers’ privacy.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successfully invest in, establish and maintain awareness of our brand and games or if we incur excessive expenses promoting and maintaining our brand or our games, our business, financial condition, results of operations or reputation could be harmed.</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believe that establishing and maintaining our brand is critical to maintaining and creating favorable relationships with players, platform providers, advertisers and content licensors, as well as competing for key talent. Increasing awareness of our brand and recognition of our games is particularly important in connection with our strategic focus on in-licensing games successfully cross-promoting such games. In addition, globalizing and extending our brand and recognition of our games requires significant investment and extensive management time to execute successfully. Although we make significant sales and marketing expenditures in connection with the launch of our games, these efforts may not succeed in increasing awareness of our brand or the new games. If we fail to increase and maintain brand awareness and consumer recognition of our games, our potential revenues could be limited, our costs could increase and our business, financial condition, results of operations or reputation could suffer.</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if a game contains objectionable content or the messaging functionality of our games is abused, we could experience damage to our reputation and brand. Despite reasonable precautions, some consumers may be offended by certain game content, including user-generated content, the third-party advertisements displayed in our mobile games, or by treatment of other users. If consumers believe that a game we published or third-party advertisement displayed in a game contains objectionable content, it could harm our brand and consumers could refuse to play it and could pressure the platform providers to remove the game from their platforms. For example, we rely on third-party advertising partners to display advertisements within our mobile games, and may experience in the future instances where offensive or objectionable content has been displayed in our games through our advertising partners. While this may violate the terms of our agreements with these advertising partners, our reputation and player experience may suffer. Furthermore, steps that we may take in response to such instances, such as temporarily or permanently shutting off access of such advertising partner to our network, may negatively impact our revenue in such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quarterly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w:t>
      </w:r>
    </w:p>
    <w:p>
      <w:pPr>
        <w:spacing w:after="0" w:line="187" w:lineRule="exact"/>
        <w:rPr>
          <w:sz w:val="20"/>
          <w:szCs w:val="20"/>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grow our player base;</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and increase revenue from existing customers;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introduce new features and functionalities and enhance existing features and functionalities;</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pricing changes and the introduction of new products and features by our competitors, or the emergence of new competitors;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 purchasing patterns of our consumers;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downtime or defects in our game and reputational harm;</w:t>
      </w:r>
    </w:p>
    <w:p>
      <w:pPr>
        <w:spacing w:after="0" w:line="225" w:lineRule="exact"/>
        <w:rPr>
          <w:rFonts w:ascii="Arial" w:cs="Arial" w:eastAsia="Arial" w:hAnsi="Arial"/>
          <w:sz w:val="18"/>
          <w:szCs w:val="18"/>
          <w:color w:val="auto"/>
        </w:rPr>
      </w:pPr>
    </w:p>
    <w:p>
      <w:pPr>
        <w:ind w:left="1000" w:hanging="317"/>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to financial accounting standards and the interpretation of those standards that may affect the way we recognize and report our financial results, including changes in accounting rules governing recognition of revenue;</w:t>
      </w:r>
    </w:p>
    <w:p>
      <w:pPr>
        <w:spacing w:after="0" w:line="146" w:lineRule="exact"/>
        <w:rPr>
          <w:rFonts w:ascii="Arial" w:cs="Arial" w:eastAsia="Arial" w:hAnsi="Arial"/>
          <w:sz w:val="17"/>
          <w:szCs w:val="17"/>
          <w:color w:val="auto"/>
        </w:rPr>
      </w:pPr>
    </w:p>
    <w:p>
      <w:pPr>
        <w:ind w:left="1000" w:hanging="31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political conditions and government regulations in the countries where we currently operate or plan to expand;</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decisions by us to incur additional expenses, such as increases in sales and marketing or research and development; and</w:t>
      </w:r>
    </w:p>
    <w:p>
      <w:pPr>
        <w:spacing w:after="0" w:line="248" w:lineRule="exact"/>
        <w:rPr>
          <w:rFonts w:ascii="Arial" w:cs="Arial" w:eastAsia="Arial" w:hAnsi="Arial"/>
          <w:sz w:val="16"/>
          <w:szCs w:val="16"/>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costs to attract, onboard, retain and motivate qualified personnel.</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The variability and unpredictability of our operating results could result in our failure to meet our expectations or those of analysts that cover us or investors with respect to revenue or other operating results for a particular period. If we fail to meet or exceed such expectations, then the trading price of our Class A common stock could fall substantially, and we could face costly lawsuits, including securities class action suits.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experienced rapid growth and expect to invest in our growth for the foreseeable future. If we fail to manage our growth effectively, then our business, operating results and financial condition would be adversely affected.</w:t>
      </w:r>
    </w:p>
    <w:p>
      <w:pPr>
        <w:spacing w:after="0" w:line="1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experienced rapid growth in recent periods, and we expect to continue to invest broadly across our organization to support our growth.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Failure to manage growth effectively could result in difficulty or delays in attracting new players, declines in quality or player satisfaction and demand for our games, increases in costs, difficulties in introducing new products and features or enhancing our offerings, loss of customers or consumers, difficulties in attracting or retaining talent or other operational difficulties, any of which could adversely affect our business, operating results and financial condition. Effectively managing our growth may also be more difficult to accomplish the longer that our employees, our customers and the overall economy is impacted by rising interest rates, inflation and the ongoing conflict in Ukraine.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intellectual property relating to our material software, the commercial value of our products will be adversely affected, and our competitive position could be harmed.</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highly reliant upon in-licensed intellectual property and developing proprietary software, where we have obtained the rights to publish and distribute software developed by third parties and related parties. We and our licensors attempt to protect our software and production techniques under patent, copyright, trademark and trade secret laws as well as through contractual restrictions on disclosure, copying and distribution. Nonetheless, our software is susceptible to piracy and unauthorized copying, and third parties may potentially exploit, misappropriate or otherwise violate our intellectual property and proprietary information, causing significant reputational damage. Unauthorized third parties, for example, may be able to copy or to reverse engineer our software to obtain and use programming or production techniques that we regard as proprietary. Well-organized piracy operations have also proliferated in recent years, resulting in the ability to download pirated copies of our software over the Internet. Although we attempt to incorporate protective measures into our software, piracy of our products could negatively affect our future profitability. In addition, “cheating” programs or other unauthorized software tools and modifications that enable consumers to cheat in games harm the experience of players who play fairly and could negatively impact the volume of microtransactions or purchases of DLC. Also, vulnerabilities in the design of our applications and of the platforms upon which they run could be discovered after their release. This may lead to lost revenues from paying consumers or increased cost of developing technological measures to respond to these vulnerabilities, either of which could negatively affect our business.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infringe, misappropriate, or otherwise violate or are alleged to infringe, misappropriate or otherwise violate the intellectual property rights of third parties, our business could be adversely affected.</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our industry grows, we may be subject to an increasing amount of litigation that is common in the software industry based on allegations of infringement or other alleged violations of patent, copyright, or trademarks. In addition, we believe that interactive entertainment software will increasingly become the subject of claims that such software infringes on the intellectual property rights of others with both the growth of online functionality and advances in technology, game content and software graphics as games become more realistic. From time to time, we may receive notices from third parties or be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would be harmed.</w:t>
      </w:r>
    </w:p>
    <w:p>
      <w:pPr>
        <w:spacing w:after="0" w:line="24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rely on trade secrets and proprietary knowledge to protect our unpatented know-how, expertise, technology and other proprietary information and to maintain our competitive position. We enter into nondisclosure and confidentiality agreements with our employees and independent contractors regarding our trade secrets and proprietary information in order to limit access to, and disclosure and use of, our trade secrets and proprietary information. Nevertheless, we cannot guarantee that we have entered into such agreements with each party that may have or has had access to our trade secrets or proprietary information. Furthermore, trade secrets are difficult to protect. We cannot assure you that the obligation to maintain the confidentiality of our trade secrets and proprietary information will be honored.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If any of our trade secrets were to be lawfully obtained or independently developed by a competitor or other third party, we would have no right to prevent them, or those to whom they communicate it, from using that technology or information to compete with us. If any of our material trade secrets were to be disclosed to or independently developed by a competitor, our competitive position would be harmed. In general, any loss of trade secret protection or other unpatented proprietary rights could harm our business, financial condition, results of operations, and prospects.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Many of our employees, consultants and advisors are currently or were previously employed at other companies in our field, including our competitors or potential competitors. Many of them executed proprietary rights, non-disclosure and/or non-competition agreements in connection with such previous employment or engagement. Although we try to ensure that our employees, consultants, and advisors do not use the intellectual property rights, proprietary information know-how or trade secrets of others in their work for us, we may be subject to claims that we or they have, inadvertently or otherwise, used, infringed, misappropriated or otherwise violated intellectual property rights, or disclosed the alleged trade secrets or other proprietary information, of any such individual’s current or former employer. Litigation may be necessary to defend against these claims. Any litigation or the threat of litigation may adversely affect our ability to hire employees or engage consultants and contractors. A loss of key personnel or their work product could hamper or prevent us from developing and commercializing products and product candidates, which could harm our business.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develops and/or reduces to practice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Accordingly, if we fail in prosecuting or defending any such claims, we may be required to pay monetary damages, and we may also lose valuable intellectual property rights or personnel, which could harm our competitive position and prospects. Such intellectual property rights could be awarded to a third-party, and we could be required to obtain a license from such third-party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Third parties, including our competitors, could be infringing, misappropriating or otherwise violating our owned and licensed trademarks, trade secrets or other intellectual property rights. Monitoring unauthorized use of our intellectual property is difficult, time-consuming and costly. The steps we have taken to protect our proprietary rights may not be adequate to enforce our rights against infringement, misappropriation or other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games.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future, we may make claims of infringement or misappropriation against third parties, or make claims that third-party intellectual property rights are invalid or unenforceable. These claims could:</w:t>
      </w:r>
    </w:p>
    <w:p>
      <w:pPr>
        <w:spacing w:after="0" w:line="170" w:lineRule="exact"/>
        <w:rPr>
          <w:sz w:val="20"/>
          <w:szCs w:val="20"/>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us to incur greater costs and expenses in the protection of our intellectual property;</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negatively impact our intellectual property rights, for example, by causing one or more of our intellectual property rights to be ruled or rendered unenforceable or invalid; or</w:t>
      </w:r>
    </w:p>
    <w:p>
      <w:pPr>
        <w:spacing w:after="0" w:line="170" w:lineRule="exact"/>
        <w:rPr>
          <w:rFonts w:ascii="Arial" w:cs="Arial" w:eastAsia="Arial" w:hAnsi="Arial"/>
          <w:sz w:val="18"/>
          <w:szCs w:val="18"/>
          <w:color w:val="auto"/>
        </w:rPr>
      </w:pPr>
    </w:p>
    <w:p>
      <w:pPr>
        <w:jc w:val="both"/>
        <w:ind w:left="1000" w:hanging="317"/>
        <w:spacing w:after="0" w:line="255"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divert our technical personnel’s or management’s attention and our resources. In any lawsuit we bring to enforce our intellectual property rights, a court may refuse to stop the other party from using the technology at issue on grounds that our intellectual property rights do not cover the technology in question, are not valid, or otherwise not enforceable against such other party. Further, in such proceedings, the defendant could counterclaim that our intellectual property is invalid or unenforceable and the court may agree, in which case we could lose valuable intellectual property rights. The outcome in any such lawsuit is unpredictable.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Litigation or other legal proceedings relating to intellectual property claims, even if resolved in our favor,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or cause reputational harm.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intellectual property proceedings could harm our ability to compete in the marketplace. In addition, because of the substantial amount of discovery required in connection with intellectual property litigation, there is a risk that some of our confidential information or trade secrets could be compromised by disclosure during this type of litigation. Any of the foregoing could harm our competitive position, business, financial condition, results of operations and prospects. For more information, see Item 1 of Part II, “Legal Proceedings.”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not be able to enforce our intellectual property rights throughout the world.</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or our licensors may be required to protect our proprietary technology and content in an increasing number of jurisdictions, a process that is expensive and may not be successful, or which we or our licensors may not pursue in every location due to costs, complexities or other reasons. Filing, prosecuting, maintaining, defending, and enforcing our owned or in-licensed intellectual property rights in all jurisdictions throughout the world would be prohibitively expensive, and our intellectual property rights in some jurisdictions outside the United States may be less extensive than those in the United States. Competitors may use our technologies in jurisdictions where we have not obtained intellectual property protection to develop their own games and, further, may export otherwise infringing, misappropriating, or otherwise violating games to territories where we have intellectual property protection, but enforcement is not as strong as that in the United States. These games may compete with our games, and our intellectual property rights may not be effective or sufficient to prevent such competition. In addition, the laws of some foreign jurisdictions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jurisdictions, particularly developing countries, do not favor the enforcement of intellectual property protection. This could make it difficult for us to stop the infringement, misappropriation or other violation of our intellectual property rights. Accordingly, we or our licensors may choose not to seek protection in certain jurisdictions, and we will not have the benefit of protection in such jurisdictions. Proceedings to enforce our intellectual property rights in foreign jurisdictions could result in substantial costs and divert our efforts and attention from other aspects of our business. Accordingly, our or our licensors’ efforts to protect our intellectual property rights in such jurisdictions may be inadequate. In addition, changes in the law and legal decisions by courts in the United States and foreign jurisdictions may affect our ability to obtain adequate protection for our games and other technologies and the enforcement of intellectual property rights. Any of the foregoing could harm our competitive position, business, financial condition, results of operations and prospects.</w:t>
      </w:r>
    </w:p>
    <w:p>
      <w:pPr>
        <w:spacing w:after="0" w:line="3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registered or unregistered trademarks or trade names that we own or license may be challenged, infringed, circumvented, declared generic, lapsed or determined to be infringing on or dilutive of other trademarks. We may not be able to protect our rights in these trademarks and trade names, which we need in order to build name recognition. In addition, third parties have filed, and may in the future file, for registration of trademarks similar or identical to our owned or licensed trademarks, thereby impeding our ability to build brand identity and possibly leading to market confusion. If such third parties succeed in registering or developing common law rights in such trademarks, and if we are not successful in challenging such third-party rights, we may not be able to use these trademarks to develop brand recognition of our games. In addition, there could be potential trade name or trademark infringement claims brought by owners of other registered trademarks or trademarks that incorporate variations of our registered or unregistered owned or licensed trademarks or trade names. If we are unable to establish or protect our trademarks and trade names, or if we are unable to build name recognition based on our owned or licensed trademarks and trade names, we may not be able to compete effectively, which could harm our competitive position, business, financial condition, results of operations and prospects.</w:t>
      </w:r>
    </w:p>
    <w:p>
      <w:pPr>
        <w:spacing w:after="0" w:line="1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4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use open source software in connection with some of the games and services we offer and may continue to use open source software in the future. Some open source software licenses require users who distribute open source software as part of their software</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re-engineer our games or products, discontinue distribution in the event re-engineering cannot be accomplished on a timely basis, or take other remedial action that may divert resources away from our game development efforts, any of which could negatively impact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or Regulatory Compliance</w:t>
      </w:r>
    </w:p>
    <w:p>
      <w:pPr>
        <w:spacing w:after="0" w:line="229"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Changing data privacy and security laws and regulations in the jurisdictions in which we or our consumers do business could increase the cost of our operations and subject us to possible sanctions, civil lawsuits (including class action or similar representative lawsuits) and other penalties; such laws and regulations are continually evolving. Our platform and service providers’ actual or perceived failure to comply with these laws and regulations could harm our business financial condition and results of operations.</w:t>
      </w:r>
    </w:p>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collect, process, store, use and share data in our operations. While our business receives limited, if any, personal information of our end users from our platform providers, we may elect to collect such information in the future. Our business and the business of our platform providers are therefore subject to a number of federal, state, local and foreign laws, regulations, regulatory codes and guidelines governing data privacy, data protection and security, including with respect to the collection, storage, use, processing, transmission, sharing and protection of personal information. Such laws, regulations, regulatory codes and guidelines may be inconsistent across jurisdictions or conflict with other rules.</w:t>
      </w:r>
    </w:p>
    <w:p>
      <w:pPr>
        <w:spacing w:after="0" w:line="19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The legislative and regulatory landscapes for data privacy and security continue to evolve in jurisdictions worldwide, with an increasing focus on privacy and data protection issues with the potential to affect our business. In the United States, such privacy and data security laws and regulations include federal laws and regulations like the federal Controlling the Assault of Non-Solicited Pornography and Marketing Act, the Telephone Consumer Protection Act, the Do-Not-Call Implementation Act, and rules and regulations promulgated under the authority of the Federal Trade Commission and state laws like the California Consumer Privacy Act (“CCPA”) and the varying data breach notification laws that have been enacted in all 50 U.S. states and the District of Columbia. The CCPA, which became effective on January 1, 2020 and became enforceable by the California Attorney General on July 1, 2020, along with related regulations that came into force on August 14, 2020, provides additional individual privacy rights for California residents and places increased data privacy and security obligations on entities handling certain personal information of California residents and households. Among other things, the CCPA expands rights related to such individual’s personal information, including the right to access and require deletion of their personal information, opt out of certain personal information sharing, and receive detailed information about how their personal information is collected, used, and shared by covered business. Many of the CCPA’s requirements as applied to personal information obtained in a business to business context, as well as personal information of a business’s personnel and related individuals, were subject to a moratorium that expired on January 1, 2023. The CCPA provides for civil penalties for violations, as well as a private right of action and statutory damages for security breaches that may increase security breach litigation. The effects of the CCPA are significant and have required, and could continue to require, us to modify our data collection or processing practices and policies and to incur substantial costs and expenses in an effort to comply. Some observers have noted that the CCPA could mark the beginning of a trend toward more stringent state privacy legislation in the U.S., which could increase our potential liability and adversely affect our business. Further, in November 2020, California voters passed the California Privacy Rights Act (“CPRA”). The CPRA, which came into effect in most material respects on January 1, 2023 with a one-year look back period, significantly amended and expanded existing CCPA requirements, including, among other things, by introducing additional obligations such as data minimization and storage limitations on the sharing of personal information for cross on text behavioral advertising and on the use of “sensitive” personal information, granting additional rights to consumers, such as correction of personal information and additional opt-out rights, and creating a new entity, the California Privacy Protection Agency, to implement and enforce the law and impose administrative fines. There currently are a number of additional proposals related to data privacy or security pending before federal, state, and foreign legislative and regulatory bodies, including in a number of U.S. states considering comprehensive consumer protection laws. States such as Virginia, Colorado, Utah and Connecticut have passed comprehensive data privacy laws that have become effective, or will become effective in the near future. Such legislation may add complexity, variation in requirements, restrictions and</w:t>
      </w:r>
    </w:p>
    <w:p>
      <w:pPr>
        <w:spacing w:after="0" w:line="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16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Many of the other jurisdictions where we or our customers do business, including the EU, also have restrictive laws and regulations dealing with the processing of personal information.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the European Union’s Regulation (EU) 2016/679 of the European</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Parliament and of the Council of 27 April 2016 on the protection of natural persons with regard to the processing of personal data and on the free movement of such data, and repealing Directive 95/46/EC (the “General Data Protection Regulation” or “GDPR”) became effective in May 2018, imposes strict requirements on controllers and processors of personal data in the European Economic Area (“EEA”), including, for example, higher standards for obtaining consent from individuals to process their personal data, more robust disclosures to individuals and a strengthened individual data rights regime, greater control for data subjects (including the “right to be forgotten” and data portability) and shortened timelines for data breach notifications. The GDPR created new compliance obligations applicable to our business and our platform and service providers,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Failure to comply with the requirements of GDPR may result in significant fines of up to €20,000,000 or up to 4% of the total worldwide annual turnover of the preceding financial year, whichever is higher, and other administrative penalties. The United Kingdom operates a separate but similar regime to the European Union with which we will have to comply and that allows for fines of up to the greater of £17.5 million or 4% of the total worldwide annual turn over of the preceding financial year. Further, beginning January 1, 2021, we have been required to comply with the GDPR and also the United Kingdom GDPR (“UK GDPR”), which, together with the amended United Kingdom Data Protection Act 2018, retains the GDPR in United Kingdom national law. The relationship between the United Kingdom and the European Union in relation to certain aspects of data protection law remains unclear, and it is unclear how the United Kingdom’s data protection laws and regulations will develop in the medium to longer term, and how data transfers to and from the United Kingdom will be regulated in the long term. For example, while the EU Commission has adopted an adequacy decision in favor of the United Kingdom, enabling data transfers from European Union member states to the United Kingdom without additional safeguards, the decision will automatically expire in June 2025 unless the EU Commission re-assesses and renews/extends it. These changes may lead to additional costs and increase our overall risk exposure.</w:t>
      </w:r>
    </w:p>
    <w:p>
      <w:pPr>
        <w:spacing w:after="0" w:line="18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Recent legal developments also have created compliance uncertainty regarding the transfer of personal information from the U.K. and EEA to certain locations outside of the U.K. and EEA where we or our clients operate or conduct business. In July 2020, the Court of Justice of the European Union (“CJEU”) ruled the EU-US Privacy Shield Framework, one of the primary safeguards that allowed U.S. companies to import personal data from the EU to the U.S., was invalid. The CJEU’s decision also raised questions about whether the most commonly used mechanism for cross-border transfers of personal data out of the EEA, namely, the European Commission’s Standard Contractual Clauses, can lawfully be used for personal data transfers from the EU to the U.S. or other third countries the European Commission has determined do not provide adequate data protections under their laws. On June 4, 2021, the European Commission published new Standard Contractual Clauses (which became effective on June 27, 2021), which impose on companies additional obligations relating to data transfers, including in the transfer, to implement additional security measures and update internal privacy practices. If we elect to rely on the new Standard Contractual Clauses for applicable data transfers, we may be required to incur significant time and resources to update our contractual arrangements and to comply with new obligations. If we are unable to implement a valid mechanism for personal data transfers from the EEA, we could face increased exposure to regulatory actions, substantial fines and injunctions against processing personal data from the EEA. As discussed above, these same considerations must currently be taken into account with regard to the UK GDPR as well. Additionally, other countries outside of the EU have enacted or are considering enacting similar cross order data transfer restrictions and laws requiring local data residency, which could increase the cost and complexity of delivering our services and operating our business. The type of challenges we face in the EU and U.K. will likely also arise in other jurisdictions that adopt regulatory frameworks of equivalent complexity. Accordingly, any actual or perceived failure to comply with these laws and regulations could harm our business, financial condition and results of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products are subject to potential legislation and other governmental restrictions. The adoption of such proposed legislation and restrictions could limit the retail market for our products.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Several proposals have been made for federal legislation to regulate our industry. Such proposals seek to prohibit the sale of products containing certain content included in some of our games. If any such proposals are enacted into law, it may limit the potential market for some of our games in the United States, and adversely affect our business, financial condition and operating results. Other countries have adopted laws regulating content both in packaged games and those transmitted over the Internet that are stricter than current U.S.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law. While no such laws are currently in place in the United States, the adoption into law of such legislation in jurisdictions in which we do significant business could severely limit the retail market for some of our games.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30, 2021, China’s National Press and Publication Administration announced a new regulation that required online gaming companies limit their services provided to minors to one hour per day on Fridays, Saturdays, Sundays and public holidays. We continue to assess the impact this new regulation may have on our results of operations however, at this time, the impact of this new regulation remains uncertain.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government regulations relating to the Internet could have a negative impact on our business.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affecting “net neutrality” or measures enacted in certain jurisdictions as a result of the COVID-19 pandemic, could decrease the demand for our products and services or increase our cost of doing business.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on December 14, 2017, the Federal Communications Commission voted to repeal net neutrality regulations in the United States, and, following that decision, several states enacted net neutrality regulations. Given the uncertainty around these rules, including changing interpretations, amendments or repeal,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legal proceedings that have a negative impact on our business.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time to time, we have been, and in the future may be, involved in claims, suits, investigations, audits and proceedings arising in the ordinary course of our business, including with respect to labor and employment, intellectual property, competition and antitrust, regulatory, tax, privacy and/or commercial matters. In addition, negative consumer sentiment about our business practices may result in inquiries or investigations from regulatory agencies and consumer groups, as well as litigation.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suits, investigations, audits and proceedings are inherently difficult to predict, and their results are subject to significant uncertainties, many of which are outside of our control. Regardless of the outcome, such legal proceedings can have a negative impact on us due to reputational harm, legal costs, diversion of management resources and other factors. It is also possible that a resolution of one or more such proceedings could result in substantial settlements, judgments, fines or penalties, injunctions, criminal sanctions, consent decrees or orders preventing us from offering certain features, functionalities, products or services, requiring us to change our development process or other business practices.</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There is also inherent uncertainty in determining reserves for these matters. Significant judgment is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regard our software as proprietary and rely on a variety of methods, including a combination of copyright, patent, trademark and trade secret laws, and employee and third-party non-disclosure and invention assignment agreements, to protect our proprietary rights. We own or license various copyrights, patents, trademarks and trade secrets. The process of registering and protecting these rights in various jurisdictions is expensive and time-consuming. Further, we are aware that some unauthorized copying and piracy occurs, and if a significantly greater amount of unauthorized copying or piracy of our software products were to occur, it could negatively impact our business. We also cannot be certain that existing intellectual property laws will provide adequate protection for our products in connection with emerging technologies or that we will be able to effectively protect our intellectual property through litigation and other means.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Economic Risks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general economic conditions decline, demand for our games could decline. In addition, our business is vulnerable to changing economic conditions and to other factors that adversely affect the gaming industry, which could negatively impact our business.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In-game purchases involve discretionary spending on the part of consumers. Consumers are generally more willing to make discretionary purchases, including purchases of games and services like ours, during periods in which favorable economic conditions prevail. As a result, our games may be sensitive to general economic conditions and economic cycles. A reduction or shift in domestic or international consumer spending could result in an increase in our marketing and promotional expenses, in an effort to offset that reduction, and could negatively impact our business. Discretionary spending on entertainment activities could further decline for reasons beyond our control, such as natural disasters, acts of war, pandemics, terrorism, transportation disruptions or the results of adverse</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weather conditions. Additionally, disposable income available for discretionary spending may be reduced by unemployment, higher housing, energy, interest or other costs, or where the actual or perceived wealth of customers has decreased because of circumstances such as lower residential real estate values, increased foreclosure rates, inflation, increased tax rates or other economic disruptions. Any prolonged or significant decrease in consumer spending on entertainment activities could result in reduced play levels and decreased spending on our games, and could adversely impact our results of operations, cash flows and financial condition.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tax laws or tax rulings, or the examination of our tax positions, could materially affect our financial condition and results of operations.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take advantage of could be undermined due to changing tax laws, both in the United States and in other applicable jurisdictions. In addition, the taxing authorities in the United States and other jurisdictions where we do business regularly examine income and other tax returns and we expect that they may examine our income and other tax returns. The ultimate outcome of these examinations cannot be predicted with 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law or tax rate changes could affect our effective tax rate and future profitability.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effective tax rate was 21% for both of the three month periods ended March 31, 2023 and 2022.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reported financial results could be significantly impacted by changes in financial accounting standards or by the application of existing or future accounting standards to our business as it evolves.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video games that include an online service on a deferred basis over an estimated service period for such games. In addition, we defer the cost of revenues of those products. Further, as we increase our DLC and add new features to our online services, our estimate of the service period may change,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and income taxes, could have a significant impact on our reported net revenues, net income and earnings per share under generally accepted accounting principles in the United States in any given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debt obligations with short term durations that are coming due within one year.</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We have significant debt obligations coming due within one year. Our current revolving loan has a balance of $9.0 million as of March 31, 2023, and is due for repayment on December 31, 2023. Our short-term note has a balance of $4.2 million as of March 31, 2023, and has even monthly debt service payments until the loan is fully repaid in January 2024. The Company intends to extend the revolving loan and faces the risk that we will be unable to extend. If we are unable to extend the loan, the Company may have significantly reduced unrestricted and restricted cash which could adversely impact our results of operations and ability to invest in the development and acquisition of IP. See Note 15, </w:t>
      </w:r>
      <w:r>
        <w:rPr>
          <w:rFonts w:ascii="Arial" w:cs="Arial" w:eastAsia="Arial" w:hAnsi="Arial"/>
          <w:sz w:val="18"/>
          <w:szCs w:val="18"/>
          <w:i w:val="1"/>
          <w:iCs w:val="1"/>
          <w:color w:val="auto"/>
        </w:rPr>
        <w:t>Revolving Loan, Short Term Note and Long-Term Debt</w:t>
      </w:r>
      <w:r>
        <w:rPr>
          <w:rFonts w:ascii="Arial" w:cs="Arial" w:eastAsia="Arial" w:hAnsi="Arial"/>
          <w:sz w:val="18"/>
          <w:szCs w:val="18"/>
          <w:color w:val="auto"/>
        </w:rPr>
        <w:t xml:space="preserve"> to our unaudited condensed consolidated financial statements included in this Quarterly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are a “controlled company” under the corporate governance rules of Nasdaq and, as a result, qualify for and rely on exemptions from certain corporate governance requirements. Since we elected to rely on the exemptions available to a “controlled company,” you do not have the same protections afforded to stockholders of companies that are subject to such corporate governance requirements.</w:t>
      </w:r>
    </w:p>
    <w:p>
      <w:pPr>
        <w:spacing w:after="0" w:line="13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controlling stockholder, Founder, Chief Strategy Officer and Chairman, Mr. Shi, controls a majority of our outstanding common stock. As a result, we are a “controlled company” within the meaning of the corporate governance standards of the Nasdaq</w:t>
      </w:r>
    </w:p>
    <w:p>
      <w:pPr>
        <w:sectPr>
          <w:pgSz w:w="11900" w:h="16838" w:orient="portrait"/>
          <w:cols w:equalWidth="0" w:num="1">
            <w:col w:w="9920"/>
          </w:cols>
          <w:pgMar w:left="980" w:top="517"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146" w:lineRule="exact"/>
        <w:rPr>
          <w:sz w:val="20"/>
          <w:szCs w:val="20"/>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requirement that a majority of its board of directors consist of independent directors;</w:t>
      </w:r>
    </w:p>
    <w:p>
      <w:pPr>
        <w:spacing w:after="0" w:line="225"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p>
      <w:pPr>
        <w:spacing w:after="0" w:line="183"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it has a compensation committee that is composed entirely of independent directors with a written charter addressing the committee’s purpose and responsibilities.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elected to rely on these exemptions. As a result, our board of directors does not have a majority of independent directors, our compensation committee does not consist entirely of independent directors and our directors are not nominated or selected by independent directors. Accordingly, you do not have the same protections afforded to stockholders of companies that are subject to all of the corporate governance requirements of the Nasdaq rules.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Mr. Shi, our Founder, Chief Strategy Officer and Chairman, controls us, and his ownership of our common stock prevents you and other stockholders from influencing significant decisions.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Mr. Shi controls shares representing a majority of our combined voting power. As long as Mr. Shi continues to control shares representing a majority of our voting power, he will generally be able to determine the outcome of all corporate actions requiring stockholder approval, including the election and removal of directors (unless supermajority approval of such matter is required by applicable law and our amended and restated certificate of incorporation). In the ordinary course of his business activities, Mr. Shi may engage in activities where his interests may not be the same as, or may conflict with, the interests of our other stockholders. Even if Mr. Shi were to control less than a majority of our voting power, he may be able to influence the outcome of corporate actions so long as he controls a significant portion of our voting power.</w:t>
      </w:r>
    </w:p>
    <w:p>
      <w:pPr>
        <w:spacing w:after="0" w:line="1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stockholders are not able to affect the outcome of any stockholder vote while Mr. Shi controls the majority of our voting power (or, in the case of removal of directors, two-thirds of our voting power). Due to his ownership and rights under our amended and restated certificate of incorporation and our amended and restated bylaws, Mr. Shi controls, subject to applicable law, the composition of our board of directors, which in turn controls all matters affecting us, including, among other things:</w:t>
      </w:r>
    </w:p>
    <w:p>
      <w:pPr>
        <w:spacing w:after="0" w:line="171" w:lineRule="exact"/>
        <w:rPr>
          <w:sz w:val="20"/>
          <w:szCs w:val="20"/>
          <w:color w:val="auto"/>
        </w:rPr>
      </w:pPr>
    </w:p>
    <w:p>
      <w:pPr>
        <w:ind w:left="1000" w:hanging="31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determination with respect to our business direction and policies, including the appointment and removal of officers and, in the event of a vacancy on our board of directors, additional or replacement directors;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determinations with respect to mergers, business combinations or dispositions of assets;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determination of our management policies;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determination of the composition of the committees on our board of directors;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financing policy;</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compensation and benefit programs and other human resources policy decisions;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any other agreements that may adversely affect us;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determinations with respect to our tax returns.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 addition, the concentration of Mr. Shi’s ownership could also discourage others from making tender offers, which could prevent holders from receiving a premium for their common stock. Because Mr. Shi’s interests may differ from ours or from those of our other</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actions that he takes with respect to us, as our controlling stockholder, may not be favorable to us or to you or our other stockholders.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Mr. Shi, our Founder, Chief Strategy Officer and Chairman, is a Chinese national. For so long as a Chinese individual continues to exercise majority voting control over us, changes in U.S. and Chinese laws in the future may make it more difficult for us to operate as a publicly traded company in the United States.</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Future developments in U.S. and Chinese laws may restrict our ability or willingness to operate as a publicly traded company in the United States for so long as Mr. Shi, who is a Chinese national, or other Chinese investors, continue to beneficially own a significant percentage of our outstanding shares of common stock. The relations between the United States and China are constantly changing. During his administration, President Donald J. Trump issued a memorandum directing the President’s Working Group on Financial Markets to convene to discuss the risks faced by U.S. investors in Chinese companies and issued several executive orders restricting the operations of Chinese companies, such as the company that owns TikTok, in the United States. Additionally, the federal government has recently proposed legislation intended to protect American investments in Chinese companies. President Joseph R. Biden has not put forth specific policy proposals regarding China and it is unclear at this time which of President Trump’s policies, if any, President Biden will continue to implement. In addition, various equity-based research organizations have published reports on Chinese companies after examining their corporate governance practices, related party transactions, sales practices and financial statements, and these reports have led to special investigations and listing suspensions on U.S. national exchanges. While we are not a Chinese company, any similar scrutiny of us, regardless of its merit, could have an adverse effect upon our business, including our results of operations, financial condition, cash flows and prospects. Additionally, should we be the subject of or indirectly covered by new legislation or executive orders addressed at protecting American investments in Chinese or Chinese-owned companies, our revenues and profitability would be materially reduced, and our business and results of operations would be seriously harmed.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Committee on Foreign Investment in the United States may modify, delay or prevent our future acquisition or investment activities.</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For so long as Mr. Shi retains a material ownership interest in us, we will be deemed a “foreign person” under the regulations relating to the Committee on Foreign Investment in the United States (“CFIUS”). As such, acquisitions of or investments in U.S. businesses or foreign businesses with U.S. subsidiaries that we may wish to pursue may be subject to CFIUS review, the scope of which was expanded by the Foreign Investment Risk Review Modernization Act of 2018 (“FIRRMA”) to include certain non-passive, non-controlling investments (including certain investments in entities that hold or process personal information about U.S. nationals), certain acquisitions of real estate even with no underlying U.S. business, transactions designed or intended to evade or circumvent CFIUS jurisdiction and any transaction resulting in a “change in the rights” of a foreign person in a U.S. business if that change could result in either control of the business or a covered non-controlling investment. FIRRMA also subjects certain categories of investments to mandatory filings. If a particular proposed acquisition or investment in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an acquisition or investment by us, impose conditions with respect to such acquisition or investment or order us to divest all or a portion of a U.S. business that we acquired without first obtaining CFIUS approval, which may limit the attractiveness of or prevent us from pursuing certain acquisitions or investments that we believe would otherwise be beneficial to us and our stockholders. Our inability to complete acquisitions and integrate those businesses successfully could limit our growth or disrupt our plans and operations. In addition, among other things, FIRRMA authorizes CFIUS to prescribe regulations defining “foreign person” differently in different contexts, which could result in less favorable treatment for investments and acquisitions by companies from countries of “special concern.” If CFIUS were to promulgate regulations imposing additional burdens on acquisition and investment activities involving China or Chinese investor-controlled entities, our ability to consummate transactions falling within CFIUS’s jurisdiction that might otherwise be beneficial to us and our stockholders would be hindered.</w:t>
      </w:r>
    </w:p>
    <w:p>
      <w:pPr>
        <w:spacing w:after="0" w:line="3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Hua Yuan International Limited, a minority stockholder, is indirectly controlled by China-Singapore Suzhou Industrial Park Ventures Co., Ltd., a Chinese state-owned entity, which could subject us to risks involving U.S. -China relations and related risks.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Hua Yuan International Limited, which beneficially owns 8.7% of our common stock and controls 1.1% of our voting power as of March 31, 2023, is indirectly controlled by China-Singapore Suzhou Industrial Park Ventures Co., Ltd., a Chinese state-owned entity. Recent political and economic tensions between the United States and China have negatively impacted certain public companies with stockholders that are Chinese state-owned entities. For example, in May 2021, three telecommunications companies with controlling stockholders that are Chinese state-owned entities — China Mobile Limited, China Unicom and China Telecom Corp., Ltd. — announced they would be delisted by the New York Stock Exchange pursuant to U.S. investment restrictions enacted in 2020. In addition, the Holding Foreign Companies Accountable Act, enacted in December 2020, requires SEC registrants to disclose whether an</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issuer is owned or controlled by a governmental entity in a foreign jurisdiction that does not allow inspection by the Public Group Accounting Oversight Board, principally including issuers based in China.</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Although Hua Yuan International Limited does not own a controlling interest in us, its investment may subject us to risks related to having an indirect principal stockholder that is a Chinese state-owned entity as well as risks arising from political and economic tensions between the United States and China generally.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and social responsibility and reputation.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cannot predict whether our dual class structure will result in a lower or more volatile market price of our Class A common stock or in adverse publicity or other adverse consequences. For example, certain index providers have restrictions on including companies with multiple-class share structures in certain of their indexes.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these policies, our dual class capital structure would make us ineligible for inclusion in certain indices, and as a result, mutual funds, exchange-traded funds, and other investment vehicles that attempt to passively track those indices will not be investing in our stock. Because of our dual class structure, we will likely be excluded from certain of these indexes and we cannot assure you that other stock indexes will not take similar actions.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stock price and trading volume may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trading market for our Class A common stock is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Class A common stock may have relatively little experience with us or our industry, which could affect their ability to accurately forecast our results and could make it more likely that we fail to meet their estimates.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Class A common stock.</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revenues and expenses that are not readily apparent from other sources. If our assumptions change or if actual circumstances differ from our assumptions, our results of operations may be adversely affected and could fall below our publicly announced guidance or the expectations of securities analysts and investors, resulting in a decline in the market price of our Class A common stock.</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future. This could cause the market price of our Class A common stock to decline, even if our business is doing well.</w:t>
      </w:r>
    </w:p>
    <w:p>
      <w:pPr>
        <w:spacing w:after="0" w:line="12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Sales of a substantial number of shares of our Class A common stock in the public market could occur at any time. These sales, or the perception in the market that the holders of a large number of shares intend to sell their shares, could result in a decrease in the market price of our Class A common stock. As of March 31, 2023, we had 36,649,725 shares of common stock outstanding. This includes 35,000,000 shares that are currently restricted as a result of securities laws but will be able to be sold as described in the section entitled “Shares Eligible for Future Sale” of our Prospectus as filed by us with the SEC on November 10, 2022 pursuant to Rule 424(b)</w:t>
      </w:r>
    </w:p>
    <w:p>
      <w:pPr>
        <w:spacing w:after="0" w:line="2" w:lineRule="exact"/>
        <w:rPr>
          <w:sz w:val="20"/>
          <w:szCs w:val="20"/>
          <w:color w:val="auto"/>
        </w:rPr>
      </w:pPr>
    </w:p>
    <w:p>
      <w:pPr>
        <w:jc w:val="both"/>
        <w:ind w:firstLine="8"/>
        <w:spacing w:after="0" w:line="255" w:lineRule="auto"/>
        <w:tabs>
          <w:tab w:leader="none" w:pos="2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the Securities Act, relating to our registration statement on Form S-1, as amended. We have also registered, and we intend to continue to register, all shares of common stock that we may issue under our equity compensation plans. Once we register these shares, they can be freely sold in the public market, subject to volume limitations applicable to affiliates.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implemented or it will enhance stockholder value, and share repurchases could affect the price of our Class A common stock.</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November 2022, our board of directors authorized a share repurchase program of up to $5 million of our outstanding Class A common stock (the “Share Repurchase Program”), which does not have a fixed expiration date. Share repurchases under the program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at the discretion of management and in accordance with applicable federal securities laws and other applicable legal requirements and Nasdaq listing rules. The timing, pricing, and size of share repurchases will depend on a number of factors, including, but not limited to, price, corporate and regulatory requirements, and general market and economic conditions. As of March 31, 2023, approximately $1.3 million of the Share Repurchase Program remains available for future repurchases. The Share Repurchase Program does not obligate us to repurchase any dollar amount or number of shares, and the program may be suspended or discontinued at any time, which may result in a decrease in the price of our Class A common stock.</w:t>
      </w:r>
    </w:p>
    <w:p>
      <w:pPr>
        <w:spacing w:after="0" w:line="1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bylaws and under Delaware law could make an acquisition of us more difficult and may prevent attempts by our stockholders to replace or remove our current management.</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Class A common stock, thereby depressing the market price of our Class A common stock.</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intend to retain all of our future earnings, if any, to finance the growth and development of our business. Any determination to pay dividends in the future will be at the discretion of our board of directors and may be restricted by our credit facilities or any future debt or preferred securities or future debt agreements we may enter into. As a result, capital appreciation, if any, of our Class A common stock will be your sole source of gain for the foreseeable future. See “Dividend Policy” of our Prospectus as filed by us with the SEC on November 10, 2022 pursuant to Rule 424(b)(4) under the Securities Act, relating to our registration statement on Form S-1, as amended.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default on our credit obligations, our operations may be interrupted, and our business could be seriously harmed.</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 credit facility that we may draw on to finance our operations and other corporate purposes. If we default on these credit obligations, our lenders may accelerate the debt and/or foreclose on property securing the debt.</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If any of these events occur, our operations may be interrupted and our ability to fund our operations or obligations, as well as our business, could be seriously harmed. In addition, our credit facility contains operating covenants, including maintenance of certain financial ratios. Our ability to comply with these covenants may be affected by events beyond our control, and breaches of these covenants have in the past, and could in the future, result in a default under the credit facility and any future financial agreements into which we may enter. If not waived, defaults could cause our outstanding indebtedness under our credit facility and any future financing agreements that we may enter into to become immediately due and payable. For more information on our credit facility, see Item 2 of Part I, “Management’s Discussion and Analysis of Financial Condition and Results of Operations — Liquidity and Capital Resources.”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develop and refine our internal control over financial reporting. Some members of our management team have limited or no experience managing a publicly traded company, interacting with public company investors, and complying with the increasingly complex laws pertaining to public companies, and we have limited accounting and financial reporting personnel and other resources with which to address our internal controls and related procedures.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6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Further,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will be filed with the SEC. Ineffective disclosure controls and procedures or internal control over financial reporting could also cause investors to lose confidence in the accuracy and completeness of our reported financial and other information, which would likely have a negative effect on the trading price of our Class A common stock. In addition, if we are unable to continue to meet these requirements, we may not be able to remain listed on the Nasdaq. As a public company, we are required to provide an annual management report on the effectiveness of our internal control over financial reporting commencing with our second Annual Report on Form 10-K.</w:t>
      </w:r>
    </w:p>
    <w:p>
      <w:pPr>
        <w:spacing w:after="0" w:line="16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the later of (1) our second Annual Report on Form 10-K or (2) the Annual Report on Form 10-K for the first year we no longer qualify as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 In addition, we could become subject to investigations by the stock exchange on which our securities are listed, the SEC or other regulatory authorities, which could require additional financial and management resources. These events could have a material and adverse effect on our business, results of operations, financial condition and prospects.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identified a material weakness in our internal control over financial reporting involving lack of sufficient financial reporting close controls, including certain disclosure controls, and a material weakness in our internal control over financial reporting involving lack of effective control over the identification of related party transactions as of March 31, 2023. See Item 4, “Controls and Procedures,” in this Quarterly Report for information regarding the identified material weaknesses and our actions to date to remediate the material weaknesses. As a result of the material weaknesses, our management has concluded that our internal control over financial reporting were not effective as of March 31, 2023.</w:t>
      </w:r>
    </w:p>
    <w:p>
      <w:pPr>
        <w:spacing w:after="0" w:line="1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taking steps to remediate the material weakness, which include enhancing control procedures, hiring personnel with the depth of knowledge and experience to join our accounting and finance organization and inquiring of all executive management and board of directors of any contracts entered into on behalf of the Company, or its subsidiaries, on a quarterly basis. Further, the Company intends to review any unusual and recurring significant payments for related contracts. However, our efforts to remediate the material weaknesses may not be effective in preventing a future material weakness or significant deficiency in our internal control over financial reporting. If we do not effectively remediate the material weaknesses or if we otherwise fail to maintain effective internal control over financial reporting, we may not be able to accurately and timely report our financial results, which could cause our reported financial results to be materially misstated, result in the loss of investor confidence and cause the market price of our Class A common stock to decline.</w:t>
      </w:r>
    </w:p>
    <w:p>
      <w:pPr>
        <w:spacing w:after="0" w:line="19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can give no assurance that the measures we have taken or plans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(or, if the Court of Chancery does not have jurisdiction, another State court in Delaware or the U.S. District Court for the District of Delaware) is the sole and exclusive forum for substantially all disputes between us and our stockholders, which could limit our stockholders’ abilities to obtain a favorable judicial forum for disputes with us or our directors, officers or employees.</w:t>
      </w:r>
    </w:p>
    <w:p>
      <w:pPr>
        <w:spacing w:after="0" w:line="15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specifies that, unless we consent in writing to the selection of an alternative forum, to the fullest extent permitted by law, the Court of Chancery of the State of Delaware is the sole and exclusive forum for most legal actions involving actions brought against us by stockholders; provided that, the exclusive forum provision will not apply to suits brought to enforce any liability or duty created by the Exchange Act or any other claim for which the U.S.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of 1933, as amended, or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8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an “emerging growth company,” as defined in the JOBS Act. We could continue to be considered an emerging growth company for up to five years, although we would lose that status sooner if our annual gross revenues exceed $1.235 billion, if we issue more than $1.0 billion in nonconvertible debt in a three-year period or if the fair value of our Class A common stock held by non-affiliates exceeds $700.0 million (and we have been a public company for at least 12 months and have filed at least one Annual Report on Form 10-K). For the fiscal year ended December 31, 2022, our total net revenue was $74.4 million.</w:t>
      </w:r>
    </w:p>
    <w:p>
      <w:pPr>
        <w:spacing w:after="0" w:line="10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It is unclear whether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06" w:lineRule="exact"/>
        <w:rPr>
          <w:sz w:val="20"/>
          <w:szCs w:val="20"/>
          <w:color w:val="auto"/>
        </w:rPr>
      </w:pPr>
    </w:p>
    <w:p>
      <w:pPr>
        <w:ind w:right="4760"/>
        <w:spacing w:after="0" w:line="467" w:lineRule="auto"/>
        <w:rPr>
          <w:sz w:val="20"/>
          <w:szCs w:val="20"/>
          <w:color w:val="auto"/>
        </w:rPr>
      </w:pPr>
      <w:r>
        <w:rPr>
          <w:rFonts w:ascii="Arial" w:cs="Arial" w:eastAsia="Arial" w:hAnsi="Arial"/>
          <w:sz w:val="18"/>
          <w:szCs w:val="18"/>
          <w:b w:val="1"/>
          <w:bCs w:val="1"/>
          <w:color w:val="auto"/>
        </w:rPr>
        <w:t>Item 2. Unregistered Sales of Equity Securities and Use of Proceeds Repurchases</w:t>
      </w: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Total Number of Shares</w:t>
            </w:r>
          </w:p>
        </w:tc>
        <w:tc>
          <w:tcPr>
            <w:tcW w:w="1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60" w:type="dxa"/>
            <w:vAlign w:val="bottom"/>
          </w:tcPr>
          <w:p>
            <w:pPr>
              <w:spacing w:after="0"/>
              <w:rPr>
                <w:sz w:val="12"/>
                <w:szCs w:val="12"/>
                <w:color w:val="auto"/>
              </w:rPr>
            </w:pPr>
          </w:p>
        </w:tc>
        <w:tc>
          <w:tcPr>
            <w:tcW w:w="17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40" w:type="dxa"/>
            <w:vAlign w:val="bottom"/>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the Plans or</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Shares Purchased</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2"/>
              </w:rPr>
              <w:t>per Share</w:t>
            </w:r>
          </w:p>
        </w:tc>
        <w:tc>
          <w:tcPr>
            <w:tcW w:w="14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60" w:type="dxa"/>
            <w:vAlign w:val="bottom"/>
            <w:gridSpan w:val="4"/>
          </w:tcPr>
          <w:p>
            <w:pPr>
              <w:ind w:left="480"/>
              <w:spacing w:after="0" w:line="142" w:lineRule="exact"/>
              <w:rPr>
                <w:sz w:val="20"/>
                <w:szCs w:val="20"/>
                <w:color w:val="auto"/>
              </w:rPr>
            </w:pPr>
            <w:r>
              <w:rPr>
                <w:rFonts w:ascii="Arial" w:cs="Arial" w:eastAsia="Arial" w:hAnsi="Arial"/>
                <w:sz w:val="14"/>
                <w:szCs w:val="14"/>
                <w:b w:val="1"/>
                <w:bCs w:val="1"/>
                <w:color w:val="auto"/>
                <w:w w:val="95"/>
              </w:rPr>
              <w:t>In thousands, except per share amounts</w:t>
            </w: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January 2023</w:t>
            </w: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February 2023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March 2023</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All share repurchases settled in the 3 month period ended March</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31, 2023 were open market transactions. As of March 31,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 —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w:t>
      </w:r>
      <w:r>
        <w:rPr>
          <w:rFonts w:ascii="Arial" w:cs="Arial" w:eastAsia="Arial" w:hAnsi="Arial"/>
          <w:sz w:val="16"/>
          <w:szCs w:val="16"/>
          <w:color w:val="auto"/>
        </w:rPr>
        <w:t>to our unaudited condensed consolidated financial statements included in this Quarterly Report.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0" w:type="dxa"/>
            <w:vAlign w:val="bottom"/>
            <w:gridSpan w:val="5"/>
          </w:tcPr>
          <w:p>
            <w:pPr>
              <w:ind w:left="20"/>
              <w:spacing w:after="0"/>
              <w:rPr>
                <w:sz w:val="20"/>
                <w:szCs w:val="20"/>
                <w:color w:val="auto"/>
              </w:rPr>
            </w:pPr>
            <w:r>
              <w:rPr>
                <w:rFonts w:ascii="Arial" w:cs="Arial" w:eastAsia="Arial" w:hAnsi="Arial"/>
                <w:sz w:val="14"/>
                <w:szCs w:val="14"/>
                <w:b w:val="1"/>
                <w:bCs w:val="1"/>
                <w:color w:val="auto"/>
              </w:rPr>
              <w:t>Incorporation by Reference</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2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Filed Herewith</w:t>
            </w:r>
          </w:p>
        </w:tc>
      </w:tr>
      <w:tr>
        <w:trPr>
          <w:trHeight w:val="169"/>
        </w:trPr>
        <w:tc>
          <w:tcPr>
            <w:tcW w:w="20" w:type="dxa"/>
            <w:vAlign w:val="bottom"/>
          </w:tcPr>
          <w:p>
            <w:pPr>
              <w:spacing w:after="0"/>
              <w:rPr>
                <w:sz w:val="14"/>
                <w:szCs w:val="14"/>
                <w:color w:val="auto"/>
              </w:rPr>
            </w:pPr>
          </w:p>
        </w:tc>
        <w:tc>
          <w:tcPr>
            <w:tcW w:w="68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00" w:type="dxa"/>
            <w:vAlign w:val="bottom"/>
            <w:tcBorders>
              <w:bottom w:val="single" w:sz="8" w:color="0000EE"/>
            </w:tcBorders>
            <w:gridSpan w:val="2"/>
          </w:tcPr>
          <w:p>
            <w:pPr>
              <w:spacing w:after="0" w:line="169" w:lineRule="exact"/>
              <w:rPr>
                <w:rFonts w:ascii="Arial" w:cs="Arial" w:eastAsia="Arial" w:hAnsi="Arial"/>
                <w:sz w:val="18"/>
                <w:szCs w:val="18"/>
                <w:color w:val="0000EE"/>
                <w:w w:val="88"/>
              </w:rPr>
            </w:pPr>
            <w:hyperlink r:id="rId90">
              <w:r>
                <w:rPr>
                  <w:rFonts w:ascii="Arial" w:cs="Arial" w:eastAsia="Arial" w:hAnsi="Arial"/>
                  <w:sz w:val="18"/>
                  <w:szCs w:val="18"/>
                  <w:color w:val="0000EE"/>
                  <w:w w:val="88"/>
                </w:rPr>
                <w:t>Amended</w:t>
              </w:r>
            </w:hyperlink>
          </w:p>
        </w:tc>
        <w:tc>
          <w:tcPr>
            <w:tcW w:w="820" w:type="dxa"/>
            <w:vAlign w:val="bottom"/>
            <w:tcBorders>
              <w:bottom w:val="single" w:sz="8" w:color="0000EE"/>
            </w:tcBorders>
            <w:gridSpan w:val="2"/>
          </w:tcPr>
          <w:p>
            <w:pPr>
              <w:jc w:val="center"/>
              <w:spacing w:after="0" w:line="169" w:lineRule="exact"/>
              <w:rPr>
                <w:rFonts w:ascii="Arial" w:cs="Arial" w:eastAsia="Arial" w:hAnsi="Arial"/>
                <w:sz w:val="18"/>
                <w:szCs w:val="18"/>
                <w:color w:val="0000EE"/>
                <w:w w:val="86"/>
              </w:rPr>
            </w:pPr>
            <w:hyperlink r:id="rId90">
              <w:r>
                <w:rPr>
                  <w:rFonts w:ascii="Arial" w:cs="Arial" w:eastAsia="Arial" w:hAnsi="Arial"/>
                  <w:sz w:val="18"/>
                  <w:szCs w:val="18"/>
                  <w:color w:val="0000EE"/>
                  <w:w w:val="86"/>
                </w:rPr>
                <w:t>and</w:t>
              </w:r>
            </w:hyperlink>
          </w:p>
        </w:tc>
        <w:tc>
          <w:tcPr>
            <w:tcW w:w="800" w:type="dxa"/>
            <w:vAlign w:val="bottom"/>
            <w:tcBorders>
              <w:bottom w:val="single" w:sz="8" w:color="0000EE"/>
            </w:tcBorders>
            <w:gridSpan w:val="2"/>
          </w:tcPr>
          <w:p>
            <w:pPr>
              <w:ind w:left="20"/>
              <w:spacing w:after="0" w:line="169" w:lineRule="exact"/>
              <w:rPr>
                <w:rFonts w:ascii="Arial" w:cs="Arial" w:eastAsia="Arial" w:hAnsi="Arial"/>
                <w:sz w:val="18"/>
                <w:szCs w:val="18"/>
                <w:color w:val="0000EE"/>
              </w:rPr>
            </w:pPr>
            <w:hyperlink r:id="rId90">
              <w:r>
                <w:rPr>
                  <w:rFonts w:ascii="Arial" w:cs="Arial" w:eastAsia="Arial" w:hAnsi="Arial"/>
                  <w:sz w:val="18"/>
                  <w:szCs w:val="18"/>
                  <w:color w:val="0000EE"/>
                </w:rPr>
                <w:t>Restated</w:t>
              </w:r>
            </w:hyperlink>
          </w:p>
        </w:tc>
        <w:tc>
          <w:tcPr>
            <w:tcW w:w="1160" w:type="dxa"/>
            <w:vAlign w:val="bottom"/>
            <w:tcBorders>
              <w:bottom w:val="single" w:sz="8" w:color="0000EE"/>
            </w:tcBorders>
            <w:gridSpan w:val="3"/>
          </w:tcPr>
          <w:p>
            <w:pPr>
              <w:ind w:left="120"/>
              <w:spacing w:after="0" w:line="169" w:lineRule="exact"/>
              <w:rPr>
                <w:rFonts w:ascii="Arial" w:cs="Arial" w:eastAsia="Arial" w:hAnsi="Arial"/>
                <w:sz w:val="18"/>
                <w:szCs w:val="18"/>
                <w:color w:val="0000EE"/>
              </w:rPr>
            </w:pPr>
            <w:hyperlink r:id="rId90">
              <w:r>
                <w:rPr>
                  <w:rFonts w:ascii="Arial" w:cs="Arial" w:eastAsia="Arial" w:hAnsi="Arial"/>
                  <w:sz w:val="18"/>
                  <w:szCs w:val="18"/>
                  <w:color w:val="0000EE"/>
                </w:rPr>
                <w:t>Certificate</w:t>
              </w:r>
            </w:hyperlink>
          </w:p>
        </w:tc>
        <w:tc>
          <w:tcPr>
            <w:tcW w:w="160" w:type="dxa"/>
            <w:vAlign w:val="bottom"/>
            <w:tcBorders>
              <w:bottom w:val="single" w:sz="8" w:color="0000EE"/>
            </w:tcBorders>
            <w:gridSpan w:val="2"/>
          </w:tcPr>
          <w:p>
            <w:pPr>
              <w:ind w:left="20"/>
              <w:spacing w:after="0" w:line="169" w:lineRule="exact"/>
              <w:rPr>
                <w:rFonts w:ascii="Arial" w:cs="Arial" w:eastAsia="Arial" w:hAnsi="Arial"/>
                <w:sz w:val="18"/>
                <w:szCs w:val="18"/>
                <w:color w:val="0000EE"/>
                <w:w w:val="79"/>
              </w:rPr>
            </w:pPr>
            <w:hyperlink r:id="rId90">
              <w:r>
                <w:rPr>
                  <w:rFonts w:ascii="Arial" w:cs="Arial" w:eastAsia="Arial" w:hAnsi="Arial"/>
                  <w:sz w:val="18"/>
                  <w:szCs w:val="18"/>
                  <w:color w:val="0000EE"/>
                  <w:w w:val="79"/>
                </w:rPr>
                <w:t>of</w:t>
              </w:r>
            </w:hyperlink>
          </w:p>
        </w:tc>
        <w:tc>
          <w:tcPr>
            <w:tcW w:w="20" w:type="dxa"/>
            <w:vAlign w:val="bottom"/>
            <w:tcBorders>
              <w:bottom w:val="single" w:sz="8" w:color="0000EE"/>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center"/>
              <w:spacing w:after="0" w:line="169" w:lineRule="exact"/>
              <w:rPr>
                <w:sz w:val="20"/>
                <w:szCs w:val="20"/>
                <w:color w:val="auto"/>
              </w:rPr>
            </w:pPr>
            <w:r>
              <w:rPr>
                <w:rFonts w:ascii="Arial" w:cs="Arial" w:eastAsia="Arial" w:hAnsi="Arial"/>
                <w:sz w:val="18"/>
                <w:szCs w:val="18"/>
                <w:color w:val="auto"/>
                <w:w w:val="99"/>
              </w:rPr>
              <w:t>8-K</w:t>
            </w:r>
          </w:p>
        </w:tc>
        <w:tc>
          <w:tcPr>
            <w:tcW w:w="320" w:type="dxa"/>
            <w:vAlign w:val="bottom"/>
          </w:tcPr>
          <w:p>
            <w:pPr>
              <w:spacing w:after="0"/>
              <w:rPr>
                <w:sz w:val="14"/>
                <w:szCs w:val="14"/>
                <w:color w:val="auto"/>
              </w:rPr>
            </w:pPr>
          </w:p>
        </w:tc>
        <w:tc>
          <w:tcPr>
            <w:tcW w:w="860" w:type="dxa"/>
            <w:vAlign w:val="bottom"/>
          </w:tcPr>
          <w:p>
            <w:pPr>
              <w:jc w:val="center"/>
              <w:spacing w:after="0" w:line="169" w:lineRule="exact"/>
              <w:rPr>
                <w:sz w:val="20"/>
                <w:szCs w:val="20"/>
                <w:color w:val="auto"/>
              </w:rPr>
            </w:pPr>
            <w:r>
              <w:rPr>
                <w:rFonts w:ascii="Arial" w:cs="Arial" w:eastAsia="Arial" w:hAnsi="Arial"/>
                <w:sz w:val="18"/>
                <w:szCs w:val="18"/>
                <w:color w:val="auto"/>
                <w:w w:val="90"/>
              </w:rPr>
              <w:t>001-41556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1"/>
              </w:rPr>
              <w:t>November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Borders>
              <w:bottom w:val="single" w:sz="8" w:color="0000EE"/>
            </w:tcBorders>
            <w:gridSpan w:val="6"/>
          </w:tcPr>
          <w:p>
            <w:pP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Incorporation of Snail, Inc.</w:t>
              </w:r>
            </w:hyperlink>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15, 2022</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70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3500" w:type="dxa"/>
            <w:vAlign w:val="bottom"/>
            <w:gridSpan w:val="10"/>
          </w:tcPr>
          <w:p>
            <w:pPr>
              <w:spacing w:after="0"/>
              <w:rPr>
                <w:rFonts w:ascii="Arial" w:cs="Arial" w:eastAsia="Arial" w:hAnsi="Arial"/>
                <w:sz w:val="18"/>
                <w:szCs w:val="18"/>
                <w:color w:val="0000EE"/>
                <w:w w:val="98"/>
              </w:rPr>
            </w:pPr>
            <w:hyperlink r:id="rId91">
              <w:r>
                <w:rPr>
                  <w:rFonts w:ascii="Arial" w:cs="Arial" w:eastAsia="Arial" w:hAnsi="Arial"/>
                  <w:sz w:val="18"/>
                  <w:szCs w:val="18"/>
                  <w:color w:val="0000EE"/>
                  <w:w w:val="98"/>
                </w:rPr>
                <w:t>Amended and Restated Bylaws of Snail, inc.</w:t>
              </w:r>
            </w:hyperlink>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001-41556</w:t>
            </w:r>
          </w:p>
        </w:tc>
        <w:tc>
          <w:tcPr>
            <w:tcW w:w="960" w:type="dxa"/>
            <w:vAlign w:val="bottom"/>
            <w:gridSpan w:val="3"/>
          </w:tcPr>
          <w:p>
            <w:pPr>
              <w:jc w:val="center"/>
              <w:ind w:left="216"/>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November</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15, 2022</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90"/>
        </w:trPr>
        <w:tc>
          <w:tcPr>
            <w:tcW w:w="700" w:type="dxa"/>
            <w:vAlign w:val="bottom"/>
            <w:gridSpan w:val="2"/>
          </w:tcPr>
          <w:p>
            <w:pPr>
              <w:spacing w:after="0" w:line="190"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6"/>
                <w:szCs w:val="16"/>
                <w:color w:val="auto"/>
              </w:rPr>
            </w:pPr>
          </w:p>
        </w:tc>
        <w:tc>
          <w:tcPr>
            <w:tcW w:w="3920" w:type="dxa"/>
            <w:vAlign w:val="bottom"/>
            <w:gridSpan w:val="14"/>
          </w:tcPr>
          <w:p>
            <w:pPr>
              <w:spacing w:after="0" w:line="190" w:lineRule="exact"/>
              <w:rPr>
                <w:rFonts w:ascii="Arial" w:cs="Arial" w:eastAsia="Arial" w:hAnsi="Arial"/>
                <w:sz w:val="18"/>
                <w:szCs w:val="18"/>
                <w:color w:val="0000EE"/>
                <w:w w:val="97"/>
              </w:rPr>
            </w:pPr>
            <w:hyperlink r:id="rId92">
              <w:r>
                <w:rPr>
                  <w:rFonts w:ascii="Arial" w:cs="Arial" w:eastAsia="Arial" w:hAnsi="Arial"/>
                  <w:sz w:val="18"/>
                  <w:szCs w:val="18"/>
                  <w:color w:val="0000EE"/>
                  <w:w w:val="97"/>
                </w:rPr>
                <w:t>Offer Letter, dated as of March 27, 2023, between</w:t>
              </w:r>
            </w:hyperlink>
          </w:p>
        </w:tc>
        <w:tc>
          <w:tcPr>
            <w:tcW w:w="500" w:type="dxa"/>
            <w:vAlign w:val="bottom"/>
          </w:tcPr>
          <w:p>
            <w:pPr>
              <w:jc w:val="center"/>
              <w:spacing w:after="0" w:line="190" w:lineRule="exact"/>
              <w:rPr>
                <w:sz w:val="20"/>
                <w:szCs w:val="20"/>
                <w:color w:val="auto"/>
              </w:rPr>
            </w:pPr>
            <w:r>
              <w:rPr>
                <w:rFonts w:ascii="Arial" w:cs="Arial" w:eastAsia="Arial" w:hAnsi="Arial"/>
                <w:sz w:val="18"/>
                <w:szCs w:val="18"/>
                <w:color w:val="auto"/>
                <w:w w:val="99"/>
              </w:rPr>
              <w:t>10-K</w:t>
            </w:r>
          </w:p>
        </w:tc>
        <w:tc>
          <w:tcPr>
            <w:tcW w:w="1180" w:type="dxa"/>
            <w:vAlign w:val="bottom"/>
            <w:gridSpan w:val="2"/>
          </w:tcPr>
          <w:p>
            <w:pPr>
              <w:jc w:val="center"/>
              <w:ind w:left="270"/>
              <w:spacing w:after="0" w:line="190" w:lineRule="exact"/>
              <w:rPr>
                <w:sz w:val="20"/>
                <w:szCs w:val="20"/>
                <w:color w:val="auto"/>
              </w:rPr>
            </w:pPr>
            <w:r>
              <w:rPr>
                <w:rFonts w:ascii="Arial" w:cs="Arial" w:eastAsia="Arial" w:hAnsi="Arial"/>
                <w:sz w:val="18"/>
                <w:szCs w:val="18"/>
                <w:color w:val="auto"/>
                <w:w w:val="90"/>
              </w:rPr>
              <w:t>001-41556</w:t>
            </w:r>
          </w:p>
        </w:tc>
        <w:tc>
          <w:tcPr>
            <w:tcW w:w="960" w:type="dxa"/>
            <w:vAlign w:val="bottom"/>
            <w:gridSpan w:val="3"/>
          </w:tcPr>
          <w:p>
            <w:pPr>
              <w:jc w:val="center"/>
              <w:ind w:left="216"/>
              <w:spacing w:after="0" w:line="190" w:lineRule="exact"/>
              <w:rPr>
                <w:sz w:val="20"/>
                <w:szCs w:val="20"/>
                <w:color w:val="auto"/>
              </w:rPr>
            </w:pPr>
            <w:r>
              <w:rPr>
                <w:rFonts w:ascii="Arial" w:cs="Arial" w:eastAsia="Arial" w:hAnsi="Arial"/>
                <w:sz w:val="18"/>
                <w:szCs w:val="18"/>
                <w:color w:val="auto"/>
                <w:w w:val="93"/>
              </w:rPr>
              <w:t>10.18</w:t>
            </w:r>
          </w:p>
        </w:tc>
        <w:tc>
          <w:tcPr>
            <w:tcW w:w="240" w:type="dxa"/>
            <w:vAlign w:val="bottom"/>
          </w:tcPr>
          <w:p>
            <w:pPr>
              <w:spacing w:after="0"/>
              <w:rPr>
                <w:sz w:val="16"/>
                <w:szCs w:val="16"/>
                <w:color w:val="auto"/>
              </w:rPr>
            </w:pPr>
          </w:p>
        </w:tc>
        <w:tc>
          <w:tcPr>
            <w:tcW w:w="1000" w:type="dxa"/>
            <w:vAlign w:val="bottom"/>
          </w:tcPr>
          <w:p>
            <w:pPr>
              <w:jc w:val="center"/>
              <w:spacing w:after="0" w:line="190" w:lineRule="exact"/>
              <w:rPr>
                <w:sz w:val="20"/>
                <w:szCs w:val="20"/>
                <w:color w:val="auto"/>
              </w:rPr>
            </w:pPr>
            <w:r>
              <w:rPr>
                <w:rFonts w:ascii="Arial" w:cs="Arial" w:eastAsia="Arial" w:hAnsi="Arial"/>
                <w:sz w:val="18"/>
                <w:szCs w:val="18"/>
                <w:color w:val="auto"/>
                <w:w w:val="92"/>
              </w:rPr>
              <w:t>March 29,</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Hai Shi and Snail Games USA Inc.</w:t>
              </w:r>
            </w:hyperlink>
          </w:p>
        </w:tc>
        <w:tc>
          <w:tcPr>
            <w:tcW w:w="96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2023</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700" w:type="dxa"/>
            <w:vAlign w:val="bottom"/>
            <w:gridSpan w:val="2"/>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3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8"/>
              </w:rPr>
              <w:t>Certification of Chief Executive Officer of Snail,</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4"/>
              </w:rPr>
              <w:t>Inc.  pursuant  to  Rule  13a-14(a)/15d-14(a),  as</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gridSpan w:val="14"/>
          </w:tcPr>
          <w:p>
            <w:pPr>
              <w:spacing w:after="0" w:line="196" w:lineRule="exact"/>
              <w:rPr>
                <w:sz w:val="20"/>
                <w:szCs w:val="20"/>
                <w:color w:val="auto"/>
              </w:rPr>
            </w:pPr>
            <w:r>
              <w:rPr>
                <w:rFonts w:ascii="Arial" w:cs="Arial" w:eastAsia="Arial" w:hAnsi="Arial"/>
                <w:sz w:val="18"/>
                <w:szCs w:val="18"/>
                <w:color w:val="0000EE"/>
                <w:w w:val="97"/>
              </w:rPr>
              <w:t>adopted pursuant to Section 302 of the Sarbanes-</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Oxley Act of 2002.</w:t>
            </w: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54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700" w:type="dxa"/>
            <w:vAlign w:val="bottom"/>
            <w:gridSpan w:val="2"/>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3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rPr>
              <w:t>Certification  of  Principal  Financial  Officer</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Pursuant to Rules 13a-14(a) and 15d-14(a) under</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3"/>
              </w:rPr>
              <w:t>the Securities Exchange Act of 1934, as Adopted</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gridSpan w:val="14"/>
          </w:tcPr>
          <w:p>
            <w:pPr>
              <w:spacing w:after="0"/>
              <w:rPr>
                <w:sz w:val="20"/>
                <w:szCs w:val="20"/>
                <w:color w:val="auto"/>
              </w:rPr>
            </w:pPr>
            <w:r>
              <w:rPr>
                <w:rFonts w:ascii="Arial" w:cs="Arial" w:eastAsia="Arial" w:hAnsi="Arial"/>
                <w:sz w:val="18"/>
                <w:szCs w:val="18"/>
                <w:color w:val="0000EE"/>
                <w:w w:val="95"/>
              </w:rPr>
              <w:t>Pursuant to Section 302 of the Sarbanes-Oxley Act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of 2002.</w:t>
            </w: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32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700" w:type="dxa"/>
            <w:vAlign w:val="bottom"/>
            <w:gridSpan w:val="2"/>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3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rPr>
              <w:t>Certification  of  Principal  Executive  Officer</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4"/>
              </w:rPr>
              <w:t>Pursuant to 18 U.S.C. Section 1350, as Adopted</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gridSpan w:val="14"/>
          </w:tcPr>
          <w:p>
            <w:pPr>
              <w:spacing w:after="0"/>
              <w:rPr>
                <w:sz w:val="20"/>
                <w:szCs w:val="20"/>
                <w:color w:val="auto"/>
              </w:rPr>
            </w:pPr>
            <w:r>
              <w:rPr>
                <w:rFonts w:ascii="Arial" w:cs="Arial" w:eastAsia="Arial" w:hAnsi="Arial"/>
                <w:sz w:val="18"/>
                <w:szCs w:val="18"/>
                <w:color w:val="0000EE"/>
                <w:w w:val="95"/>
              </w:rPr>
              <w:t>Pursuant to Section 906 of the Sarbanes-Oxley Act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of 2002.</w:t>
            </w: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32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700" w:type="dxa"/>
            <w:vAlign w:val="bottom"/>
            <w:gridSpan w:val="2"/>
          </w:tcPr>
          <w:p>
            <w:pPr>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3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rPr>
              <w:t>Certification  of  Principal  Financial  Officer</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4"/>
              </w:rPr>
              <w:t>Pursuant to 18 U.S.C. Section 1350, as Adopted</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gridSpan w:val="14"/>
          </w:tcPr>
          <w:p>
            <w:pPr>
              <w:spacing w:after="0" w:line="196" w:lineRule="exact"/>
              <w:rPr>
                <w:sz w:val="20"/>
                <w:szCs w:val="20"/>
                <w:color w:val="auto"/>
              </w:rPr>
            </w:pPr>
            <w:r>
              <w:rPr>
                <w:rFonts w:ascii="Arial" w:cs="Arial" w:eastAsia="Arial" w:hAnsi="Arial"/>
                <w:sz w:val="18"/>
                <w:szCs w:val="18"/>
                <w:color w:val="0000EE"/>
                <w:w w:val="95"/>
              </w:rPr>
              <w:t>Pursuant to Section 906 of the Sarbanes-Oxley Act</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of 2002.</w:t>
            </w:r>
          </w:p>
        </w:tc>
        <w:tc>
          <w:tcPr>
            <w:tcW w:w="6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9"/>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1"/>
                <w:szCs w:val="21"/>
                <w:color w:val="auto"/>
              </w:rPr>
            </w:pPr>
          </w:p>
        </w:tc>
        <w:tc>
          <w:tcPr>
            <w:tcW w:w="234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3"/>
              </w:rPr>
              <w:t>101.SCH</w:t>
            </w:r>
          </w:p>
        </w:tc>
        <w:tc>
          <w:tcPr>
            <w:tcW w:w="180" w:type="dxa"/>
            <w:vAlign w:val="bottom"/>
          </w:tcPr>
          <w:p>
            <w:pPr>
              <w:spacing w:after="0"/>
              <w:rPr>
                <w:sz w:val="19"/>
                <w:szCs w:val="19"/>
                <w:color w:val="auto"/>
              </w:rPr>
            </w:pPr>
          </w:p>
        </w:tc>
        <w:tc>
          <w:tcPr>
            <w:tcW w:w="3500" w:type="dxa"/>
            <w:vAlign w:val="bottom"/>
            <w:gridSpan w:val="10"/>
          </w:tcPr>
          <w:p>
            <w:pPr>
              <w:spacing w:after="0"/>
              <w:rPr>
                <w:sz w:val="20"/>
                <w:szCs w:val="20"/>
                <w:color w:val="auto"/>
              </w:rPr>
            </w:pPr>
            <w:r>
              <w:rPr>
                <w:rFonts w:ascii="Arial" w:cs="Arial" w:eastAsia="Arial" w:hAnsi="Arial"/>
                <w:sz w:val="18"/>
                <w:szCs w:val="18"/>
                <w:color w:val="auto"/>
                <w:w w:val="92"/>
              </w:rPr>
              <w:t>XBRL Taxonomy Extension Schema Document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180" w:type="dxa"/>
            <w:vAlign w:val="bottom"/>
          </w:tcPr>
          <w:p>
            <w:pPr>
              <w:spacing w:after="0"/>
              <w:rPr>
                <w:sz w:val="19"/>
                <w:szCs w:val="19"/>
                <w:color w:val="auto"/>
              </w:rPr>
            </w:pPr>
          </w:p>
        </w:tc>
        <w:tc>
          <w:tcPr>
            <w:tcW w:w="3920" w:type="dxa"/>
            <w:vAlign w:val="bottom"/>
            <w:gridSpan w:val="14"/>
          </w:tcPr>
          <w:p>
            <w:pPr>
              <w:spacing w:after="0"/>
              <w:rPr>
                <w:sz w:val="20"/>
                <w:szCs w:val="20"/>
                <w:color w:val="auto"/>
              </w:rPr>
            </w:pPr>
            <w:r>
              <w:rPr>
                <w:rFonts w:ascii="Arial" w:cs="Arial" w:eastAsia="Arial" w:hAnsi="Arial"/>
                <w:sz w:val="18"/>
                <w:szCs w:val="18"/>
                <w:color w:val="auto"/>
                <w:w w:val="99"/>
              </w:rPr>
              <w:t>XBRL Taxonomy Extension Calculation Linkbase</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180" w:type="dxa"/>
            <w:vAlign w:val="bottom"/>
          </w:tcPr>
          <w:p>
            <w:pPr>
              <w:spacing w:after="0"/>
              <w:rPr>
                <w:sz w:val="19"/>
                <w:szCs w:val="19"/>
                <w:color w:val="auto"/>
              </w:rPr>
            </w:pPr>
          </w:p>
        </w:tc>
        <w:tc>
          <w:tcPr>
            <w:tcW w:w="392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180" w:type="dxa"/>
            <w:vAlign w:val="bottom"/>
          </w:tcPr>
          <w:p>
            <w:pPr>
              <w:spacing w:after="0"/>
              <w:rPr>
                <w:sz w:val="19"/>
                <w:szCs w:val="19"/>
                <w:color w:val="auto"/>
              </w:rPr>
            </w:pPr>
          </w:p>
        </w:tc>
        <w:tc>
          <w:tcPr>
            <w:tcW w:w="392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1"/>
              </w:rPr>
              <w:t>101.PRE</w:t>
            </w:r>
          </w:p>
        </w:tc>
        <w:tc>
          <w:tcPr>
            <w:tcW w:w="180" w:type="dxa"/>
            <w:vAlign w:val="bottom"/>
          </w:tcPr>
          <w:p>
            <w:pPr>
              <w:spacing w:after="0"/>
              <w:rPr>
                <w:sz w:val="20"/>
                <w:szCs w:val="20"/>
                <w:color w:val="auto"/>
              </w:rPr>
            </w:pPr>
          </w:p>
        </w:tc>
        <w:tc>
          <w:tcPr>
            <w:tcW w:w="720" w:type="dxa"/>
            <w:vAlign w:val="bottom"/>
            <w:gridSpan w:val="3"/>
          </w:tcPr>
          <w:p>
            <w:pPr>
              <w:spacing w:after="0"/>
              <w:rPr>
                <w:sz w:val="20"/>
                <w:szCs w:val="20"/>
                <w:color w:val="auto"/>
              </w:rPr>
            </w:pPr>
            <w:r>
              <w:rPr>
                <w:rFonts w:ascii="Arial" w:cs="Arial" w:eastAsia="Arial" w:hAnsi="Arial"/>
                <w:sz w:val="18"/>
                <w:szCs w:val="18"/>
                <w:color w:val="auto"/>
              </w:rPr>
              <w:t>XBRL</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2"/>
              </w:rPr>
              <w:t>Taxonomy</w:t>
            </w:r>
          </w:p>
        </w:tc>
        <w:tc>
          <w:tcPr>
            <w:tcW w:w="2380" w:type="dxa"/>
            <w:vAlign w:val="bottom"/>
            <w:gridSpan w:val="9"/>
          </w:tcPr>
          <w:p>
            <w:pPr>
              <w:ind w:left="240"/>
              <w:spacing w:after="0"/>
              <w:rPr>
                <w:sz w:val="20"/>
                <w:szCs w:val="20"/>
                <w:color w:val="auto"/>
              </w:rPr>
            </w:pPr>
            <w:r>
              <w:rPr>
                <w:rFonts w:ascii="Arial" w:cs="Arial" w:eastAsia="Arial" w:hAnsi="Arial"/>
                <w:sz w:val="18"/>
                <w:szCs w:val="18"/>
                <w:color w:val="auto"/>
              </w:rPr>
              <w:t>Extension   Presentation</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ind w:left="880"/>
        <w:spacing w:after="0"/>
        <w:rPr>
          <w:sz w:val="20"/>
          <w:szCs w:val="20"/>
          <w:color w:val="auto"/>
        </w:rPr>
      </w:pPr>
      <w:r>
        <w:rPr>
          <w:rFonts w:ascii="Arial" w:cs="Arial" w:eastAsia="Arial" w:hAnsi="Arial"/>
          <w:sz w:val="18"/>
          <w:szCs w:val="18"/>
          <w:color w:val="auto"/>
        </w:rPr>
        <w:t>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wp:posOffset>
            </wp:positionV>
            <wp:extent cx="15690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19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on Form 10-Q pursuant to 18 U.S.C. Section</w:t>
      </w:r>
    </w:p>
    <w:p>
      <w:pPr>
        <w:spacing w:after="0" w:line="35" w:lineRule="exact"/>
        <w:rPr>
          <w:sz w:val="20"/>
          <w:szCs w:val="20"/>
          <w:color w:val="auto"/>
        </w:rPr>
      </w:pPr>
    </w:p>
    <w:p>
      <w:pPr>
        <w:jc w:val="both"/>
        <w:ind w:left="340"/>
        <w:spacing w:after="0" w:line="250" w:lineRule="auto"/>
        <w:rPr>
          <w:sz w:val="20"/>
          <w:szCs w:val="20"/>
          <w:color w:val="auto"/>
        </w:rPr>
      </w:pPr>
      <w:r>
        <w:rPr>
          <w:rFonts w:ascii="Arial" w:cs="Arial" w:eastAsia="Arial" w:hAnsi="Arial"/>
          <w:sz w:val="18"/>
          <w:szCs w:val="18"/>
          <w:color w:val="auto"/>
        </w:rPr>
        <w:t>1350, and are not being filed for purposes of Section 18 of the Securities Exchange Act of 1934 and are not to be incorporated by reference into any filing of Snail, Inc., whether made before or after the date hereof, regardless of any general incorporation language in such filing.</w:t>
      </w:r>
    </w:p>
    <w:p>
      <w:pPr>
        <w:spacing w:after="0" w:line="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 in Culver City, California, on May 15,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6660" w:type="dxa"/>
            <w:vAlign w:val="bottom"/>
            <w:gridSpan w:val="3"/>
          </w:tcPr>
          <w:p>
            <w:pPr>
              <w:ind w:left="1800"/>
              <w:spacing w:after="0"/>
              <w:rPr>
                <w:sz w:val="20"/>
                <w:szCs w:val="20"/>
                <w:color w:val="auto"/>
              </w:rPr>
            </w:pPr>
            <w:r>
              <w:rPr>
                <w:rFonts w:ascii="Arial" w:cs="Arial" w:eastAsia="Arial" w:hAnsi="Arial"/>
                <w:sz w:val="18"/>
                <w:szCs w:val="18"/>
                <w:color w:val="auto"/>
              </w:rPr>
              <w:t>Snail, Inc.</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Date: May 15, 2023</w:t>
            </w:r>
          </w:p>
        </w:tc>
        <w:tc>
          <w:tcPr>
            <w:tcW w:w="6660" w:type="dxa"/>
            <w:vAlign w:val="bottom"/>
            <w:gridSpan w:val="3"/>
          </w:tcPr>
          <w:p>
            <w:pPr>
              <w:ind w:left="1800"/>
              <w:spacing w:after="0"/>
              <w:rPr>
                <w:sz w:val="20"/>
                <w:szCs w:val="20"/>
                <w:color w:val="auto"/>
              </w:rPr>
            </w:pPr>
            <w:r>
              <w:rPr>
                <w:rFonts w:ascii="Arial" w:cs="Arial" w:eastAsia="Arial" w:hAnsi="Arial"/>
                <w:sz w:val="18"/>
                <w:szCs w:val="18"/>
                <w:color w:val="auto"/>
              </w:rPr>
              <w:t>By: /s/ Jim S. Tsai</w:t>
            </w:r>
          </w:p>
        </w:tc>
      </w:tr>
      <w:tr>
        <w:trPr>
          <w:trHeight w:val="191"/>
        </w:trPr>
        <w:tc>
          <w:tcPr>
            <w:tcW w:w="3260" w:type="dxa"/>
            <w:vAlign w:val="bottom"/>
          </w:tcPr>
          <w:p>
            <w:pPr>
              <w:spacing w:after="0"/>
              <w:rPr>
                <w:sz w:val="16"/>
                <w:szCs w:val="16"/>
                <w:color w:val="auto"/>
              </w:rPr>
            </w:pPr>
          </w:p>
        </w:tc>
        <w:tc>
          <w:tcPr>
            <w:tcW w:w="2140" w:type="dxa"/>
            <w:vAlign w:val="bottom"/>
            <w:gridSpan w:val="2"/>
          </w:tcPr>
          <w:p>
            <w:pPr>
              <w:ind w:left="1800"/>
              <w:spacing w:after="0" w:line="191" w:lineRule="exact"/>
              <w:rPr>
                <w:sz w:val="20"/>
                <w:szCs w:val="20"/>
                <w:color w:val="auto"/>
              </w:rPr>
            </w:pPr>
            <w:r>
              <w:rPr>
                <w:rFonts w:ascii="Arial" w:cs="Arial" w:eastAsia="Arial" w:hAnsi="Arial"/>
                <w:sz w:val="18"/>
                <w:szCs w:val="18"/>
                <w:b w:val="1"/>
                <w:bCs w:val="1"/>
                <w:color w:val="auto"/>
              </w:rPr>
              <w:t>Jim</w:t>
            </w:r>
          </w:p>
        </w:tc>
        <w:tc>
          <w:tcPr>
            <w:tcW w:w="45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S. Tsai</w:t>
            </w:r>
          </w:p>
        </w:tc>
      </w:tr>
      <w:tr>
        <w:trPr>
          <w:trHeight w:val="234"/>
        </w:trPr>
        <w:tc>
          <w:tcPr>
            <w:tcW w:w="3260" w:type="dxa"/>
            <w:vAlign w:val="bottom"/>
          </w:tcPr>
          <w:p>
            <w:pPr>
              <w:spacing w:after="0"/>
              <w:rPr>
                <w:sz w:val="20"/>
                <w:szCs w:val="20"/>
                <w:color w:val="auto"/>
              </w:rPr>
            </w:pPr>
          </w:p>
        </w:tc>
        <w:tc>
          <w:tcPr>
            <w:tcW w:w="6660" w:type="dxa"/>
            <w:vAlign w:val="bottom"/>
            <w:gridSpan w:val="3"/>
          </w:tcPr>
          <w:p>
            <w:pPr>
              <w:ind w:left="1800"/>
              <w:spacing w:after="0"/>
              <w:rPr>
                <w:sz w:val="20"/>
                <w:szCs w:val="20"/>
                <w:color w:val="auto"/>
              </w:rPr>
            </w:pPr>
            <w:r>
              <w:rPr>
                <w:rFonts w:ascii="Arial" w:cs="Arial" w:eastAsia="Arial" w:hAnsi="Arial"/>
                <w:sz w:val="18"/>
                <w:szCs w:val="18"/>
                <w:b w:val="1"/>
                <w:bCs w:val="1"/>
                <w:color w:val="auto"/>
              </w:rPr>
              <w:t>Chief Executive Officer</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Date: May 15, 2023</w:t>
            </w:r>
          </w:p>
        </w:tc>
        <w:tc>
          <w:tcPr>
            <w:tcW w:w="6660" w:type="dxa"/>
            <w:vAlign w:val="bottom"/>
            <w:gridSpan w:val="3"/>
          </w:tcPr>
          <w:p>
            <w:pPr>
              <w:ind w:left="1800"/>
              <w:spacing w:after="0"/>
              <w:rPr>
                <w:sz w:val="20"/>
                <w:szCs w:val="20"/>
                <w:color w:val="auto"/>
              </w:rPr>
            </w:pPr>
            <w:r>
              <w:rPr>
                <w:rFonts w:ascii="Arial" w:cs="Arial" w:eastAsia="Arial" w:hAnsi="Arial"/>
                <w:sz w:val="18"/>
                <w:szCs w:val="18"/>
                <w:color w:val="auto"/>
              </w:rPr>
              <w:t>By: /s/ Heidy Chow</w:t>
            </w:r>
          </w:p>
        </w:tc>
      </w:tr>
      <w:tr>
        <w:trPr>
          <w:trHeight w:val="20"/>
        </w:trPr>
        <w:tc>
          <w:tcPr>
            <w:tcW w:w="3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540" w:type="dxa"/>
            <w:vAlign w:val="bottom"/>
            <w:gridSpan w:val="2"/>
            <w:shd w:val="clear" w:color="auto" w:fill="000000"/>
          </w:tcPr>
          <w:p>
            <w:pPr>
              <w:spacing w:after="0" w:line="20" w:lineRule="exact"/>
              <w:rPr>
                <w:sz w:val="1"/>
                <w:szCs w:val="1"/>
                <w:color w:val="auto"/>
              </w:rPr>
            </w:pPr>
          </w:p>
        </w:tc>
      </w:tr>
      <w:tr>
        <w:trPr>
          <w:trHeight w:val="191"/>
        </w:trPr>
        <w:tc>
          <w:tcPr>
            <w:tcW w:w="3260" w:type="dxa"/>
            <w:vAlign w:val="bottom"/>
          </w:tcPr>
          <w:p>
            <w:pPr>
              <w:spacing w:after="0"/>
              <w:rPr>
                <w:sz w:val="16"/>
                <w:szCs w:val="16"/>
                <w:color w:val="auto"/>
              </w:rPr>
            </w:pPr>
          </w:p>
        </w:tc>
        <w:tc>
          <w:tcPr>
            <w:tcW w:w="6660" w:type="dxa"/>
            <w:vAlign w:val="bottom"/>
            <w:gridSpan w:val="3"/>
          </w:tcPr>
          <w:p>
            <w:pPr>
              <w:ind w:left="1800"/>
              <w:spacing w:after="0" w:line="191" w:lineRule="exact"/>
              <w:rPr>
                <w:sz w:val="20"/>
                <w:szCs w:val="20"/>
                <w:color w:val="auto"/>
              </w:rPr>
            </w:pPr>
            <w:r>
              <w:rPr>
                <w:rFonts w:ascii="Arial" w:cs="Arial" w:eastAsia="Arial" w:hAnsi="Arial"/>
                <w:sz w:val="18"/>
                <w:szCs w:val="18"/>
                <w:b w:val="1"/>
                <w:bCs w:val="1"/>
                <w:color w:val="auto"/>
              </w:rPr>
              <w:t>Heidy Chow</w:t>
            </w:r>
          </w:p>
        </w:tc>
      </w:tr>
      <w:tr>
        <w:trPr>
          <w:trHeight w:val="234"/>
        </w:trPr>
        <w:tc>
          <w:tcPr>
            <w:tcW w:w="3260" w:type="dxa"/>
            <w:vAlign w:val="bottom"/>
          </w:tcPr>
          <w:p>
            <w:pPr>
              <w:spacing w:after="0"/>
              <w:rPr>
                <w:sz w:val="20"/>
                <w:szCs w:val="20"/>
                <w:color w:val="auto"/>
              </w:rPr>
            </w:pPr>
          </w:p>
        </w:tc>
        <w:tc>
          <w:tcPr>
            <w:tcW w:w="6660" w:type="dxa"/>
            <w:vAlign w:val="bottom"/>
            <w:gridSpan w:val="3"/>
          </w:tcPr>
          <w:p>
            <w:pPr>
              <w:ind w:left="1800"/>
              <w:spacing w:after="0"/>
              <w:rPr>
                <w:sz w:val="20"/>
                <w:szCs w:val="20"/>
                <w:color w:val="auto"/>
              </w:rPr>
            </w:pPr>
            <w:r>
              <w:rPr>
                <w:rFonts w:ascii="Arial" w:cs="Arial" w:eastAsia="Arial" w:hAnsi="Arial"/>
                <w:sz w:val="18"/>
                <w:szCs w:val="18"/>
                <w:b w:val="1"/>
                <w:b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8" w:name="page69"/>
    <w:bookmarkEnd w:id="68"/>
    <w:p>
      <w:pPr>
        <w:ind w:left="89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Jim S. Tsai,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Snail, Inc. (the “Company”);</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3" w:lineRule="exact"/>
        <w:rPr>
          <w:rFonts w:ascii="Arial" w:cs="Arial" w:eastAsia="Arial" w:hAnsi="Arial"/>
          <w:sz w:val="16"/>
          <w:szCs w:val="16"/>
          <w:color w:val="auto"/>
        </w:rPr>
      </w:pPr>
    </w:p>
    <w:p>
      <w:pPr>
        <w:ind w:firstLine="8"/>
        <w:spacing w:after="0" w:line="277" w:lineRule="auto"/>
        <w:tabs>
          <w:tab w:leader="none" w:pos="1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jc w:val="both"/>
        <w:ind w:left="660" w:hanging="4"/>
        <w:spacing w:after="0" w:line="286" w:lineRule="auto"/>
        <w:tabs>
          <w:tab w:leader="none" w:pos="846"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hanging="184"/>
        <w:spacing w:after="0"/>
        <w:tabs>
          <w:tab w:leader="none" w:pos="8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8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72"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4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3" w:lineRule="exact"/>
        <w:rPr>
          <w:rFonts w:ascii="Arial" w:cs="Arial" w:eastAsia="Arial" w:hAnsi="Arial"/>
          <w:sz w:val="18"/>
          <w:szCs w:val="18"/>
          <w:color w:val="auto"/>
        </w:rPr>
      </w:pPr>
    </w:p>
    <w:p>
      <w:pPr>
        <w:ind w:left="660" w:hanging="4"/>
        <w:spacing w:after="0" w:line="277" w:lineRule="auto"/>
        <w:tabs>
          <w:tab w:leader="none" w:pos="86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15,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180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ind w:left="89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Heidy Chow,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Snail, Inc. (the “Company”);</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3" w:lineRule="exact"/>
        <w:rPr>
          <w:rFonts w:ascii="Arial" w:cs="Arial" w:eastAsia="Arial" w:hAnsi="Arial"/>
          <w:sz w:val="16"/>
          <w:szCs w:val="16"/>
          <w:color w:val="auto"/>
        </w:rPr>
      </w:pPr>
    </w:p>
    <w:p>
      <w:pPr>
        <w:ind w:firstLine="8"/>
        <w:spacing w:after="0" w:line="277" w:lineRule="auto"/>
        <w:tabs>
          <w:tab w:leader="none" w:pos="1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jc w:val="both"/>
        <w:ind w:left="660" w:hanging="4"/>
        <w:spacing w:after="0" w:line="286" w:lineRule="auto"/>
        <w:tabs>
          <w:tab w:leader="none" w:pos="846"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hanging="184"/>
        <w:spacing w:after="0"/>
        <w:tabs>
          <w:tab w:leader="none" w:pos="8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835"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72"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4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3" w:lineRule="exact"/>
        <w:rPr>
          <w:rFonts w:ascii="Arial" w:cs="Arial" w:eastAsia="Arial" w:hAnsi="Arial"/>
          <w:sz w:val="18"/>
          <w:szCs w:val="18"/>
          <w:color w:val="auto"/>
        </w:rPr>
      </w:pPr>
    </w:p>
    <w:p>
      <w:pPr>
        <w:ind w:left="660" w:hanging="4"/>
        <w:spacing w:after="0" w:line="277" w:lineRule="auto"/>
        <w:tabs>
          <w:tab w:leader="none" w:pos="86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15,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1800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ind w:left="89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Jim S. Tsai, Chief Executive Officer of Snail, Inc. (the “Company”), certify, pursuant to 18 U.S.C. §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my knowledge:</w:t>
      </w:r>
    </w:p>
    <w:p>
      <w:pPr>
        <w:spacing w:after="0" w:line="211" w:lineRule="exact"/>
        <w:rPr>
          <w:sz w:val="20"/>
          <w:szCs w:val="20"/>
          <w:color w:val="auto"/>
        </w:rPr>
      </w:pPr>
    </w:p>
    <w:p>
      <w:pPr>
        <w:ind w:firstLine="8"/>
        <w:spacing w:after="0" w:line="277" w:lineRule="auto"/>
        <w:tabs>
          <w:tab w:leader="none" w:pos="19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2023 (the “Report”) of the Company fully complies with the requirements of Section 13(a) or Section 15(d) of the Securities Exchange Act of 1934; and</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15,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111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Jim S. Tsai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1" w:name="page72"/>
    <w:bookmarkEnd w:id="71"/>
    <w:p>
      <w:pPr>
        <w:ind w:left="89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Heidy Chow, Chief Financial Officer of Snail, Inc. (the “Company”), certify, pursuant to 18 U.S.C. §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my knowledge:</w:t>
      </w:r>
    </w:p>
    <w:p>
      <w:pPr>
        <w:spacing w:after="0" w:line="211" w:lineRule="exact"/>
        <w:rPr>
          <w:sz w:val="20"/>
          <w:szCs w:val="20"/>
          <w:color w:val="auto"/>
        </w:rPr>
      </w:pPr>
    </w:p>
    <w:p>
      <w:pPr>
        <w:ind w:firstLine="8"/>
        <w:spacing w:after="0" w:line="277" w:lineRule="auto"/>
        <w:tabs>
          <w:tab w:leader="none" w:pos="1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2023 (the “Report”) of the Company fully complies with the requirements of Section 13(a) or Section 15(d) of the Securities Exchange Act of 1934; and</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15,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1457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Heidy Chow</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emdash "/>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4"/>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90" Type="http://schemas.openxmlformats.org/officeDocument/2006/relationships/hyperlink" Target="https://www.sec.gov/Archives/edgar/data/1886894/000110465922118795/tm2128835d28_ex3-1.htm" TargetMode="External"/><Relationship Id="rId91" Type="http://schemas.openxmlformats.org/officeDocument/2006/relationships/hyperlink" Target="https://www.sec.gov/Archives/edgar/data/1886894/000110465922118795/tm2128835d28_ex3-2.htm" TargetMode="External"/><Relationship Id="rId92" Type="http://schemas.openxmlformats.org/officeDocument/2006/relationships/hyperlink" Target="https://www.sec.gov/Archives/edgar/data/1886894/000110465923038408/snal-20221231xex10d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2023-05-15T16:33:34Z</dcterms:created>
  <dcterms:modified xsi:type="dcterms:W3CDTF">2023-05-15T16:33:34Z</dcterms:modified>
</cp:coreProperties>
</file>