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2220" cy="2286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290830</wp:posOffset>
            </wp:positionV>
            <wp:extent cx="633222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2220" cy="5715"/>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UNITED STATES</w:t>
      </w:r>
    </w:p>
    <w:p>
      <w:pPr>
        <w:spacing w:after="0" w:line="1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SECURITIES AND EXCHANGE COMMISSION</w:t>
      </w:r>
    </w:p>
    <w:p>
      <w:pPr>
        <w:spacing w:after="0" w:line="9"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2372360</wp:posOffset>
            </wp:positionH>
            <wp:positionV relativeFrom="paragraph">
              <wp:posOffset>82550</wp:posOffset>
            </wp:positionV>
            <wp:extent cx="158877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8770" cy="5715"/>
                    </a:xfrm>
                    <a:prstGeom prst="rect">
                      <a:avLst/>
                    </a:prstGeom>
                    <a:noFill/>
                  </pic:spPr>
                </pic:pic>
              </a:graphicData>
            </a:graphic>
          </wp:anchor>
        </w:drawing>
      </w:r>
    </w:p>
    <w:p>
      <w:pPr>
        <w:spacing w:after="0" w:line="190"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2372360</wp:posOffset>
            </wp:positionH>
            <wp:positionV relativeFrom="paragraph">
              <wp:posOffset>88900</wp:posOffset>
            </wp:positionV>
            <wp:extent cx="15887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8770" cy="5715"/>
                    </a:xfrm>
                    <a:prstGeom prst="rect">
                      <a:avLst/>
                    </a:prstGeom>
                    <a:noFill/>
                  </pic:spPr>
                </pic:pic>
              </a:graphicData>
            </a:graphic>
          </wp:anchor>
        </w:drawing>
      </w:r>
    </w:p>
    <w:p>
      <w:pPr>
        <w:spacing w:after="0" w:line="181" w:lineRule="exact"/>
        <w:rPr>
          <w:sz w:val="24"/>
          <w:szCs w:val="24"/>
          <w:color w:val="auto"/>
        </w:rPr>
      </w:pPr>
    </w:p>
    <w:p>
      <w:pPr>
        <w:ind w:left="3"/>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6" w:lineRule="exact"/>
        <w:rPr>
          <w:sz w:val="24"/>
          <w:szCs w:val="24"/>
          <w:color w:val="auto"/>
        </w:rPr>
      </w:pPr>
    </w:p>
    <w:p>
      <w:pPr>
        <w:ind w:left="283" w:hanging="283"/>
        <w:spacing w:after="0"/>
        <w:tabs>
          <w:tab w:leader="none" w:pos="283"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QUARTERLY REPORT PURSUANT TO SECTION 13 OR 15(d) OF THE SECURITIES EXCHANGE ACT OF 1934</w:t>
      </w:r>
    </w:p>
    <w:p>
      <w:pPr>
        <w:spacing w:after="0" w:line="46"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For the quarterly period ended September 30, 2022</w:t>
      </w:r>
    </w:p>
    <w:p>
      <w:pPr>
        <w:spacing w:after="0" w:line="54" w:lineRule="exact"/>
        <w:rPr>
          <w:sz w:val="24"/>
          <w:szCs w:val="24"/>
          <w:color w:val="auto"/>
        </w:rPr>
      </w:pPr>
    </w:p>
    <w:p>
      <w:pPr>
        <w:jc w:val="center"/>
        <w:ind w:right="-2"/>
        <w:spacing w:after="0"/>
        <w:rPr>
          <w:sz w:val="20"/>
          <w:szCs w:val="20"/>
          <w:color w:val="auto"/>
        </w:rPr>
      </w:pPr>
      <w:r>
        <w:rPr>
          <w:rFonts w:ascii="Times New Roman" w:cs="Times New Roman" w:eastAsia="Times New Roman" w:hAnsi="Times New Roman"/>
          <w:sz w:val="11"/>
          <w:szCs w:val="11"/>
          <w:b w:val="1"/>
          <w:bCs w:val="1"/>
          <w:color w:val="auto"/>
        </w:rPr>
        <w:t>OR</w:t>
      </w:r>
    </w:p>
    <w:p>
      <w:pPr>
        <w:spacing w:after="0" w:line="54" w:lineRule="exact"/>
        <w:rPr>
          <w:sz w:val="24"/>
          <w:szCs w:val="24"/>
          <w:color w:val="auto"/>
        </w:rPr>
      </w:pPr>
    </w:p>
    <w:p>
      <w:pPr>
        <w:ind w:left="283" w:hanging="283"/>
        <w:spacing w:after="0"/>
        <w:tabs>
          <w:tab w:leader="none" w:pos="283"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w:t>
      </w:r>
    </w:p>
    <w:p>
      <w:pPr>
        <w:spacing w:after="0" w:line="46" w:lineRule="exact"/>
        <w:rPr>
          <w:sz w:val="24"/>
          <w:szCs w:val="24"/>
          <w:color w:val="auto"/>
        </w:rPr>
      </w:pPr>
    </w:p>
    <w:tbl>
      <w:tblPr>
        <w:tblLayout w:type="fixed"/>
        <w:tblInd w:w="3683" w:type="dxa"/>
        <w:tblCellMar>
          <w:top w:w="0" w:type="dxa"/>
          <w:left w:w="0" w:type="dxa"/>
          <w:bottom w:w="0" w:type="dxa"/>
          <w:right w:w="0" w:type="dxa"/>
        </w:tblCellMar>
      </w:tblPr>
      <w:tr>
        <w:trPr>
          <w:trHeight w:val="126"/>
        </w:trPr>
        <w:tc>
          <w:tcPr>
            <w:tcW w:w="1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8"/>
              </w:rPr>
              <w:t>For the transition period from</w:t>
            </w:r>
          </w:p>
        </w:tc>
        <w:tc>
          <w:tcPr>
            <w:tcW w:w="540" w:type="dxa"/>
            <w:vAlign w:val="bottom"/>
            <w:tcBorders>
              <w:bottom w:val="single" w:sz="8" w:color="auto"/>
            </w:tcBorders>
          </w:tcPr>
          <w:p>
            <w:pPr>
              <w:spacing w:after="0"/>
              <w:rPr>
                <w:sz w:val="11"/>
                <w:szCs w:val="11"/>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w w:val="86"/>
              </w:rPr>
              <w:t>to</w:t>
            </w:r>
          </w:p>
        </w:tc>
        <w:tc>
          <w:tcPr>
            <w:tcW w:w="540" w:type="dxa"/>
            <w:vAlign w:val="bottom"/>
            <w:tcBorders>
              <w:bottom w:val="single" w:sz="8" w:color="auto"/>
            </w:tcBorders>
          </w:tcPr>
          <w:p>
            <w:pPr>
              <w:spacing w:after="0"/>
              <w:rPr>
                <w:sz w:val="11"/>
                <w:szCs w:val="11"/>
                <w:color w:val="auto"/>
              </w:rPr>
            </w:pPr>
          </w:p>
        </w:tc>
      </w:tr>
      <w:tr>
        <w:trPr>
          <w:trHeight w:val="174"/>
        </w:trPr>
        <w:tc>
          <w:tcPr>
            <w:tcW w:w="262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Commission File Number 001-41556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2372360</wp:posOffset>
            </wp:positionH>
            <wp:positionV relativeFrom="paragraph">
              <wp:posOffset>65405</wp:posOffset>
            </wp:positionV>
            <wp:extent cx="158877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8770" cy="5715"/>
                    </a:xfrm>
                    <a:prstGeom prst="rect">
                      <a:avLst/>
                    </a:prstGeom>
                    <a:noFill/>
                  </pic:spPr>
                </pic:pic>
              </a:graphicData>
            </a:graphic>
          </wp:anchor>
        </w:drawing>
      </w:r>
    </w:p>
    <w:p>
      <w:pPr>
        <w:spacing w:after="0" w:line="107" w:lineRule="exact"/>
        <w:rPr>
          <w:sz w:val="24"/>
          <w:szCs w:val="24"/>
          <w:color w:val="auto"/>
        </w:rPr>
      </w:pPr>
    </w:p>
    <w:tbl>
      <w:tblPr>
        <w:tblLayout w:type="fixed"/>
        <w:tblInd w:w="3" w:type="dxa"/>
        <w:tblCellMar>
          <w:top w:w="0" w:type="dxa"/>
          <w:left w:w="0" w:type="dxa"/>
          <w:bottom w:w="0" w:type="dxa"/>
          <w:right w:w="0" w:type="dxa"/>
        </w:tblCellMar>
      </w:tblPr>
      <w:tr>
        <w:trPr>
          <w:trHeight w:val="343"/>
        </w:trPr>
        <w:tc>
          <w:tcPr>
            <w:tcW w:w="3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gridSpan w:val="3"/>
          </w:tcPr>
          <w:p>
            <w:pPr>
              <w:jc w:val="center"/>
              <w:ind w:right="180"/>
              <w:spacing w:after="0"/>
              <w:rPr>
                <w:sz w:val="20"/>
                <w:szCs w:val="20"/>
                <w:color w:val="auto"/>
              </w:rPr>
            </w:pPr>
            <w:r>
              <w:rPr>
                <w:rFonts w:ascii="Times New Roman" w:cs="Times New Roman" w:eastAsia="Times New Roman" w:hAnsi="Times New Roman"/>
                <w:sz w:val="28"/>
                <w:szCs w:val="28"/>
                <w:b w:val="1"/>
                <w:bCs w:val="1"/>
                <w:color w:val="auto"/>
                <w:w w:val="98"/>
              </w:rPr>
              <w:t>SNAIL, INC.</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6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7"/>
              </w:rPr>
              <w:t>(Exact name of registrant as specified in its charter)</w:t>
            </w: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0" w:type="dxa"/>
            <w:vAlign w:val="bottom"/>
            <w:gridSpan w:val="2"/>
            <w:vMerge w:val="restart"/>
          </w:tcPr>
          <w:p>
            <w:pPr>
              <w:jc w:val="center"/>
              <w:ind w:left="2146"/>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560" w:type="dxa"/>
            <w:vAlign w:val="bottom"/>
            <w:vMerge w:val="restart"/>
          </w:tcPr>
          <w:p>
            <w:pPr>
              <w:jc w:val="center"/>
              <w:ind w:right="2266"/>
              <w:spacing w:after="0"/>
              <w:rPr>
                <w:sz w:val="20"/>
                <w:szCs w:val="20"/>
                <w:color w:val="auto"/>
              </w:rPr>
            </w:pPr>
            <w:r>
              <w:rPr>
                <w:rFonts w:ascii="Times New Roman" w:cs="Times New Roman" w:eastAsia="Times New Roman" w:hAnsi="Times New Roman"/>
                <w:sz w:val="11"/>
                <w:szCs w:val="11"/>
                <w:b w:val="1"/>
                <w:bCs w:val="1"/>
                <w:color w:val="auto"/>
                <w:w w:val="97"/>
              </w:rPr>
              <w:t>88-4146991</w:t>
            </w:r>
          </w:p>
        </w:tc>
        <w:tc>
          <w:tcPr>
            <w:tcW w:w="0" w:type="dxa"/>
            <w:vAlign w:val="bottom"/>
          </w:tcPr>
          <w:p>
            <w:pPr>
              <w:spacing w:after="0"/>
              <w:rPr>
                <w:sz w:val="1"/>
                <w:szCs w:val="1"/>
                <w:color w:val="auto"/>
              </w:rPr>
            </w:pPr>
          </w:p>
        </w:tc>
      </w:tr>
      <w:tr>
        <w:trPr>
          <w:trHeight w:val="223"/>
        </w:trPr>
        <w:tc>
          <w:tcPr>
            <w:tcW w:w="36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600" w:type="dxa"/>
            <w:vAlign w:val="bottom"/>
            <w:gridSpan w:val="2"/>
          </w:tcPr>
          <w:p>
            <w:pPr>
              <w:jc w:val="center"/>
              <w:ind w:left="2126"/>
              <w:spacing w:after="0"/>
              <w:rPr>
                <w:sz w:val="20"/>
                <w:szCs w:val="20"/>
                <w:color w:val="auto"/>
              </w:rPr>
            </w:pPr>
            <w:r>
              <w:rPr>
                <w:rFonts w:ascii="Times New Roman" w:cs="Times New Roman" w:eastAsia="Times New Roman" w:hAnsi="Times New Roman"/>
                <w:sz w:val="11"/>
                <w:szCs w:val="11"/>
                <w:color w:val="auto"/>
                <w:w w:val="98"/>
              </w:rPr>
              <w:t>(State or other jurisdiction of</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60" w:type="dxa"/>
            <w:vAlign w:val="bottom"/>
          </w:tcPr>
          <w:p>
            <w:pPr>
              <w:jc w:val="center"/>
              <w:ind w:right="2306"/>
              <w:spacing w:after="0"/>
              <w:rPr>
                <w:sz w:val="20"/>
                <w:szCs w:val="20"/>
                <w:color w:val="auto"/>
              </w:rPr>
            </w:pPr>
            <w:r>
              <w:rPr>
                <w:rFonts w:ascii="Times New Roman" w:cs="Times New Roman" w:eastAsia="Times New Roman" w:hAnsi="Times New Roman"/>
                <w:sz w:val="11"/>
                <w:szCs w:val="11"/>
                <w:color w:val="auto"/>
                <w:w w:val="95"/>
              </w:rPr>
              <w:t>(IRS Employer</w:t>
            </w:r>
          </w:p>
        </w:tc>
        <w:tc>
          <w:tcPr>
            <w:tcW w:w="0" w:type="dxa"/>
            <w:vAlign w:val="bottom"/>
          </w:tcPr>
          <w:p>
            <w:pPr>
              <w:spacing w:after="0"/>
              <w:rPr>
                <w:sz w:val="1"/>
                <w:szCs w:val="1"/>
                <w:color w:val="auto"/>
              </w:rPr>
            </w:pPr>
          </w:p>
        </w:tc>
      </w:tr>
      <w:tr>
        <w:trPr>
          <w:trHeight w:val="140"/>
        </w:trPr>
        <w:tc>
          <w:tcPr>
            <w:tcW w:w="3600" w:type="dxa"/>
            <w:vAlign w:val="bottom"/>
            <w:gridSpan w:val="2"/>
          </w:tcPr>
          <w:p>
            <w:pPr>
              <w:jc w:val="center"/>
              <w:ind w:left="2166"/>
              <w:spacing w:after="0"/>
              <w:rPr>
                <w:sz w:val="20"/>
                <w:szCs w:val="20"/>
                <w:color w:val="auto"/>
              </w:rPr>
            </w:pPr>
            <w:r>
              <w:rPr>
                <w:rFonts w:ascii="Times New Roman" w:cs="Times New Roman" w:eastAsia="Times New Roman" w:hAnsi="Times New Roman"/>
                <w:sz w:val="11"/>
                <w:szCs w:val="11"/>
                <w:color w:val="auto"/>
                <w:w w:val="98"/>
              </w:rPr>
              <w:t>incorporation or organization)</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60" w:type="dxa"/>
            <w:vAlign w:val="bottom"/>
          </w:tcPr>
          <w:p>
            <w:pPr>
              <w:jc w:val="center"/>
              <w:ind w:right="2266"/>
              <w:spacing w:after="0"/>
              <w:rPr>
                <w:sz w:val="20"/>
                <w:szCs w:val="20"/>
                <w:color w:val="auto"/>
              </w:rPr>
            </w:pPr>
            <w:r>
              <w:rPr>
                <w:rFonts w:ascii="Times New Roman" w:cs="Times New Roman" w:eastAsia="Times New Roman" w:hAnsi="Times New Roman"/>
                <w:sz w:val="11"/>
                <w:szCs w:val="11"/>
                <w:color w:val="auto"/>
                <w:w w:val="97"/>
              </w:rPr>
              <w:t>Identification No.)</w:t>
            </w: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12049 Jefferson Blvd</w:t>
            </w:r>
          </w:p>
        </w:tc>
        <w:tc>
          <w:tcPr>
            <w:tcW w:w="3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Culver City, CA 90230</w:t>
            </w:r>
          </w:p>
        </w:tc>
        <w:tc>
          <w:tcPr>
            <w:tcW w:w="3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60" w:type="dxa"/>
            <w:vAlign w:val="bottom"/>
            <w:gridSpan w:val="3"/>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(Address of principal executive offices) (zip code)</w:t>
            </w: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3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80" w:type="dxa"/>
            <w:vAlign w:val="bottom"/>
            <w:gridSpan w:val="3"/>
          </w:tcPr>
          <w:p>
            <w:pPr>
              <w:jc w:val="center"/>
              <w:ind w:left="146"/>
              <w:spacing w:after="0"/>
              <w:rPr>
                <w:sz w:val="20"/>
                <w:szCs w:val="20"/>
                <w:color w:val="auto"/>
              </w:rPr>
            </w:pPr>
            <w:r>
              <w:rPr>
                <w:rFonts w:ascii="Times New Roman" w:cs="Times New Roman" w:eastAsia="Times New Roman" w:hAnsi="Times New Roman"/>
                <w:sz w:val="11"/>
                <w:szCs w:val="11"/>
                <w:b w:val="1"/>
                <w:bCs w:val="1"/>
                <w:color w:val="auto"/>
                <w:w w:val="98"/>
              </w:rPr>
              <w:t>+1 (310) 988-0643</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660" w:type="dxa"/>
            <w:vAlign w:val="bottom"/>
            <w:gridSpan w:val="3"/>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(Registrant’s telephone number, including area code)</w:t>
            </w: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3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gridSpan w:val="2"/>
          </w:tcPr>
          <w:p>
            <w:pPr>
              <w:spacing w:after="0"/>
              <w:rPr>
                <w:sz w:val="4"/>
                <w:szCs w:val="4"/>
                <w:color w:val="auto"/>
              </w:rPr>
            </w:pPr>
          </w:p>
        </w:tc>
        <w:tc>
          <w:tcPr>
            <w:tcW w:w="2500" w:type="dxa"/>
            <w:vAlign w:val="bottom"/>
            <w:tcBorders>
              <w:bottom w:val="single" w:sz="8" w:color="auto"/>
            </w:tcBorders>
            <w:gridSpan w:val="2"/>
          </w:tcPr>
          <w:p>
            <w:pPr>
              <w:spacing w:after="0"/>
              <w:rPr>
                <w:sz w:val="4"/>
                <w:szCs w:val="4"/>
                <w:color w:val="auto"/>
              </w:rPr>
            </w:pPr>
          </w:p>
        </w:tc>
        <w:tc>
          <w:tcPr>
            <w:tcW w:w="160" w:type="dxa"/>
            <w:vAlign w:val="bottom"/>
          </w:tcPr>
          <w:p>
            <w:pPr>
              <w:spacing w:after="0"/>
              <w:rPr>
                <w:sz w:val="4"/>
                <w:szCs w:val="4"/>
                <w:color w:val="auto"/>
              </w:rPr>
            </w:pPr>
          </w:p>
        </w:tc>
        <w:tc>
          <w:tcPr>
            <w:tcW w:w="3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Securities registered pursuant to Section 12(b) of the Act:</w:t>
            </w:r>
          </w:p>
        </w:tc>
        <w:tc>
          <w:tcPr>
            <w:tcW w:w="3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6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3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c>
          <w:tcPr>
            <w:tcW w:w="0" w:type="dxa"/>
            <w:vAlign w:val="bottom"/>
          </w:tcPr>
          <w:p>
            <w:pPr>
              <w:spacing w:after="0"/>
              <w:rPr>
                <w:sz w:val="1"/>
                <w:szCs w:val="1"/>
                <w:color w:val="auto"/>
              </w:rPr>
            </w:pPr>
          </w:p>
        </w:tc>
      </w:tr>
      <w:tr>
        <w:trPr>
          <w:trHeight w:val="135"/>
        </w:trPr>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Class A Common Stock, par value $0.0001 per share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SNAL</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Stock Market LLC</w:t>
            </w:r>
          </w:p>
        </w:tc>
        <w:tc>
          <w:tcPr>
            <w:tcW w:w="0" w:type="dxa"/>
            <w:vAlign w:val="bottom"/>
          </w:tcPr>
          <w:p>
            <w:pPr>
              <w:spacing w:after="0"/>
              <w:rPr>
                <w:sz w:val="1"/>
                <w:szCs w:val="1"/>
                <w:color w:val="auto"/>
              </w:rPr>
            </w:pPr>
          </w:p>
        </w:tc>
      </w:tr>
    </w:tbl>
    <w:p>
      <w:pPr>
        <w:spacing w:after="0" w:line="38" w:lineRule="exact"/>
        <w:rPr>
          <w:sz w:val="24"/>
          <w:szCs w:val="24"/>
          <w:color w:val="auto"/>
        </w:rPr>
      </w:pPr>
    </w:p>
    <w:p>
      <w:pPr>
        <w:jc w:val="both"/>
        <w:ind w:left="3" w:right="20"/>
        <w:spacing w:after="0" w:line="14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28" w:lineRule="exact"/>
        <w:rPr>
          <w:sz w:val="24"/>
          <w:szCs w:val="24"/>
          <w:color w:val="auto"/>
        </w:rPr>
      </w:pPr>
    </w:p>
    <w:p>
      <w:pPr>
        <w:jc w:val="both"/>
        <w:ind w:left="3" w:right="20"/>
        <w:spacing w:after="0" w:line="144"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if any,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37" w:lineRule="exact"/>
        <w:rPr>
          <w:sz w:val="24"/>
          <w:szCs w:val="24"/>
          <w:color w:val="auto"/>
        </w:rPr>
      </w:pPr>
    </w:p>
    <w:p>
      <w:pPr>
        <w:jc w:val="both"/>
        <w:ind w:left="3"/>
        <w:spacing w:after="0" w:line="282"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3" w:type="dxa"/>
        <w:tblCellMar>
          <w:top w:w="0" w:type="dxa"/>
          <w:left w:w="0" w:type="dxa"/>
          <w:bottom w:w="0" w:type="dxa"/>
          <w:right w:w="0" w:type="dxa"/>
        </w:tblCellMar>
      </w:tblPr>
      <w:tr>
        <w:trPr>
          <w:trHeight w:val="187"/>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1700" w:type="dxa"/>
            <w:vAlign w:val="bottom"/>
          </w:tcPr>
          <w:p>
            <w:pPr>
              <w:ind w:left="760"/>
              <w:spacing w:after="0" w:line="121" w:lineRule="exact"/>
              <w:rPr>
                <w:sz w:val="20"/>
                <w:szCs w:val="20"/>
                <w:color w:val="auto"/>
              </w:rPr>
            </w:pPr>
            <w:r>
              <w:rPr>
                <w:rFonts w:ascii="MS PGothic" w:cs="MS PGothic" w:eastAsia="MS PGothic" w:hAnsi="MS PGothic"/>
                <w:sz w:val="12"/>
                <w:szCs w:val="12"/>
                <w:color w:val="auto"/>
              </w:rPr>
              <w:t>☐</w:t>
            </w:r>
          </w:p>
        </w:tc>
        <w:tc>
          <w:tcPr>
            <w:tcW w:w="400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Accelerated filer</w:t>
            </w:r>
          </w:p>
        </w:tc>
        <w:tc>
          <w:tcPr>
            <w:tcW w:w="1980" w:type="dxa"/>
            <w:vAlign w:val="bottom"/>
          </w:tcPr>
          <w:p>
            <w:pPr>
              <w:ind w:left="18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25"/>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1700" w:type="dxa"/>
            <w:vAlign w:val="bottom"/>
          </w:tcPr>
          <w:p>
            <w:pPr>
              <w:ind w:left="760"/>
              <w:spacing w:after="0" w:line="121" w:lineRule="exact"/>
              <w:rPr>
                <w:sz w:val="20"/>
                <w:szCs w:val="20"/>
                <w:color w:val="auto"/>
              </w:rPr>
            </w:pPr>
            <w:r>
              <w:rPr>
                <w:rFonts w:ascii="MS PGothic" w:cs="MS PGothic" w:eastAsia="MS PGothic" w:hAnsi="MS PGothic"/>
                <w:sz w:val="12"/>
                <w:szCs w:val="12"/>
                <w:color w:val="auto"/>
              </w:rPr>
              <w:t>☒</w:t>
            </w:r>
          </w:p>
        </w:tc>
        <w:tc>
          <w:tcPr>
            <w:tcW w:w="400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1980" w:type="dxa"/>
            <w:vAlign w:val="bottom"/>
          </w:tcPr>
          <w:p>
            <w:pPr>
              <w:ind w:left="186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25"/>
        </w:trPr>
        <w:tc>
          <w:tcPr>
            <w:tcW w:w="206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1700" w:type="dxa"/>
            <w:vAlign w:val="bottom"/>
          </w:tcPr>
          <w:p>
            <w:pPr>
              <w:ind w:left="760"/>
              <w:spacing w:after="0" w:line="121" w:lineRule="exact"/>
              <w:rPr>
                <w:sz w:val="20"/>
                <w:szCs w:val="20"/>
                <w:color w:val="auto"/>
              </w:rPr>
            </w:pPr>
            <w:r>
              <w:rPr>
                <w:rFonts w:ascii="MS PGothic" w:cs="MS PGothic" w:eastAsia="MS PGothic" w:hAnsi="MS PGothic"/>
                <w:sz w:val="12"/>
                <w:szCs w:val="12"/>
                <w:color w:val="auto"/>
              </w:rPr>
              <w:t>☒</w:t>
            </w:r>
          </w:p>
        </w:tc>
        <w:tc>
          <w:tcPr>
            <w:tcW w:w="4000" w:type="dxa"/>
            <w:vAlign w:val="bottom"/>
          </w:tcPr>
          <w:p>
            <w:pPr>
              <w:spacing w:after="0"/>
              <w:rPr>
                <w:sz w:val="19"/>
                <w:szCs w:val="19"/>
                <w:color w:val="auto"/>
              </w:rPr>
            </w:pPr>
          </w:p>
        </w:tc>
        <w:tc>
          <w:tcPr>
            <w:tcW w:w="1980" w:type="dxa"/>
            <w:vAlign w:val="bottom"/>
          </w:tcPr>
          <w:p>
            <w:pPr>
              <w:spacing w:after="0"/>
              <w:rPr>
                <w:sz w:val="19"/>
                <w:szCs w:val="19"/>
                <w:color w:val="auto"/>
              </w:rPr>
            </w:pPr>
          </w:p>
        </w:tc>
      </w:tr>
    </w:tbl>
    <w:p>
      <w:pPr>
        <w:spacing w:after="0" w:line="42" w:lineRule="exact"/>
        <w:rPr>
          <w:sz w:val="24"/>
          <w:szCs w:val="24"/>
          <w:color w:val="auto"/>
        </w:rPr>
      </w:pPr>
    </w:p>
    <w:p>
      <w:pPr>
        <w:ind w:left="3" w:right="20"/>
        <w:spacing w:after="0" w:line="144"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2" w:lineRule="exact"/>
        <w:rPr>
          <w:sz w:val="24"/>
          <w:szCs w:val="24"/>
          <w:color w:val="auto"/>
        </w:rPr>
      </w:pPr>
    </w:p>
    <w:tbl>
      <w:tblPr>
        <w:tblLayout w:type="fixed"/>
        <w:tblInd w:w="3" w:type="dxa"/>
        <w:tblCellMar>
          <w:top w:w="0" w:type="dxa"/>
          <w:left w:w="0" w:type="dxa"/>
          <w:bottom w:w="0" w:type="dxa"/>
          <w:right w:w="0" w:type="dxa"/>
        </w:tblCellMar>
      </w:tblPr>
      <w:tr>
        <w:trPr>
          <w:trHeight w:val="168"/>
        </w:trPr>
        <w:tc>
          <w:tcPr>
            <w:tcW w:w="5500" w:type="dxa"/>
            <w:vAlign w:val="bottom"/>
            <w:gridSpan w:val="3"/>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whether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tc>
        <w:tc>
          <w:tcPr>
            <w:tcW w:w="4460" w:type="dxa"/>
            <w:vAlign w:val="bottom"/>
          </w:tcPr>
          <w:p>
            <w:pPr>
              <w:ind w:left="20"/>
              <w:spacing w:after="0" w:line="111" w:lineRule="exact"/>
              <w:rPr>
                <w:sz w:val="20"/>
                <w:szCs w:val="20"/>
                <w:color w:val="auto"/>
              </w:rPr>
            </w:pPr>
            <w:r>
              <w:rPr>
                <w:rFonts w:ascii="MS PGothic" w:cs="MS PGothic" w:eastAsia="MS PGothic" w:hAnsi="MS PGothic"/>
                <w:sz w:val="11"/>
                <w:szCs w:val="11"/>
                <w:color w:val="auto"/>
              </w:rPr>
              <w:t>☒</w:t>
            </w:r>
          </w:p>
        </w:tc>
      </w:tr>
      <w:tr>
        <w:trPr>
          <w:trHeight w:val="177"/>
        </w:trPr>
        <w:tc>
          <w:tcPr>
            <w:tcW w:w="5500" w:type="dxa"/>
            <w:vAlign w:val="bottom"/>
            <w:gridSpan w:val="3"/>
          </w:tcPr>
          <w:p>
            <w:pPr>
              <w:spacing w:after="0"/>
              <w:rPr>
                <w:sz w:val="20"/>
                <w:szCs w:val="20"/>
                <w:color w:val="auto"/>
              </w:rPr>
            </w:pPr>
            <w:r>
              <w:rPr>
                <w:rFonts w:ascii="Times New Roman" w:cs="Times New Roman" w:eastAsia="Times New Roman" w:hAnsi="Times New Roman"/>
                <w:sz w:val="11"/>
                <w:szCs w:val="11"/>
                <w:color w:val="auto"/>
                <w:w w:val="98"/>
              </w:rPr>
              <w:t>Indicate the number of shares outstanding of each of the registrant’s classes of common stock, as of the latest practicable date.</w:t>
            </w:r>
          </w:p>
        </w:tc>
        <w:tc>
          <w:tcPr>
            <w:tcW w:w="4460" w:type="dxa"/>
            <w:vAlign w:val="bottom"/>
          </w:tcPr>
          <w:p>
            <w:pPr>
              <w:spacing w:after="0"/>
              <w:rPr>
                <w:sz w:val="15"/>
                <w:szCs w:val="15"/>
                <w:color w:val="auto"/>
              </w:rPr>
            </w:pPr>
          </w:p>
        </w:tc>
      </w:tr>
      <w:tr>
        <w:trPr>
          <w:trHeight w:val="209"/>
        </w:trPr>
        <w:tc>
          <w:tcPr>
            <w:tcW w:w="550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8"/>
              </w:rPr>
              <w:t>Class of Common Stock</w:t>
            </w:r>
          </w:p>
        </w:tc>
        <w:tc>
          <w:tcPr>
            <w:tcW w:w="4460" w:type="dxa"/>
            <w:vAlign w:val="bottom"/>
          </w:tcPr>
          <w:p>
            <w:pPr>
              <w:ind w:left="1000"/>
              <w:spacing w:after="0"/>
              <w:rPr>
                <w:sz w:val="20"/>
                <w:szCs w:val="20"/>
                <w:color w:val="auto"/>
              </w:rPr>
            </w:pPr>
            <w:r>
              <w:rPr>
                <w:rFonts w:ascii="Times New Roman" w:cs="Times New Roman" w:eastAsia="Times New Roman" w:hAnsi="Times New Roman"/>
                <w:sz w:val="11"/>
                <w:szCs w:val="11"/>
                <w:b w:val="1"/>
                <w:bCs w:val="1"/>
                <w:color w:val="auto"/>
              </w:rPr>
              <w:t>Outstanding Shares as of December 14, 2022</w:t>
            </w:r>
          </w:p>
        </w:tc>
      </w:tr>
      <w:tr>
        <w:trPr>
          <w:trHeight w:val="135"/>
        </w:trPr>
        <w:tc>
          <w:tcPr>
            <w:tcW w:w="4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A Common Stock, par value $0.0001 per share</w:t>
            </w:r>
          </w:p>
        </w:tc>
        <w:tc>
          <w:tcPr>
            <w:tcW w:w="220" w:type="dxa"/>
            <w:vAlign w:val="bottom"/>
          </w:tcPr>
          <w:p>
            <w:pPr>
              <w:spacing w:after="0"/>
              <w:rPr>
                <w:sz w:val="11"/>
                <w:szCs w:val="11"/>
                <w:color w:val="auto"/>
              </w:rPr>
            </w:pPr>
          </w:p>
        </w:tc>
        <w:tc>
          <w:tcPr>
            <w:tcW w:w="400" w:type="dxa"/>
            <w:vAlign w:val="bottom"/>
            <w:tcBorders>
              <w:top w:val="single" w:sz="8" w:color="auto"/>
              <w:bottom w:val="single" w:sz="8" w:color="auto"/>
            </w:tcBorders>
          </w:tcPr>
          <w:p>
            <w:pPr>
              <w:spacing w:after="0"/>
              <w:rPr>
                <w:sz w:val="11"/>
                <w:szCs w:val="11"/>
                <w:color w:val="auto"/>
              </w:rPr>
            </w:pPr>
          </w:p>
        </w:tc>
        <w:tc>
          <w:tcPr>
            <w:tcW w:w="4460" w:type="dxa"/>
            <w:vAlign w:val="bottom"/>
            <w:tcBorders>
              <w:top w:val="single" w:sz="8" w:color="auto"/>
              <w:bottom w:val="single" w:sz="8" w:color="auto"/>
            </w:tcBorders>
          </w:tcPr>
          <w:p>
            <w:pPr>
              <w:jc w:val="right"/>
              <w:ind w:right="2123"/>
              <w:spacing w:after="0" w:line="135" w:lineRule="exact"/>
              <w:rPr>
                <w:sz w:val="20"/>
                <w:szCs w:val="20"/>
                <w:color w:val="auto"/>
              </w:rPr>
            </w:pPr>
            <w:r>
              <w:rPr>
                <w:rFonts w:ascii="Times New Roman" w:cs="Times New Roman" w:eastAsia="Times New Roman" w:hAnsi="Times New Roman"/>
                <w:sz w:val="12"/>
                <w:szCs w:val="12"/>
                <w:b w:val="1"/>
                <w:bCs w:val="1"/>
                <w:color w:val="auto"/>
              </w:rPr>
              <w:t>8,157,443</w:t>
            </w:r>
          </w:p>
        </w:tc>
      </w:tr>
      <w:tr>
        <w:trPr>
          <w:trHeight w:val="148"/>
        </w:trPr>
        <w:tc>
          <w:tcPr>
            <w:tcW w:w="4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B Common Stock, par value $0.0001 per share</w:t>
            </w: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60" w:type="dxa"/>
            <w:vAlign w:val="bottom"/>
          </w:tcPr>
          <w:p>
            <w:pPr>
              <w:jc w:val="right"/>
              <w:ind w:right="2103"/>
              <w:spacing w:after="0"/>
              <w:rPr>
                <w:sz w:val="20"/>
                <w:szCs w:val="20"/>
                <w:color w:val="auto"/>
              </w:rPr>
            </w:pPr>
            <w:r>
              <w:rPr>
                <w:rFonts w:ascii="Times New Roman" w:cs="Times New Roman" w:eastAsia="Times New Roman" w:hAnsi="Times New Roman"/>
                <w:sz w:val="12"/>
                <w:szCs w:val="12"/>
                <w:b w:val="1"/>
                <w:bCs w:val="1"/>
                <w:color w:val="auto"/>
              </w:rPr>
              <w:t>28,748,580</w:t>
            </w:r>
          </w:p>
        </w:tc>
      </w:tr>
      <w:tr>
        <w:trPr>
          <w:trHeight w:val="57"/>
        </w:trPr>
        <w:tc>
          <w:tcPr>
            <w:tcW w:w="4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r>
      <w:tr>
        <w:trPr>
          <w:trHeight w:val="41"/>
        </w:trPr>
        <w:tc>
          <w:tcPr>
            <w:tcW w:w="4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460" w:type="dxa"/>
            <w:vAlign w:val="bottom"/>
            <w:tcBorders>
              <w:bottom w:val="single" w:sz="8" w:color="auto"/>
            </w:tcBorders>
          </w:tcPr>
          <w:p>
            <w:pPr>
              <w:spacing w:after="0"/>
              <w:rPr>
                <w:sz w:val="3"/>
                <w:szCs w:val="3"/>
                <w:color w:val="auto"/>
              </w:rPr>
            </w:pPr>
          </w:p>
        </w:tc>
      </w:tr>
      <w:tr>
        <w:trPr>
          <w:trHeight w:val="369"/>
        </w:trPr>
        <w:tc>
          <w:tcPr>
            <w:tcW w:w="4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983"/>
          </w:cols>
          <w:pgMar w:left="957" w:top="489" w:right="9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SNAIL, INC. AND SUBSIDIARIES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 the Quarter Ended September 30, 2022</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9480" w:type="dxa"/>
            <w:vAlign w:val="bottom"/>
            <w:gridSpan w:val="24"/>
            <w:vMerge w:val="restart"/>
          </w:tcPr>
          <w:p>
            <w:pPr>
              <w:spacing w:after="0"/>
              <w:rPr>
                <w:sz w:val="20"/>
                <w:szCs w:val="20"/>
                <w:color w:val="auto"/>
              </w:rPr>
            </w:pPr>
            <w:r>
              <w:rPr>
                <w:rFonts w:ascii="Times New Roman" w:cs="Times New Roman" w:eastAsia="Times New Roman" w:hAnsi="Times New Roman"/>
                <w:sz w:val="12"/>
                <w:szCs w:val="12"/>
                <w:b w:val="1"/>
                <w:bCs w:val="1"/>
                <w:color w:val="auto"/>
              </w:rPr>
              <w:t>PART I. FINANCIAL INFORMATION</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33"/>
        </w:trPr>
        <w:tc>
          <w:tcPr>
            <w:tcW w:w="9480" w:type="dxa"/>
            <w:vAlign w:val="bottom"/>
            <w:gridSpan w:val="24"/>
            <w:vMerge w:val="continue"/>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1"/>
        </w:trPr>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3"/>
              </w:rPr>
              <w:t>Item 1.</w:t>
            </w:r>
          </w:p>
        </w:tc>
        <w:tc>
          <w:tcPr>
            <w:tcW w:w="380" w:type="dxa"/>
            <w:vAlign w:val="bottom"/>
            <w:gridSpan w:val="4"/>
          </w:tcPr>
          <w:p>
            <w:pPr>
              <w:spacing w:after="0"/>
              <w:rPr>
                <w:sz w:val="22"/>
                <w:szCs w:val="22"/>
                <w:color w:val="auto"/>
              </w:rPr>
            </w:pPr>
          </w:p>
        </w:tc>
        <w:tc>
          <w:tcPr>
            <w:tcW w:w="222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2"/>
                <w:szCs w:val="12"/>
                <w:color w:val="0000EE"/>
                <w:w w:val="96"/>
              </w:rPr>
              <w:t>Consolidated Financial Statements (Unaudited)</w:t>
            </w:r>
          </w:p>
        </w:tc>
        <w:tc>
          <w:tcPr>
            <w:tcW w:w="6540" w:type="dxa"/>
            <w:vAlign w:val="bottom"/>
            <w:gridSpan w:val="10"/>
          </w:tcPr>
          <w:p>
            <w:pPr>
              <w:spacing w:after="0"/>
              <w:rPr>
                <w:sz w:val="22"/>
                <w:szCs w:val="22"/>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60" w:type="dxa"/>
            <w:vAlign w:val="bottom"/>
            <w:gridSpan w:val="19"/>
          </w:tcPr>
          <w:p>
            <w:pPr>
              <w:spacing w:after="0"/>
              <w:rPr>
                <w:sz w:val="20"/>
                <w:szCs w:val="20"/>
                <w:color w:val="auto"/>
              </w:rPr>
            </w:pPr>
            <w:r>
              <w:rPr>
                <w:rFonts w:ascii="Times New Roman" w:cs="Times New Roman" w:eastAsia="Times New Roman" w:hAnsi="Times New Roman"/>
                <w:sz w:val="12"/>
                <w:szCs w:val="12"/>
                <w:color w:val="0000EE"/>
              </w:rPr>
              <w:t>Financial Statements Introductory Note and Snail, Inc. Balance Sheet as of September 30, 2022 (Unaudited)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12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2"/>
                <w:szCs w:val="12"/>
                <w:color w:val="0000EE"/>
              </w:rPr>
              <w:t>Snail, Inc. Notes to Condensed Consolidated Statements (Unaudited)</w:t>
            </w:r>
          </w:p>
        </w:tc>
        <w:tc>
          <w:tcPr>
            <w:tcW w:w="3640" w:type="dxa"/>
            <w:vAlign w:val="bottom"/>
            <w:gridSpan w:val="6"/>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2"/>
                <w:szCs w:val="12"/>
                <w:color w:val="0000EE"/>
                <w:w w:val="98"/>
              </w:rPr>
              <w:t>Snail Games USA Inc. and Subsidiaries Condensed Consolidated Balance Sheets as of September 30, 2022 (Unaudited) and December 31, 2021</w:t>
            </w:r>
          </w:p>
        </w:tc>
        <w:tc>
          <w:tcPr>
            <w:tcW w:w="1880" w:type="dxa"/>
            <w:vAlign w:val="bottom"/>
            <w:gridSpan w:val="4"/>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2"/>
                <w:szCs w:val="12"/>
                <w:color w:val="0000EE"/>
                <w:w w:val="98"/>
              </w:rPr>
              <w:t>Snail Games USA Inc. and Subsidiaries Condensed Consolidated Statements of Operations and Comprehensive Income (Loss) for the three and nine month periods ended</w:t>
            </w:r>
          </w:p>
        </w:tc>
        <w:tc>
          <w:tcPr>
            <w:tcW w:w="640" w:type="dxa"/>
            <w:vAlign w:val="bottom"/>
            <w:gridSpan w:val="2"/>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4"/>
        </w:trPr>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760" w:type="dxa"/>
            <w:vAlign w:val="bottom"/>
            <w:gridSpan w:val="19"/>
          </w:tcPr>
          <w:p>
            <w:pPr>
              <w:spacing w:after="0" w:line="124" w:lineRule="exact"/>
              <w:rPr>
                <w:sz w:val="20"/>
                <w:szCs w:val="20"/>
                <w:color w:val="auto"/>
              </w:rPr>
            </w:pPr>
            <w:r>
              <w:rPr>
                <w:rFonts w:ascii="Times New Roman" w:cs="Times New Roman" w:eastAsia="Times New Roman" w:hAnsi="Times New Roman"/>
                <w:sz w:val="12"/>
                <w:szCs w:val="12"/>
                <w:color w:val="0000EE"/>
              </w:rPr>
              <w:t>September 30, 2022 and 2021 (Unaudited)</w:t>
            </w:r>
          </w:p>
        </w:tc>
        <w:tc>
          <w:tcPr>
            <w:tcW w:w="500" w:type="dxa"/>
            <w:vAlign w:val="bottom"/>
            <w:gridSpan w:val="2"/>
          </w:tcPr>
          <w:p>
            <w:pPr>
              <w:jc w:val="right"/>
              <w:spacing w:after="0" w:line="124"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2"/>
                <w:szCs w:val="12"/>
                <w:color w:val="0000EE"/>
                <w:w w:val="98"/>
              </w:rPr>
              <w:t>Snail Games USA Inc. and Subsidiaries Condensed Consolidated Statements of Equity for the three and nine month periods ended September 30, 2022 and 2021 (Unaudited)</w:t>
            </w:r>
          </w:p>
        </w:tc>
        <w:tc>
          <w:tcPr>
            <w:tcW w:w="48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760" w:type="dxa"/>
            <w:vAlign w:val="bottom"/>
            <w:gridSpan w:val="19"/>
          </w:tcPr>
          <w:p>
            <w:pPr>
              <w:spacing w:after="0"/>
              <w:rPr>
                <w:sz w:val="20"/>
                <w:szCs w:val="20"/>
                <w:color w:val="auto"/>
              </w:rPr>
            </w:pPr>
            <w:r>
              <w:rPr>
                <w:rFonts w:ascii="Times New Roman" w:cs="Times New Roman" w:eastAsia="Times New Roman" w:hAnsi="Times New Roman"/>
                <w:sz w:val="12"/>
                <w:szCs w:val="12"/>
                <w:color w:val="0000EE"/>
              </w:rPr>
              <w:t>Snail Games USA Inc. and Subsidiaries Condensed Consolidated Statements of Cash Flows for the nine month periods ended September 30, 2022 and 2021 (Unaudited)</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68"/>
        </w:trPr>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2"/>
                <w:szCs w:val="12"/>
                <w:color w:val="0000EE"/>
              </w:rPr>
              <w:t>Snail Games USA Inc. and Subsidiaries Notes to Condensed Consolidated Financial Statements (Unaudited)</w:t>
            </w:r>
          </w:p>
        </w:tc>
        <w:tc>
          <w:tcPr>
            <w:tcW w:w="720" w:type="dxa"/>
            <w:vAlign w:val="bottom"/>
            <w:gridSpan w:val="3"/>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0" w:type="dxa"/>
            <w:vAlign w:val="bottom"/>
          </w:tcPr>
          <w:p>
            <w:pPr>
              <w:spacing w:after="0"/>
              <w:rPr>
                <w:sz w:val="1"/>
                <w:szCs w:val="1"/>
                <w:color w:val="auto"/>
              </w:rPr>
            </w:pPr>
          </w:p>
        </w:tc>
      </w:tr>
      <w:tr>
        <w:trPr>
          <w:trHeight w:val="268"/>
        </w:trPr>
        <w:tc>
          <w:tcPr>
            <w:tcW w:w="3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w w:val="99"/>
              </w:rPr>
              <w:t>Item 2.</w:t>
            </w:r>
          </w:p>
        </w:tc>
        <w:tc>
          <w:tcPr>
            <w:tcW w:w="360" w:type="dxa"/>
            <w:vAlign w:val="bottom"/>
            <w:gridSpan w:val="3"/>
          </w:tcPr>
          <w:p>
            <w:pPr>
              <w:spacing w:after="0"/>
              <w:rPr>
                <w:sz w:val="23"/>
                <w:szCs w:val="23"/>
                <w:color w:val="auto"/>
              </w:rPr>
            </w:pPr>
          </w:p>
        </w:tc>
        <w:tc>
          <w:tcPr>
            <w:tcW w:w="51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2"/>
                <w:szCs w:val="12"/>
                <w:color w:val="0000EE"/>
              </w:rPr>
              <w:t>Management’s Discussion and Analysis of the Results of Operations</w:t>
            </w:r>
          </w:p>
        </w:tc>
        <w:tc>
          <w:tcPr>
            <w:tcW w:w="3620" w:type="dxa"/>
            <w:vAlign w:val="bottom"/>
            <w:gridSpan w:val="5"/>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0" w:type="dxa"/>
            <w:vAlign w:val="bottom"/>
          </w:tcPr>
          <w:p>
            <w:pPr>
              <w:spacing w:after="0"/>
              <w:rPr>
                <w:sz w:val="1"/>
                <w:szCs w:val="1"/>
                <w:color w:val="auto"/>
              </w:rPr>
            </w:pPr>
          </w:p>
        </w:tc>
      </w:tr>
      <w:tr>
        <w:trPr>
          <w:trHeight w:val="268"/>
        </w:trPr>
        <w:tc>
          <w:tcPr>
            <w:tcW w:w="3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Item 3.</w:t>
            </w:r>
          </w:p>
        </w:tc>
        <w:tc>
          <w:tcPr>
            <w:tcW w:w="360" w:type="dxa"/>
            <w:vAlign w:val="bottom"/>
            <w:gridSpan w:val="3"/>
          </w:tcPr>
          <w:p>
            <w:pPr>
              <w:spacing w:after="0"/>
              <w:rPr>
                <w:sz w:val="23"/>
                <w:szCs w:val="23"/>
                <w:color w:val="auto"/>
              </w:rPr>
            </w:pPr>
          </w:p>
        </w:tc>
        <w:tc>
          <w:tcPr>
            <w:tcW w:w="32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2"/>
                <w:szCs w:val="12"/>
                <w:color w:val="0000EE"/>
              </w:rPr>
              <w:t>Quantitative and Qualitative Disclosures about Market Risk</w:t>
            </w:r>
          </w:p>
        </w:tc>
        <w:tc>
          <w:tcPr>
            <w:tcW w:w="5520" w:type="dxa"/>
            <w:vAlign w:val="bottom"/>
            <w:gridSpan w:val="7"/>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268"/>
        </w:trPr>
        <w:tc>
          <w:tcPr>
            <w:tcW w:w="3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3"/>
              </w:rPr>
              <w:t>Item 4.</w:t>
            </w:r>
          </w:p>
        </w:tc>
        <w:tc>
          <w:tcPr>
            <w:tcW w:w="20" w:type="dxa"/>
            <w:vAlign w:val="bottom"/>
            <w:tcBorders>
              <w:top w:val="single" w:sz="8" w:color="0000EE"/>
            </w:tcBorders>
          </w:tcPr>
          <w:p>
            <w:pPr>
              <w:spacing w:after="0"/>
              <w:rPr>
                <w:sz w:val="23"/>
                <w:szCs w:val="23"/>
                <w:color w:val="auto"/>
              </w:rPr>
            </w:pPr>
          </w:p>
        </w:tc>
        <w:tc>
          <w:tcPr>
            <w:tcW w:w="360" w:type="dxa"/>
            <w:vAlign w:val="bottom"/>
            <w:gridSpan w:val="3"/>
          </w:tcPr>
          <w:p>
            <w:pPr>
              <w:spacing w:after="0"/>
              <w:rPr>
                <w:sz w:val="23"/>
                <w:szCs w:val="23"/>
                <w:color w:val="auto"/>
              </w:rPr>
            </w:pPr>
          </w:p>
        </w:tc>
        <w:tc>
          <w:tcPr>
            <w:tcW w:w="11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3"/>
              </w:rPr>
              <w:t>Controls and Procedures</w:t>
            </w:r>
          </w:p>
        </w:tc>
        <w:tc>
          <w:tcPr>
            <w:tcW w:w="1680" w:type="dxa"/>
            <w:vAlign w:val="bottom"/>
            <w:tcBorders>
              <w:top w:val="single" w:sz="8" w:color="0000EE"/>
            </w:tcBorders>
            <w:gridSpan w:val="5"/>
          </w:tcPr>
          <w:p>
            <w:pPr>
              <w:spacing w:after="0"/>
              <w:rPr>
                <w:sz w:val="23"/>
                <w:szCs w:val="23"/>
                <w:color w:val="auto"/>
              </w:rPr>
            </w:pPr>
          </w:p>
        </w:tc>
        <w:tc>
          <w:tcPr>
            <w:tcW w:w="5960" w:type="dxa"/>
            <w:vAlign w:val="bottom"/>
            <w:gridSpan w:val="9"/>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0" w:type="dxa"/>
            <w:vAlign w:val="bottom"/>
          </w:tcPr>
          <w:p>
            <w:pPr>
              <w:spacing w:after="0"/>
              <w:rPr>
                <w:sz w:val="1"/>
                <w:szCs w:val="1"/>
                <w:color w:val="auto"/>
              </w:rPr>
            </w:pPr>
          </w:p>
        </w:tc>
      </w:tr>
      <w:tr>
        <w:trPr>
          <w:trHeight w:val="268"/>
        </w:trPr>
        <w:tc>
          <w:tcPr>
            <w:tcW w:w="18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2"/>
                <w:szCs w:val="12"/>
                <w:b w:val="1"/>
                <w:bCs w:val="1"/>
                <w:color w:val="0000EE"/>
                <w:w w:val="98"/>
              </w:rPr>
              <w:t>PART II. OTHER INFORMATION</w:t>
            </w:r>
          </w:p>
        </w:tc>
        <w:tc>
          <w:tcPr>
            <w:tcW w:w="7620" w:type="dxa"/>
            <w:vAlign w:val="bottom"/>
            <w:gridSpan w:val="13"/>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Item 1.</w:t>
            </w:r>
          </w:p>
        </w:tc>
        <w:tc>
          <w:tcPr>
            <w:tcW w:w="360" w:type="dxa"/>
            <w:vAlign w:val="bottom"/>
            <w:gridSpan w:val="3"/>
          </w:tcPr>
          <w:p>
            <w:pPr>
              <w:spacing w:after="0"/>
              <w:rPr>
                <w:sz w:val="23"/>
                <w:szCs w:val="23"/>
                <w:color w:val="auto"/>
              </w:rPr>
            </w:pPr>
          </w:p>
        </w:tc>
        <w:tc>
          <w:tcPr>
            <w:tcW w:w="8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2"/>
              </w:rPr>
              <w:t>Legal Proceedings</w:t>
            </w:r>
          </w:p>
        </w:tc>
        <w:tc>
          <w:tcPr>
            <w:tcW w:w="7920" w:type="dxa"/>
            <w:vAlign w:val="bottom"/>
            <w:gridSpan w:val="15"/>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68"/>
        </w:trPr>
        <w:tc>
          <w:tcPr>
            <w:tcW w:w="72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Item 1A.</w:t>
            </w:r>
          </w:p>
        </w:tc>
        <w:tc>
          <w:tcPr>
            <w:tcW w:w="8760" w:type="dxa"/>
            <w:vAlign w:val="bottom"/>
            <w:gridSpan w:val="19"/>
          </w:tcPr>
          <w:p>
            <w:pPr>
              <w:spacing w:after="0"/>
              <w:rPr>
                <w:sz w:val="20"/>
                <w:szCs w:val="20"/>
                <w:color w:val="auto"/>
              </w:rPr>
            </w:pPr>
            <w:r>
              <w:rPr>
                <w:rFonts w:ascii="Times New Roman" w:cs="Times New Roman" w:eastAsia="Times New Roman" w:hAnsi="Times New Roman"/>
                <w:sz w:val="12"/>
                <w:szCs w:val="12"/>
                <w:color w:val="0000EE"/>
              </w:rPr>
              <w:t>Risk Factors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0" w:type="dxa"/>
            <w:vAlign w:val="bottom"/>
          </w:tcPr>
          <w:p>
            <w:pPr>
              <w:spacing w:after="0"/>
              <w:rPr>
                <w:sz w:val="1"/>
                <w:szCs w:val="1"/>
                <w:color w:val="auto"/>
              </w:rPr>
            </w:pPr>
          </w:p>
        </w:tc>
      </w:tr>
      <w:tr>
        <w:trPr>
          <w:trHeight w:val="20"/>
        </w:trPr>
        <w:tc>
          <w:tcPr>
            <w:tcW w:w="4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5920" w:type="dxa"/>
            <w:vAlign w:val="bottom"/>
            <w:gridSpan w:val="8"/>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Item 2.</w:t>
            </w:r>
          </w:p>
        </w:tc>
        <w:tc>
          <w:tcPr>
            <w:tcW w:w="60" w:type="dxa"/>
            <w:vAlign w:val="bottom"/>
          </w:tcPr>
          <w:p>
            <w:pPr>
              <w:spacing w:after="0"/>
              <w:rPr>
                <w:sz w:val="23"/>
                <w:szCs w:val="23"/>
                <w:color w:val="auto"/>
              </w:rPr>
            </w:pPr>
          </w:p>
        </w:tc>
        <w:tc>
          <w:tcPr>
            <w:tcW w:w="300" w:type="dxa"/>
            <w:vAlign w:val="bottom"/>
            <w:gridSpan w:val="2"/>
          </w:tcPr>
          <w:p>
            <w:pPr>
              <w:spacing w:after="0"/>
              <w:rPr>
                <w:sz w:val="23"/>
                <w:szCs w:val="23"/>
                <w:color w:val="auto"/>
              </w:rPr>
            </w:pPr>
          </w:p>
        </w:tc>
        <w:tc>
          <w:tcPr>
            <w:tcW w:w="28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2"/>
                <w:szCs w:val="12"/>
                <w:color w:val="0000EE"/>
                <w:w w:val="97"/>
              </w:rPr>
              <w:t>Unregistered Sales of Equity Securities and Use of Proceeds</w:t>
            </w:r>
          </w:p>
        </w:tc>
        <w:tc>
          <w:tcPr>
            <w:tcW w:w="5920" w:type="dxa"/>
            <w:vAlign w:val="bottom"/>
            <w:gridSpan w:val="8"/>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0" w:type="dxa"/>
            <w:vAlign w:val="bottom"/>
          </w:tcPr>
          <w:p>
            <w:pPr>
              <w:spacing w:after="0"/>
              <w:rPr>
                <w:sz w:val="1"/>
                <w:szCs w:val="1"/>
                <w:color w:val="auto"/>
              </w:rPr>
            </w:pPr>
          </w:p>
        </w:tc>
      </w:tr>
      <w:tr>
        <w:trPr>
          <w:trHeight w:val="268"/>
        </w:trPr>
        <w:tc>
          <w:tcPr>
            <w:tcW w:w="3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w w:val="99"/>
              </w:rPr>
              <w:t>Item 3.</w:t>
            </w:r>
          </w:p>
        </w:tc>
        <w:tc>
          <w:tcPr>
            <w:tcW w:w="360" w:type="dxa"/>
            <w:vAlign w:val="bottom"/>
            <w:gridSpan w:val="3"/>
          </w:tcPr>
          <w:p>
            <w:pPr>
              <w:spacing w:after="0"/>
              <w:rPr>
                <w:sz w:val="23"/>
                <w:szCs w:val="23"/>
                <w:color w:val="auto"/>
              </w:rPr>
            </w:pPr>
          </w:p>
        </w:tc>
        <w:tc>
          <w:tcPr>
            <w:tcW w:w="8760" w:type="dxa"/>
            <w:vAlign w:val="bottom"/>
            <w:gridSpan w:val="19"/>
          </w:tcPr>
          <w:p>
            <w:pPr>
              <w:spacing w:after="0"/>
              <w:rPr>
                <w:sz w:val="20"/>
                <w:szCs w:val="20"/>
                <w:color w:val="auto"/>
              </w:rPr>
            </w:pPr>
            <w:r>
              <w:rPr>
                <w:rFonts w:ascii="Times New Roman" w:cs="Times New Roman" w:eastAsia="Times New Roman" w:hAnsi="Times New Roman"/>
                <w:sz w:val="12"/>
                <w:szCs w:val="12"/>
                <w:color w:val="0000EE"/>
              </w:rPr>
              <w:t>Defaults Upon Senior Securities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68"/>
        </w:trPr>
        <w:tc>
          <w:tcPr>
            <w:tcW w:w="3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Item 4.</w:t>
            </w:r>
          </w:p>
        </w:tc>
        <w:tc>
          <w:tcPr>
            <w:tcW w:w="360" w:type="dxa"/>
            <w:vAlign w:val="bottom"/>
            <w:gridSpan w:val="3"/>
          </w:tcPr>
          <w:p>
            <w:pPr>
              <w:spacing w:after="0"/>
              <w:rPr>
                <w:sz w:val="23"/>
                <w:szCs w:val="23"/>
                <w:color w:val="auto"/>
              </w:rPr>
            </w:pPr>
          </w:p>
        </w:tc>
        <w:tc>
          <w:tcPr>
            <w:tcW w:w="112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2"/>
                <w:szCs w:val="12"/>
                <w:color w:val="0000EE"/>
                <w:w w:val="93"/>
              </w:rPr>
              <w:t>Mine Safety Disclosures</w:t>
            </w:r>
          </w:p>
        </w:tc>
        <w:tc>
          <w:tcPr>
            <w:tcW w:w="360" w:type="dxa"/>
            <w:vAlign w:val="bottom"/>
            <w:tcBorders>
              <w:top w:val="single" w:sz="8" w:color="0000EE"/>
            </w:tcBorders>
            <w:gridSpan w:val="2"/>
          </w:tcPr>
          <w:p>
            <w:pPr>
              <w:spacing w:after="0"/>
              <w:rPr>
                <w:sz w:val="23"/>
                <w:szCs w:val="23"/>
                <w:color w:val="auto"/>
              </w:rPr>
            </w:pPr>
          </w:p>
        </w:tc>
        <w:tc>
          <w:tcPr>
            <w:tcW w:w="7280" w:type="dxa"/>
            <w:vAlign w:val="bottom"/>
            <w:gridSpan w:val="12"/>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68"/>
        </w:trPr>
        <w:tc>
          <w:tcPr>
            <w:tcW w:w="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Item 5.</w:t>
            </w:r>
          </w:p>
        </w:tc>
        <w:tc>
          <w:tcPr>
            <w:tcW w:w="360" w:type="dxa"/>
            <w:vAlign w:val="bottom"/>
            <w:gridSpan w:val="3"/>
          </w:tcPr>
          <w:p>
            <w:pPr>
              <w:spacing w:after="0"/>
              <w:rPr>
                <w:sz w:val="23"/>
                <w:szCs w:val="23"/>
                <w:color w:val="auto"/>
              </w:rPr>
            </w:pPr>
          </w:p>
        </w:tc>
        <w:tc>
          <w:tcPr>
            <w:tcW w:w="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1"/>
              </w:rPr>
              <w:t>Other Information</w:t>
            </w:r>
          </w:p>
        </w:tc>
        <w:tc>
          <w:tcPr>
            <w:tcW w:w="7940" w:type="dxa"/>
            <w:vAlign w:val="bottom"/>
            <w:gridSpan w:val="16"/>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0" w:type="dxa"/>
            <w:vAlign w:val="bottom"/>
          </w:tcPr>
          <w:p>
            <w:pPr>
              <w:spacing w:after="0"/>
              <w:rPr>
                <w:sz w:val="1"/>
                <w:szCs w:val="1"/>
                <w:color w:val="auto"/>
              </w:rPr>
            </w:pPr>
          </w:p>
        </w:tc>
      </w:tr>
      <w:tr>
        <w:trPr>
          <w:trHeight w:val="268"/>
        </w:trPr>
        <w:tc>
          <w:tcPr>
            <w:tcW w:w="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9"/>
              </w:rPr>
              <w:t>Item 6.</w:t>
            </w:r>
          </w:p>
        </w:tc>
        <w:tc>
          <w:tcPr>
            <w:tcW w:w="360" w:type="dxa"/>
            <w:vAlign w:val="bottom"/>
            <w:gridSpan w:val="3"/>
          </w:tcPr>
          <w:p>
            <w:pPr>
              <w:spacing w:after="0"/>
              <w:rPr>
                <w:sz w:val="23"/>
                <w:szCs w:val="23"/>
                <w:color w:val="auto"/>
              </w:rPr>
            </w:pPr>
          </w:p>
        </w:tc>
        <w:tc>
          <w:tcPr>
            <w:tcW w:w="3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79"/>
              </w:rPr>
              <w:t>Exhibits</w:t>
            </w:r>
          </w:p>
        </w:tc>
        <w:tc>
          <w:tcPr>
            <w:tcW w:w="8420" w:type="dxa"/>
            <w:vAlign w:val="bottom"/>
            <w:gridSpan w:val="18"/>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0" w:type="dxa"/>
            <w:vAlign w:val="bottom"/>
          </w:tcPr>
          <w:p>
            <w:pPr>
              <w:spacing w:after="0"/>
              <w:rPr>
                <w:sz w:val="1"/>
                <w:szCs w:val="1"/>
                <w:color w:val="auto"/>
              </w:rPr>
            </w:pPr>
          </w:p>
        </w:tc>
      </w:tr>
      <w:tr>
        <w:trPr>
          <w:trHeight w:val="268"/>
        </w:trPr>
        <w:tc>
          <w:tcPr>
            <w:tcW w:w="720" w:type="dxa"/>
            <w:vAlign w:val="bottom"/>
            <w:gridSpan w:val="5"/>
          </w:tcPr>
          <w:p>
            <w:pPr>
              <w:spacing w:after="0"/>
              <w:rPr>
                <w:sz w:val="20"/>
                <w:szCs w:val="20"/>
                <w:color w:val="auto"/>
              </w:rPr>
            </w:pPr>
            <w:r>
              <w:rPr>
                <w:rFonts w:ascii="Times New Roman" w:cs="Times New Roman" w:eastAsia="Times New Roman" w:hAnsi="Times New Roman"/>
                <w:sz w:val="12"/>
                <w:szCs w:val="12"/>
                <w:color w:val="0000EE"/>
              </w:rPr>
              <w:t>Signatures</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0" w:type="dxa"/>
            <w:vAlign w:val="bottom"/>
          </w:tcPr>
          <w:p>
            <w:pPr>
              <w:spacing w:after="0"/>
              <w:rPr>
                <w:sz w:val="1"/>
                <w:szCs w:val="1"/>
                <w:color w:val="auto"/>
              </w:rPr>
            </w:pPr>
          </w:p>
        </w:tc>
      </w:tr>
      <w:tr>
        <w:trPr>
          <w:trHeight w:val="808"/>
        </w:trPr>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60" w:top="390" w:right="9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Consolidated Financial Statements (Unaudited).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Financial Statements Introductory Note</w:t>
      </w:r>
    </w:p>
    <w:p>
      <w:pPr>
        <w:spacing w:after="0" w:line="154"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Snail, Inc. is an entity incorporated under the laws of Delaware in January 2022 and trades on the Nasdaq Capital Market under the symbol “SNAL.” Snail, Inc. is a holding company with its principal asset consisting of all the shares of common stock of Snail Games USA Inc. (“Snail Games USA”) and, in turn, controls the business and affairs of Snail Games USA and its subsidiaries. Snail, Inc. closed its initial public offering (“IPO”) on November 14, 2022. Concurrently with the IPO, the stockholders of Snail Games USA collectively exchanged 500,000 shares of Snail Games USA common stock for 6,251,420 shares of Class A common stock and 28,748,580 shares of Class B common stock of Snail, Inc. Unless otherwise indicated or the context otherwise requires, all references to “Snail, Inc.,” (the “Parent”) refer to Snail, Inc., and “Company,” “we,” “our,” “ours,” “us” or similar terms refer to Snail Games USA, together with its consolidated subsidiaries. As Snail, Inc. had no substantial assets or activities as of September 30, 2022, and for the three and nine month periods then ended and the reorganization had not been completed as of such date, we have presented the consolidated financial statements and related disclosures of Snail Games USA and its consolidated subsidiaries separate from Snail, Inc. Presented for Snail, Inc. is the balance sheet as of September 30, 2022. There were no operating activities for Snail, Inc. for the three and nine month periods ended September 30, 2022.</w:t>
      </w:r>
    </w:p>
    <w:p>
      <w:pPr>
        <w:spacing w:after="0" w:line="1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Snail, Inc. Unaudited Balance Sheet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8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0"/>
                <w:szCs w:val="10"/>
                <w:b w:val="1"/>
                <w:bCs w:val="1"/>
                <w:i w:val="1"/>
                <w:iCs w:val="1"/>
                <w:color w:val="auto"/>
              </w:rPr>
              <w:t>September 30, 2022</w:t>
            </w:r>
          </w:p>
        </w:tc>
      </w:tr>
      <w:tr>
        <w:trPr>
          <w:trHeight w:val="133"/>
        </w:trPr>
        <w:tc>
          <w:tcPr>
            <w:tcW w:w="8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44"/>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4"/>
        </w:trPr>
        <w:tc>
          <w:tcPr>
            <w:tcW w:w="8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4"/>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4"/>
        </w:trPr>
        <w:tc>
          <w:tcPr>
            <w:tcW w:w="87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Cash</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33"/>
        </w:trPr>
        <w:tc>
          <w:tcPr>
            <w:tcW w:w="87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r>
      <w:tr>
        <w:trPr>
          <w:trHeight w:val="140"/>
        </w:trPr>
        <w:tc>
          <w:tcPr>
            <w:tcW w:w="874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assets</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r>
      <w:tr>
        <w:trPr>
          <w:trHeight w:val="144"/>
        </w:trPr>
        <w:tc>
          <w:tcPr>
            <w:tcW w:w="8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4"/>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STOCKHOLDER’S EQUITY</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4"/>
        </w:trPr>
        <w:tc>
          <w:tcPr>
            <w:tcW w:w="8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r>
      <w:tr>
        <w:trPr>
          <w:trHeight w:val="144"/>
        </w:trPr>
        <w:tc>
          <w:tcPr>
            <w:tcW w:w="87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Common stock, $0.001 par value, 1,000 shares authorized, 100 shares issued and outstanding</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Additional paid-in capital</w:t>
            </w:r>
          </w:p>
        </w:tc>
        <w:tc>
          <w:tcPr>
            <w:tcW w:w="1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w:t>
            </w:r>
          </w:p>
        </w:tc>
      </w:tr>
      <w:tr>
        <w:trPr>
          <w:trHeight w:val="140"/>
        </w:trPr>
        <w:tc>
          <w:tcPr>
            <w:tcW w:w="87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stockholder’s equity</w:t>
            </w: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100</w:t>
            </w: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Snail, Inc. Notes to Condensed Consolidated Statements (Unaudited)</w:t>
      </w:r>
    </w:p>
    <w:p>
      <w:pPr>
        <w:spacing w:after="0" w:line="15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NOTE 1</w:t>
      </w:r>
      <w:r>
        <w:rPr>
          <w:sz w:val="20"/>
          <w:szCs w:val="20"/>
          <w:color w:val="auto"/>
        </w:rPr>
        <w:tab/>
      </w:r>
      <w:r>
        <w:rPr>
          <w:rFonts w:ascii="Times New Roman" w:cs="Times New Roman" w:eastAsia="Times New Roman" w:hAnsi="Times New Roman"/>
          <w:sz w:val="11"/>
          <w:szCs w:val="11"/>
          <w:b w:val="1"/>
          <w:bCs w:val="1"/>
          <w:color w:val="auto"/>
        </w:rPr>
        <w:t>ORGANIZATION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Snail, Inc. was incorporated under the laws of Delaware in January 2022. The Registrant’s fiscal year end is December 31. The Registrant was formed for the purpose of completing an initial public offering (“IPO”) and related transactions to carry on the business of Snail Games USA and its subsidiaries. On November 14, 2022, in connection with the IPO, Snail, Inc. became the holding company of Snail Games USA and its subsidiaries through the exchange of common stock of Snail Games USA for common stock of Snail, Inc, and will control the business and affairs of Snail Games USA and its subsidiaries.</w:t>
      </w:r>
    </w:p>
    <w:p>
      <w:pPr>
        <w:spacing w:after="0" w:line="11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NOTE 2</w:t>
      </w:r>
      <w:r>
        <w:rPr>
          <w:sz w:val="20"/>
          <w:szCs w:val="20"/>
          <w:color w:val="auto"/>
        </w:rPr>
        <w:tab/>
      </w:r>
      <w:r>
        <w:rPr>
          <w:rFonts w:ascii="Times New Roman" w:cs="Times New Roman" w:eastAsia="Times New Roman" w:hAnsi="Times New Roman"/>
          <w:sz w:val="12"/>
          <w:szCs w:val="12"/>
          <w:b w:val="1"/>
          <w:bCs w:val="1"/>
          <w:color w:val="auto"/>
        </w:rPr>
        <w:t>SUMMARY OF SIGNIFICANT ACCOUNTING POLICIES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balance sheet has been prepared in accordance with accounting principles generally accepted in the United States of America (“U.S. GAAP”). Separate Statements of Income, Stockholder’s Equity and Cash Flows have not been presented as there have been no operating activities by this entity during the period ended September 30, 2022.</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NOTE 3</w:t>
      </w:r>
      <w:r>
        <w:rPr>
          <w:sz w:val="20"/>
          <w:szCs w:val="20"/>
          <w:color w:val="auto"/>
        </w:rPr>
        <w:tab/>
      </w:r>
      <w:r>
        <w:rPr>
          <w:rFonts w:ascii="Times New Roman" w:cs="Times New Roman" w:eastAsia="Times New Roman" w:hAnsi="Times New Roman"/>
          <w:sz w:val="12"/>
          <w:szCs w:val="12"/>
          <w:b w:val="1"/>
          <w:bCs w:val="1"/>
          <w:color w:val="auto"/>
        </w:rPr>
        <w:t>STOCKHOLDER’S EQUITY</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Mr. Hai Shi is the Founder and Chairman of the Registrant and was the sole shareholder as of September 30, 2022. He contributed the $100 to the Registrant on January 14, 2022 to purchase 100 shares of the Registrants common stock.</w:t>
      </w:r>
    </w:p>
    <w:p>
      <w:pPr>
        <w:spacing w:after="0" w:line="10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NOTE 4</w:t>
      </w:r>
      <w:r>
        <w:rPr>
          <w:sz w:val="20"/>
          <w:szCs w:val="20"/>
          <w:color w:val="auto"/>
        </w:rPr>
        <w:tab/>
      </w:r>
      <w:r>
        <w:rPr>
          <w:rFonts w:ascii="Times New Roman" w:cs="Times New Roman" w:eastAsia="Times New Roman" w:hAnsi="Times New Roman"/>
          <w:sz w:val="12"/>
          <w:szCs w:val="12"/>
          <w:b w:val="1"/>
          <w:bCs w:val="1"/>
          <w:color w:val="auto"/>
        </w:rPr>
        <w:t>SUBSEQUENT EVENTS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Refer to Note 19 – Subsequent Events, in the Snail Games USA and Subsidiaries condensed consolidated financial statements for information regarding the IPO, reorganization transaction, and other subsequent events.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Snail Games USA Inc. and Subsidiaries Condensed Consolidated Balance Sheets as of September 30, 2022 (Unaudited) and December 31, 2021</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right"/>
              <w:ind w:right="540"/>
              <w:spacing w:after="0"/>
              <w:rPr>
                <w:sz w:val="20"/>
                <w:szCs w:val="20"/>
                <w:color w:val="auto"/>
              </w:rPr>
            </w:pPr>
            <w:r>
              <w:rPr>
                <w:rFonts w:ascii="Times New Roman" w:cs="Times New Roman" w:eastAsia="Times New Roman" w:hAnsi="Times New Roman"/>
                <w:sz w:val="10"/>
                <w:szCs w:val="10"/>
                <w:b w:val="1"/>
                <w:bCs w:val="1"/>
                <w:i w:val="1"/>
                <w:iCs w:val="1"/>
                <w:color w:val="auto"/>
              </w:rPr>
              <w:t>September 30,</w:t>
            </w:r>
          </w:p>
        </w:tc>
        <w:tc>
          <w:tcPr>
            <w:tcW w:w="180" w:type="dxa"/>
            <w:vAlign w:val="bottom"/>
          </w:tcPr>
          <w:p>
            <w:pPr>
              <w:spacing w:after="0"/>
              <w:rPr>
                <w:sz w:val="10"/>
                <w:szCs w:val="10"/>
                <w:color w:val="auto"/>
              </w:rPr>
            </w:pPr>
          </w:p>
        </w:tc>
        <w:tc>
          <w:tcPr>
            <w:tcW w:w="10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rPr>
              <w:t>December 31,</w:t>
            </w:r>
          </w:p>
        </w:tc>
      </w:tr>
      <w:tr>
        <w:trPr>
          <w:trHeight w:val="115"/>
        </w:trPr>
        <w:tc>
          <w:tcPr>
            <w:tcW w:w="7160" w:type="dxa"/>
            <w:vAlign w:val="bottom"/>
            <w:tcBorders>
              <w:bottom w:val="single" w:sz="8" w:color="auto"/>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0"/>
                <w:szCs w:val="10"/>
                <w:b w:val="1"/>
                <w:bCs w:val="1"/>
                <w:i w:val="1"/>
                <w:iCs w:val="1"/>
                <w:color w:val="auto"/>
              </w:rPr>
              <w:t>2022</w:t>
            </w:r>
          </w:p>
        </w:tc>
        <w:tc>
          <w:tcPr>
            <w:tcW w:w="2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i w:val="1"/>
                <w:iCs w:val="1"/>
                <w:color w:val="auto"/>
              </w:rPr>
              <w:t>2021</w:t>
            </w:r>
          </w:p>
        </w:tc>
        <w:tc>
          <w:tcPr>
            <w:tcW w:w="20" w:type="dxa"/>
            <w:vAlign w:val="bottom"/>
          </w:tcPr>
          <w:p>
            <w:pPr>
              <w:spacing w:after="0"/>
              <w:rPr>
                <w:sz w:val="10"/>
                <w:szCs w:val="10"/>
                <w:color w:val="auto"/>
              </w:rPr>
            </w:pPr>
          </w:p>
        </w:tc>
      </w:tr>
      <w:tr>
        <w:trPr>
          <w:trHeight w:val="124"/>
        </w:trPr>
        <w:tc>
          <w:tcPr>
            <w:tcW w:w="716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ASSETS</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Current Assets:</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Cash</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9,044,666</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10,164,338</w:t>
            </w:r>
          </w:p>
        </w:tc>
        <w:tc>
          <w:tcPr>
            <w:tcW w:w="20" w:type="dxa"/>
            <w:vAlign w:val="bottom"/>
          </w:tcPr>
          <w:p>
            <w:pPr>
              <w:spacing w:after="0"/>
              <w:rPr>
                <w:sz w:val="11"/>
                <w:szCs w:val="11"/>
                <w:color w:val="auto"/>
              </w:rPr>
            </w:pPr>
          </w:p>
        </w:tc>
      </w:tr>
      <w:tr>
        <w:trPr>
          <w:trHeight w:val="135"/>
        </w:trPr>
        <w:tc>
          <w:tcPr>
            <w:tcW w:w="73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Accounts receivable, net of allowances for doubtful accounts of $19,929 and $31,525, respectively</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4,596,313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12,244,785</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Accounts receivable - related party, net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12,239,430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8,435,823</w:t>
            </w:r>
          </w:p>
        </w:tc>
        <w:tc>
          <w:tcPr>
            <w:tcW w:w="20" w:type="dxa"/>
            <w:vAlign w:val="bottom"/>
          </w:tcPr>
          <w:p>
            <w:pPr>
              <w:spacing w:after="0"/>
              <w:rPr>
                <w:sz w:val="11"/>
                <w:szCs w:val="11"/>
                <w:color w:val="auto"/>
              </w:rPr>
            </w:pPr>
          </w:p>
        </w:tc>
      </w:tr>
      <w:tr>
        <w:trPr>
          <w:trHeight w:val="135"/>
        </w:trPr>
        <w:tc>
          <w:tcPr>
            <w:tcW w:w="73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Loan and interest receivable - related party</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101,249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203,408</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Prepaid expenses - related party, net of long-term portion</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1,500,000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3,145,000</w:t>
            </w:r>
          </w:p>
        </w:tc>
        <w:tc>
          <w:tcPr>
            <w:tcW w:w="20" w:type="dxa"/>
            <w:vAlign w:val="bottom"/>
          </w:tcPr>
          <w:p>
            <w:pPr>
              <w:spacing w:after="0"/>
              <w:rPr>
                <w:sz w:val="11"/>
                <w:szCs w:val="11"/>
                <w:color w:val="auto"/>
              </w:rPr>
            </w:pPr>
          </w:p>
        </w:tc>
      </w:tr>
      <w:tr>
        <w:trPr>
          <w:trHeight w:val="135"/>
        </w:trPr>
        <w:tc>
          <w:tcPr>
            <w:tcW w:w="73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11,704,897</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11,017,007</w:t>
            </w:r>
          </w:p>
        </w:tc>
        <w:tc>
          <w:tcPr>
            <w:tcW w:w="20" w:type="dxa"/>
            <w:vAlign w:val="bottom"/>
          </w:tcPr>
          <w:p>
            <w:pPr>
              <w:spacing w:after="0"/>
              <w:rPr>
                <w:sz w:val="11"/>
                <w:szCs w:val="11"/>
                <w:color w:val="auto"/>
              </w:rPr>
            </w:pPr>
          </w:p>
        </w:tc>
      </w:tr>
      <w:tr>
        <w:trPr>
          <w:trHeight w:val="124"/>
        </w:trPr>
        <w:tc>
          <w:tcPr>
            <w:tcW w:w="738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current assets</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39,186,555</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45,210,361</w:t>
            </w:r>
          </w:p>
        </w:tc>
        <w:tc>
          <w:tcPr>
            <w:tcW w:w="20" w:type="dxa"/>
            <w:vAlign w:val="bottom"/>
          </w:tcPr>
          <w:p>
            <w:pPr>
              <w:spacing w:after="0"/>
              <w:rPr>
                <w:sz w:val="10"/>
                <w:szCs w:val="10"/>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Restricted cash and cash equivalents</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6,368,016</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6,389,777</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Prepaid expenses - related party</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6,520,000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5,245,271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5,678,701</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Intangible assets, net - license - related parties</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3,235,038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8,787,976</w:t>
            </w:r>
          </w:p>
        </w:tc>
        <w:tc>
          <w:tcPr>
            <w:tcW w:w="20" w:type="dxa"/>
            <w:vAlign w:val="bottom"/>
          </w:tcPr>
          <w:p>
            <w:pPr>
              <w:spacing w:after="0"/>
              <w:rPr>
                <w:sz w:val="11"/>
                <w:szCs w:val="11"/>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Intangible assets, net - license</w:t>
            </w:r>
          </w:p>
        </w:tc>
        <w:tc>
          <w:tcPr>
            <w:tcW w:w="18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250,000</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Intangible assets, net - other</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275,600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277,148</w:t>
            </w:r>
          </w:p>
        </w:tc>
        <w:tc>
          <w:tcPr>
            <w:tcW w:w="20" w:type="dxa"/>
            <w:vAlign w:val="bottom"/>
          </w:tcPr>
          <w:p>
            <w:pPr>
              <w:spacing w:after="0"/>
              <w:rPr>
                <w:sz w:val="11"/>
                <w:szCs w:val="11"/>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Deferred income taxes</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8,191,051</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8,191,051</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194,032</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199,919</w:t>
            </w:r>
          </w:p>
        </w:tc>
        <w:tc>
          <w:tcPr>
            <w:tcW w:w="20" w:type="dxa"/>
            <w:vAlign w:val="bottom"/>
          </w:tcPr>
          <w:p>
            <w:pPr>
              <w:spacing w:after="0"/>
              <w:rPr>
                <w:sz w:val="11"/>
                <w:szCs w:val="11"/>
                <w:color w:val="auto"/>
              </w:rPr>
            </w:pPr>
          </w:p>
        </w:tc>
      </w:tr>
      <w:tr>
        <w:trPr>
          <w:trHeight w:val="135"/>
        </w:trPr>
        <w:tc>
          <w:tcPr>
            <w:tcW w:w="7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Operating lease right-of-use assets, net</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3,887,326</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5,100,912</w:t>
            </w:r>
          </w:p>
        </w:tc>
        <w:tc>
          <w:tcPr>
            <w:tcW w:w="20" w:type="dxa"/>
            <w:vAlign w:val="bottom"/>
          </w:tcPr>
          <w:p>
            <w:pPr>
              <w:spacing w:after="0"/>
              <w:rPr>
                <w:sz w:val="11"/>
                <w:szCs w:val="11"/>
                <w:color w:val="auto"/>
              </w:rPr>
            </w:pPr>
          </w:p>
        </w:tc>
      </w:tr>
      <w:tr>
        <w:trPr>
          <w:trHeight w:val="144"/>
        </w:trPr>
        <w:tc>
          <w:tcPr>
            <w:tcW w:w="7380" w:type="dxa"/>
            <w:vAlign w:val="bottom"/>
            <w:tcBorders>
              <w:bottom w:val="single" w:sz="8" w:color="CCEEFF"/>
            </w:tcBorders>
            <w:gridSpan w:val="2"/>
            <w:shd w:val="clear" w:color="auto" w:fill="CCEEFF"/>
          </w:tcPr>
          <w:p>
            <w:pPr>
              <w:spacing w:after="0" w:line="124" w:lineRule="exact"/>
              <w:rPr>
                <w:sz w:val="20"/>
                <w:szCs w:val="20"/>
                <w:color w:val="auto"/>
              </w:rPr>
            </w:pPr>
            <w:r>
              <w:rPr>
                <w:rFonts w:ascii="Times New Roman" w:cs="Times New Roman" w:eastAsia="Times New Roman" w:hAnsi="Times New Roman"/>
                <w:sz w:val="11"/>
                <w:szCs w:val="11"/>
                <w:color w:val="auto"/>
              </w:rPr>
              <w:t>Total assets</w:t>
            </w:r>
          </w:p>
        </w:tc>
        <w:tc>
          <w:tcPr>
            <w:tcW w:w="180" w:type="dxa"/>
            <w:vAlign w:val="bottom"/>
            <w:tcBorders>
              <w:bottom w:val="single" w:sz="8" w:color="auto"/>
            </w:tcBorders>
            <w:shd w:val="clear" w:color="auto" w:fill="CCEEFF"/>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73,102,889</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80,085,845</w:t>
            </w:r>
          </w:p>
        </w:tc>
        <w:tc>
          <w:tcPr>
            <w:tcW w:w="20" w:type="dxa"/>
            <w:vAlign w:val="bottom"/>
          </w:tcPr>
          <w:p>
            <w:pPr>
              <w:spacing w:after="0"/>
              <w:rPr>
                <w:sz w:val="12"/>
                <w:szCs w:val="12"/>
                <w:color w:val="auto"/>
              </w:rPr>
            </w:pPr>
          </w:p>
        </w:tc>
      </w:tr>
      <w:tr>
        <w:trPr>
          <w:trHeight w:val="120"/>
        </w:trPr>
        <w:tc>
          <w:tcPr>
            <w:tcW w:w="7380" w:type="dxa"/>
            <w:vAlign w:val="bottom"/>
            <w:gridSpan w:val="2"/>
          </w:tcPr>
          <w:p>
            <w:pPr>
              <w:spacing w:after="0" w:line="120" w:lineRule="exact"/>
              <w:rPr>
                <w:sz w:val="20"/>
                <w:szCs w:val="20"/>
                <w:color w:val="auto"/>
              </w:rPr>
            </w:pPr>
            <w:r>
              <w:rPr>
                <w:rFonts w:ascii="Times New Roman" w:cs="Times New Roman" w:eastAsia="Times New Roman" w:hAnsi="Times New Roman"/>
                <w:sz w:val="11"/>
                <w:szCs w:val="11"/>
                <w:b w:val="1"/>
                <w:bCs w:val="1"/>
                <w:color w:val="auto"/>
              </w:rPr>
              <w:t>LIABILITIES, NONCONTROLLING INTERESTS AND EQUITY</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37"/>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73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Accounts payable</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6,765,934</w:t>
            </w:r>
          </w:p>
        </w:tc>
        <w:tc>
          <w:tcPr>
            <w:tcW w:w="220" w:type="dxa"/>
            <w:vAlign w:val="bottom"/>
          </w:tcPr>
          <w:p>
            <w:pPr>
              <w:spacing w:after="0"/>
              <w:rPr>
                <w:sz w:val="11"/>
                <w:szCs w:val="11"/>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3,871,510</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Accounts payable - related party</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22,330,781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23,733,572</w:t>
            </w:r>
          </w:p>
        </w:tc>
        <w:tc>
          <w:tcPr>
            <w:tcW w:w="20" w:type="dxa"/>
            <w:vAlign w:val="bottom"/>
          </w:tcPr>
          <w:p>
            <w:pPr>
              <w:spacing w:after="0"/>
              <w:rPr>
                <w:sz w:val="11"/>
                <w:szCs w:val="11"/>
                <w:color w:val="auto"/>
              </w:rPr>
            </w:pPr>
          </w:p>
        </w:tc>
      </w:tr>
      <w:tr>
        <w:trPr>
          <w:trHeight w:val="135"/>
        </w:trPr>
        <w:tc>
          <w:tcPr>
            <w:tcW w:w="73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2,375,610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2,975,475</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Loan payable - related parties</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20" w:type="dxa"/>
            <w:vAlign w:val="bottom"/>
          </w:tcPr>
          <w:p>
            <w:pPr>
              <w:spacing w:after="0"/>
              <w:rPr>
                <w:sz w:val="11"/>
                <w:szCs w:val="11"/>
                <w:color w:val="auto"/>
              </w:rPr>
            </w:pPr>
          </w:p>
        </w:tc>
      </w:tr>
      <w:tr>
        <w:trPr>
          <w:trHeight w:val="135"/>
        </w:trPr>
        <w:tc>
          <w:tcPr>
            <w:tcW w:w="73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Interest payable - related parties</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527,770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528,439</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Revolving loan</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9,000,000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9,000,000</w:t>
            </w:r>
          </w:p>
        </w:tc>
        <w:tc>
          <w:tcPr>
            <w:tcW w:w="20" w:type="dxa"/>
            <w:vAlign w:val="bottom"/>
          </w:tcPr>
          <w:p>
            <w:pPr>
              <w:spacing w:after="0"/>
              <w:rPr>
                <w:sz w:val="11"/>
                <w:szCs w:val="11"/>
                <w:color w:val="auto"/>
              </w:rPr>
            </w:pPr>
          </w:p>
        </w:tc>
      </w:tr>
      <w:tr>
        <w:trPr>
          <w:trHeight w:val="135"/>
        </w:trPr>
        <w:tc>
          <w:tcPr>
            <w:tcW w:w="73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Short term note</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6,666,667</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Notes payable</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216,329</w:t>
            </w:r>
          </w:p>
        </w:tc>
        <w:tc>
          <w:tcPr>
            <w:tcW w:w="20" w:type="dxa"/>
            <w:vAlign w:val="bottom"/>
          </w:tcPr>
          <w:p>
            <w:pPr>
              <w:spacing w:after="0"/>
              <w:rPr>
                <w:sz w:val="11"/>
                <w:szCs w:val="11"/>
                <w:color w:val="auto"/>
              </w:rPr>
            </w:pPr>
          </w:p>
        </w:tc>
      </w:tr>
      <w:tr>
        <w:trPr>
          <w:trHeight w:val="135"/>
        </w:trPr>
        <w:tc>
          <w:tcPr>
            <w:tcW w:w="73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Current portion of long-term debt</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79,425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77,348</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Current portion of deferred revenue</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3,934,693</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11,005,517</w:t>
            </w:r>
          </w:p>
        </w:tc>
        <w:tc>
          <w:tcPr>
            <w:tcW w:w="20" w:type="dxa"/>
            <w:vAlign w:val="bottom"/>
          </w:tcPr>
          <w:p>
            <w:pPr>
              <w:spacing w:after="0"/>
              <w:rPr>
                <w:sz w:val="11"/>
                <w:szCs w:val="11"/>
                <w:color w:val="auto"/>
              </w:rPr>
            </w:pPr>
          </w:p>
        </w:tc>
      </w:tr>
      <w:tr>
        <w:trPr>
          <w:trHeight w:val="135"/>
        </w:trPr>
        <w:tc>
          <w:tcPr>
            <w:tcW w:w="73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1"/>
                <w:szCs w:val="11"/>
                <w:color w:val="auto"/>
              </w:rPr>
              <w:t>Current portion of operating lease liabilities</w:t>
            </w: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1,339,172</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1,688,965</w:t>
            </w:r>
          </w:p>
        </w:tc>
        <w:tc>
          <w:tcPr>
            <w:tcW w:w="20" w:type="dxa"/>
            <w:vAlign w:val="bottom"/>
          </w:tcPr>
          <w:p>
            <w:pPr>
              <w:spacing w:after="0"/>
              <w:rPr>
                <w:sz w:val="11"/>
                <w:szCs w:val="11"/>
                <w:color w:val="auto"/>
              </w:rPr>
            </w:pPr>
          </w:p>
        </w:tc>
      </w:tr>
      <w:tr>
        <w:trPr>
          <w:trHeight w:val="124"/>
        </w:trPr>
        <w:tc>
          <w:tcPr>
            <w:tcW w:w="7380" w:type="dxa"/>
            <w:vAlign w:val="bottom"/>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current liabilities</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53,020,052</w:t>
            </w: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53,497,155</w:t>
            </w:r>
          </w:p>
        </w:tc>
        <w:tc>
          <w:tcPr>
            <w:tcW w:w="20" w:type="dxa"/>
            <w:vAlign w:val="bottom"/>
          </w:tcPr>
          <w:p>
            <w:pPr>
              <w:spacing w:after="0"/>
              <w:rPr>
                <w:sz w:val="10"/>
                <w:szCs w:val="10"/>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Accrued expenses</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454,438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Long-term debt, net of current portion</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2,825,390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2,885,434</w:t>
            </w:r>
          </w:p>
        </w:tc>
        <w:tc>
          <w:tcPr>
            <w:tcW w:w="20" w:type="dxa"/>
            <w:vAlign w:val="bottom"/>
          </w:tcPr>
          <w:p>
            <w:pPr>
              <w:spacing w:after="0"/>
              <w:rPr>
                <w:sz w:val="11"/>
                <w:szCs w:val="11"/>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Deferred revenue, net of current portion</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9,048,505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9,275,417</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lease liabilities, net of current portion</w:t>
            </w:r>
          </w:p>
        </w:tc>
        <w:tc>
          <w:tcPr>
            <w:tcW w:w="1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3,285,679</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4,375,786</w:t>
            </w:r>
          </w:p>
        </w:tc>
        <w:tc>
          <w:tcPr>
            <w:tcW w:w="20" w:type="dxa"/>
            <w:vAlign w:val="bottom"/>
          </w:tcPr>
          <w:p>
            <w:pPr>
              <w:spacing w:after="0"/>
              <w:rPr>
                <w:sz w:val="11"/>
                <w:szCs w:val="11"/>
                <w:color w:val="auto"/>
              </w:rPr>
            </w:pPr>
          </w:p>
        </w:tc>
      </w:tr>
      <w:tr>
        <w:trPr>
          <w:trHeight w:val="124"/>
        </w:trPr>
        <w:tc>
          <w:tcPr>
            <w:tcW w:w="7380" w:type="dxa"/>
            <w:vAlign w:val="bottom"/>
            <w:tcBorders>
              <w:bottom w:val="single" w:sz="8" w:color="CCEEFF"/>
            </w:tcBorders>
            <w:gridSpan w:val="2"/>
          </w:tcPr>
          <w:p>
            <w:pPr>
              <w:spacing w:after="0" w:line="121" w:lineRule="exact"/>
              <w:rPr>
                <w:sz w:val="20"/>
                <w:szCs w:val="20"/>
                <w:color w:val="auto"/>
              </w:rPr>
            </w:pPr>
            <w:r>
              <w:rPr>
                <w:rFonts w:ascii="Times New Roman" w:cs="Times New Roman" w:eastAsia="Times New Roman" w:hAnsi="Times New Roman"/>
                <w:sz w:val="11"/>
                <w:szCs w:val="11"/>
                <w:color w:val="auto"/>
              </w:rPr>
              <w:t>Total liabilities</w:t>
            </w: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68,634,064</w:t>
            </w:r>
          </w:p>
        </w:tc>
        <w:tc>
          <w:tcPr>
            <w:tcW w:w="2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70,033,792</w:t>
            </w:r>
          </w:p>
        </w:tc>
        <w:tc>
          <w:tcPr>
            <w:tcW w:w="20" w:type="dxa"/>
            <w:vAlign w:val="bottom"/>
          </w:tcPr>
          <w:p>
            <w:pPr>
              <w:spacing w:after="0"/>
              <w:rPr>
                <w:sz w:val="10"/>
                <w:szCs w:val="10"/>
                <w:color w:val="auto"/>
              </w:rPr>
            </w:pPr>
          </w:p>
        </w:tc>
      </w:tr>
      <w:tr>
        <w:trPr>
          <w:trHeight w:val="124"/>
        </w:trPr>
        <w:tc>
          <w:tcPr>
            <w:tcW w:w="7380" w:type="dxa"/>
            <w:vAlign w:val="bottom"/>
            <w:gridSpan w:val="2"/>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Commitments and contingencies</w:t>
            </w: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 $0.01 par value, 1,000,000 shares authorized, 500,000 shares issued and outstanding</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5,000</w:t>
            </w:r>
          </w:p>
        </w:tc>
        <w:tc>
          <w:tcPr>
            <w:tcW w:w="20" w:type="dxa"/>
            <w:vAlign w:val="bottom"/>
          </w:tcPr>
          <w:p>
            <w:pPr>
              <w:spacing w:after="0"/>
              <w:rPr>
                <w:sz w:val="11"/>
                <w:szCs w:val="11"/>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Additional paid-in capital</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12,881,055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94,159,167</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Due from shareholder - loan receivable</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(91,388,176)</w:t>
            </w:r>
          </w:p>
        </w:tc>
        <w:tc>
          <w:tcPr>
            <w:tcW w:w="20" w:type="dxa"/>
            <w:vAlign w:val="bottom"/>
          </w:tcPr>
          <w:p>
            <w:pPr>
              <w:spacing w:after="0"/>
              <w:rPr>
                <w:sz w:val="11"/>
                <w:szCs w:val="11"/>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Due from shareholder - interest receivable</w:t>
            </w:r>
          </w:p>
        </w:tc>
        <w:tc>
          <w:tcPr>
            <w:tcW w:w="180" w:type="dxa"/>
            <w:vAlign w:val="bottom"/>
          </w:tcPr>
          <w:p>
            <w:pPr>
              <w:spacing w:after="0"/>
              <w:rPr>
                <w:sz w:val="11"/>
                <w:szCs w:val="11"/>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(2,965,346)</w:t>
            </w:r>
          </w:p>
        </w:tc>
        <w:tc>
          <w:tcPr>
            <w:tcW w:w="20" w:type="dxa"/>
            <w:vAlign w:val="bottom"/>
          </w:tcPr>
          <w:p>
            <w:pPr>
              <w:spacing w:after="0"/>
              <w:rPr>
                <w:sz w:val="11"/>
                <w:szCs w:val="11"/>
                <w:color w:val="auto"/>
              </w:rPr>
            </w:pPr>
          </w:p>
        </w:tc>
      </w:tr>
      <w:tr>
        <w:trPr>
          <w:trHeight w:val="135"/>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Accumulated other comprehensive loss</w:t>
            </w:r>
          </w:p>
        </w:tc>
        <w:tc>
          <w:tcPr>
            <w:tcW w:w="18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(343,277)</w:t>
            </w: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(266,557)</w:t>
            </w:r>
          </w:p>
        </w:tc>
        <w:tc>
          <w:tcPr>
            <w:tcW w:w="20" w:type="dxa"/>
            <w:vAlign w:val="bottom"/>
          </w:tcPr>
          <w:p>
            <w:pPr>
              <w:spacing w:after="0"/>
              <w:rPr>
                <w:sz w:val="11"/>
                <w:szCs w:val="11"/>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Retained earnings (accumulated deficit)</w:t>
            </w:r>
          </w:p>
        </w:tc>
        <w:tc>
          <w:tcPr>
            <w:tcW w:w="18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(2,593,035)</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16,045,231</w:t>
            </w:r>
          </w:p>
        </w:tc>
        <w:tc>
          <w:tcPr>
            <w:tcW w:w="20" w:type="dxa"/>
            <w:vAlign w:val="bottom"/>
          </w:tcPr>
          <w:p>
            <w:pPr>
              <w:spacing w:after="0"/>
              <w:rPr>
                <w:sz w:val="11"/>
                <w:szCs w:val="11"/>
                <w:color w:val="auto"/>
              </w:rPr>
            </w:pPr>
          </w:p>
        </w:tc>
      </w:tr>
      <w:tr>
        <w:trPr>
          <w:trHeight w:val="124"/>
        </w:trPr>
        <w:tc>
          <w:tcPr>
            <w:tcW w:w="7380" w:type="dxa"/>
            <w:vAlign w:val="bottom"/>
            <w:tcBorders>
              <w:top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Snail Games USA Inc. equity</w:t>
            </w: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9,949,743</w:t>
            </w: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15,589,319</w:t>
            </w:r>
          </w:p>
        </w:tc>
        <w:tc>
          <w:tcPr>
            <w:tcW w:w="20" w:type="dxa"/>
            <w:vAlign w:val="bottom"/>
          </w:tcPr>
          <w:p>
            <w:pPr>
              <w:spacing w:after="0"/>
              <w:rPr>
                <w:sz w:val="10"/>
                <w:szCs w:val="10"/>
                <w:color w:val="auto"/>
              </w:rPr>
            </w:pPr>
          </w:p>
        </w:tc>
      </w:tr>
      <w:tr>
        <w:trPr>
          <w:trHeight w:val="135"/>
        </w:trPr>
        <w:tc>
          <w:tcPr>
            <w:tcW w:w="73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Noncontrolling interests</w:t>
            </w:r>
          </w:p>
        </w:tc>
        <w:tc>
          <w:tcPr>
            <w:tcW w:w="180" w:type="dxa"/>
            <w:vAlign w:val="bottom"/>
          </w:tcPr>
          <w:p>
            <w:pPr>
              <w:spacing w:after="0"/>
              <w:rPr>
                <w:sz w:val="11"/>
                <w:szCs w:val="1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(5,480,918)</w:t>
            </w:r>
          </w:p>
        </w:tc>
        <w:tc>
          <w:tcPr>
            <w:tcW w:w="18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(5,537,266)</w:t>
            </w:r>
          </w:p>
        </w:tc>
        <w:tc>
          <w:tcPr>
            <w:tcW w:w="20" w:type="dxa"/>
            <w:vAlign w:val="bottom"/>
          </w:tcPr>
          <w:p>
            <w:pPr>
              <w:spacing w:after="0"/>
              <w:rPr>
                <w:sz w:val="11"/>
                <w:szCs w:val="11"/>
                <w:color w:val="auto"/>
              </w:rPr>
            </w:pPr>
          </w:p>
        </w:tc>
      </w:tr>
      <w:tr>
        <w:trPr>
          <w:trHeight w:val="124"/>
        </w:trPr>
        <w:tc>
          <w:tcPr>
            <w:tcW w:w="7380" w:type="dxa"/>
            <w:vAlign w:val="bottom"/>
            <w:tcBorders>
              <w:top w:val="single" w:sz="8" w:color="CCEEFF"/>
            </w:tcBorders>
            <w:gridSpan w:val="2"/>
            <w:shd w:val="clear" w:color="auto" w:fill="CCEEFF"/>
          </w:tcPr>
          <w:p>
            <w:pPr>
              <w:spacing w:after="0" w:line="121" w:lineRule="exact"/>
              <w:rPr>
                <w:sz w:val="20"/>
                <w:szCs w:val="20"/>
                <w:color w:val="auto"/>
              </w:rPr>
            </w:pPr>
            <w:r>
              <w:rPr>
                <w:rFonts w:ascii="Times New Roman" w:cs="Times New Roman" w:eastAsia="Times New Roman" w:hAnsi="Times New Roman"/>
                <w:sz w:val="11"/>
                <w:szCs w:val="11"/>
                <w:color w:val="auto"/>
              </w:rPr>
              <w:t>Total equity</w:t>
            </w: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4,468,825</w:t>
            </w:r>
          </w:p>
        </w:tc>
        <w:tc>
          <w:tcPr>
            <w:tcW w:w="2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color w:val="auto"/>
              </w:rPr>
              <w:t>10,052,053</w:t>
            </w:r>
          </w:p>
        </w:tc>
        <w:tc>
          <w:tcPr>
            <w:tcW w:w="20" w:type="dxa"/>
            <w:vAlign w:val="bottom"/>
          </w:tcPr>
          <w:p>
            <w:pPr>
              <w:spacing w:after="0"/>
              <w:rPr>
                <w:sz w:val="10"/>
                <w:szCs w:val="10"/>
                <w:color w:val="auto"/>
              </w:rPr>
            </w:pPr>
          </w:p>
        </w:tc>
      </w:tr>
      <w:tr>
        <w:trPr>
          <w:trHeight w:val="131"/>
        </w:trPr>
        <w:tc>
          <w:tcPr>
            <w:tcW w:w="7380" w:type="dxa"/>
            <w:vAlign w:val="bottom"/>
            <w:gridSpan w:val="2"/>
          </w:tcPr>
          <w:p>
            <w:pPr>
              <w:spacing w:after="0" w:line="124" w:lineRule="exact"/>
              <w:rPr>
                <w:sz w:val="20"/>
                <w:szCs w:val="20"/>
                <w:color w:val="auto"/>
              </w:rPr>
            </w:pPr>
            <w:r>
              <w:rPr>
                <w:rFonts w:ascii="Times New Roman" w:cs="Times New Roman" w:eastAsia="Times New Roman" w:hAnsi="Times New Roman"/>
                <w:sz w:val="11"/>
                <w:szCs w:val="11"/>
                <w:color w:val="auto"/>
              </w:rPr>
              <w:t>Total liabilities, noncontrolling interests and equity</w:t>
            </w:r>
          </w:p>
        </w:tc>
        <w:tc>
          <w:tcPr>
            <w:tcW w:w="180" w:type="dxa"/>
            <w:vAlign w:val="bottom"/>
            <w:tcBorders>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73,102,889</w:t>
            </w:r>
          </w:p>
        </w:tc>
        <w:tc>
          <w:tcPr>
            <w:tcW w:w="220" w:type="dxa"/>
            <w:vAlign w:val="bottom"/>
          </w:tcPr>
          <w:p>
            <w:pPr>
              <w:spacing w:after="0"/>
              <w:rPr>
                <w:sz w:val="11"/>
                <w:szCs w:val="11"/>
                <w:color w:val="auto"/>
              </w:rPr>
            </w:pPr>
          </w:p>
        </w:tc>
        <w:tc>
          <w:tcPr>
            <w:tcW w:w="180" w:type="dxa"/>
            <w:vAlign w:val="bottom"/>
            <w:tcBorders>
              <w:bottom w:val="single" w:sz="8" w:color="auto"/>
            </w:tcBorders>
          </w:tcPr>
          <w:p>
            <w:pPr>
              <w:jc w:val="right"/>
              <w:ind w:right="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24" w:lineRule="exact"/>
              <w:rPr>
                <w:sz w:val="20"/>
                <w:szCs w:val="20"/>
                <w:color w:val="auto"/>
              </w:rPr>
            </w:pPr>
            <w:r>
              <w:rPr>
                <w:rFonts w:ascii="Times New Roman" w:cs="Times New Roman" w:eastAsia="Times New Roman" w:hAnsi="Times New Roman"/>
                <w:sz w:val="11"/>
                <w:szCs w:val="11"/>
                <w:color w:val="auto"/>
              </w:rPr>
              <w:t>80,085,845</w:t>
            </w:r>
          </w:p>
        </w:tc>
        <w:tc>
          <w:tcPr>
            <w:tcW w:w="20" w:type="dxa"/>
            <w:vAlign w:val="bottom"/>
          </w:tcPr>
          <w:p>
            <w:pPr>
              <w:spacing w:after="0"/>
              <w:rPr>
                <w:sz w:val="11"/>
                <w:szCs w:val="11"/>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Snail Games USA Inc. and Subsidiaries Condensed Consolidated Statements of Operations and Comprehensive Income (Loss) for the three and nine month periods ended September 30, 2022 and 2021 (Unaudited)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gridSpan w:val="3"/>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For the</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For the</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15"/>
        </w:trPr>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60" w:type="dxa"/>
            <w:vAlign w:val="bottom"/>
            <w:gridSpan w:val="5"/>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20" w:type="dxa"/>
            <w:vAlign w:val="bottom"/>
          </w:tcPr>
          <w:p>
            <w:pPr>
              <w:spacing w:after="0"/>
              <w:rPr>
                <w:sz w:val="10"/>
                <w:szCs w:val="10"/>
                <w:color w:val="auto"/>
              </w:rPr>
            </w:pPr>
          </w:p>
        </w:tc>
        <w:tc>
          <w:tcPr>
            <w:tcW w:w="1980" w:type="dxa"/>
            <w:vAlign w:val="bottom"/>
            <w:gridSpan w:val="5"/>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r>
      <w:tr>
        <w:trPr>
          <w:trHeight w:val="88"/>
        </w:trPr>
        <w:tc>
          <w:tcPr>
            <w:tcW w:w="514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ind w:right="382"/>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2022</w:t>
            </w:r>
          </w:p>
        </w:tc>
        <w:tc>
          <w:tcPr>
            <w:tcW w:w="220" w:type="dxa"/>
            <w:vAlign w:val="bottom"/>
            <w:tcBorders>
              <w:top w:val="single" w:sz="8" w:color="auto"/>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ind w:right="361"/>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2021</w:t>
            </w:r>
          </w:p>
        </w:tc>
        <w:tc>
          <w:tcPr>
            <w:tcW w:w="160" w:type="dxa"/>
            <w:vAlign w:val="bottom"/>
            <w:tcBorders>
              <w:bottom w:val="single" w:sz="8" w:color="CCEEFF"/>
            </w:tcBorders>
          </w:tcPr>
          <w:p>
            <w:pPr>
              <w:spacing w:after="0"/>
              <w:rPr>
                <w:sz w:val="7"/>
                <w:szCs w:val="7"/>
                <w:color w:val="auto"/>
              </w:rPr>
            </w:pPr>
          </w:p>
        </w:tc>
        <w:tc>
          <w:tcPr>
            <w:tcW w:w="220" w:type="dxa"/>
            <w:vAlign w:val="bottom"/>
            <w:tcBorders>
              <w:top w:val="single" w:sz="8" w:color="auto"/>
              <w:bottom w:val="single" w:sz="8" w:color="auto"/>
            </w:tcBorders>
          </w:tcPr>
          <w:p>
            <w:pPr>
              <w:spacing w:after="0"/>
              <w:rPr>
                <w:sz w:val="7"/>
                <w:szCs w:val="7"/>
                <w:color w:val="auto"/>
              </w:rPr>
            </w:pPr>
          </w:p>
        </w:tc>
        <w:tc>
          <w:tcPr>
            <w:tcW w:w="800" w:type="dxa"/>
            <w:vAlign w:val="bottom"/>
            <w:tcBorders>
              <w:top w:val="single" w:sz="8" w:color="auto"/>
              <w:bottom w:val="single" w:sz="8" w:color="auto"/>
            </w:tcBorders>
          </w:tcPr>
          <w:p>
            <w:pPr>
              <w:jc w:val="right"/>
              <w:ind w:right="362"/>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2022</w:t>
            </w:r>
          </w:p>
        </w:tc>
        <w:tc>
          <w:tcPr>
            <w:tcW w:w="140" w:type="dxa"/>
            <w:vAlign w:val="bottom"/>
            <w:tcBorders>
              <w:top w:val="single" w:sz="8" w:color="auto"/>
              <w:bottom w:val="single" w:sz="8" w:color="CCEEFF"/>
            </w:tcBorders>
          </w:tcPr>
          <w:p>
            <w:pPr>
              <w:spacing w:after="0"/>
              <w:rPr>
                <w:sz w:val="7"/>
                <w:szCs w:val="7"/>
                <w:color w:val="auto"/>
              </w:rPr>
            </w:pPr>
          </w:p>
        </w:tc>
        <w:tc>
          <w:tcPr>
            <w:tcW w:w="260" w:type="dxa"/>
            <w:vAlign w:val="bottom"/>
            <w:tcBorders>
              <w:top w:val="single" w:sz="8" w:color="auto"/>
              <w:bottom w:val="single" w:sz="8" w:color="auto"/>
            </w:tcBorders>
          </w:tcPr>
          <w:p>
            <w:pPr>
              <w:spacing w:after="0"/>
              <w:rPr>
                <w:sz w:val="7"/>
                <w:szCs w:val="7"/>
                <w:color w:val="auto"/>
              </w:rPr>
            </w:pPr>
          </w:p>
        </w:tc>
        <w:tc>
          <w:tcPr>
            <w:tcW w:w="760" w:type="dxa"/>
            <w:vAlign w:val="bottom"/>
            <w:tcBorders>
              <w:top w:val="single" w:sz="8" w:color="auto"/>
              <w:bottom w:val="single" w:sz="8" w:color="auto"/>
            </w:tcBorders>
          </w:tcPr>
          <w:p>
            <w:pPr>
              <w:jc w:val="right"/>
              <w:ind w:right="341"/>
              <w:spacing w:after="0" w:line="88" w:lineRule="exact"/>
              <w:rPr>
                <w:sz w:val="20"/>
                <w:szCs w:val="20"/>
                <w:color w:val="auto"/>
              </w:rPr>
            </w:pPr>
            <w:r>
              <w:rPr>
                <w:rFonts w:ascii="Times New Roman" w:cs="Times New Roman" w:eastAsia="Times New Roman" w:hAnsi="Times New Roman"/>
                <w:sz w:val="10"/>
                <w:szCs w:val="10"/>
                <w:b w:val="1"/>
                <w:bCs w:val="1"/>
                <w:i w:val="1"/>
                <w:iCs w:val="1"/>
                <w:color w:val="auto"/>
              </w:rPr>
              <w:t>2021</w:t>
            </w:r>
          </w:p>
        </w:tc>
        <w:tc>
          <w:tcPr>
            <w:tcW w:w="20" w:type="dxa"/>
            <w:vAlign w:val="bottom"/>
          </w:tcPr>
          <w:p>
            <w:pPr>
              <w:spacing w:after="0"/>
              <w:rPr>
                <w:sz w:val="7"/>
                <w:szCs w:val="7"/>
                <w:color w:val="auto"/>
              </w:rPr>
            </w:pPr>
          </w:p>
        </w:tc>
      </w:tr>
      <w:tr>
        <w:trPr>
          <w:trHeight w:val="133"/>
        </w:trPr>
        <w:tc>
          <w:tcPr>
            <w:tcW w:w="51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Revenues, net</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15,614,171</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24,361,019</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59,132,284</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83,200,198</w:t>
            </w:r>
          </w:p>
        </w:tc>
        <w:tc>
          <w:tcPr>
            <w:tcW w:w="20" w:type="dxa"/>
            <w:vAlign w:val="bottom"/>
          </w:tcPr>
          <w:p>
            <w:pPr>
              <w:spacing w:after="0"/>
              <w:rPr>
                <w:sz w:val="11"/>
                <w:szCs w:val="11"/>
                <w:color w:val="auto"/>
              </w:rPr>
            </w:pPr>
          </w:p>
        </w:tc>
      </w:tr>
      <w:tr>
        <w:trPr>
          <w:trHeight w:val="144"/>
        </w:trPr>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Cost of revenues</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11,468,961</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15,478,327</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37,744,863</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48,381,061</w:t>
            </w:r>
          </w:p>
        </w:tc>
        <w:tc>
          <w:tcPr>
            <w:tcW w:w="20" w:type="dxa"/>
            <w:vAlign w:val="bottom"/>
          </w:tcPr>
          <w:p>
            <w:pPr>
              <w:spacing w:after="0"/>
              <w:rPr>
                <w:sz w:val="12"/>
                <w:szCs w:val="12"/>
                <w:color w:val="auto"/>
              </w:rPr>
            </w:pPr>
          </w:p>
        </w:tc>
      </w:tr>
      <w:tr>
        <w:trPr>
          <w:trHeight w:val="133"/>
        </w:trPr>
        <w:tc>
          <w:tcPr>
            <w:tcW w:w="52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4,145,210</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8,882,692</w:t>
            </w:r>
          </w:p>
        </w:tc>
        <w:tc>
          <w:tcPr>
            <w:tcW w:w="1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21,387,421</w:t>
            </w:r>
          </w:p>
        </w:tc>
        <w:tc>
          <w:tcPr>
            <w:tcW w:w="1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34,819,137</w:t>
            </w:r>
          </w:p>
        </w:tc>
        <w:tc>
          <w:tcPr>
            <w:tcW w:w="20" w:type="dxa"/>
            <w:vAlign w:val="bottom"/>
          </w:tcPr>
          <w:p>
            <w:pPr>
              <w:spacing w:after="0"/>
              <w:rPr>
                <w:sz w:val="11"/>
                <w:szCs w:val="11"/>
                <w:color w:val="auto"/>
              </w:rPr>
            </w:pPr>
          </w:p>
        </w:tc>
      </w:tr>
      <w:tr>
        <w:trPr>
          <w:trHeight w:val="133"/>
        </w:trPr>
        <w:tc>
          <w:tcPr>
            <w:tcW w:w="52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5,434,013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3,997,917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16,177,534</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13,053,478</w:t>
            </w:r>
          </w:p>
        </w:tc>
        <w:tc>
          <w:tcPr>
            <w:tcW w:w="20" w:type="dxa"/>
            <w:vAlign w:val="bottom"/>
          </w:tcPr>
          <w:p>
            <w:pPr>
              <w:spacing w:after="0"/>
              <w:rPr>
                <w:sz w:val="12"/>
                <w:szCs w:val="12"/>
                <w:color w:val="auto"/>
              </w:rPr>
            </w:pPr>
          </w:p>
        </w:tc>
      </w:tr>
      <w:tr>
        <w:trPr>
          <w:trHeight w:val="144"/>
        </w:trPr>
        <w:tc>
          <w:tcPr>
            <w:tcW w:w="5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116,624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216,798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479,630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588,207</w:t>
            </w:r>
          </w:p>
        </w:tc>
        <w:tc>
          <w:tcPr>
            <w:tcW w:w="2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Advertising and marketing</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198,417</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148,752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569,127</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265,812</w:t>
            </w:r>
          </w:p>
        </w:tc>
        <w:tc>
          <w:tcPr>
            <w:tcW w:w="20" w:type="dxa"/>
            <w:vAlign w:val="bottom"/>
          </w:tcPr>
          <w:p>
            <w:pPr>
              <w:spacing w:after="0"/>
              <w:rPr>
                <w:sz w:val="12"/>
                <w:szCs w:val="12"/>
                <w:color w:val="auto"/>
              </w:rPr>
            </w:pPr>
          </w:p>
        </w:tc>
      </w:tr>
      <w:tr>
        <w:trPr>
          <w:trHeight w:val="144"/>
        </w:trPr>
        <w:tc>
          <w:tcPr>
            <w:tcW w:w="528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128,536</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208,896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435,644</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638,659</w:t>
            </w:r>
          </w:p>
        </w:tc>
        <w:tc>
          <w:tcPr>
            <w:tcW w:w="20" w:type="dxa"/>
            <w:vAlign w:val="bottom"/>
          </w:tcPr>
          <w:p>
            <w:pPr>
              <w:spacing w:after="0"/>
              <w:rPr>
                <w:sz w:val="12"/>
                <w:szCs w:val="12"/>
                <w:color w:val="auto"/>
              </w:rPr>
            </w:pPr>
          </w:p>
        </w:tc>
      </w:tr>
      <w:tr>
        <w:trPr>
          <w:trHeight w:val="133"/>
        </w:trPr>
        <w:tc>
          <w:tcPr>
            <w:tcW w:w="52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5,877,590</w:t>
            </w:r>
          </w:p>
        </w:tc>
        <w:tc>
          <w:tcPr>
            <w:tcW w:w="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4,572,363</w:t>
            </w:r>
          </w:p>
        </w:tc>
        <w:tc>
          <w:tcPr>
            <w:tcW w:w="1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17,661,935</w:t>
            </w:r>
          </w:p>
        </w:tc>
        <w:tc>
          <w:tcPr>
            <w:tcW w:w="14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14,546,156</w:t>
            </w:r>
          </w:p>
        </w:tc>
        <w:tc>
          <w:tcPr>
            <w:tcW w:w="20" w:type="dxa"/>
            <w:vAlign w:val="bottom"/>
          </w:tcPr>
          <w:p>
            <w:pPr>
              <w:spacing w:after="0"/>
              <w:rPr>
                <w:sz w:val="11"/>
                <w:szCs w:val="11"/>
                <w:color w:val="auto"/>
              </w:rPr>
            </w:pPr>
          </w:p>
        </w:tc>
      </w:tr>
      <w:tr>
        <w:trPr>
          <w:trHeight w:val="133"/>
        </w:trPr>
        <w:tc>
          <w:tcPr>
            <w:tcW w:w="528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 (loss) from operations</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(1,732,380)</w:t>
            </w:r>
          </w:p>
        </w:tc>
        <w:tc>
          <w:tcPr>
            <w:tcW w:w="2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4,310,329</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3,725,486</w:t>
            </w:r>
          </w:p>
        </w:tc>
        <w:tc>
          <w:tcPr>
            <w:tcW w:w="1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20,272,981</w:t>
            </w:r>
          </w:p>
        </w:tc>
        <w:tc>
          <w:tcPr>
            <w:tcW w:w="20" w:type="dxa"/>
            <w:vAlign w:val="bottom"/>
          </w:tcPr>
          <w:p>
            <w:pPr>
              <w:spacing w:after="0"/>
              <w:rPr>
                <w:sz w:val="11"/>
                <w:szCs w:val="11"/>
                <w:color w:val="auto"/>
              </w:rPr>
            </w:pPr>
          </w:p>
        </w:tc>
      </w:tr>
      <w:tr>
        <w:trPr>
          <w:trHeight w:val="133"/>
        </w:trPr>
        <w:tc>
          <w:tcPr>
            <w:tcW w:w="52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income (expense):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5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Interest income</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21,230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45,789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71,857</w:t>
            </w:r>
          </w:p>
        </w:tc>
        <w:tc>
          <w:tcPr>
            <w:tcW w:w="2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income - related parties</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420,164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582,128</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1,128,397</w:t>
            </w:r>
          </w:p>
        </w:tc>
        <w:tc>
          <w:tcPr>
            <w:tcW w:w="20" w:type="dxa"/>
            <w:vAlign w:val="bottom"/>
          </w:tcPr>
          <w:p>
            <w:pPr>
              <w:spacing w:after="0"/>
              <w:rPr>
                <w:sz w:val="12"/>
                <w:szCs w:val="12"/>
                <w:color w:val="auto"/>
              </w:rPr>
            </w:pPr>
          </w:p>
        </w:tc>
      </w:tr>
      <w:tr>
        <w:trPr>
          <w:trHeight w:val="144"/>
        </w:trPr>
        <w:tc>
          <w:tcPr>
            <w:tcW w:w="5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Interest expense</w:t>
            </w:r>
          </w:p>
        </w:tc>
        <w:tc>
          <w:tcPr>
            <w:tcW w:w="2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(261,070)</w:t>
            </w:r>
          </w:p>
        </w:tc>
        <w:tc>
          <w:tcPr>
            <w:tcW w:w="240" w:type="dxa"/>
            <w:vAlign w:val="bottom"/>
          </w:tcPr>
          <w:p>
            <w:pPr>
              <w:spacing w:after="0"/>
              <w:rPr>
                <w:sz w:val="12"/>
                <w:szCs w:val="1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(114,447)</w:t>
            </w:r>
          </w:p>
        </w:tc>
        <w:tc>
          <w:tcPr>
            <w:tcW w:w="2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(613,338)</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(304,918)</w:t>
            </w:r>
          </w:p>
        </w:tc>
        <w:tc>
          <w:tcPr>
            <w:tcW w:w="2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Interest expense - related parties</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(2,016)</w:t>
            </w: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(3,222)</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(5,983)</w:t>
            </w:r>
          </w:p>
        </w:tc>
        <w:tc>
          <w:tcPr>
            <w:tcW w:w="20" w:type="dxa"/>
            <w:vAlign w:val="bottom"/>
          </w:tcPr>
          <w:p>
            <w:pPr>
              <w:spacing w:after="0"/>
              <w:rPr>
                <w:sz w:val="12"/>
                <w:szCs w:val="12"/>
                <w:color w:val="auto"/>
              </w:rPr>
            </w:pPr>
          </w:p>
        </w:tc>
      </w:tr>
      <w:tr>
        <w:trPr>
          <w:trHeight w:val="144"/>
        </w:trPr>
        <w:tc>
          <w:tcPr>
            <w:tcW w:w="5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Other income</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19,500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31,247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319,153</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482,790</w:t>
            </w:r>
          </w:p>
        </w:tc>
        <w:tc>
          <w:tcPr>
            <w:tcW w:w="20" w:type="dxa"/>
            <w:vAlign w:val="bottom"/>
          </w:tcPr>
          <w:p>
            <w:pPr>
              <w:spacing w:after="0"/>
              <w:rPr>
                <w:sz w:val="12"/>
                <w:szCs w:val="12"/>
                <w:color w:val="auto"/>
              </w:rPr>
            </w:pPr>
          </w:p>
        </w:tc>
      </w:tr>
      <w:tr>
        <w:trPr>
          <w:trHeight w:val="144"/>
        </w:trPr>
        <w:tc>
          <w:tcPr>
            <w:tcW w:w="5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Foreign currency transaction gain (loss)</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16,169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(15,987)</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21,679</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(80,755)</w:t>
            </w:r>
          </w:p>
        </w:tc>
        <w:tc>
          <w:tcPr>
            <w:tcW w:w="20" w:type="dxa"/>
            <w:vAlign w:val="bottom"/>
          </w:tcPr>
          <w:p>
            <w:pPr>
              <w:spacing w:after="0"/>
              <w:rPr>
                <w:sz w:val="12"/>
                <w:szCs w:val="12"/>
                <w:color w:val="auto"/>
              </w:rPr>
            </w:pPr>
          </w:p>
        </w:tc>
      </w:tr>
      <w:tr>
        <w:trPr>
          <w:trHeight w:val="144"/>
        </w:trPr>
        <w:tc>
          <w:tcPr>
            <w:tcW w:w="52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Equity in loss of unconsolidated entity</w:t>
            </w:r>
          </w:p>
        </w:tc>
        <w:tc>
          <w:tcPr>
            <w:tcW w:w="240" w:type="dxa"/>
            <w:vAlign w:val="bottom"/>
          </w:tcPr>
          <w:p>
            <w:pPr>
              <w:spacing w:after="0"/>
              <w:rPr>
                <w:sz w:val="12"/>
                <w:szCs w:val="12"/>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(314,515)</w:t>
            </w:r>
          </w:p>
        </w:tc>
        <w:tc>
          <w:tcPr>
            <w:tcW w:w="20" w:type="dxa"/>
            <w:vAlign w:val="bottom"/>
          </w:tcPr>
          <w:p>
            <w:pPr>
              <w:spacing w:after="0"/>
              <w:rPr>
                <w:sz w:val="12"/>
                <w:szCs w:val="12"/>
                <w:color w:val="auto"/>
              </w:rPr>
            </w:pPr>
          </w:p>
        </w:tc>
      </w:tr>
      <w:tr>
        <w:trPr>
          <w:trHeight w:val="133"/>
        </w:trPr>
        <w:tc>
          <w:tcPr>
            <w:tcW w:w="52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other income (expense), net</w:t>
            </w: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(212,184)</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340,191</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352,189</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976,873</w:t>
            </w:r>
          </w:p>
        </w:tc>
        <w:tc>
          <w:tcPr>
            <w:tcW w:w="20" w:type="dxa"/>
            <w:vAlign w:val="bottom"/>
          </w:tcPr>
          <w:p>
            <w:pPr>
              <w:spacing w:after="0"/>
              <w:rPr>
                <w:sz w:val="11"/>
                <w:szCs w:val="11"/>
                <w:color w:val="auto"/>
              </w:rPr>
            </w:pPr>
          </w:p>
        </w:tc>
      </w:tr>
      <w:tr>
        <w:trPr>
          <w:trHeight w:val="133"/>
        </w:trPr>
        <w:tc>
          <w:tcPr>
            <w:tcW w:w="52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Income (loss) before provision for income taxes</w:t>
            </w: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(1,944,564)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4,650,520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4,077,675</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21,249,854</w:t>
            </w:r>
          </w:p>
        </w:tc>
        <w:tc>
          <w:tcPr>
            <w:tcW w:w="20" w:type="dxa"/>
            <w:vAlign w:val="bottom"/>
          </w:tcPr>
          <w:p>
            <w:pPr>
              <w:spacing w:after="0"/>
              <w:rPr>
                <w:sz w:val="11"/>
                <w:szCs w:val="11"/>
                <w:color w:val="auto"/>
              </w:rPr>
            </w:pP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(398,998)</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891,538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803,305</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4,214,245</w:t>
            </w:r>
          </w:p>
        </w:tc>
        <w:tc>
          <w:tcPr>
            <w:tcW w:w="20" w:type="dxa"/>
            <w:vAlign w:val="bottom"/>
          </w:tcPr>
          <w:p>
            <w:pPr>
              <w:spacing w:after="0"/>
              <w:rPr>
                <w:sz w:val="12"/>
                <w:szCs w:val="12"/>
                <w:color w:val="auto"/>
              </w:rPr>
            </w:pPr>
          </w:p>
        </w:tc>
      </w:tr>
      <w:tr>
        <w:trPr>
          <w:trHeight w:val="133"/>
        </w:trPr>
        <w:tc>
          <w:tcPr>
            <w:tcW w:w="52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Net income (loss)</w:t>
            </w: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(1,545,566)</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3,758,982</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3,274,370</w:t>
            </w:r>
          </w:p>
        </w:tc>
        <w:tc>
          <w:tcPr>
            <w:tcW w:w="14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17,035,609</w:t>
            </w:r>
          </w:p>
        </w:tc>
        <w:tc>
          <w:tcPr>
            <w:tcW w:w="20" w:type="dxa"/>
            <w:vAlign w:val="bottom"/>
          </w:tcPr>
          <w:p>
            <w:pPr>
              <w:spacing w:after="0"/>
              <w:rPr>
                <w:sz w:val="11"/>
                <w:szCs w:val="11"/>
                <w:color w:val="auto"/>
              </w:rPr>
            </w:pPr>
          </w:p>
        </w:tc>
      </w:tr>
      <w:tr>
        <w:trPr>
          <w:trHeight w:val="144"/>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gain (loss) attributable to non-controlling interests</w:t>
            </w:r>
          </w:p>
        </w:tc>
        <w:tc>
          <w:tcPr>
            <w:tcW w:w="2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(6,828)</w:t>
            </w: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(125,881)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56,348</w:t>
            </w: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(489,499)</w:t>
            </w:r>
          </w:p>
        </w:tc>
        <w:tc>
          <w:tcPr>
            <w:tcW w:w="20" w:type="dxa"/>
            <w:vAlign w:val="bottom"/>
          </w:tcPr>
          <w:p>
            <w:pPr>
              <w:spacing w:after="0"/>
              <w:rPr>
                <w:sz w:val="12"/>
                <w:szCs w:val="12"/>
                <w:color w:val="auto"/>
              </w:rPr>
            </w:pPr>
          </w:p>
        </w:tc>
      </w:tr>
      <w:tr>
        <w:trPr>
          <w:trHeight w:val="20"/>
        </w:trPr>
        <w:tc>
          <w:tcPr>
            <w:tcW w:w="5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9980"/>
          </w:cols>
          <w:pgMar w:left="960" w:top="390" w:right="95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Net income (loss) attributable to Snail Games USA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Comprehensive income statement: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comprehensive income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Total other comprehensive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340" w:type="dxa"/>
        <w:tblCellMar>
          <w:top w:w="0" w:type="dxa"/>
          <w:left w:w="0" w:type="dxa"/>
          <w:bottom w:w="0" w:type="dxa"/>
          <w:right w:w="0" w:type="dxa"/>
        </w:tblCellMar>
      </w:tblPr>
      <w:tr>
        <w:trPr>
          <w:trHeight w:val="159"/>
        </w:trPr>
        <w:tc>
          <w:tcPr>
            <w:tcW w:w="28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(1,538,738)</w:t>
            </w:r>
          </w:p>
        </w:tc>
        <w:tc>
          <w:tcPr>
            <w:tcW w:w="3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3,884,863</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3,218,022</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17,525,108</w:t>
            </w:r>
          </w:p>
        </w:tc>
      </w:tr>
      <w:tr>
        <w:trPr>
          <w:trHeight w:val="273"/>
        </w:trPr>
        <w:tc>
          <w:tcPr>
            <w:tcW w:w="2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5,682</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382,088</w:t>
            </w:r>
          </w:p>
        </w:tc>
        <w:tc>
          <w:tcPr>
            <w:tcW w:w="1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(76,720)</w:t>
            </w:r>
          </w:p>
        </w:tc>
        <w:tc>
          <w:tcPr>
            <w:tcW w:w="2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421,048</w:t>
            </w:r>
          </w:p>
        </w:tc>
      </w:tr>
      <w:tr>
        <w:trPr>
          <w:trHeight w:val="140"/>
        </w:trPr>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(1,533,056)</w:t>
            </w: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4,266,951</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3,141,302</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17,946,156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-296545</wp:posOffset>
            </wp:positionV>
            <wp:extent cx="6332220" cy="914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32220" cy="91440"/>
                    </a:xfrm>
                    <a:prstGeom prst="rect">
                      <a:avLst/>
                    </a:prstGeom>
                    <a:noFill/>
                  </pic:spPr>
                </pic:pic>
              </a:graphicData>
            </a:graphic>
          </wp:anchor>
        </w:drawing>
        <w:drawing>
          <wp:anchor simplePos="0" relativeHeight="251657728" behindDoc="1" locked="0" layoutInCell="0" allowOverlap="1">
            <wp:simplePos x="0" y="0"/>
            <wp:positionH relativeFrom="column">
              <wp:posOffset>-1867535</wp:posOffset>
            </wp:positionH>
            <wp:positionV relativeFrom="paragraph">
              <wp:posOffset>-113665</wp:posOffset>
            </wp:positionV>
            <wp:extent cx="6332220" cy="1028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32220" cy="10287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 (unaudited).</w:t>
      </w:r>
    </w:p>
    <w:p>
      <w:pPr>
        <w:spacing w:after="0" w:line="200" w:lineRule="exact"/>
        <w:rPr>
          <w:sz w:val="20"/>
          <w:szCs w:val="20"/>
          <w:color w:val="auto"/>
        </w:rPr>
      </w:pPr>
    </w:p>
    <w:p>
      <w:pPr>
        <w:sectPr>
          <w:pgSz w:w="11900" w:h="16838" w:orient="portrait"/>
          <w:cols w:equalWidth="0" w:num="2">
            <w:col w:w="2820" w:space="120"/>
            <w:col w:w="7040"/>
          </w:cols>
          <w:pgMar w:left="960" w:top="390" w:right="959" w:bottom="1440" w:gutter="0" w:footer="0" w:header="0"/>
          <w:type w:val="continuous"/>
        </w:sect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Snail Games USA Inc. and Subsidiaries Condensed Consolidated Statements of Equity for the three and nine month periods ended September 30, 2022 and 2021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center"/>
              <w:ind w:right="320"/>
              <w:spacing w:after="0"/>
              <w:rPr>
                <w:sz w:val="20"/>
                <w:szCs w:val="20"/>
                <w:color w:val="auto"/>
              </w:rPr>
            </w:pPr>
            <w:r>
              <w:rPr>
                <w:rFonts w:ascii="Times New Roman" w:cs="Times New Roman" w:eastAsia="Times New Roman" w:hAnsi="Times New Roman"/>
                <w:sz w:val="8"/>
                <w:szCs w:val="8"/>
                <w:b w:val="1"/>
                <w:bCs w:val="1"/>
                <w:color w:val="auto"/>
              </w:rPr>
              <w:t>Due from</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center"/>
              <w:ind w:right="340"/>
              <w:spacing w:after="0" w:line="90" w:lineRule="exact"/>
              <w:rPr>
                <w:sz w:val="20"/>
                <w:szCs w:val="20"/>
                <w:color w:val="auto"/>
              </w:rPr>
            </w:pPr>
            <w:r>
              <w:rPr>
                <w:rFonts w:ascii="Times New Roman" w:cs="Times New Roman" w:eastAsia="Times New Roman" w:hAnsi="Times New Roman"/>
                <w:sz w:val="8"/>
                <w:szCs w:val="8"/>
                <w:b w:val="1"/>
                <w:bCs w:val="1"/>
                <w:color w:val="auto"/>
              </w:rPr>
              <w:t>Shareholder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center"/>
              <w:ind w:right="340"/>
              <w:spacing w:after="0" w:line="90"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center"/>
              <w:ind w:right="340"/>
              <w:spacing w:after="0" w:line="90" w:lineRule="exact"/>
              <w:rPr>
                <w:sz w:val="20"/>
                <w:szCs w:val="20"/>
                <w:color w:val="auto"/>
              </w:rPr>
            </w:pPr>
            <w:r>
              <w:rPr>
                <w:rFonts w:ascii="Times New Roman" w:cs="Times New Roman" w:eastAsia="Times New Roman" w:hAnsi="Times New Roman"/>
                <w:sz w:val="8"/>
                <w:szCs w:val="8"/>
                <w:b w:val="1"/>
                <w:bCs w:val="1"/>
                <w:color w:val="auto"/>
              </w:rPr>
              <w:t>Retained</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center"/>
              <w:ind w:right="360"/>
              <w:spacing w:after="0" w:line="90"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center"/>
              <w:ind w:right="320"/>
              <w:spacing w:after="0" w:line="90" w:lineRule="exact"/>
              <w:rPr>
                <w:sz w:val="20"/>
                <w:szCs w:val="20"/>
                <w:color w:val="auto"/>
              </w:rPr>
            </w:pPr>
            <w:r>
              <w:rPr>
                <w:rFonts w:ascii="Times New Roman" w:cs="Times New Roman" w:eastAsia="Times New Roman" w:hAnsi="Times New Roman"/>
                <w:sz w:val="8"/>
                <w:szCs w:val="8"/>
                <w:b w:val="1"/>
                <w:bCs w:val="1"/>
                <w:color w:val="auto"/>
              </w:rPr>
              <w:t>Loan and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center"/>
              <w:ind w:right="340"/>
              <w:spacing w:after="0" w:line="90" w:lineRule="exact"/>
              <w:rPr>
                <w:sz w:val="20"/>
                <w:szCs w:val="20"/>
                <w:color w:val="auto"/>
              </w:rPr>
            </w:pPr>
            <w:r>
              <w:rPr>
                <w:rFonts w:ascii="Times New Roman" w:cs="Times New Roman" w:eastAsia="Times New Roman" w:hAnsi="Times New Roman"/>
                <w:sz w:val="8"/>
                <w:szCs w:val="8"/>
                <w:b w:val="1"/>
                <w:bCs w:val="1"/>
                <w:color w:val="auto"/>
              </w:rPr>
              <w:t>Other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center"/>
              <w:ind w:right="340"/>
              <w:spacing w:after="0" w:line="90" w:lineRule="exact"/>
              <w:rPr>
                <w:sz w:val="20"/>
                <w:szCs w:val="20"/>
                <w:color w:val="auto"/>
              </w:rPr>
            </w:pPr>
            <w:r>
              <w:rPr>
                <w:rFonts w:ascii="Times New Roman" w:cs="Times New Roman" w:eastAsia="Times New Roman" w:hAnsi="Times New Roman"/>
                <w:sz w:val="8"/>
                <w:szCs w:val="8"/>
                <w:b w:val="1"/>
                <w:bCs w:val="1"/>
                <w:color w:val="auto"/>
              </w:rPr>
              <w:t>Earnings</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Snail Games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center"/>
              <w:ind w:right="280"/>
              <w:spacing w:after="0" w:line="90" w:lineRule="exact"/>
              <w:rPr>
                <w:sz w:val="20"/>
                <w:szCs w:val="20"/>
                <w:color w:val="auto"/>
              </w:rPr>
            </w:pPr>
            <w:r>
              <w:rPr>
                <w:rFonts w:ascii="Times New Roman" w:cs="Times New Roman" w:eastAsia="Times New Roman" w:hAnsi="Times New Roman"/>
                <w:sz w:val="8"/>
                <w:szCs w:val="8"/>
                <w:b w:val="1"/>
                <w:bCs w:val="1"/>
                <w:color w:val="auto"/>
                <w:w w:val="98"/>
              </w:rPr>
              <w:t>Non</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3"/>
        </w:trPr>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38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jc w:val="center"/>
              <w:ind w:right="34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USA Inc.</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controlling</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9"/>
        </w:trPr>
        <w:tc>
          <w:tcPr>
            <w:tcW w:w="1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3"/>
          </w:tcPr>
          <w:p>
            <w:pPr>
              <w:jc w:val="right"/>
              <w:ind w:right="258"/>
              <w:spacing w:after="0" w:line="79" w:lineRule="exact"/>
              <w:rPr>
                <w:sz w:val="20"/>
                <w:szCs w:val="20"/>
                <w:color w:val="auto"/>
              </w:rPr>
            </w:pPr>
            <w:r>
              <w:rPr>
                <w:rFonts w:ascii="Times New Roman" w:cs="Times New Roman" w:eastAsia="Times New Roman" w:hAnsi="Times New Roman"/>
                <w:sz w:val="8"/>
                <w:szCs w:val="8"/>
                <w:b w:val="1"/>
                <w:bCs w:val="1"/>
                <w:color w:val="auto"/>
              </w:rPr>
              <w:t>Shares</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gridSpan w:val="3"/>
          </w:tcPr>
          <w:p>
            <w:pPr>
              <w:jc w:val="right"/>
              <w:ind w:right="78"/>
              <w:spacing w:after="0" w:line="79" w:lineRule="exact"/>
              <w:rPr>
                <w:sz w:val="20"/>
                <w:szCs w:val="20"/>
                <w:color w:val="auto"/>
              </w:rPr>
            </w:pPr>
            <w:r>
              <w:rPr>
                <w:rFonts w:ascii="Times New Roman" w:cs="Times New Roman" w:eastAsia="Times New Roman" w:hAnsi="Times New Roman"/>
                <w:sz w:val="8"/>
                <w:szCs w:val="8"/>
                <w:b w:val="1"/>
                <w:bCs w:val="1"/>
                <w:color w:val="auto"/>
              </w:rPr>
              <w:t>Amount</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tcPr>
          <w:p>
            <w:pPr>
              <w:jc w:val="center"/>
              <w:ind w:right="360"/>
              <w:spacing w:after="0" w:line="79" w:lineRule="exact"/>
              <w:rPr>
                <w:sz w:val="20"/>
                <w:szCs w:val="20"/>
                <w:color w:val="auto"/>
              </w:rPr>
            </w:pPr>
            <w:r>
              <w:rPr>
                <w:rFonts w:ascii="Times New Roman" w:cs="Times New Roman" w:eastAsia="Times New Roman" w:hAnsi="Times New Roman"/>
                <w:sz w:val="8"/>
                <w:szCs w:val="8"/>
                <w:b w:val="1"/>
                <w:bCs w:val="1"/>
                <w:color w:val="auto"/>
              </w:rPr>
              <w:t>Capital</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tcPr>
          <w:p>
            <w:pPr>
              <w:jc w:val="center"/>
              <w:ind w:right="320"/>
              <w:spacing w:after="0" w:line="79" w:lineRule="exact"/>
              <w:rPr>
                <w:sz w:val="20"/>
                <w:szCs w:val="20"/>
                <w:color w:val="auto"/>
              </w:rPr>
            </w:pPr>
            <w:r>
              <w:rPr>
                <w:rFonts w:ascii="Times New Roman" w:cs="Times New Roman" w:eastAsia="Times New Roman" w:hAnsi="Times New Roman"/>
                <w:sz w:val="8"/>
                <w:szCs w:val="8"/>
                <w:b w:val="1"/>
                <w:bCs w:val="1"/>
                <w:color w:val="auto"/>
              </w:rPr>
              <w:t>Receivable</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3"/>
          </w:tcPr>
          <w:p>
            <w:pPr>
              <w:jc w:val="center"/>
              <w:ind w:right="340"/>
              <w:spacing w:after="0" w:line="79" w:lineRule="exact"/>
              <w:rPr>
                <w:sz w:val="20"/>
                <w:szCs w:val="20"/>
                <w:color w:val="auto"/>
              </w:rPr>
            </w:pPr>
            <w:r>
              <w:rPr>
                <w:rFonts w:ascii="Times New Roman" w:cs="Times New Roman" w:eastAsia="Times New Roman" w:hAnsi="Times New Roman"/>
                <w:sz w:val="8"/>
                <w:szCs w:val="8"/>
                <w:b w:val="1"/>
                <w:bCs w:val="1"/>
                <w:color w:val="auto"/>
              </w:rPr>
              <w:t>Income (Loss)</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tcPr>
          <w:p>
            <w:pPr>
              <w:jc w:val="center"/>
              <w:ind w:right="340"/>
              <w:spacing w:after="0" w:line="79" w:lineRule="exact"/>
              <w:rPr>
                <w:sz w:val="20"/>
                <w:szCs w:val="20"/>
                <w:color w:val="auto"/>
              </w:rPr>
            </w:pPr>
            <w:r>
              <w:rPr>
                <w:rFonts w:ascii="Times New Roman" w:cs="Times New Roman" w:eastAsia="Times New Roman" w:hAnsi="Times New Roman"/>
                <w:sz w:val="8"/>
                <w:szCs w:val="8"/>
                <w:b w:val="1"/>
                <w:bCs w:val="1"/>
                <w:color w:val="auto"/>
              </w:rPr>
              <w:t>Deficit)</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jc w:val="center"/>
              <w:ind w:right="260"/>
              <w:spacing w:after="0" w:line="79" w:lineRule="exact"/>
              <w:rPr>
                <w:sz w:val="20"/>
                <w:szCs w:val="20"/>
                <w:color w:val="auto"/>
              </w:rPr>
            </w:pPr>
            <w:r>
              <w:rPr>
                <w:rFonts w:ascii="Times New Roman" w:cs="Times New Roman" w:eastAsia="Times New Roman" w:hAnsi="Times New Roman"/>
                <w:sz w:val="8"/>
                <w:szCs w:val="8"/>
                <w:b w:val="1"/>
                <w:bCs w:val="1"/>
                <w:color w:val="auto"/>
              </w:rPr>
              <w:t>Equity</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tcPr>
          <w:p>
            <w:pPr>
              <w:jc w:val="center"/>
              <w:ind w:right="280"/>
              <w:spacing w:after="0" w:line="79" w:lineRule="exact"/>
              <w:rPr>
                <w:sz w:val="20"/>
                <w:szCs w:val="20"/>
                <w:color w:val="auto"/>
              </w:rPr>
            </w:pPr>
            <w:r>
              <w:rPr>
                <w:rFonts w:ascii="Times New Roman" w:cs="Times New Roman" w:eastAsia="Times New Roman" w:hAnsi="Times New Roman"/>
                <w:sz w:val="8"/>
                <w:szCs w:val="8"/>
                <w:b w:val="1"/>
                <w:bCs w:val="1"/>
                <w:color w:val="auto"/>
              </w:rPr>
              <w:t>Interests</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tcPr>
          <w:p>
            <w:pPr>
              <w:jc w:val="right"/>
              <w:ind w:right="220"/>
              <w:spacing w:after="0" w:line="79" w:lineRule="exact"/>
              <w:rPr>
                <w:sz w:val="20"/>
                <w:szCs w:val="20"/>
                <w:color w:val="auto"/>
              </w:rPr>
            </w:pPr>
            <w:r>
              <w:rPr>
                <w:rFonts w:ascii="Times New Roman" w:cs="Times New Roman" w:eastAsia="Times New Roman" w:hAnsi="Times New Roman"/>
                <w:sz w:val="8"/>
                <w:szCs w:val="8"/>
                <w:b w:val="1"/>
                <w:bCs w:val="1"/>
                <w:color w:val="auto"/>
              </w:rPr>
              <w:t>Total Equity</w:t>
            </w:r>
          </w:p>
        </w:tc>
      </w:tr>
      <w:tr>
        <w:trPr>
          <w:trHeight w:val="79"/>
        </w:trPr>
        <w:tc>
          <w:tcPr>
            <w:tcW w:w="1360" w:type="dxa"/>
            <w:vAlign w:val="bottom"/>
            <w:tcBorders>
              <w:top w:val="single" w:sz="8" w:color="auto"/>
            </w:tcBorders>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December 31, 2021</w:t>
            </w:r>
          </w:p>
        </w:tc>
        <w:tc>
          <w:tcPr>
            <w:tcW w:w="14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auto"/>
            </w:tcBorders>
            <w:gridSpan w:val="3"/>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500,000</w:t>
            </w:r>
          </w:p>
        </w:tc>
        <w:tc>
          <w:tcPr>
            <w:tcW w:w="1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1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5,000</w:t>
            </w:r>
          </w:p>
        </w:tc>
        <w:tc>
          <w:tcPr>
            <w:tcW w:w="14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5"/>
                <w:szCs w:val="5"/>
                <w:color w:val="auto"/>
                <w:w w:val="78"/>
              </w:rPr>
              <w:t>$</w:t>
            </w:r>
          </w:p>
        </w:tc>
        <w:tc>
          <w:tcPr>
            <w:tcW w:w="6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94,159,167</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(94,353,522)</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8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(266,557)</w:t>
            </w: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16,045,231</w:t>
            </w: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15,589,319</w:t>
            </w: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(5,537,266)</w:t>
            </w: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10,052,053</w:t>
            </w:r>
          </w:p>
        </w:tc>
        <w:tc>
          <w:tcPr>
            <w:tcW w:w="20" w:type="dxa"/>
            <w:vAlign w:val="bottom"/>
          </w:tcPr>
          <w:p>
            <w:pPr>
              <w:spacing w:after="0"/>
              <w:rPr>
                <w:sz w:val="6"/>
                <w:szCs w:val="6"/>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Loan to shareholder</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(450,681)</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(450,681)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(450,681)</w:t>
            </w:r>
          </w:p>
        </w:tc>
        <w:tc>
          <w:tcPr>
            <w:tcW w:w="20" w:type="dxa"/>
            <w:vAlign w:val="bottom"/>
          </w:tcPr>
          <w:p>
            <w:pPr>
              <w:spacing w:after="0"/>
              <w:rPr>
                <w:sz w:val="7"/>
                <w:szCs w:val="7"/>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(51,203)</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(51,203)</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(51,203)</w:t>
            </w:r>
          </w:p>
        </w:tc>
        <w:tc>
          <w:tcPr>
            <w:tcW w:w="20" w:type="dxa"/>
            <w:vAlign w:val="bottom"/>
          </w:tcPr>
          <w:p>
            <w:pPr>
              <w:spacing w:after="0"/>
              <w:rPr>
                <w:sz w:val="7"/>
                <w:szCs w:val="7"/>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Net income</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5,811,057</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5,811,057</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(7,290)</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5,803,767</w:t>
            </w:r>
          </w:p>
        </w:tc>
        <w:tc>
          <w:tcPr>
            <w:tcW w:w="20" w:type="dxa"/>
            <w:vAlign w:val="bottom"/>
          </w:tcPr>
          <w:p>
            <w:pPr>
              <w:spacing w:after="0"/>
              <w:rPr>
                <w:sz w:val="7"/>
                <w:szCs w:val="7"/>
                <w:color w:val="auto"/>
              </w:rPr>
            </w:pPr>
          </w:p>
        </w:tc>
      </w:tr>
      <w:tr>
        <w:trPr>
          <w:trHeight w:val="79"/>
        </w:trPr>
        <w:tc>
          <w:tcPr>
            <w:tcW w:w="1500" w:type="dxa"/>
            <w:vAlign w:val="bottom"/>
            <w:tcBorders>
              <w:top w:val="single" w:sz="8" w:color="CCEEFF"/>
            </w:tcBorders>
            <w:gridSpan w:val="2"/>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March 31, 2022</w:t>
            </w:r>
          </w:p>
        </w:tc>
        <w:tc>
          <w:tcPr>
            <w:tcW w:w="580" w:type="dxa"/>
            <w:vAlign w:val="bottom"/>
            <w:tcBorders>
              <w:top w:val="single" w:sz="8" w:color="auto"/>
            </w:tcBorders>
            <w:gridSpan w:val="3"/>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500,000</w:t>
            </w: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2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w:t>
            </w: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66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94,159,167</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(94,804,203)</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(317,760)</w:t>
            </w:r>
          </w:p>
        </w:tc>
        <w:tc>
          <w:tcPr>
            <w:tcW w:w="12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21,856,288</w:t>
            </w: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20,898,492</w:t>
            </w: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6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(5,544,556)</w:t>
            </w: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auto"/>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15,353,936</w:t>
            </w:r>
          </w:p>
        </w:tc>
        <w:tc>
          <w:tcPr>
            <w:tcW w:w="20" w:type="dxa"/>
            <w:vAlign w:val="bottom"/>
          </w:tcPr>
          <w:p>
            <w:pPr>
              <w:spacing w:after="0"/>
              <w:rPr>
                <w:sz w:val="6"/>
                <w:szCs w:val="6"/>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Loan to shareholder</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2"/>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(130,197)</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(130,197)</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(130,197)</w:t>
            </w:r>
          </w:p>
        </w:tc>
        <w:tc>
          <w:tcPr>
            <w:tcW w:w="20" w:type="dxa"/>
            <w:vAlign w:val="bottom"/>
          </w:tcPr>
          <w:p>
            <w:pPr>
              <w:spacing w:after="0"/>
              <w:rPr>
                <w:sz w:val="7"/>
                <w:szCs w:val="7"/>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Dividend distribution</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80" w:type="dxa"/>
            <w:vAlign w:val="bottom"/>
            <w:gridSpan w:val="2"/>
            <w:shd w:val="clear" w:color="auto" w:fill="CCEEFF"/>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(81,278,112)</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94,934,400</w:t>
            </w: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gridSpan w:val="3"/>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(21,856,288)</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(8,200,000)</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(8,200,000)</w:t>
            </w: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right"/>
              <w:ind w:right="78"/>
              <w:spacing w:after="0" w:line="90" w:lineRule="exact"/>
              <w:rPr>
                <w:sz w:val="20"/>
                <w:szCs w:val="20"/>
                <w:color w:val="auto"/>
              </w:rPr>
            </w:pPr>
            <w:r>
              <w:rPr>
                <w:rFonts w:ascii="Times New Roman" w:cs="Times New Roman" w:eastAsia="Times New Roman" w:hAnsi="Times New Roman"/>
                <w:sz w:val="8"/>
                <w:szCs w:val="8"/>
                <w:color w:val="auto"/>
              </w:rPr>
              <w:t>(31,199)</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(31,199)</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8"/>
                <w:szCs w:val="8"/>
                <w:color w:val="auto"/>
              </w:rPr>
              <w:t>(31,199)</w:t>
            </w: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Net income (loss)</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60" w:type="dxa"/>
            <w:vAlign w:val="bottom"/>
            <w:gridSpan w:val="3"/>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(1,054,297)</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(1,054,297)</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70,466</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(983,831)</w:t>
            </w:r>
          </w:p>
        </w:tc>
        <w:tc>
          <w:tcPr>
            <w:tcW w:w="20" w:type="dxa"/>
            <w:vAlign w:val="bottom"/>
          </w:tcPr>
          <w:p>
            <w:pPr>
              <w:spacing w:after="0"/>
              <w:rPr>
                <w:sz w:val="7"/>
                <w:szCs w:val="7"/>
                <w:color w:val="auto"/>
              </w:rPr>
            </w:pPr>
          </w:p>
        </w:tc>
      </w:tr>
      <w:tr>
        <w:trPr>
          <w:trHeight w:val="79"/>
        </w:trPr>
        <w:tc>
          <w:tcPr>
            <w:tcW w:w="1500" w:type="dxa"/>
            <w:vAlign w:val="bottom"/>
            <w:gridSpan w:val="2"/>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June 30, 2022</w:t>
            </w:r>
          </w:p>
        </w:tc>
        <w:tc>
          <w:tcPr>
            <w:tcW w:w="580" w:type="dxa"/>
            <w:vAlign w:val="bottom"/>
            <w:tcBorders>
              <w:top w:val="single" w:sz="8" w:color="auto"/>
            </w:tcBorders>
            <w:gridSpan w:val="3"/>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500,000</w:t>
            </w:r>
          </w:p>
        </w:tc>
        <w:tc>
          <w:tcPr>
            <w:tcW w:w="1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2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w:t>
            </w:r>
          </w:p>
        </w:tc>
        <w:tc>
          <w:tcPr>
            <w:tcW w:w="1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12,881,055</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(348,959)</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(1,054,297)</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11,482,799</w:t>
            </w:r>
          </w:p>
        </w:tc>
        <w:tc>
          <w:tcPr>
            <w:tcW w:w="14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68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(5,474,090)</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6,008,709</w:t>
            </w:r>
          </w:p>
        </w:tc>
        <w:tc>
          <w:tcPr>
            <w:tcW w:w="20" w:type="dxa"/>
            <w:vAlign w:val="bottom"/>
          </w:tcPr>
          <w:p>
            <w:pPr>
              <w:spacing w:after="0"/>
              <w:rPr>
                <w:sz w:val="6"/>
                <w:szCs w:val="6"/>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20" w:type="dxa"/>
            <w:vAlign w:val="bottom"/>
            <w:gridSpan w:val="2"/>
            <w:shd w:val="clear" w:color="auto" w:fill="CCEEFF"/>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5,682</w:t>
            </w:r>
          </w:p>
        </w:tc>
        <w:tc>
          <w:tcPr>
            <w:tcW w:w="1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5,682</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5,682</w:t>
            </w:r>
          </w:p>
        </w:tc>
        <w:tc>
          <w:tcPr>
            <w:tcW w:w="20" w:type="dxa"/>
            <w:vAlign w:val="bottom"/>
          </w:tcPr>
          <w:p>
            <w:pPr>
              <w:spacing w:after="0"/>
              <w:rPr>
                <w:sz w:val="7"/>
                <w:szCs w:val="7"/>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Net income (loss)</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gridSpan w:val="2"/>
          </w:tcPr>
          <w:p>
            <w:pPr>
              <w:jc w:val="right"/>
              <w:ind w:right="138"/>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right"/>
              <w:ind w:right="180"/>
              <w:spacing w:after="0" w:line="90" w:lineRule="exact"/>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(1,538,738)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(1,538,738)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gridSpan w:val="2"/>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(6,828)</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(1,545,566)</w:t>
            </w:r>
          </w:p>
        </w:tc>
        <w:tc>
          <w:tcPr>
            <w:tcW w:w="20" w:type="dxa"/>
            <w:vAlign w:val="bottom"/>
          </w:tcPr>
          <w:p>
            <w:pPr>
              <w:spacing w:after="0"/>
              <w:rPr>
                <w:sz w:val="7"/>
                <w:szCs w:val="7"/>
                <w:color w:val="auto"/>
              </w:rPr>
            </w:pPr>
          </w:p>
        </w:tc>
      </w:tr>
      <w:tr>
        <w:trPr>
          <w:trHeight w:val="86"/>
        </w:trPr>
        <w:tc>
          <w:tcPr>
            <w:tcW w:w="1500" w:type="dxa"/>
            <w:vAlign w:val="bottom"/>
            <w:tcBorders>
              <w:top w:val="single" w:sz="8" w:color="CCEEFF"/>
              <w:bottom w:val="single" w:sz="8" w:color="CCEEFF"/>
            </w:tcBorders>
            <w:gridSpan w:val="2"/>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September 30, 2022</w:t>
            </w:r>
          </w:p>
        </w:tc>
        <w:tc>
          <w:tcPr>
            <w:tcW w:w="580" w:type="dxa"/>
            <w:vAlign w:val="bottom"/>
            <w:tcBorders>
              <w:top w:val="single" w:sz="8" w:color="auto"/>
              <w:bottom w:val="single" w:sz="8" w:color="auto"/>
            </w:tcBorders>
            <w:gridSpan w:val="3"/>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500,000</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00" w:type="dxa"/>
            <w:vAlign w:val="bottom"/>
            <w:tcBorders>
              <w:top w:val="single" w:sz="8" w:color="auto"/>
              <w:bottom w:val="single" w:sz="8" w:color="auto"/>
            </w:tcBorders>
            <w:shd w:val="clear" w:color="auto" w:fill="CCEEFF"/>
          </w:tcPr>
          <w:p>
            <w:pPr>
              <w:spacing w:after="0"/>
              <w:rPr>
                <w:sz w:val="7"/>
                <w:szCs w:val="7"/>
                <w:color w:val="auto"/>
              </w:rPr>
            </w:pPr>
          </w:p>
        </w:tc>
        <w:tc>
          <w:tcPr>
            <w:tcW w:w="60" w:type="dxa"/>
            <w:vAlign w:val="bottom"/>
            <w:tcBorders>
              <w:top w:val="single" w:sz="8" w:color="auto"/>
              <w:bottom w:val="single" w:sz="8" w:color="auto"/>
            </w:tcBorders>
            <w:shd w:val="clear" w:color="auto" w:fill="CCEEFF"/>
          </w:tcPr>
          <w:p>
            <w:pPr>
              <w:spacing w:after="0"/>
              <w:rPr>
                <w:sz w:val="7"/>
                <w:szCs w:val="7"/>
                <w:color w:val="auto"/>
              </w:rPr>
            </w:pPr>
          </w:p>
        </w:tc>
        <w:tc>
          <w:tcPr>
            <w:tcW w:w="2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16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0" w:type="dxa"/>
            <w:vAlign w:val="bottom"/>
            <w:tcBorders>
              <w:top w:val="single" w:sz="8" w:color="auto"/>
              <w:bottom w:val="single" w:sz="8" w:color="auto"/>
            </w:tcBorders>
            <w:shd w:val="clear" w:color="auto" w:fill="CCEEFF"/>
          </w:tcPr>
          <w:p>
            <w:pPr>
              <w:spacing w:after="0"/>
              <w:rPr>
                <w:sz w:val="7"/>
                <w:szCs w:val="7"/>
                <w:color w:val="auto"/>
              </w:rPr>
            </w:pPr>
          </w:p>
        </w:tc>
        <w:tc>
          <w:tcPr>
            <w:tcW w:w="66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12,881,055</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6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shd w:val="clear" w:color="auto" w:fill="CCEEFF"/>
          </w:tcPr>
          <w:p>
            <w:pPr>
              <w:jc w:val="right"/>
              <w:ind w:right="18"/>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80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(343,277)</w:t>
            </w: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40" w:type="dxa"/>
            <w:vAlign w:val="bottom"/>
            <w:tcBorders>
              <w:top w:val="single" w:sz="8" w:color="CCEEFF"/>
              <w:bottom w:val="single" w:sz="8" w:color="CCEEFF"/>
            </w:tcBorders>
            <w:shd w:val="clear" w:color="auto" w:fill="CCEEFF"/>
          </w:tcPr>
          <w:p>
            <w:pPr>
              <w:spacing w:after="0"/>
              <w:rPr>
                <w:sz w:val="7"/>
                <w:szCs w:val="7"/>
                <w:color w:val="auto"/>
              </w:rPr>
            </w:pPr>
          </w:p>
        </w:tc>
        <w:tc>
          <w:tcPr>
            <w:tcW w:w="10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 w:type="dxa"/>
            <w:vAlign w:val="bottom"/>
            <w:tcBorders>
              <w:top w:val="single" w:sz="8" w:color="auto"/>
              <w:bottom w:val="single" w:sz="8" w:color="auto"/>
            </w:tcBorders>
            <w:shd w:val="clear" w:color="auto" w:fill="CCEEFF"/>
          </w:tcPr>
          <w:p>
            <w:pPr>
              <w:spacing w:after="0"/>
              <w:rPr>
                <w:sz w:val="7"/>
                <w:szCs w:val="7"/>
                <w:color w:val="auto"/>
              </w:rPr>
            </w:pPr>
          </w:p>
        </w:tc>
        <w:tc>
          <w:tcPr>
            <w:tcW w:w="74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(2,593,035)</w:t>
            </w: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auto"/>
              <w:bottom w:val="single" w:sz="8" w:color="auto"/>
            </w:tcBorders>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9,949,743</w:t>
            </w:r>
          </w:p>
        </w:tc>
        <w:tc>
          <w:tcPr>
            <w:tcW w:w="14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68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(5,480,918)</w:t>
            </w:r>
          </w:p>
        </w:tc>
        <w:tc>
          <w:tcPr>
            <w:tcW w:w="20" w:type="dxa"/>
            <w:vAlign w:val="bottom"/>
            <w:tcBorders>
              <w:top w:val="single" w:sz="8" w:color="CCEEFF"/>
              <w:bottom w:val="single" w:sz="8" w:color="CCEEFF"/>
            </w:tcBorders>
            <w:shd w:val="clear" w:color="auto" w:fill="CCEEFF"/>
          </w:tcPr>
          <w:p>
            <w:pPr>
              <w:spacing w:after="0"/>
              <w:rPr>
                <w:sz w:val="7"/>
                <w:szCs w:val="7"/>
                <w:color w:val="auto"/>
              </w:rPr>
            </w:pPr>
          </w:p>
        </w:tc>
        <w:tc>
          <w:tcPr>
            <w:tcW w:w="120" w:type="dxa"/>
            <w:vAlign w:val="bottom"/>
            <w:tcBorders>
              <w:top w:val="single" w:sz="8" w:color="CCEEFF"/>
              <w:bottom w:val="single" w:sz="8" w:color="CCEEFF"/>
            </w:tcBorders>
            <w:shd w:val="clear" w:color="auto" w:fill="CCEEFF"/>
          </w:tcPr>
          <w:p>
            <w:pPr>
              <w:spacing w:after="0"/>
              <w:rPr>
                <w:sz w:val="7"/>
                <w:szCs w:val="7"/>
                <w:color w:val="auto"/>
              </w:rPr>
            </w:pPr>
          </w:p>
        </w:tc>
        <w:tc>
          <w:tcPr>
            <w:tcW w:w="140" w:type="dxa"/>
            <w:vAlign w:val="bottom"/>
            <w:tcBorders>
              <w:top w:val="single" w:sz="8" w:color="auto"/>
              <w:bottom w:val="single" w:sz="8" w:color="auto"/>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4,468,825</w:t>
            </w:r>
          </w:p>
        </w:tc>
        <w:tc>
          <w:tcPr>
            <w:tcW w:w="20" w:type="dxa"/>
            <w:vAlign w:val="bottom"/>
          </w:tcPr>
          <w:p>
            <w:pPr>
              <w:spacing w:after="0"/>
              <w:rPr>
                <w:sz w:val="7"/>
                <w:szCs w:val="7"/>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Due from</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0"/>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Shareholder</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center"/>
              <w:ind w:right="120"/>
              <w:spacing w:after="0" w:line="90"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0"/>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gridSpan w:val="3"/>
          </w:tcPr>
          <w:p>
            <w:pPr>
              <w:jc w:val="center"/>
              <w:ind w:right="60"/>
              <w:spacing w:after="0" w:line="90"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center"/>
              <w:ind w:right="80"/>
              <w:spacing w:after="0" w:line="90" w:lineRule="exact"/>
              <w:rPr>
                <w:sz w:val="20"/>
                <w:szCs w:val="20"/>
                <w:color w:val="auto"/>
              </w:rPr>
            </w:pPr>
            <w:r>
              <w:rPr>
                <w:rFonts w:ascii="Times New Roman" w:cs="Times New Roman" w:eastAsia="Times New Roman" w:hAnsi="Times New Roman"/>
                <w:sz w:val="8"/>
                <w:szCs w:val="8"/>
                <w:b w:val="1"/>
                <w:bCs w:val="1"/>
                <w:color w:val="auto"/>
              </w:rPr>
              <w:t>Loan and</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tcPr>
          <w:p>
            <w:pPr>
              <w:jc w:val="center"/>
              <w:ind w:right="100"/>
              <w:spacing w:after="0" w:line="90" w:lineRule="exact"/>
              <w:rPr>
                <w:sz w:val="20"/>
                <w:szCs w:val="20"/>
                <w:color w:val="auto"/>
              </w:rPr>
            </w:pPr>
            <w:r>
              <w:rPr>
                <w:rFonts w:ascii="Times New Roman" w:cs="Times New Roman" w:eastAsia="Times New Roman" w:hAnsi="Times New Roman"/>
                <w:sz w:val="8"/>
                <w:szCs w:val="8"/>
                <w:b w:val="1"/>
                <w:bCs w:val="1"/>
                <w:color w:val="auto"/>
              </w:rPr>
              <w:t>Other</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center"/>
              <w:ind w:right="240"/>
              <w:spacing w:after="0" w:line="90" w:lineRule="exact"/>
              <w:rPr>
                <w:sz w:val="20"/>
                <w:szCs w:val="20"/>
                <w:color w:val="auto"/>
              </w:rPr>
            </w:pPr>
            <w:r>
              <w:rPr>
                <w:rFonts w:ascii="Times New Roman" w:cs="Times New Roman" w:eastAsia="Times New Roman" w:hAnsi="Times New Roman"/>
                <w:sz w:val="8"/>
                <w:szCs w:val="8"/>
                <w:b w:val="1"/>
                <w:bCs w:val="1"/>
                <w:color w:val="auto"/>
              </w:rPr>
              <w:t>Snail Games</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center"/>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Non</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3"/>
        </w:trPr>
        <w:tc>
          <w:tcPr>
            <w:tcW w:w="1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Borders>
              <w:bottom w:val="single" w:sz="8" w:color="auto"/>
            </w:tcBorders>
            <w:gridSpan w:val="8"/>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Common Stock</w:t>
            </w:r>
          </w:p>
        </w:tc>
        <w:tc>
          <w:tcPr>
            <w:tcW w:w="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8"/>
                <w:szCs w:val="8"/>
                <w:b w:val="1"/>
                <w:bCs w:val="1"/>
                <w:color w:val="auto"/>
              </w:rPr>
              <w:t>Paid-In-</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3"/>
          </w:tcPr>
          <w:p>
            <w:pPr>
              <w:jc w:val="center"/>
              <w:ind w:right="100"/>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3"/>
          </w:tcPr>
          <w:p>
            <w:pPr>
              <w:ind w:left="18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8"/>
                <w:szCs w:val="8"/>
                <w:b w:val="1"/>
                <w:bCs w:val="1"/>
                <w:color w:val="auto"/>
              </w:rPr>
              <w:t>USA Inc.</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3"/>
          </w:tcPr>
          <w:p>
            <w:pPr>
              <w:jc w:val="center"/>
              <w:ind w:right="260"/>
              <w:spacing w:after="0"/>
              <w:rPr>
                <w:sz w:val="20"/>
                <w:szCs w:val="20"/>
                <w:color w:val="auto"/>
              </w:rPr>
            </w:pPr>
            <w:r>
              <w:rPr>
                <w:rFonts w:ascii="Times New Roman" w:cs="Times New Roman" w:eastAsia="Times New Roman" w:hAnsi="Times New Roman"/>
                <w:sz w:val="8"/>
                <w:szCs w:val="8"/>
                <w:b w:val="1"/>
                <w:bCs w:val="1"/>
                <w:color w:val="auto"/>
              </w:rPr>
              <w:t>controlling</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79"/>
        </w:trPr>
        <w:tc>
          <w:tcPr>
            <w:tcW w:w="1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gridSpan w:val="2"/>
          </w:tcPr>
          <w:p>
            <w:pPr>
              <w:ind w:left="160"/>
              <w:spacing w:after="0" w:line="79" w:lineRule="exact"/>
              <w:rPr>
                <w:sz w:val="20"/>
                <w:szCs w:val="20"/>
                <w:color w:val="auto"/>
              </w:rPr>
            </w:pPr>
            <w:r>
              <w:rPr>
                <w:rFonts w:ascii="Times New Roman" w:cs="Times New Roman" w:eastAsia="Times New Roman" w:hAnsi="Times New Roman"/>
                <w:sz w:val="8"/>
                <w:szCs w:val="8"/>
                <w:b w:val="1"/>
                <w:bCs w:val="1"/>
                <w:color w:val="auto"/>
              </w:rPr>
              <w:t>Shares</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gridSpan w:val="2"/>
          </w:tcPr>
          <w:p>
            <w:pPr>
              <w:jc w:val="right"/>
              <w:ind w:right="38"/>
              <w:spacing w:after="0" w:line="79" w:lineRule="exact"/>
              <w:rPr>
                <w:sz w:val="20"/>
                <w:szCs w:val="20"/>
                <w:color w:val="auto"/>
              </w:rPr>
            </w:pPr>
            <w:r>
              <w:rPr>
                <w:rFonts w:ascii="Times New Roman" w:cs="Times New Roman" w:eastAsia="Times New Roman" w:hAnsi="Times New Roman"/>
                <w:sz w:val="8"/>
                <w:szCs w:val="8"/>
                <w:b w:val="1"/>
                <w:bCs w:val="1"/>
                <w:color w:val="auto"/>
              </w:rPr>
              <w:t>Amount</w:t>
            </w: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tcPr>
          <w:p>
            <w:pPr>
              <w:jc w:val="center"/>
              <w:ind w:right="60"/>
              <w:spacing w:after="0" w:line="79" w:lineRule="exact"/>
              <w:rPr>
                <w:sz w:val="20"/>
                <w:szCs w:val="20"/>
                <w:color w:val="auto"/>
              </w:rPr>
            </w:pPr>
            <w:r>
              <w:rPr>
                <w:rFonts w:ascii="Times New Roman" w:cs="Times New Roman" w:eastAsia="Times New Roman" w:hAnsi="Times New Roman"/>
                <w:sz w:val="8"/>
                <w:szCs w:val="8"/>
                <w:b w:val="1"/>
                <w:bCs w:val="1"/>
                <w:color w:val="auto"/>
              </w:rPr>
              <w:t>Capital</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3"/>
          </w:tcPr>
          <w:p>
            <w:pPr>
              <w:jc w:val="center"/>
              <w:ind w:right="100"/>
              <w:spacing w:after="0" w:line="79" w:lineRule="exact"/>
              <w:rPr>
                <w:sz w:val="20"/>
                <w:szCs w:val="20"/>
                <w:color w:val="auto"/>
              </w:rPr>
            </w:pPr>
            <w:r>
              <w:rPr>
                <w:rFonts w:ascii="Times New Roman" w:cs="Times New Roman" w:eastAsia="Times New Roman" w:hAnsi="Times New Roman"/>
                <w:sz w:val="8"/>
                <w:szCs w:val="8"/>
                <w:b w:val="1"/>
                <w:bCs w:val="1"/>
                <w:color w:val="auto"/>
              </w:rPr>
              <w:t>Receivable</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3"/>
          </w:tcPr>
          <w:p>
            <w:pPr>
              <w:jc w:val="center"/>
              <w:ind w:right="100"/>
              <w:spacing w:after="0" w:line="79" w:lineRule="exact"/>
              <w:rPr>
                <w:sz w:val="20"/>
                <w:szCs w:val="20"/>
                <w:color w:val="auto"/>
              </w:rPr>
            </w:pPr>
            <w:r>
              <w:rPr>
                <w:rFonts w:ascii="Times New Roman" w:cs="Times New Roman" w:eastAsia="Times New Roman" w:hAnsi="Times New Roman"/>
                <w:sz w:val="8"/>
                <w:szCs w:val="8"/>
                <w:b w:val="1"/>
                <w:bCs w:val="1"/>
                <w:color w:val="auto"/>
              </w:rPr>
              <w:t>Income (Loss)</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tcPr>
          <w:p>
            <w:pPr>
              <w:ind w:left="180"/>
              <w:spacing w:after="0" w:line="79" w:lineRule="exact"/>
              <w:rPr>
                <w:sz w:val="20"/>
                <w:szCs w:val="20"/>
                <w:color w:val="auto"/>
              </w:rPr>
            </w:pPr>
            <w:r>
              <w:rPr>
                <w:rFonts w:ascii="Times New Roman" w:cs="Times New Roman" w:eastAsia="Times New Roman" w:hAnsi="Times New Roman"/>
                <w:sz w:val="8"/>
                <w:szCs w:val="8"/>
                <w:b w:val="1"/>
                <w:bCs w:val="1"/>
                <w:color w:val="auto"/>
              </w:rPr>
              <w:t>Earnings</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tcPr>
          <w:p>
            <w:pPr>
              <w:jc w:val="center"/>
              <w:ind w:right="240"/>
              <w:spacing w:after="0" w:line="79" w:lineRule="exact"/>
              <w:rPr>
                <w:sz w:val="20"/>
                <w:szCs w:val="20"/>
                <w:color w:val="auto"/>
              </w:rPr>
            </w:pPr>
            <w:r>
              <w:rPr>
                <w:rFonts w:ascii="Times New Roman" w:cs="Times New Roman" w:eastAsia="Times New Roman" w:hAnsi="Times New Roman"/>
                <w:sz w:val="8"/>
                <w:szCs w:val="8"/>
                <w:b w:val="1"/>
                <w:bCs w:val="1"/>
                <w:color w:val="auto"/>
              </w:rPr>
              <w:t>Equity</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gridSpan w:val="3"/>
          </w:tcPr>
          <w:p>
            <w:pPr>
              <w:jc w:val="center"/>
              <w:ind w:right="260"/>
              <w:spacing w:after="0" w:line="79" w:lineRule="exact"/>
              <w:rPr>
                <w:sz w:val="20"/>
                <w:szCs w:val="20"/>
                <w:color w:val="auto"/>
              </w:rPr>
            </w:pPr>
            <w:r>
              <w:rPr>
                <w:rFonts w:ascii="Times New Roman" w:cs="Times New Roman" w:eastAsia="Times New Roman" w:hAnsi="Times New Roman"/>
                <w:sz w:val="8"/>
                <w:szCs w:val="8"/>
                <w:b w:val="1"/>
                <w:bCs w:val="1"/>
                <w:color w:val="auto"/>
              </w:rPr>
              <w:t>Interests</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tcPr>
          <w:p>
            <w:pPr>
              <w:jc w:val="right"/>
              <w:ind w:right="220"/>
              <w:spacing w:after="0" w:line="79" w:lineRule="exact"/>
              <w:rPr>
                <w:sz w:val="20"/>
                <w:szCs w:val="20"/>
                <w:color w:val="auto"/>
              </w:rPr>
            </w:pPr>
            <w:r>
              <w:rPr>
                <w:rFonts w:ascii="Times New Roman" w:cs="Times New Roman" w:eastAsia="Times New Roman" w:hAnsi="Times New Roman"/>
                <w:sz w:val="8"/>
                <w:szCs w:val="8"/>
                <w:b w:val="1"/>
                <w:bCs w:val="1"/>
                <w:color w:val="auto"/>
              </w:rPr>
              <w:t>Total Equity</w:t>
            </w:r>
          </w:p>
        </w:tc>
      </w:tr>
      <w:tr>
        <w:trPr>
          <w:trHeight w:val="79"/>
        </w:trPr>
        <w:tc>
          <w:tcPr>
            <w:tcW w:w="1500" w:type="dxa"/>
            <w:vAlign w:val="bottom"/>
            <w:tcBorders>
              <w:top w:val="single" w:sz="8" w:color="auto"/>
            </w:tcBorders>
            <w:gridSpan w:val="2"/>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December 31, 2020</w:t>
            </w:r>
          </w:p>
        </w:tc>
        <w:tc>
          <w:tcPr>
            <w:tcW w:w="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500,000</w:t>
            </w:r>
          </w:p>
        </w:tc>
        <w:tc>
          <w:tcPr>
            <w:tcW w:w="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5,000</w:t>
            </w:r>
          </w:p>
        </w:tc>
        <w:tc>
          <w:tcPr>
            <w:tcW w:w="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78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94,159,167</w:t>
            </w: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(62,186,331)</w:t>
            </w: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92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(197,174)</w:t>
            </w: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7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7,576,835</w:t>
            </w:r>
          </w:p>
        </w:tc>
        <w:tc>
          <w:tcPr>
            <w:tcW w:w="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39,357,497</w:t>
            </w: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(5,017,741)</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color w:val="auto"/>
              </w:rPr>
              <w:t>34,339,756</w:t>
            </w:r>
          </w:p>
        </w:tc>
        <w:tc>
          <w:tcPr>
            <w:tcW w:w="20" w:type="dxa"/>
            <w:vAlign w:val="bottom"/>
          </w:tcPr>
          <w:p>
            <w:pPr>
              <w:spacing w:after="0"/>
              <w:rPr>
                <w:sz w:val="6"/>
                <w:szCs w:val="6"/>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Loan to shareholder</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(9,169,393)</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(9,169,393)</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(9,169,393)</w:t>
            </w:r>
          </w:p>
        </w:tc>
        <w:tc>
          <w:tcPr>
            <w:tcW w:w="20" w:type="dxa"/>
            <w:vAlign w:val="bottom"/>
          </w:tcPr>
          <w:p>
            <w:pPr>
              <w:spacing w:after="0"/>
              <w:rPr>
                <w:sz w:val="7"/>
                <w:szCs w:val="7"/>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33,332</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33,332</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33,332</w:t>
            </w:r>
          </w:p>
        </w:tc>
        <w:tc>
          <w:tcPr>
            <w:tcW w:w="20" w:type="dxa"/>
            <w:vAlign w:val="bottom"/>
          </w:tcPr>
          <w:p>
            <w:pPr>
              <w:spacing w:after="0"/>
              <w:rPr>
                <w:sz w:val="7"/>
                <w:szCs w:val="7"/>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Net income (loss)</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6,178,607</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6,178,607</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(168,008)</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6,010,599</w:t>
            </w:r>
          </w:p>
        </w:tc>
        <w:tc>
          <w:tcPr>
            <w:tcW w:w="20" w:type="dxa"/>
            <w:vAlign w:val="bottom"/>
          </w:tcPr>
          <w:p>
            <w:pPr>
              <w:spacing w:after="0"/>
              <w:rPr>
                <w:sz w:val="7"/>
                <w:szCs w:val="7"/>
                <w:color w:val="auto"/>
              </w:rPr>
            </w:pPr>
          </w:p>
        </w:tc>
      </w:tr>
      <w:tr>
        <w:trPr>
          <w:trHeight w:val="79"/>
        </w:trPr>
        <w:tc>
          <w:tcPr>
            <w:tcW w:w="1500" w:type="dxa"/>
            <w:vAlign w:val="bottom"/>
            <w:tcBorders>
              <w:top w:val="single" w:sz="8" w:color="CCEEFF"/>
            </w:tcBorders>
            <w:gridSpan w:val="2"/>
            <w:shd w:val="clear" w:color="auto" w:fill="CCEEFF"/>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March 31, 2021</w:t>
            </w: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500,000</w:t>
            </w:r>
          </w:p>
        </w:tc>
        <w:tc>
          <w:tcPr>
            <w:tcW w:w="20" w:type="dxa"/>
            <w:vAlign w:val="bottom"/>
            <w:tcBorders>
              <w:top w:val="single" w:sz="8" w:color="auto"/>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42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w:t>
            </w:r>
          </w:p>
        </w:tc>
        <w:tc>
          <w:tcPr>
            <w:tcW w:w="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auto"/>
            </w:tcBorders>
            <w:shd w:val="clear" w:color="auto" w:fill="CCEEFF"/>
          </w:tcPr>
          <w:p>
            <w:pPr>
              <w:spacing w:after="0"/>
              <w:rPr>
                <w:sz w:val="6"/>
                <w:szCs w:val="6"/>
                <w:color w:val="auto"/>
              </w:rPr>
            </w:pPr>
          </w:p>
        </w:tc>
        <w:tc>
          <w:tcPr>
            <w:tcW w:w="78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94,159,167</w:t>
            </w: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8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(71,355,724)</w:t>
            </w: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92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(163,842)</w:t>
            </w:r>
          </w:p>
        </w:tc>
        <w:tc>
          <w:tcPr>
            <w:tcW w:w="4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auto"/>
            </w:tcBorders>
            <w:shd w:val="clear" w:color="auto" w:fill="CCEEFF"/>
          </w:tcPr>
          <w:p>
            <w:pPr>
              <w:spacing w:after="0"/>
              <w:rPr>
                <w:sz w:val="6"/>
                <w:szCs w:val="6"/>
                <w:color w:val="auto"/>
              </w:rPr>
            </w:pPr>
          </w:p>
        </w:tc>
        <w:tc>
          <w:tcPr>
            <w:tcW w:w="74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13,755,442</w:t>
            </w:r>
          </w:p>
        </w:tc>
        <w:tc>
          <w:tcPr>
            <w:tcW w:w="2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36,400,043</w:t>
            </w: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00" w:type="dxa"/>
            <w:vAlign w:val="bottom"/>
            <w:tcBorders>
              <w:top w:val="single" w:sz="8" w:color="auto"/>
            </w:tcBorders>
            <w:gridSpan w:val="2"/>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(5,185,749)</w:t>
            </w:r>
          </w:p>
        </w:tc>
        <w:tc>
          <w:tcPr>
            <w:tcW w:w="1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auto"/>
            </w:tcBorders>
            <w:shd w:val="clear" w:color="auto" w:fill="CCEEFF"/>
          </w:tcPr>
          <w:p>
            <w:pPr>
              <w:spacing w:after="0"/>
              <w:rPr>
                <w:sz w:val="6"/>
                <w:szCs w:val="6"/>
                <w:color w:val="auto"/>
              </w:rPr>
            </w:pPr>
          </w:p>
        </w:tc>
        <w:tc>
          <w:tcPr>
            <w:tcW w:w="720" w:type="dxa"/>
            <w:vAlign w:val="bottom"/>
            <w:tcBorders>
              <w:top w:val="single" w:sz="8" w:color="auto"/>
            </w:tcBorders>
            <w:shd w:val="clear" w:color="auto" w:fill="CCEEFF"/>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31,214,294</w:t>
            </w:r>
          </w:p>
        </w:tc>
        <w:tc>
          <w:tcPr>
            <w:tcW w:w="20" w:type="dxa"/>
            <w:vAlign w:val="bottom"/>
          </w:tcPr>
          <w:p>
            <w:pPr>
              <w:spacing w:after="0"/>
              <w:rPr>
                <w:sz w:val="6"/>
                <w:szCs w:val="6"/>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Loan to shareholder</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3"/>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(7,058,648)</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(7,058,648)</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(7,058,648)</w:t>
            </w:r>
          </w:p>
        </w:tc>
        <w:tc>
          <w:tcPr>
            <w:tcW w:w="20" w:type="dxa"/>
            <w:vAlign w:val="bottom"/>
          </w:tcPr>
          <w:p>
            <w:pPr>
              <w:spacing w:after="0"/>
              <w:rPr>
                <w:sz w:val="7"/>
                <w:szCs w:val="7"/>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20" w:type="dxa"/>
            <w:vAlign w:val="bottom"/>
            <w:gridSpan w:val="2"/>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5,628</w:t>
            </w:r>
          </w:p>
        </w:tc>
        <w:tc>
          <w:tcPr>
            <w:tcW w:w="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5,628</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5,628</w:t>
            </w:r>
          </w:p>
        </w:tc>
        <w:tc>
          <w:tcPr>
            <w:tcW w:w="20" w:type="dxa"/>
            <w:vAlign w:val="bottom"/>
          </w:tcPr>
          <w:p>
            <w:pPr>
              <w:spacing w:after="0"/>
              <w:rPr>
                <w:sz w:val="7"/>
                <w:szCs w:val="7"/>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Dissolution of subsidiary</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gridSpan w:val="2"/>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39,340</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39,340</w:t>
            </w:r>
          </w:p>
        </w:tc>
        <w:tc>
          <w:tcPr>
            <w:tcW w:w="20" w:type="dxa"/>
            <w:vAlign w:val="bottom"/>
          </w:tcPr>
          <w:p>
            <w:pPr>
              <w:spacing w:after="0"/>
              <w:rPr>
                <w:sz w:val="7"/>
                <w:szCs w:val="7"/>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Net income (loss)</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7,461,638</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7,461,638</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(195,610)</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7,266,028</w:t>
            </w:r>
          </w:p>
        </w:tc>
        <w:tc>
          <w:tcPr>
            <w:tcW w:w="20" w:type="dxa"/>
            <w:vAlign w:val="bottom"/>
          </w:tcPr>
          <w:p>
            <w:pPr>
              <w:spacing w:after="0"/>
              <w:rPr>
                <w:sz w:val="7"/>
                <w:szCs w:val="7"/>
                <w:color w:val="auto"/>
              </w:rPr>
            </w:pPr>
          </w:p>
        </w:tc>
      </w:tr>
      <w:tr>
        <w:trPr>
          <w:trHeight w:val="79"/>
        </w:trPr>
        <w:tc>
          <w:tcPr>
            <w:tcW w:w="1500" w:type="dxa"/>
            <w:vAlign w:val="bottom"/>
            <w:gridSpan w:val="2"/>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June 30, 2021</w:t>
            </w: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500,000</w:t>
            </w:r>
          </w:p>
        </w:tc>
        <w:tc>
          <w:tcPr>
            <w:tcW w:w="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w:t>
            </w:r>
          </w:p>
        </w:tc>
        <w:tc>
          <w:tcPr>
            <w:tcW w:w="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78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94,159,167</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(78,414,372)</w:t>
            </w: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92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(158,214)</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21,217,080</w:t>
            </w:r>
          </w:p>
        </w:tc>
        <w:tc>
          <w:tcPr>
            <w:tcW w:w="2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36,808,661</w:t>
            </w: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00" w:type="dxa"/>
            <w:vAlign w:val="bottom"/>
            <w:tcBorders>
              <w:top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(5,342,019)</w:t>
            </w:r>
          </w:p>
        </w:tc>
        <w:tc>
          <w:tcPr>
            <w:tcW w:w="1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31,466,642</w:t>
            </w:r>
          </w:p>
        </w:tc>
        <w:tc>
          <w:tcPr>
            <w:tcW w:w="20" w:type="dxa"/>
            <w:vAlign w:val="bottom"/>
          </w:tcPr>
          <w:p>
            <w:pPr>
              <w:spacing w:after="0"/>
              <w:rPr>
                <w:sz w:val="6"/>
                <w:szCs w:val="6"/>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Loan to shareholder</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20"/>
              <w:spacing w:after="0" w:line="90" w:lineRule="exact"/>
              <w:rPr>
                <w:sz w:val="20"/>
                <w:szCs w:val="20"/>
                <w:color w:val="auto"/>
              </w:rPr>
            </w:pPr>
            <w:r>
              <w:rPr>
                <w:rFonts w:ascii="Times New Roman" w:cs="Times New Roman" w:eastAsia="Times New Roman" w:hAnsi="Times New Roman"/>
                <w:sz w:val="8"/>
                <w:szCs w:val="8"/>
                <w:color w:val="auto"/>
              </w:rPr>
              <w:t>(9,353,161)</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90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60" w:type="dxa"/>
            <w:vAlign w:val="bottom"/>
            <w:gridSpan w:val="2"/>
            <w:shd w:val="clear" w:color="auto" w:fill="CCEEFF"/>
          </w:tcPr>
          <w:p>
            <w:pPr>
              <w:jc w:val="right"/>
              <w:ind w:right="140"/>
              <w:spacing w:after="0" w:line="90" w:lineRule="exact"/>
              <w:rPr>
                <w:sz w:val="20"/>
                <w:szCs w:val="20"/>
                <w:color w:val="auto"/>
              </w:rPr>
            </w:pPr>
            <w:r>
              <w:rPr>
                <w:rFonts w:ascii="Times New Roman" w:cs="Times New Roman" w:eastAsia="Times New Roman" w:hAnsi="Times New Roman"/>
                <w:sz w:val="8"/>
                <w:szCs w:val="8"/>
                <w:color w:val="auto"/>
              </w:rPr>
              <w:t>(9,353,161)</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(9,353,161)</w:t>
            </w:r>
          </w:p>
        </w:tc>
        <w:tc>
          <w:tcPr>
            <w:tcW w:w="20" w:type="dxa"/>
            <w:vAlign w:val="bottom"/>
          </w:tcPr>
          <w:p>
            <w:pPr>
              <w:spacing w:after="0"/>
              <w:rPr>
                <w:sz w:val="7"/>
                <w:szCs w:val="7"/>
                <w:color w:val="auto"/>
              </w:rPr>
            </w:pPr>
          </w:p>
        </w:tc>
      </w:tr>
      <w:tr>
        <w:trPr>
          <w:trHeight w:val="90"/>
        </w:trPr>
        <w:tc>
          <w:tcPr>
            <w:tcW w:w="1500" w:type="dxa"/>
            <w:vAlign w:val="bottom"/>
            <w:gridSpan w:val="2"/>
          </w:tcPr>
          <w:p>
            <w:pPr>
              <w:spacing w:after="0" w:line="90" w:lineRule="exact"/>
              <w:rPr>
                <w:sz w:val="20"/>
                <w:szCs w:val="20"/>
                <w:color w:val="auto"/>
              </w:rPr>
            </w:pPr>
            <w:r>
              <w:rPr>
                <w:rFonts w:ascii="Times New Roman" w:cs="Times New Roman" w:eastAsia="Times New Roman" w:hAnsi="Times New Roman"/>
                <w:sz w:val="8"/>
                <w:szCs w:val="8"/>
                <w:color w:val="auto"/>
              </w:rPr>
              <w:t>Foreign currency translation</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gridSpan w:val="2"/>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right"/>
              <w:spacing w:after="0" w:line="90" w:lineRule="exact"/>
              <w:rPr>
                <w:sz w:val="20"/>
                <w:szCs w:val="20"/>
                <w:color w:val="auto"/>
              </w:rPr>
            </w:pPr>
            <w:r>
              <w:rPr>
                <w:rFonts w:ascii="Times New Roman" w:cs="Times New Roman" w:eastAsia="Times New Roman" w:hAnsi="Times New Roman"/>
                <w:sz w:val="8"/>
                <w:szCs w:val="8"/>
                <w:color w:val="auto"/>
              </w:rPr>
              <w:t>382,088</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382,088</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3"/>
          </w:tcPr>
          <w:p>
            <w:pPr>
              <w:jc w:val="right"/>
              <w:ind w:right="160"/>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jc w:val="right"/>
              <w:spacing w:after="0" w:line="90" w:lineRule="exact"/>
              <w:rPr>
                <w:sz w:val="20"/>
                <w:szCs w:val="20"/>
                <w:color w:val="auto"/>
              </w:rPr>
            </w:pPr>
            <w:r>
              <w:rPr>
                <w:rFonts w:ascii="Times New Roman" w:cs="Times New Roman" w:eastAsia="Times New Roman" w:hAnsi="Times New Roman"/>
                <w:sz w:val="8"/>
                <w:szCs w:val="8"/>
                <w:color w:val="auto"/>
              </w:rPr>
              <w:t>382,088</w:t>
            </w:r>
          </w:p>
        </w:tc>
        <w:tc>
          <w:tcPr>
            <w:tcW w:w="20" w:type="dxa"/>
            <w:vAlign w:val="bottom"/>
          </w:tcPr>
          <w:p>
            <w:pPr>
              <w:spacing w:after="0"/>
              <w:rPr>
                <w:sz w:val="7"/>
                <w:szCs w:val="7"/>
                <w:color w:val="auto"/>
              </w:rPr>
            </w:pPr>
          </w:p>
        </w:tc>
      </w:tr>
      <w:tr>
        <w:trPr>
          <w:trHeight w:val="90"/>
        </w:trPr>
        <w:tc>
          <w:tcPr>
            <w:tcW w:w="1500" w:type="dxa"/>
            <w:vAlign w:val="bottom"/>
            <w:gridSpan w:val="2"/>
            <w:shd w:val="clear" w:color="auto" w:fill="CCEEFF"/>
          </w:tcPr>
          <w:p>
            <w:pPr>
              <w:spacing w:after="0" w:line="90" w:lineRule="exact"/>
              <w:rPr>
                <w:sz w:val="20"/>
                <w:szCs w:val="20"/>
                <w:color w:val="auto"/>
              </w:rPr>
            </w:pPr>
            <w:r>
              <w:rPr>
                <w:rFonts w:ascii="Times New Roman" w:cs="Times New Roman" w:eastAsia="Times New Roman" w:hAnsi="Times New Roman"/>
                <w:sz w:val="8"/>
                <w:szCs w:val="8"/>
                <w:color w:val="auto"/>
              </w:rPr>
              <w:t>Net income (loss)</w:t>
            </w:r>
          </w:p>
        </w:tc>
        <w:tc>
          <w:tcPr>
            <w:tcW w:w="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40" w:type="dxa"/>
            <w:vAlign w:val="bottom"/>
            <w:gridSpan w:val="2"/>
            <w:shd w:val="clear" w:color="auto" w:fill="CCEEFF"/>
          </w:tcPr>
          <w:p>
            <w:pPr>
              <w:jc w:val="right"/>
              <w:ind w:right="4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60" w:type="dxa"/>
            <w:vAlign w:val="bottom"/>
            <w:gridSpan w:val="2"/>
            <w:shd w:val="clear" w:color="auto" w:fill="CCEEFF"/>
          </w:tcPr>
          <w:p>
            <w:pPr>
              <w:jc w:val="right"/>
              <w:ind w:right="60"/>
              <w:spacing w:after="0" w:line="90" w:lineRule="exact"/>
              <w:rPr>
                <w:sz w:val="20"/>
                <w:szCs w:val="20"/>
                <w:color w:val="auto"/>
              </w:rPr>
            </w:pPr>
            <w:r>
              <w:rPr>
                <w:rFonts w:ascii="Times New Roman" w:cs="Times New Roman" w:eastAsia="Times New Roman" w:hAnsi="Times New Roman"/>
                <w:sz w:val="8"/>
                <w:szCs w:val="8"/>
                <w:color w:val="auto"/>
                <w:w w:val="99"/>
              </w:rPr>
              <w:t>—</w:t>
            </w:r>
          </w:p>
        </w:tc>
        <w:tc>
          <w:tcPr>
            <w:tcW w:w="1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3,884,863</w:t>
            </w:r>
          </w:p>
        </w:tc>
        <w:tc>
          <w:tcPr>
            <w:tcW w:w="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3,884,863</w:t>
            </w: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gridSpan w:val="3"/>
            <w:shd w:val="clear" w:color="auto" w:fill="CCEEFF"/>
          </w:tcPr>
          <w:p>
            <w:pPr>
              <w:jc w:val="right"/>
              <w:ind w:right="120"/>
              <w:spacing w:after="0" w:line="90" w:lineRule="exact"/>
              <w:rPr>
                <w:sz w:val="20"/>
                <w:szCs w:val="20"/>
                <w:color w:val="auto"/>
              </w:rPr>
            </w:pPr>
            <w:r>
              <w:rPr>
                <w:rFonts w:ascii="Times New Roman" w:cs="Times New Roman" w:eastAsia="Times New Roman" w:hAnsi="Times New Roman"/>
                <w:sz w:val="8"/>
                <w:szCs w:val="8"/>
                <w:color w:val="auto"/>
              </w:rPr>
              <w:t>(125,881)</w:t>
            </w: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20" w:type="dxa"/>
            <w:vAlign w:val="bottom"/>
            <w:shd w:val="clear" w:color="auto" w:fill="CCEEFF"/>
          </w:tcPr>
          <w:p>
            <w:pPr>
              <w:jc w:val="right"/>
              <w:spacing w:after="0" w:line="90" w:lineRule="exact"/>
              <w:rPr>
                <w:sz w:val="20"/>
                <w:szCs w:val="20"/>
                <w:color w:val="auto"/>
              </w:rPr>
            </w:pPr>
            <w:r>
              <w:rPr>
                <w:rFonts w:ascii="Times New Roman" w:cs="Times New Roman" w:eastAsia="Times New Roman" w:hAnsi="Times New Roman"/>
                <w:sz w:val="8"/>
                <w:szCs w:val="8"/>
                <w:color w:val="auto"/>
              </w:rPr>
              <w:t>3,758,982</w:t>
            </w:r>
          </w:p>
        </w:tc>
        <w:tc>
          <w:tcPr>
            <w:tcW w:w="20" w:type="dxa"/>
            <w:vAlign w:val="bottom"/>
          </w:tcPr>
          <w:p>
            <w:pPr>
              <w:spacing w:after="0"/>
              <w:rPr>
                <w:sz w:val="7"/>
                <w:szCs w:val="7"/>
                <w:color w:val="auto"/>
              </w:rPr>
            </w:pPr>
          </w:p>
        </w:tc>
      </w:tr>
      <w:tr>
        <w:trPr>
          <w:trHeight w:val="86"/>
        </w:trPr>
        <w:tc>
          <w:tcPr>
            <w:tcW w:w="1500" w:type="dxa"/>
            <w:vAlign w:val="bottom"/>
            <w:gridSpan w:val="2"/>
          </w:tcPr>
          <w:p>
            <w:pPr>
              <w:spacing w:after="0" w:line="79" w:lineRule="exact"/>
              <w:rPr>
                <w:sz w:val="20"/>
                <w:szCs w:val="20"/>
                <w:color w:val="auto"/>
              </w:rPr>
            </w:pPr>
            <w:r>
              <w:rPr>
                <w:rFonts w:ascii="Times New Roman" w:cs="Times New Roman" w:eastAsia="Times New Roman" w:hAnsi="Times New Roman"/>
                <w:sz w:val="8"/>
                <w:szCs w:val="8"/>
                <w:b w:val="1"/>
                <w:bCs w:val="1"/>
                <w:color w:val="auto"/>
              </w:rPr>
              <w:t>Balance at September 30, 2021</w:t>
            </w: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500,000</w:t>
            </w:r>
          </w:p>
        </w:tc>
        <w:tc>
          <w:tcPr>
            <w:tcW w:w="20" w:type="dxa"/>
            <w:vAlign w:val="bottom"/>
            <w:tcBorders>
              <w:top w:val="single" w:sz="8" w:color="auto"/>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42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5,000</w:t>
            </w:r>
          </w:p>
        </w:tc>
        <w:tc>
          <w:tcPr>
            <w:tcW w:w="20" w:type="dxa"/>
            <w:vAlign w:val="bottom"/>
            <w:tcBorders>
              <w:top w:val="single" w:sz="8" w:color="auto"/>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78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94,159,167</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(87,767,533)</w:t>
            </w: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92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223,874</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w w:val="98"/>
              </w:rPr>
              <w:t>$</w:t>
            </w:r>
          </w:p>
        </w:tc>
        <w:tc>
          <w:tcPr>
            <w:tcW w:w="7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25,101,943</w:t>
            </w:r>
          </w:p>
        </w:tc>
        <w:tc>
          <w:tcPr>
            <w:tcW w:w="20" w:type="dxa"/>
            <w:vAlign w:val="bottom"/>
            <w:tcBorders>
              <w:top w:val="single" w:sz="8" w:color="auto"/>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31,722,451</w:t>
            </w: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00" w:type="dxa"/>
            <w:vAlign w:val="bottom"/>
            <w:tcBorders>
              <w:top w:val="single" w:sz="8" w:color="auto"/>
              <w:bottom w:val="single" w:sz="8" w:color="auto"/>
            </w:tcBorders>
            <w:gridSpan w:val="2"/>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(5,467,900)</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7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26,254,551</w:t>
            </w:r>
          </w:p>
        </w:tc>
        <w:tc>
          <w:tcPr>
            <w:tcW w:w="20" w:type="dxa"/>
            <w:vAlign w:val="bottom"/>
          </w:tcPr>
          <w:p>
            <w:pPr>
              <w:spacing w:after="0"/>
              <w:rPr>
                <w:sz w:val="7"/>
                <w:szCs w:val="7"/>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 (unaudited).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Snail Games USA Inc. and Subsidiaries Condensed Consolidated Statements of Cash Flows for the nine month periods ended September 30, 2022 and 2021 (Unaudited)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Nine months ended September 30,</w:t>
            </w:r>
          </w:p>
        </w:tc>
        <w:tc>
          <w:tcPr>
            <w:tcW w:w="240" w:type="dxa"/>
            <w:vAlign w:val="bottom"/>
          </w:tcPr>
          <w:p>
            <w:pPr>
              <w:spacing w:after="0"/>
              <w:rPr>
                <w:sz w:val="10"/>
                <w:szCs w:val="10"/>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i w:val="1"/>
                <w:iCs w:val="1"/>
                <w:color w:val="auto"/>
              </w:rPr>
              <w:t>2022</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i w:val="1"/>
                <w:iCs w:val="1"/>
                <w:color w:val="auto"/>
              </w:rPr>
              <w:t>2021</w:t>
            </w:r>
          </w:p>
        </w:tc>
        <w:tc>
          <w:tcPr>
            <w:tcW w:w="20" w:type="dxa"/>
            <w:vAlign w:val="bottom"/>
          </w:tcPr>
          <w:p>
            <w:pPr>
              <w:spacing w:after="0"/>
              <w:rPr>
                <w:sz w:val="10"/>
                <w:szCs w:val="10"/>
                <w:color w:val="auto"/>
              </w:rPr>
            </w:pPr>
          </w:p>
        </w:tc>
      </w:tr>
      <w:tr>
        <w:trPr>
          <w:trHeight w:val="88"/>
        </w:trPr>
        <w:tc>
          <w:tcPr>
            <w:tcW w:w="7400" w:type="dxa"/>
            <w:vAlign w:val="bottom"/>
            <w:tcBorders>
              <w:top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Cash flows from operating activities:</w:t>
            </w:r>
          </w:p>
        </w:tc>
        <w:tc>
          <w:tcPr>
            <w:tcW w:w="2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7620" w:type="dxa"/>
            <w:vAlign w:val="bottom"/>
            <w:gridSpan w:val="2"/>
          </w:tcPr>
          <w:p>
            <w:pPr>
              <w:spacing w:after="0" w:line="99" w:lineRule="exact"/>
              <w:rPr>
                <w:sz w:val="20"/>
                <w:szCs w:val="20"/>
                <w:color w:val="auto"/>
              </w:rPr>
            </w:pPr>
            <w:r>
              <w:rPr>
                <w:rFonts w:ascii="Times New Roman" w:cs="Times New Roman" w:eastAsia="Times New Roman" w:hAnsi="Times New Roman"/>
                <w:sz w:val="10"/>
                <w:szCs w:val="10"/>
                <w:color w:val="auto"/>
              </w:rPr>
              <w:t>Net income</w:t>
            </w:r>
          </w:p>
        </w:tc>
        <w:tc>
          <w:tcPr>
            <w:tcW w:w="240" w:type="dxa"/>
            <w:vAlign w:val="bottom"/>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3,274,370</w:t>
            </w:r>
          </w:p>
        </w:tc>
        <w:tc>
          <w:tcPr>
            <w:tcW w:w="220" w:type="dxa"/>
            <w:vAlign w:val="bottom"/>
          </w:tcPr>
          <w:p>
            <w:pPr>
              <w:spacing w:after="0"/>
              <w:rPr>
                <w:sz w:val="8"/>
                <w:szCs w:val="8"/>
                <w:color w:val="auto"/>
              </w:rPr>
            </w:pPr>
          </w:p>
        </w:tc>
        <w:tc>
          <w:tcPr>
            <w:tcW w:w="240" w:type="dxa"/>
            <w:vAlign w:val="bottom"/>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17,035,609</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Adjustments to reconcile net income to net cash (used in) provided by operating activities:</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Amortization - intangible assets - license</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250,000</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450,000</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Amortization - intangible assets - license, related parties</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5,552,938</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10,675,193</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Amortization - intangible assets - other</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672</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6,149</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Amortization - loan origination fees</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19,149</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22,388</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Depreciation and amortization - property and equipment</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435,644</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638,659</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Gain on lease termination</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(122,533)</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Gain on paycheck protection program and economic injury disaster loan forgiveness</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(174,436)</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(392,200)</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Gain on disposal of fixed assets</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(17,067)</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Interest income from shareholder loan</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(580,878)</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(1,074,881)</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Deferred taxes</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2,682</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Decrease in non-controlling interest - dissolution of subsidiary</w:t>
            </w:r>
          </w:p>
        </w:tc>
        <w:tc>
          <w:tcPr>
            <w:tcW w:w="24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39,340</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Changes in assets and liabilities:</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Accounts receivable</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7,648,432</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5,049,456</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Accounts receivable - related party</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(3,803,606)</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2,542,956</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Prepaid expenses - related party</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(4,875,000)</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(2,232,406)</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(5,689,750)</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Other noncurrent assets</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(15,228)</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241,422</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Accounts payable</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2,905,024</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(390,331)</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Accounts payable - related party</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(1,402,791)</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311,024</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Accrued expenses</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(127,993)</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700,163</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Interest payable - related parties</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1,490</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5,983</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Lease liabilities</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(103,782)</w:t>
            </w:r>
          </w:p>
        </w:tc>
        <w:tc>
          <w:tcPr>
            <w:tcW w:w="2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(130,090)</w:t>
            </w: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Deferred revenue</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(7,297,736)</w:t>
            </w:r>
          </w:p>
        </w:tc>
        <w:tc>
          <w:tcPr>
            <w:tcW w:w="240" w:type="dxa"/>
            <w:vAlign w:val="bottom"/>
          </w:tcPr>
          <w:p>
            <w:pPr>
              <w:spacing w:after="0"/>
              <w:rPr>
                <w:sz w:val="8"/>
                <w:szCs w:val="8"/>
                <w:color w:val="auto"/>
              </w:rPr>
            </w:pP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(11,389,985)</w:t>
            </w:r>
          </w:p>
        </w:tc>
      </w:tr>
      <w:tr>
        <w:trPr>
          <w:trHeight w:val="88"/>
        </w:trPr>
        <w:tc>
          <w:tcPr>
            <w:tcW w:w="7620" w:type="dxa"/>
            <w:vAlign w:val="bottom"/>
            <w:tcBorders>
              <w:top w:val="single" w:sz="8" w:color="CCEEFF"/>
            </w:tcBorders>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Net cash (used in) provided by operating activities</w:t>
            </w:r>
          </w:p>
        </w:tc>
        <w:tc>
          <w:tcPr>
            <w:tcW w:w="240" w:type="dxa"/>
            <w:vAlign w:val="bottom"/>
            <w:tcBorders>
              <w:top w:val="single" w:sz="8" w:color="auto"/>
              <w:bottom w:val="single" w:sz="8" w:color="auto"/>
            </w:tcBorders>
            <w:shd w:val="clear" w:color="auto" w:fill="CCEEFF"/>
          </w:tcPr>
          <w:p>
            <w:pPr>
              <w:spacing w:after="0"/>
              <w:rPr>
                <w:sz w:val="7"/>
                <w:szCs w:val="7"/>
                <w:color w:val="auto"/>
              </w:rPr>
            </w:pPr>
          </w:p>
        </w:tc>
        <w:tc>
          <w:tcPr>
            <w:tcW w:w="8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(665,737)</w:t>
            </w:r>
          </w:p>
        </w:tc>
        <w:tc>
          <w:tcPr>
            <w:tcW w:w="22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bottom w:val="single" w:sz="8" w:color="auto"/>
            </w:tcBorders>
            <w:shd w:val="clear" w:color="auto" w:fill="CCEEFF"/>
          </w:tcPr>
          <w:p>
            <w:pPr>
              <w:spacing w:after="0"/>
              <w:rPr>
                <w:sz w:val="7"/>
                <w:szCs w:val="7"/>
                <w:color w:val="auto"/>
              </w:rPr>
            </w:pPr>
          </w:p>
        </w:tc>
        <w:tc>
          <w:tcPr>
            <w:tcW w:w="820" w:type="dxa"/>
            <w:vAlign w:val="bottom"/>
            <w:tcBorders>
              <w:top w:val="single" w:sz="8" w:color="auto"/>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18,653,787</w:t>
            </w:r>
          </w:p>
        </w:tc>
        <w:tc>
          <w:tcPr>
            <w:tcW w:w="20" w:type="dxa"/>
            <w:vAlign w:val="bottom"/>
          </w:tcPr>
          <w:p>
            <w:pPr>
              <w:spacing w:after="0"/>
              <w:rPr>
                <w:sz w:val="7"/>
                <w:szCs w:val="7"/>
                <w:color w:val="auto"/>
              </w:rPr>
            </w:pPr>
          </w:p>
        </w:tc>
      </w:tr>
      <w:tr>
        <w:trPr>
          <w:trHeight w:val="88"/>
        </w:trPr>
        <w:tc>
          <w:tcPr>
            <w:tcW w:w="76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Cash flows from investing activities:</w:t>
            </w: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Loan provided to related party</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(24,506,321)</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Repayment on loan provided by related party</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(300,000)</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Acquisition of license rights - related party</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(5,000,000)</w:t>
            </w: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Purchases of property and equipment</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(5,256)</w:t>
            </w:r>
          </w:p>
        </w:tc>
        <w:tc>
          <w:tcPr>
            <w:tcW w:w="240" w:type="dxa"/>
            <w:vAlign w:val="bottom"/>
          </w:tcPr>
          <w:p>
            <w:pPr>
              <w:spacing w:after="0"/>
              <w:rPr>
                <w:sz w:val="8"/>
                <w:szCs w:val="8"/>
                <w:color w:val="auto"/>
              </w:rPr>
            </w:pPr>
          </w:p>
        </w:tc>
        <w:tc>
          <w:tcPr>
            <w:tcW w:w="840" w:type="dxa"/>
            <w:vAlign w:val="bottom"/>
            <w:gridSpan w:val="2"/>
          </w:tcPr>
          <w:p>
            <w:pPr>
              <w:jc w:val="right"/>
              <w:spacing w:after="0" w:line="99" w:lineRule="exact"/>
              <w:rPr>
                <w:sz w:val="20"/>
                <w:szCs w:val="20"/>
                <w:color w:val="auto"/>
              </w:rPr>
            </w:pPr>
            <w:r>
              <w:rPr>
                <w:rFonts w:ascii="Times New Roman" w:cs="Times New Roman" w:eastAsia="Times New Roman" w:hAnsi="Times New Roman"/>
                <w:sz w:val="10"/>
                <w:szCs w:val="10"/>
                <w:color w:val="auto"/>
              </w:rPr>
              <w:t>(3,403)</w:t>
            </w: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Proceeds from sale of property and equipment</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19,500</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Repayment on Pound Sand note</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1,496,063</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Investment at cost</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(895)</w:t>
            </w:r>
          </w:p>
        </w:tc>
      </w:tr>
      <w:tr>
        <w:trPr>
          <w:trHeight w:val="88"/>
        </w:trPr>
        <w:tc>
          <w:tcPr>
            <w:tcW w:w="7620" w:type="dxa"/>
            <w:vAlign w:val="bottom"/>
            <w:tcBorders>
              <w:bottom w:val="single" w:sz="8" w:color="CCEEFF"/>
            </w:tcBorders>
            <w:gridSpan w:val="2"/>
          </w:tcPr>
          <w:p>
            <w:pPr>
              <w:spacing w:after="0" w:line="88" w:lineRule="exact"/>
              <w:rPr>
                <w:sz w:val="20"/>
                <w:szCs w:val="20"/>
                <w:color w:val="auto"/>
              </w:rPr>
            </w:pPr>
            <w:r>
              <w:rPr>
                <w:rFonts w:ascii="Times New Roman" w:cs="Times New Roman" w:eastAsia="Times New Roman" w:hAnsi="Times New Roman"/>
                <w:sz w:val="10"/>
                <w:szCs w:val="10"/>
                <w:color w:val="auto"/>
              </w:rPr>
              <w:t>Net cash provided by (used in) investing activities</w:t>
            </w:r>
          </w:p>
        </w:tc>
        <w:tc>
          <w:tcPr>
            <w:tcW w:w="24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1,210,307</w:t>
            </w:r>
          </w:p>
        </w:tc>
        <w:tc>
          <w:tcPr>
            <w:tcW w:w="22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(29,510,619)</w:t>
            </w:r>
          </w:p>
        </w:tc>
        <w:tc>
          <w:tcPr>
            <w:tcW w:w="20" w:type="dxa"/>
            <w:vAlign w:val="bottom"/>
          </w:tcPr>
          <w:p>
            <w:pPr>
              <w:spacing w:after="0"/>
              <w:rPr>
                <w:sz w:val="7"/>
                <w:szCs w:val="7"/>
                <w:color w:val="auto"/>
              </w:rPr>
            </w:pPr>
          </w:p>
        </w:tc>
      </w:tr>
      <w:tr>
        <w:trPr>
          <w:trHeight w:val="88"/>
        </w:trPr>
        <w:tc>
          <w:tcPr>
            <w:tcW w:w="7620" w:type="dxa"/>
            <w:vAlign w:val="bottom"/>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Cash flows from financing activities:</w:t>
            </w: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Repayments on long-term debt</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(57,967)</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(6,731,666)</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Repayments on short-term note</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(3,333,333)</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Borrowings on long-term debt</w:t>
            </w:r>
          </w:p>
        </w:tc>
        <w:tc>
          <w:tcPr>
            <w:tcW w:w="24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2,904,815</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Borrowings on short-term note</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10,000,000</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Payments on paycheck protection program and economic injury disaster loan</w:t>
            </w:r>
          </w:p>
        </w:tc>
        <w:tc>
          <w:tcPr>
            <w:tcW w:w="240" w:type="dxa"/>
            <w:vAlign w:val="bottom"/>
          </w:tcPr>
          <w:p>
            <w:pPr>
              <w:spacing w:after="0"/>
              <w:rPr>
                <w:sz w:val="8"/>
                <w:szCs w:val="8"/>
                <w:color w:val="auto"/>
              </w:rPr>
            </w:pPr>
          </w:p>
        </w:tc>
        <w:tc>
          <w:tcPr>
            <w:tcW w:w="10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(90,198)</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Refund of payments on paycheck protection program and economic injury disaster loan</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48,305</w:t>
            </w: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color w:val="auto"/>
              </w:rPr>
              <w:t>Borrowings on revolving loan</w:t>
            </w:r>
          </w:p>
        </w:tc>
        <w:tc>
          <w:tcPr>
            <w:tcW w:w="240" w:type="dxa"/>
            <w:vAlign w:val="bottom"/>
          </w:tcPr>
          <w:p>
            <w:pPr>
              <w:spacing w:after="0"/>
              <w:rPr>
                <w:sz w:val="8"/>
                <w:szCs w:val="8"/>
                <w:color w:val="auto"/>
              </w:rPr>
            </w:pPr>
          </w:p>
        </w:tc>
        <w:tc>
          <w:tcPr>
            <w:tcW w:w="104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8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6,500,000</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color w:val="auto"/>
              </w:rPr>
              <w:t>Cash dividend declared and paid</w:t>
            </w:r>
          </w:p>
        </w:tc>
        <w:tc>
          <w:tcPr>
            <w:tcW w:w="240" w:type="dxa"/>
            <w:vAlign w:val="bottom"/>
            <w:shd w:val="clear" w:color="auto" w:fill="CCEEFF"/>
          </w:tcPr>
          <w:p>
            <w:pPr>
              <w:spacing w:after="0"/>
              <w:rPr>
                <w:sz w:val="8"/>
                <w:szCs w:val="8"/>
                <w:color w:val="auto"/>
              </w:rPr>
            </w:pP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(8,200,000)</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8"/>
                <w:szCs w:val="8"/>
                <w:color w:val="auto"/>
              </w:rPr>
            </w:pPr>
          </w:p>
        </w:tc>
      </w:tr>
      <w:tr>
        <w:trPr>
          <w:trHeight w:val="88"/>
        </w:trPr>
        <w:tc>
          <w:tcPr>
            <w:tcW w:w="7620" w:type="dxa"/>
            <w:vAlign w:val="bottom"/>
            <w:tcBorders>
              <w:bottom w:val="single" w:sz="8" w:color="CCEEFF"/>
            </w:tcBorders>
            <w:gridSpan w:val="2"/>
          </w:tcPr>
          <w:p>
            <w:pPr>
              <w:spacing w:after="0" w:line="88" w:lineRule="exact"/>
              <w:rPr>
                <w:sz w:val="20"/>
                <w:szCs w:val="20"/>
                <w:color w:val="auto"/>
              </w:rPr>
            </w:pPr>
            <w:r>
              <w:rPr>
                <w:rFonts w:ascii="Times New Roman" w:cs="Times New Roman" w:eastAsia="Times New Roman" w:hAnsi="Times New Roman"/>
                <w:sz w:val="10"/>
                <w:szCs w:val="10"/>
                <w:color w:val="auto"/>
              </w:rPr>
              <w:t>Net cash (used in) provided by financing activities</w:t>
            </w:r>
          </w:p>
        </w:tc>
        <w:tc>
          <w:tcPr>
            <w:tcW w:w="24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(1,633,193)</w:t>
            </w:r>
          </w:p>
        </w:tc>
        <w:tc>
          <w:tcPr>
            <w:tcW w:w="220" w:type="dxa"/>
            <w:vAlign w:val="bottom"/>
            <w:tcBorders>
              <w:bottom w:val="single" w:sz="8" w:color="CCEEFF"/>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820" w:type="dxa"/>
            <w:vAlign w:val="bottom"/>
            <w:tcBorders>
              <w:top w:val="single" w:sz="8" w:color="auto"/>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color w:val="auto"/>
              </w:rPr>
              <w:t>2,673,149</w:t>
            </w:r>
          </w:p>
        </w:tc>
        <w:tc>
          <w:tcPr>
            <w:tcW w:w="20" w:type="dxa"/>
            <w:vAlign w:val="bottom"/>
          </w:tcPr>
          <w:p>
            <w:pPr>
              <w:spacing w:after="0"/>
              <w:rPr>
                <w:sz w:val="7"/>
                <w:szCs w:val="7"/>
                <w:color w:val="auto"/>
              </w:rPr>
            </w:pPr>
          </w:p>
        </w:tc>
      </w:tr>
      <w:tr>
        <w:trPr>
          <w:trHeight w:val="88"/>
        </w:trPr>
        <w:tc>
          <w:tcPr>
            <w:tcW w:w="7620" w:type="dxa"/>
            <w:vAlign w:val="bottom"/>
            <w:gridSpan w:val="2"/>
            <w:shd w:val="clear" w:color="auto" w:fill="CCEEFF"/>
          </w:tcPr>
          <w:p>
            <w:pPr>
              <w:spacing w:after="0" w:line="88" w:lineRule="exact"/>
              <w:rPr>
                <w:sz w:val="20"/>
                <w:szCs w:val="20"/>
                <w:color w:val="auto"/>
              </w:rPr>
            </w:pPr>
            <w:r>
              <w:rPr>
                <w:rFonts w:ascii="Times New Roman" w:cs="Times New Roman" w:eastAsia="Times New Roman" w:hAnsi="Times New Roman"/>
                <w:sz w:val="10"/>
                <w:szCs w:val="10"/>
                <w:color w:val="auto"/>
              </w:rPr>
              <w:t>Effect of currency translation on cash and cash equivalents</w:t>
            </w:r>
          </w:p>
        </w:tc>
        <w:tc>
          <w:tcPr>
            <w:tcW w:w="24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(52,810)</w:t>
            </w:r>
          </w:p>
        </w:tc>
        <w:tc>
          <w:tcPr>
            <w:tcW w:w="220" w:type="dxa"/>
            <w:vAlign w:val="bottom"/>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820" w:type="dxa"/>
            <w:vAlign w:val="bottom"/>
            <w:tcBorders>
              <w:bottom w:val="single" w:sz="8" w:color="auto"/>
            </w:tcBorders>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380,403</w:t>
            </w:r>
          </w:p>
        </w:tc>
        <w:tc>
          <w:tcPr>
            <w:tcW w:w="20" w:type="dxa"/>
            <w:vAlign w:val="bottom"/>
          </w:tcPr>
          <w:p>
            <w:pPr>
              <w:spacing w:after="0"/>
              <w:rPr>
                <w:sz w:val="7"/>
                <w:szCs w:val="7"/>
                <w:color w:val="auto"/>
              </w:rPr>
            </w:pPr>
          </w:p>
        </w:tc>
      </w:tr>
      <w:tr>
        <w:trPr>
          <w:trHeight w:val="88"/>
        </w:trPr>
        <w:tc>
          <w:tcPr>
            <w:tcW w:w="7620" w:type="dxa"/>
            <w:vAlign w:val="bottom"/>
            <w:gridSpan w:val="2"/>
          </w:tcPr>
          <w:p>
            <w:pPr>
              <w:spacing w:after="0" w:line="88" w:lineRule="exact"/>
              <w:rPr>
                <w:sz w:val="20"/>
                <w:szCs w:val="20"/>
                <w:color w:val="auto"/>
              </w:rPr>
            </w:pPr>
            <w:r>
              <w:rPr>
                <w:rFonts w:ascii="Times New Roman" w:cs="Times New Roman" w:eastAsia="Times New Roman" w:hAnsi="Times New Roman"/>
                <w:sz w:val="10"/>
                <w:szCs w:val="10"/>
                <w:color w:val="auto"/>
              </w:rPr>
              <w:t>Net decrease in cash, and restricted cash and cash equivalents</w:t>
            </w:r>
          </w:p>
        </w:tc>
        <w:tc>
          <w:tcPr>
            <w:tcW w:w="240" w:type="dxa"/>
            <w:vAlign w:val="bottom"/>
          </w:tcPr>
          <w:p>
            <w:pPr>
              <w:spacing w:after="0"/>
              <w:rPr>
                <w:sz w:val="7"/>
                <w:szCs w:val="7"/>
                <w:color w:val="auto"/>
              </w:rPr>
            </w:pPr>
          </w:p>
        </w:tc>
        <w:tc>
          <w:tcPr>
            <w:tcW w:w="8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(1,141,433)</w:t>
            </w: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(7,803,280)</w:t>
            </w:r>
          </w:p>
        </w:tc>
        <w:tc>
          <w:tcPr>
            <w:tcW w:w="20" w:type="dxa"/>
            <w:vAlign w:val="bottom"/>
          </w:tcPr>
          <w:p>
            <w:pPr>
              <w:spacing w:after="0"/>
              <w:rPr>
                <w:sz w:val="7"/>
                <w:szCs w:val="7"/>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Cash, and restricted cash and cash equivalents - beginning of period</w:t>
            </w:r>
          </w:p>
        </w:tc>
        <w:tc>
          <w:tcPr>
            <w:tcW w:w="24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16,554,115</w:t>
            </w:r>
          </w:p>
        </w:tc>
        <w:tc>
          <w:tcPr>
            <w:tcW w:w="220" w:type="dxa"/>
            <w:vAlign w:val="bottom"/>
            <w:shd w:val="clear" w:color="auto" w:fill="CCEEFF"/>
          </w:tcPr>
          <w:p>
            <w:pPr>
              <w:spacing w:after="0"/>
              <w:rPr>
                <w:sz w:val="8"/>
                <w:szCs w:val="8"/>
                <w:color w:val="auto"/>
              </w:rPr>
            </w:pPr>
          </w:p>
        </w:tc>
        <w:tc>
          <w:tcPr>
            <w:tcW w:w="240" w:type="dxa"/>
            <w:vAlign w:val="bottom"/>
            <w:tcBorders>
              <w:bottom w:val="single" w:sz="8" w:color="auto"/>
            </w:tcBorders>
            <w:shd w:val="clear" w:color="auto" w:fill="CCEEFF"/>
          </w:tcPr>
          <w:p>
            <w:pPr>
              <w:spacing w:after="0"/>
              <w:rPr>
                <w:sz w:val="8"/>
                <w:szCs w:val="8"/>
                <w:color w:val="auto"/>
              </w:rPr>
            </w:pP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33,902,707</w:t>
            </w:r>
          </w:p>
        </w:tc>
        <w:tc>
          <w:tcPr>
            <w:tcW w:w="20" w:type="dxa"/>
            <w:vAlign w:val="bottom"/>
          </w:tcPr>
          <w:p>
            <w:pPr>
              <w:spacing w:after="0"/>
              <w:rPr>
                <w:sz w:val="8"/>
                <w:szCs w:val="8"/>
                <w:color w:val="auto"/>
              </w:rPr>
            </w:pPr>
          </w:p>
        </w:tc>
      </w:tr>
      <w:tr>
        <w:trPr>
          <w:trHeight w:val="95"/>
        </w:trPr>
        <w:tc>
          <w:tcPr>
            <w:tcW w:w="7620" w:type="dxa"/>
            <w:vAlign w:val="bottom"/>
            <w:tcBorders>
              <w:bottom w:val="single" w:sz="8" w:color="CCEEFF"/>
            </w:tcBorders>
            <w:gridSpan w:val="2"/>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Cash, and restricted cash and cash equivalents - end of period</w:t>
            </w:r>
          </w:p>
        </w:tc>
        <w:tc>
          <w:tcPr>
            <w:tcW w:w="240" w:type="dxa"/>
            <w:vAlign w:val="bottom"/>
            <w:tcBorders>
              <w:bottom w:val="single" w:sz="8" w:color="auto"/>
            </w:tcBorders>
          </w:tcPr>
          <w:p>
            <w:pPr>
              <w:jc w:val="right"/>
              <w:ind w:right="133"/>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15,412,682</w:t>
            </w:r>
          </w:p>
        </w:tc>
        <w:tc>
          <w:tcPr>
            <w:tcW w:w="2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jc w:val="right"/>
              <w:ind w:right="133"/>
              <w:spacing w:after="0" w:line="88" w:lineRule="exact"/>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26,099,427</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Supplemental disclosures of cash flow information</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99"/>
        </w:trPr>
        <w:tc>
          <w:tcPr>
            <w:tcW w:w="7620" w:type="dxa"/>
            <w:vAlign w:val="bottom"/>
            <w:gridSpan w:val="2"/>
          </w:tcPr>
          <w:p>
            <w:pPr>
              <w:ind w:left="80"/>
              <w:spacing w:after="0" w:line="99" w:lineRule="exact"/>
              <w:rPr>
                <w:sz w:val="20"/>
                <w:szCs w:val="20"/>
                <w:color w:val="auto"/>
              </w:rPr>
            </w:pPr>
            <w:r>
              <w:rPr>
                <w:rFonts w:ascii="Times New Roman" w:cs="Times New Roman" w:eastAsia="Times New Roman" w:hAnsi="Times New Roman"/>
                <w:sz w:val="10"/>
                <w:szCs w:val="10"/>
                <w:b w:val="1"/>
                <w:bCs w:val="1"/>
                <w:color w:val="auto"/>
              </w:rPr>
              <w:t>Cash paid during the period for:</w:t>
            </w: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19"/>
        </w:trPr>
        <w:tc>
          <w:tcPr>
            <w:tcW w:w="7620" w:type="dxa"/>
            <w:vAlign w:val="bottom"/>
            <w:tcBorders>
              <w:bottom w:val="single" w:sz="8" w:color="CCEEFF"/>
            </w:tcBorders>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Interest</w:t>
            </w:r>
          </w:p>
        </w:tc>
        <w:tc>
          <w:tcPr>
            <w:tcW w:w="240" w:type="dxa"/>
            <w:vAlign w:val="bottom"/>
            <w:tcBorders>
              <w:bottom w:val="single" w:sz="8" w:color="auto"/>
            </w:tcBorders>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594,189</w:t>
            </w:r>
          </w:p>
        </w:tc>
        <w:tc>
          <w:tcPr>
            <w:tcW w:w="2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105,577</w:t>
            </w:r>
          </w:p>
        </w:tc>
        <w:tc>
          <w:tcPr>
            <w:tcW w:w="20" w:type="dxa"/>
            <w:vAlign w:val="bottom"/>
          </w:tcPr>
          <w:p>
            <w:pPr>
              <w:spacing w:after="0"/>
              <w:rPr>
                <w:sz w:val="10"/>
                <w:szCs w:val="10"/>
                <w:color w:val="auto"/>
              </w:rPr>
            </w:pPr>
          </w:p>
        </w:tc>
      </w:tr>
      <w:tr>
        <w:trPr>
          <w:trHeight w:val="93"/>
        </w:trPr>
        <w:tc>
          <w:tcPr>
            <w:tcW w:w="7620" w:type="dxa"/>
            <w:vAlign w:val="bottom"/>
            <w:tcBorders>
              <w:bottom w:val="single" w:sz="8" w:color="CCEEFF"/>
            </w:tcBorders>
            <w:gridSpan w:val="2"/>
          </w:tcPr>
          <w:p>
            <w:pPr>
              <w:ind w:left="140"/>
              <w:spacing w:after="0" w:line="86" w:lineRule="exact"/>
              <w:rPr>
                <w:sz w:val="20"/>
                <w:szCs w:val="20"/>
                <w:color w:val="auto"/>
              </w:rPr>
            </w:pPr>
            <w:r>
              <w:rPr>
                <w:rFonts w:ascii="Times New Roman" w:cs="Times New Roman" w:eastAsia="Times New Roman" w:hAnsi="Times New Roman"/>
                <w:sz w:val="8"/>
                <w:szCs w:val="8"/>
                <w:color w:val="auto"/>
              </w:rPr>
              <w:t>Income taxes</w:t>
            </w:r>
          </w:p>
        </w:tc>
        <w:tc>
          <w:tcPr>
            <w:tcW w:w="240" w:type="dxa"/>
            <w:vAlign w:val="bottom"/>
            <w:tcBorders>
              <w:bottom w:val="single" w:sz="8" w:color="auto"/>
            </w:tcBorders>
          </w:tcPr>
          <w:p>
            <w:pPr>
              <w:jc w:val="right"/>
              <w:ind w:right="133"/>
              <w:spacing w:after="0" w:line="86" w:lineRule="exact"/>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831,400</w:t>
            </w:r>
          </w:p>
        </w:tc>
        <w:tc>
          <w:tcPr>
            <w:tcW w:w="2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jc w:val="right"/>
              <w:ind w:right="133"/>
              <w:spacing w:after="0" w:line="86" w:lineRule="exact"/>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3,300,000</w:t>
            </w:r>
          </w:p>
        </w:tc>
        <w:tc>
          <w:tcPr>
            <w:tcW w:w="20" w:type="dxa"/>
            <w:vAlign w:val="bottom"/>
          </w:tcPr>
          <w:p>
            <w:pPr>
              <w:spacing w:after="0"/>
              <w:rPr>
                <w:sz w:val="8"/>
                <w:szCs w:val="8"/>
                <w:color w:val="auto"/>
              </w:rPr>
            </w:pPr>
          </w:p>
        </w:tc>
      </w:tr>
      <w:tr>
        <w:trPr>
          <w:trHeight w:val="99"/>
        </w:trPr>
        <w:tc>
          <w:tcPr>
            <w:tcW w:w="7620" w:type="dxa"/>
            <w:vAlign w:val="bottom"/>
            <w:gridSpan w:val="2"/>
            <w:shd w:val="clear" w:color="auto" w:fill="CCEEFF"/>
          </w:tcPr>
          <w:p>
            <w:pPr>
              <w:ind w:left="80"/>
              <w:spacing w:after="0" w:line="99" w:lineRule="exact"/>
              <w:rPr>
                <w:sz w:val="20"/>
                <w:szCs w:val="20"/>
                <w:color w:val="auto"/>
              </w:rPr>
            </w:pPr>
            <w:r>
              <w:rPr>
                <w:rFonts w:ascii="Times New Roman" w:cs="Times New Roman" w:eastAsia="Times New Roman" w:hAnsi="Times New Roman"/>
                <w:sz w:val="10"/>
                <w:szCs w:val="10"/>
                <w:b w:val="1"/>
                <w:bCs w:val="1"/>
                <w:color w:val="auto"/>
              </w:rPr>
              <w:t>Noncash transactions during the period for:</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0" w:type="dxa"/>
            <w:vAlign w:val="bottom"/>
          </w:tcPr>
          <w:p>
            <w:pPr>
              <w:spacing w:after="0"/>
              <w:rPr>
                <w:sz w:val="8"/>
                <w:szCs w:val="8"/>
                <w:color w:val="auto"/>
              </w:rPr>
            </w:pPr>
          </w:p>
        </w:tc>
      </w:tr>
      <w:tr>
        <w:trPr>
          <w:trHeight w:val="106"/>
        </w:trPr>
        <w:tc>
          <w:tcPr>
            <w:tcW w:w="7620" w:type="dxa"/>
            <w:vAlign w:val="bottom"/>
            <w:tcBorders>
              <w:bottom w:val="single" w:sz="8" w:color="CCEEFF"/>
            </w:tcBorders>
            <w:gridSpan w:val="2"/>
          </w:tcPr>
          <w:p>
            <w:pPr>
              <w:ind w:left="140"/>
              <w:spacing w:after="0" w:line="99" w:lineRule="exact"/>
              <w:rPr>
                <w:sz w:val="20"/>
                <w:szCs w:val="20"/>
                <w:color w:val="auto"/>
              </w:rPr>
            </w:pPr>
            <w:r>
              <w:rPr>
                <w:rFonts w:ascii="Times New Roman" w:cs="Times New Roman" w:eastAsia="Times New Roman" w:hAnsi="Times New Roman"/>
                <w:sz w:val="10"/>
                <w:szCs w:val="10"/>
                <w:color w:val="auto"/>
              </w:rPr>
              <w:t>Loan and interest payable - related parties</w:t>
            </w:r>
          </w:p>
        </w:tc>
        <w:tc>
          <w:tcPr>
            <w:tcW w:w="240" w:type="dxa"/>
            <w:vAlign w:val="bottom"/>
            <w:tcBorders>
              <w:bottom w:val="single" w:sz="8" w:color="auto"/>
            </w:tcBorders>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103,890</w:t>
            </w:r>
          </w:p>
        </w:tc>
        <w:tc>
          <w:tcPr>
            <w:tcW w:w="220" w:type="dxa"/>
            <w:vAlign w:val="bottom"/>
            <w:tcBorders>
              <w:bottom w:val="single" w:sz="8" w:color="CCEEFF"/>
            </w:tcBorders>
          </w:tcPr>
          <w:p>
            <w:pPr>
              <w:spacing w:after="0"/>
              <w:rPr>
                <w:sz w:val="9"/>
                <w:szCs w:val="9"/>
                <w:color w:val="auto"/>
              </w:rPr>
            </w:pPr>
          </w:p>
        </w:tc>
        <w:tc>
          <w:tcPr>
            <w:tcW w:w="240" w:type="dxa"/>
            <w:vAlign w:val="bottom"/>
            <w:tcBorders>
              <w:bottom w:val="single" w:sz="8" w:color="auto"/>
            </w:tcBorders>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9"/>
                <w:szCs w:val="9"/>
                <w:color w:val="auto"/>
              </w:rPr>
            </w:pPr>
          </w:p>
        </w:tc>
      </w:tr>
      <w:tr>
        <w:trPr>
          <w:trHeight w:val="119"/>
        </w:trPr>
        <w:tc>
          <w:tcPr>
            <w:tcW w:w="7620" w:type="dxa"/>
            <w:vAlign w:val="bottom"/>
            <w:tcBorders>
              <w:bottom w:val="single" w:sz="8" w:color="CCEEFF"/>
            </w:tcBorders>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Loan and interest receivable - related parties</w:t>
            </w:r>
          </w:p>
        </w:tc>
        <w:tc>
          <w:tcPr>
            <w:tcW w:w="240" w:type="dxa"/>
            <w:vAlign w:val="bottom"/>
            <w:tcBorders>
              <w:bottom w:val="single" w:sz="8" w:color="auto"/>
            </w:tcBorders>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(103,890)</w:t>
            </w:r>
          </w:p>
        </w:tc>
        <w:tc>
          <w:tcPr>
            <w:tcW w:w="2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r>
      <w:tr>
        <w:trPr>
          <w:trHeight w:val="93"/>
        </w:trPr>
        <w:tc>
          <w:tcPr>
            <w:tcW w:w="7620" w:type="dxa"/>
            <w:vAlign w:val="bottom"/>
            <w:tcBorders>
              <w:bottom w:val="single" w:sz="8" w:color="CCEEFF"/>
            </w:tcBorders>
            <w:gridSpan w:val="2"/>
          </w:tcPr>
          <w:p>
            <w:pPr>
              <w:ind w:left="140"/>
              <w:spacing w:after="0" w:line="86" w:lineRule="exact"/>
              <w:rPr>
                <w:sz w:val="20"/>
                <w:szCs w:val="20"/>
                <w:color w:val="auto"/>
              </w:rPr>
            </w:pPr>
            <w:r>
              <w:rPr>
                <w:rFonts w:ascii="Times New Roman" w:cs="Times New Roman" w:eastAsia="Times New Roman" w:hAnsi="Times New Roman"/>
                <w:sz w:val="8"/>
                <w:szCs w:val="8"/>
                <w:color w:val="auto"/>
              </w:rPr>
              <w:t>Loan and interest from shareholder</w:t>
            </w:r>
          </w:p>
        </w:tc>
        <w:tc>
          <w:tcPr>
            <w:tcW w:w="240" w:type="dxa"/>
            <w:vAlign w:val="bottom"/>
            <w:tcBorders>
              <w:bottom w:val="single" w:sz="8" w:color="auto"/>
            </w:tcBorders>
          </w:tcPr>
          <w:p>
            <w:pPr>
              <w:jc w:val="right"/>
              <w:ind w:right="133"/>
              <w:spacing w:after="0" w:line="86" w:lineRule="exact"/>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94,934,400</w:t>
            </w:r>
          </w:p>
        </w:tc>
        <w:tc>
          <w:tcPr>
            <w:tcW w:w="220" w:type="dxa"/>
            <w:vAlign w:val="bottom"/>
            <w:tcBorders>
              <w:bottom w:val="single" w:sz="8" w:color="CCEEFF"/>
            </w:tcBorders>
          </w:tcPr>
          <w:p>
            <w:pPr>
              <w:spacing w:after="0"/>
              <w:rPr>
                <w:sz w:val="8"/>
                <w:szCs w:val="8"/>
                <w:color w:val="auto"/>
              </w:rPr>
            </w:pPr>
          </w:p>
        </w:tc>
        <w:tc>
          <w:tcPr>
            <w:tcW w:w="240" w:type="dxa"/>
            <w:vAlign w:val="bottom"/>
            <w:tcBorders>
              <w:bottom w:val="single" w:sz="8" w:color="auto"/>
            </w:tcBorders>
          </w:tcPr>
          <w:p>
            <w:pPr>
              <w:jc w:val="right"/>
              <w:ind w:right="133"/>
              <w:spacing w:after="0" w:line="86" w:lineRule="exact"/>
              <w:rPr>
                <w:sz w:val="20"/>
                <w:szCs w:val="20"/>
                <w:color w:val="auto"/>
              </w:rPr>
            </w:pPr>
            <w:r>
              <w:rPr>
                <w:rFonts w:ascii="Times New Roman" w:cs="Times New Roman" w:eastAsia="Times New Roman" w:hAnsi="Times New Roman"/>
                <w:sz w:val="8"/>
                <w:szCs w:val="8"/>
                <w:color w:val="auto"/>
                <w:w w:val="98"/>
              </w:rPr>
              <w:t>$</w:t>
            </w:r>
          </w:p>
        </w:tc>
        <w:tc>
          <w:tcPr>
            <w:tcW w:w="820" w:type="dxa"/>
            <w:vAlign w:val="bottom"/>
            <w:tcBorders>
              <w:bottom w:val="single" w:sz="8" w:color="auto"/>
            </w:tcBorders>
          </w:tcPr>
          <w:p>
            <w:pPr>
              <w:jc w:val="right"/>
              <w:spacing w:after="0" w:line="86" w:lineRule="exact"/>
              <w:rPr>
                <w:sz w:val="20"/>
                <w:szCs w:val="20"/>
                <w:color w:val="auto"/>
              </w:rPr>
            </w:pPr>
            <w:r>
              <w:rPr>
                <w:rFonts w:ascii="Times New Roman" w:cs="Times New Roman" w:eastAsia="Times New Roman" w:hAnsi="Times New Roman"/>
                <w:sz w:val="8"/>
                <w:szCs w:val="8"/>
                <w:color w:val="auto"/>
              </w:rPr>
              <w:t>—</w:t>
            </w:r>
          </w:p>
        </w:tc>
        <w:tc>
          <w:tcPr>
            <w:tcW w:w="20" w:type="dxa"/>
            <w:vAlign w:val="bottom"/>
          </w:tcPr>
          <w:p>
            <w:pPr>
              <w:spacing w:after="0"/>
              <w:rPr>
                <w:sz w:val="8"/>
                <w:szCs w:val="8"/>
                <w:color w:val="auto"/>
              </w:rPr>
            </w:pPr>
          </w:p>
        </w:tc>
      </w:tr>
      <w:tr>
        <w:trPr>
          <w:trHeight w:val="119"/>
        </w:trPr>
        <w:tc>
          <w:tcPr>
            <w:tcW w:w="7620" w:type="dxa"/>
            <w:vAlign w:val="bottom"/>
            <w:tcBorders>
              <w:bottom w:val="single" w:sz="8" w:color="CCEEFF"/>
            </w:tcBorders>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Dividend distribution</w:t>
            </w:r>
          </w:p>
        </w:tc>
        <w:tc>
          <w:tcPr>
            <w:tcW w:w="240" w:type="dxa"/>
            <w:vAlign w:val="bottom"/>
            <w:tcBorders>
              <w:bottom w:val="single" w:sz="8" w:color="auto"/>
            </w:tcBorders>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(94,934,400)</w:t>
            </w:r>
          </w:p>
        </w:tc>
        <w:tc>
          <w:tcPr>
            <w:tcW w:w="22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tcBorders>
              <w:bottom w:val="single" w:sz="8" w:color="auto"/>
            </w:tcBorders>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0" w:type="dxa"/>
            <w:vAlign w:val="bottom"/>
          </w:tcPr>
          <w:p>
            <w:pPr>
              <w:spacing w:after="0"/>
              <w:rPr>
                <w:sz w:val="10"/>
                <w:szCs w:val="10"/>
                <w:color w:val="auto"/>
              </w:rPr>
            </w:pPr>
          </w:p>
        </w:tc>
      </w:tr>
      <w:tr>
        <w:trPr>
          <w:trHeight w:val="86"/>
        </w:trPr>
        <w:tc>
          <w:tcPr>
            <w:tcW w:w="7620" w:type="dxa"/>
            <w:vAlign w:val="bottom"/>
            <w:gridSpan w:val="2"/>
          </w:tcPr>
          <w:p>
            <w:pPr>
              <w:ind w:left="80"/>
              <w:spacing w:after="0" w:line="86" w:lineRule="exact"/>
              <w:rPr>
                <w:sz w:val="20"/>
                <w:szCs w:val="20"/>
                <w:color w:val="auto"/>
              </w:rPr>
            </w:pPr>
            <w:r>
              <w:rPr>
                <w:rFonts w:ascii="Times New Roman" w:cs="Times New Roman" w:eastAsia="Times New Roman" w:hAnsi="Times New Roman"/>
                <w:sz w:val="8"/>
                <w:szCs w:val="8"/>
                <w:b w:val="1"/>
                <w:bCs w:val="1"/>
                <w:color w:val="auto"/>
              </w:rPr>
              <w:t>Noncash financing activity during the period:</w:t>
            </w: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99"/>
        </w:trPr>
        <w:tc>
          <w:tcPr>
            <w:tcW w:w="7620" w:type="dxa"/>
            <w:vAlign w:val="bottom"/>
            <w:gridSpan w:val="2"/>
            <w:shd w:val="clear" w:color="auto" w:fill="CCEEFF"/>
          </w:tcPr>
          <w:p>
            <w:pPr>
              <w:ind w:left="140"/>
              <w:spacing w:after="0" w:line="99" w:lineRule="exact"/>
              <w:rPr>
                <w:sz w:val="20"/>
                <w:szCs w:val="20"/>
                <w:color w:val="auto"/>
              </w:rPr>
            </w:pPr>
            <w:r>
              <w:rPr>
                <w:rFonts w:ascii="Times New Roman" w:cs="Times New Roman" w:eastAsia="Times New Roman" w:hAnsi="Times New Roman"/>
                <w:sz w:val="10"/>
                <w:szCs w:val="10"/>
                <w:color w:val="auto"/>
              </w:rPr>
              <w:t>Gain on paycheck protection program and economic injury disaster loan forgiveness</w:t>
            </w:r>
          </w:p>
        </w:tc>
        <w:tc>
          <w:tcPr>
            <w:tcW w:w="240" w:type="dxa"/>
            <w:vAlign w:val="bottom"/>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(174,436)</w:t>
            </w:r>
          </w:p>
        </w:tc>
        <w:tc>
          <w:tcPr>
            <w:tcW w:w="240" w:type="dxa"/>
            <w:vAlign w:val="bottom"/>
            <w:shd w:val="clear" w:color="auto" w:fill="CCEEFF"/>
          </w:tcPr>
          <w:p>
            <w:pPr>
              <w:jc w:val="right"/>
              <w:ind w:right="133"/>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(392,200)</w:t>
            </w:r>
          </w:p>
        </w:tc>
        <w:tc>
          <w:tcPr>
            <w:tcW w:w="20" w:type="dxa"/>
            <w:vAlign w:val="bottom"/>
          </w:tcPr>
          <w:p>
            <w:pPr>
              <w:spacing w:after="0"/>
              <w:rPr>
                <w:sz w:val="8"/>
                <w:szCs w:val="8"/>
                <w:color w:val="auto"/>
              </w:rPr>
            </w:pPr>
          </w:p>
        </w:tc>
      </w:tr>
      <w:tr>
        <w:trPr>
          <w:trHeight w:val="27"/>
        </w:trPr>
        <w:tc>
          <w:tcPr>
            <w:tcW w:w="7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See accompanying notes to condensed consolidated financial statements (unaudited).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Snail Games USA Inc. and Subsidiaries Notes to Condensed Consolidated Statements (Unaudited)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 – PRESENTATION AND NATURE OF OPERATIONS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Snail Games USA Inc. is devoted to researching, developing, marketing, publishing, and distributing games, content and support that can be played on a variety of platforms including game consoles, PCs, mobile phones and tablets. The terms “Snail Games USA,” “we,” “our” and the “Company” are used to refer collectively to Snail Games USA Inc. and its subsidiaries. The Company is a global developer and publisher of interactive entertainment content and support on video game consoles, personal computers, mobile devices, and other platforms.</w:t>
      </w:r>
    </w:p>
    <w:p>
      <w:pPr>
        <w:spacing w:after="0" w:line="11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 xml:space="preserve">The Company was founded in 2009 as a wholly owned subsidiary of Suzhou Snail Digital Technology Co., Ltd. (“Suzhou Snail”) located in Suzhou, China. On July 13, 2022, Suzhou Snail transferred all of its right, title, and interest to all of the 500,000 shares of common stock of the Company (“Shares”) to Snail Technology (HK) Limited (“Snail Technology”), an entity organized under the laws of Hong Kong, pursuant to the certain Share Transfer Agreement dated July 13, 2022 between Suzhou Snail and Snail Technology. Subsequently, Snail Technology transferred all of its right, title, and interest in the shares to certain individuals per the Share Transfer Agreement. In connection with the transaction described in Note 19 - </w:t>
      </w:r>
      <w:r>
        <w:rPr>
          <w:rFonts w:ascii="Times New Roman" w:cs="Times New Roman" w:eastAsia="Times New Roman" w:hAnsi="Times New Roman"/>
          <w:sz w:val="12"/>
          <w:szCs w:val="12"/>
          <w:i w:val="1"/>
          <w:iCs w:val="1"/>
          <w:color w:val="auto"/>
        </w:rPr>
        <w:t>Subsequent Events</w:t>
      </w:r>
      <w:r>
        <w:rPr>
          <w:rFonts w:ascii="Times New Roman" w:cs="Times New Roman" w:eastAsia="Times New Roman" w:hAnsi="Times New Roman"/>
          <w:sz w:val="12"/>
          <w:szCs w:val="12"/>
          <w:color w:val="auto"/>
        </w:rPr>
        <w:t>, the individuals contributed their interest in the Company to Snail, Inc. (the “Parent”) in return for common stock of the Parent in connection with Snail, Inc.’s initial public offering (“IPO”). Because the Company and Suzhou Snail are owned by the same shareholders, Suzhou Snail is considered a related party to the Company.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of Presentation and Consolidation</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The accompanying condensed consolidated financial statements have been prepared in accordance with generally accepted accounting principles as promulgated in the United States of America (“U.S.GAAP”) for interim reporting. Accordingly, certain notes or other information that are normally required by U.S. GAAP have been condensed or omitted if they substantially duplicate the disclosures contained in our annual audited condensed consolidated financial statements. Additionally, the year-end condensed consolidated balance sheet data was derived from audited consolidated financial statements but does not include all disclosures required by U.S. GAAP. Accordingly, the unaudited condensed consolidated financial statements should be read in conjunction with the audited condensed consolidated financial statements and notes thereto for the year ended December 31, 2021.</w:t>
      </w:r>
    </w:p>
    <w:p>
      <w:pPr>
        <w:spacing w:after="0" w:line="12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the opinion of management, all adjustments considered necessary for the fair presentation of the Company’s financial position and its results of operations in accordance with U.S. GAAP (consisting of normal recurring adjustments) have been included in the accompanying unaudited condensed consolidated financial statements.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Certain comparative amounts have been reclassified to conform with the current period presentation.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condensed consolidated financial statements include the accounts of Snail Games USA Inc. and the following subsidiaries:</w:t>
      </w:r>
    </w:p>
    <w:p>
      <w:pPr>
        <w:spacing w:after="0" w:line="137"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6980" w:type="dxa"/>
            <w:vAlign w:val="bottom"/>
            <w:gridSpan w:val="2"/>
            <w:vMerge w:val="restart"/>
          </w:tcPr>
          <w:p>
            <w:pPr>
              <w:ind w:left="3040"/>
              <w:spacing w:after="0"/>
              <w:rPr>
                <w:sz w:val="20"/>
                <w:szCs w:val="20"/>
                <w:color w:val="auto"/>
              </w:rPr>
            </w:pPr>
            <w:r>
              <w:rPr>
                <w:rFonts w:ascii="Times New Roman" w:cs="Times New Roman" w:eastAsia="Times New Roman" w:hAnsi="Times New Roman"/>
                <w:sz w:val="10"/>
                <w:szCs w:val="10"/>
                <w:b w:val="1"/>
                <w:bCs w:val="1"/>
                <w:color w:val="auto"/>
              </w:rPr>
              <w:t>Subsidiary Name</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Equity %</w:t>
            </w:r>
          </w:p>
        </w:tc>
        <w:tc>
          <w:tcPr>
            <w:tcW w:w="0" w:type="dxa"/>
            <w:vAlign w:val="bottom"/>
          </w:tcPr>
          <w:p>
            <w:pPr>
              <w:spacing w:after="0"/>
              <w:rPr>
                <w:sz w:val="1"/>
                <w:szCs w:val="1"/>
                <w:color w:val="auto"/>
              </w:rPr>
            </w:pPr>
          </w:p>
        </w:tc>
      </w:tr>
      <w:tr>
        <w:trPr>
          <w:trHeight w:val="115"/>
        </w:trPr>
        <w:tc>
          <w:tcPr>
            <w:tcW w:w="6980" w:type="dxa"/>
            <w:vAlign w:val="bottom"/>
            <w:gridSpan w:val="2"/>
            <w:vMerge w:val="continue"/>
          </w:tcPr>
          <w:p>
            <w:pPr>
              <w:spacing w:after="0"/>
              <w:rPr>
                <w:sz w:val="10"/>
                <w:szCs w:val="1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Owned</w:t>
            </w:r>
          </w:p>
        </w:tc>
        <w:tc>
          <w:tcPr>
            <w:tcW w:w="0" w:type="dxa"/>
            <w:vAlign w:val="bottom"/>
          </w:tcPr>
          <w:p>
            <w:pPr>
              <w:spacing w:after="0"/>
              <w:rPr>
                <w:sz w:val="1"/>
                <w:szCs w:val="1"/>
                <w:color w:val="auto"/>
              </w:rPr>
            </w:pPr>
          </w:p>
        </w:tc>
      </w:tr>
      <w:tr>
        <w:trPr>
          <w:trHeight w:val="133"/>
        </w:trPr>
        <w:tc>
          <w:tcPr>
            <w:tcW w:w="67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Snail Innovation Institute</w:t>
            </w:r>
          </w:p>
        </w:tc>
        <w:tc>
          <w:tcPr>
            <w:tcW w:w="2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w:t>
            </w:r>
          </w:p>
        </w:tc>
        <w:tc>
          <w:tcPr>
            <w:tcW w:w="1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Frostkeep Studios, Inc.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Eminence Corp</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Wandering Wizard, LLC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Donkey Crew Limited Liability Company</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99 %</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Interactive Films, LLC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Project AWK Productions, LLC</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44"/>
        </w:trPr>
        <w:tc>
          <w:tcPr>
            <w:tcW w:w="6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BTBX.IO, LLC</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70 %</w:t>
            </w:r>
          </w:p>
        </w:tc>
        <w:tc>
          <w:tcPr>
            <w:tcW w:w="0" w:type="dxa"/>
            <w:vAlign w:val="bottom"/>
          </w:tcPr>
          <w:p>
            <w:pPr>
              <w:spacing w:after="0"/>
              <w:rPr>
                <w:sz w:val="1"/>
                <w:szCs w:val="1"/>
                <w:color w:val="auto"/>
              </w:rPr>
            </w:pPr>
          </w:p>
        </w:tc>
      </w:tr>
      <w:tr>
        <w:trPr>
          <w:trHeight w:val="144"/>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Elephant Snail, LLC (through April 15, 2021)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51 %</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intercompany accounts, transactions, and profits have been eliminated upon consolidation.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Use of Estimates</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The preparation of condensed consolidated financial statements in conformity with GAAP requires the Company to make estimates and assumptions that affect the amounts reported in our condensed consolidated financial statements and the accompanying notes. Such estimates include revenue recognition, provisions for doubtful accounts, deferred income tax assets and associated valuation allowances, deferred revenue, income taxes, valuation of intangibles, including those with related parties and impairment of intangible assets.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Segment Reporting</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 xml:space="preserve">The Company has one operating and reportable segment. Our operations involve similar products and customers worldwide. Revenue earned is primarily derived from the sale of software titles, which are developed internally or licensed from related parties. Financial information about our segment and geographic regions is included in Note 3 –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COVID-19</w:t>
      </w:r>
    </w:p>
    <w:p>
      <w:pPr>
        <w:spacing w:after="0" w:line="1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Since the start of the coronavirus pandemic early in 2020, the Company has made sustained efforts to ensure the health and safety of the workforce while ensuring continuity of the business. In the workplace, the Company has designed and implemented protocols for social distancing, made provisions for the workforce to work remotely where possible, and established quarantine policies for those who present COVID-like symptoms or may have been in contact with those who have. Further, the Company keeps current with local, state, federal and international laws and restrictions that could affect the business and provide real-time information to the workforce. The Company has its own policies relating to health and is committed to compliance with COVID-19 policies.</w:t>
      </w:r>
    </w:p>
    <w:p>
      <w:pPr>
        <w:spacing w:after="0" w:line="12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As has been the case with many other employers, since the start of 2021, the Company has encouraged its workforce to receive vaccinations against COVID-19 through various means, including incentive programs. However, new variants, particularly the Delta and Omicron variants, have engendered a resurgence of the virus in many regions particularly among the unvaccinated. In-the-midst of changing conditions, the Company has nevertheless been able to manage its business with minimal impact during the three and nine month periods ended September 30, 2022 and 2021.</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2 – SUMMARY OF SIGNIFICANT ACCOUNTING POLICIES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Company’s revenue includes the publishing of software games delivered digitally and through physical discs (e.g., packaged goods). The Company’s digital games may include additional downloadable content that are new feature releases to digital full-game downloads. Revenue also includes sales of mobile in-app purchases that require the Company’s hosting support in order to utilize the game or related content. Such games include virtual goods that can be purchased by the end users, as desired. When control of the promised products and services is transferred to the customers, the Company recognizes revenue in the amount that reflects the consideration it expects to receive in exchange for these products and services. Revenue from delivery of products is recognized at a point in time when the end consumers download the games and the control of the license is transferred to them.</w:t>
      </w:r>
    </w:p>
    <w:p>
      <w:pPr>
        <w:spacing w:after="0" w:line="1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 xml:space="preserve">The Company recognizes revenue using the following five steps as provided by ASC Topic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net 30 to 75 days terms or 45 days after each quarter ends.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Principal vs Agent Consideration</w:t>
      </w:r>
    </w:p>
    <w:p>
      <w:pPr>
        <w:spacing w:after="0" w:line="15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The Company offers certain software products via third-party digital storefronts, such as Microsoft’s Xbox Live, Sony’s PlayStation Network, Valve’s Steam, Epic Games Store, Apple’s App Store, the Google Play Store, and retail distributor. For sales of our software products via third-party digital storefronts and retail distributor, we determine whether or not we are acting as the principal in the sale to the end user, which we consider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we use in evaluating these sales transactions include, but are not limited to, the following:</w:t>
      </w:r>
    </w:p>
    <w:p>
      <w:pPr>
        <w:spacing w:after="0" w:line="125" w:lineRule="exact"/>
        <w:rPr>
          <w:sz w:val="20"/>
          <w:szCs w:val="20"/>
          <w:color w:val="auto"/>
        </w:rPr>
      </w:pPr>
    </w:p>
    <w:p>
      <w:pPr>
        <w:ind w:left="440" w:hanging="209"/>
        <w:spacing w:after="0"/>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underlying contract terms and conditions between the various parties to the transaction;</w:t>
      </w:r>
    </w:p>
    <w:p>
      <w:pPr>
        <w:spacing w:after="0" w:line="1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party is primarily responsible for fulfilling the promise to provide the specified good or service; and</w:t>
      </w:r>
    </w:p>
    <w:p>
      <w:pPr>
        <w:spacing w:after="0" w:line="6" w:lineRule="exact"/>
        <w:rPr>
          <w:rFonts w:ascii="Times New Roman" w:cs="Times New Roman" w:eastAsia="Times New Roman" w:hAnsi="Times New Roman"/>
          <w:sz w:val="12"/>
          <w:szCs w:val="12"/>
          <w:color w:val="auto"/>
        </w:rPr>
      </w:pPr>
    </w:p>
    <w:p>
      <w:pPr>
        <w:ind w:left="440" w:hanging="209"/>
        <w:spacing w:after="0"/>
        <w:tabs>
          <w:tab w:leader="none" w:pos="4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party has discretion in establishing the price for the specified good or service.</w:t>
      </w:r>
    </w:p>
    <w:p>
      <w:pPr>
        <w:spacing w:after="0" w:line="13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Based on our evaluation of the above indicators, for sales arrangements via Microsoft’s Xbox Live, Sony’s PlayStation Network, Valve’s Steam, Epic Games Store, and retail distributor, the digital platforms and distributors have discretion in establishing the price for the specified good or service and we have determined we are the agent in the sales transaction to the end user and therefore we report revenue on a net basis based on the consideration received from the digital storefront. For sales arrangements via Apple’s App Store and the Google Play Store, we have discretion in establishing the price for the specified good or service and we have determined that we are the principal to the end user and thus report revenue on a gross basis and mobile platform fees charged by these digital storefronts are expensed as incurred and reported within cost of revenues.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Contract Balance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records deferred revenue when cash payments are received or due in advance of its performance, even if amounts are refundable.</w:t>
      </w:r>
    </w:p>
    <w:p>
      <w:pPr>
        <w:spacing w:after="0" w:line="15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Deferred revenue is comprised of the transaction price allocable to the Company’s performance obligation on technical support and the sale of virtual goods available for in-app purchases, and payments received from customers prior to launching the games on the platforms. The Company categorizes the virtual goods as either “consumable” or “durable.” Consumable virtual goods represent goods that can be consumed by a specific player action; accordingly, the Company recognizes revenues from the sale of consumable virtual goods as the goods are consumed and the performance obligation is satisfied. Durable virtual goods represent goods that are accessible to the players over an extended period of time; accordingly, the Company recognize revenues from the sale of durable virtual goods ratably over the period of time the goods are available to the player and the performance obligation is satisfied, which is generally the estimated service period.</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Company also has a long-term title license agreement with a platform for a period of three years. The Company recognizes deferred revenue and amortizes this revenue according to the terms of the relevant agreement. The agreement was initially made between the parties in November 2018 and valid through December 31, 2021. The agreement was subsequently amended in June 2020 to extend the </w:t>
      </w:r>
      <w:r>
        <w:rPr>
          <w:rFonts w:ascii="Times New Roman" w:cs="Times New Roman" w:eastAsia="Times New Roman" w:hAnsi="Times New Roman"/>
          <w:sz w:val="12"/>
          <w:szCs w:val="12"/>
          <w:i w:val="1"/>
          <w:iCs w:val="1"/>
          <w:color w:val="auto"/>
        </w:rPr>
        <w:t xml:space="preserve">ARK 1 </w:t>
      </w:r>
      <w:r>
        <w:rPr>
          <w:rFonts w:ascii="Times New Roman" w:cs="Times New Roman" w:eastAsia="Times New Roman" w:hAnsi="Times New Roman"/>
          <w:sz w:val="12"/>
          <w:szCs w:val="12"/>
          <w:color w:val="auto"/>
        </w:rPr>
        <w:t>availability on the platform perpetually, effective January 1, 2022 and to put</w:t>
      </w:r>
      <w:r>
        <w:rPr>
          <w:rFonts w:ascii="Times New Roman" w:cs="Times New Roman" w:eastAsia="Times New Roman" w:hAnsi="Times New Roman"/>
          <w:sz w:val="12"/>
          <w:szCs w:val="12"/>
          <w:i w:val="1"/>
          <w:iCs w:val="1"/>
          <w:color w:val="auto"/>
        </w:rPr>
        <w:t xml:space="preserve"> ARK 2 </w:t>
      </w:r>
      <w:r>
        <w:rPr>
          <w:rFonts w:ascii="Times New Roman" w:cs="Times New Roman" w:eastAsia="Times New Roman" w:hAnsi="Times New Roman"/>
          <w:sz w:val="12"/>
          <w:szCs w:val="12"/>
          <w:color w:val="auto"/>
        </w:rPr>
        <w:t>on the platform for three years upon release. The Company recognized $2.5 million in revenue related to</w:t>
      </w:r>
      <w:r>
        <w:rPr>
          <w:rFonts w:ascii="Times New Roman" w:cs="Times New Roman" w:eastAsia="Times New Roman" w:hAnsi="Times New Roman"/>
          <w:sz w:val="12"/>
          <w:szCs w:val="12"/>
          <w:i w:val="1"/>
          <w:iCs w:val="1"/>
          <w:color w:val="auto"/>
        </w:rPr>
        <w:t xml:space="preserve"> ARK 1 </w:t>
      </w:r>
      <w:r>
        <w:rPr>
          <w:rFonts w:ascii="Times New Roman" w:cs="Times New Roman" w:eastAsia="Times New Roman" w:hAnsi="Times New Roman"/>
          <w:sz w:val="12"/>
          <w:szCs w:val="12"/>
          <w:color w:val="auto"/>
        </w:rPr>
        <w:t xml:space="preserve">perpetual license for the nine months ended September 30, 2022 and deferred $2.3 million related to </w:t>
      </w:r>
      <w:r>
        <w:rPr>
          <w:rFonts w:ascii="Times New Roman" w:cs="Times New Roman" w:eastAsia="Times New Roman" w:hAnsi="Times New Roman"/>
          <w:sz w:val="12"/>
          <w:szCs w:val="12"/>
          <w:i w:val="1"/>
          <w:iCs w:val="1"/>
          <w:color w:val="auto"/>
        </w:rPr>
        <w:t>ARK 2</w:t>
      </w:r>
      <w:r>
        <w:rPr>
          <w:rFonts w:ascii="Times New Roman" w:cs="Times New Roman" w:eastAsia="Times New Roman" w:hAnsi="Times New Roman"/>
          <w:sz w:val="12"/>
          <w:szCs w:val="12"/>
          <w:color w:val="auto"/>
        </w:rPr>
        <w:t xml:space="preserve"> that is included in the long-term portion of deferred revenue.</w:t>
      </w:r>
    </w:p>
    <w:p>
      <w:pPr>
        <w:spacing w:after="0" w:line="12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2"/>
          <w:szCs w:val="12"/>
          <w:color w:val="auto"/>
        </w:rPr>
        <w:t xml:space="preserve">In November 2021, the Company entered an agreement with a platform to make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available on the platform for a period of 5 weeks in exchange for $3.5 million. The platform launched the 5-week program on March 1, 2022 and the Company recognized the full amount of revenue from this contract for the nine months ended September 30, 2022, as the significant performance obligation of making the game available on the platform was met on the first day of the contract.</w:t>
      </w:r>
    </w:p>
    <w:p>
      <w:pPr>
        <w:spacing w:after="0" w:line="11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 xml:space="preserve">The Company entered into a non-exclusive license agreement with a platform in February 2020 to make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available on the platform, exclusive of all available DLC, for a period of 2 weeks in exchange for $8.0 million. During the 2 weeks the platform offered digital rights to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to its end users for free. The platform launched the first free week in June of 2020 and the Company recognized $4.0 million of the advanced payment as revenue during the year ended December 31, 2020. In September 2022, the platform launched the second free week and the Company recognized the remaining $4.0 million of revenue during the nine months ended September 30, 2022.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Estimated Service Period</w:t>
      </w:r>
    </w:p>
    <w:p>
      <w:pPr>
        <w:spacing w:after="0" w:line="15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For certain performance obligations satisfied over time, we have determined that the estimated service period is the time period in which an average user plays our software products (“user life”) which most faithfully depicts the timing of satisfying our performance obligation. We consider a variety of data points when determining and subsequently reassessing the estimated service period for players of our software products. Primarily, we review the weighted average number of days between players’ first and last days played online. When a new game is launched and no history of online player data is available, we consider other factors to determine the user life, such as the estimated service period of other games actively being sold with similar characteristics. We also consider known online trends, the service periods of our previously released software products, and, to the extent publicly available, the service periods of our competitors’ software products that are similar in nature to ours.</w:t>
      </w:r>
    </w:p>
    <w:p>
      <w:pPr>
        <w:spacing w:after="0" w:line="12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believe this provides a reasonable depiction of the use of games by our customers, as it is the best representation of the period during which our customers play our software products. Determining the estimated service period is subjective and requires significant management judgment and estimates. Future usage patterns may differ from historical usage patterns, and therefore the estimated service period may change in the future. The estimated service periods for virtual goods are generally approximately 30 to 100 days.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Shipping and Handling</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distributor, as the principal, is responsible for the shipping of the game discs to the retail stores and incurring the shipping costs. The Company is paid the net sales amount after deducting shipping costs and other related expenses by the distributor.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Cost of revenues include software license royalty fees, merchant fees, server and database center costs, game localization costs, game licenses and amortization costs. Cost of revenues for the three and nine month periods ended September 30, 2022 and 2021 were comprised of the following:</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40" w:type="dxa"/>
            <w:vAlign w:val="bottom"/>
          </w:tcPr>
          <w:p>
            <w:pPr>
              <w:spacing w:after="0"/>
              <w:rPr>
                <w:sz w:val="10"/>
                <w:szCs w:val="10"/>
                <w:color w:val="auto"/>
              </w:rPr>
            </w:pPr>
          </w:p>
        </w:tc>
      </w:tr>
      <w:tr>
        <w:trPr>
          <w:trHeight w:val="115"/>
        </w:trPr>
        <w:tc>
          <w:tcPr>
            <w:tcW w:w="54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Borders>
              <w:bottom w:val="single" w:sz="8" w:color="auto"/>
            </w:tcBorders>
          </w:tcPr>
          <w:p>
            <w:pPr>
              <w:spacing w:after="0"/>
              <w:rPr>
                <w:sz w:val="10"/>
                <w:szCs w:val="10"/>
                <w:color w:val="auto"/>
              </w:rPr>
            </w:pPr>
          </w:p>
        </w:tc>
      </w:tr>
      <w:tr>
        <w:trPr>
          <w:trHeight w:val="88"/>
        </w:trPr>
        <w:tc>
          <w:tcPr>
            <w:tcW w:w="54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4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41"/>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63"/>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41"/>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5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Software license royalties - related parties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3,428,231</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4,954,040</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13,314,258</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17,046,875</w:t>
            </w:r>
          </w:p>
        </w:tc>
      </w:tr>
      <w:tr>
        <w:trPr>
          <w:trHeight w:val="14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Software license royalties</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47,020</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47,020</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License and amortization - related parties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6,350,979</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8,483,182</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19,052,938</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24,169,714</w:t>
            </w:r>
          </w:p>
        </w:tc>
      </w:tr>
      <w:tr>
        <w:trPr>
          <w:trHeight w:val="14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License and amortization</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155,701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250,672</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456,149</w:t>
            </w: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Game localization</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47,100</w:t>
            </w:r>
          </w:p>
        </w:tc>
      </w:tr>
      <w:tr>
        <w:trPr>
          <w:trHeight w:val="14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Merchant fees</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602,814</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847,610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1,856,371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2,878,020</w:t>
            </w: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Engine fees</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359,263</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552,913</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1,575,942</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2,453,533</w:t>
            </w:r>
          </w:p>
        </w:tc>
      </w:tr>
      <w:tr>
        <w:trPr>
          <w:trHeight w:val="14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Internet, server and data center</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535,399</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479,154</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1,502,631</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1,329,670</w:t>
            </w: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related to advertising revenue</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144,191</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144,191</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0"/>
        </w:trPr>
        <w:tc>
          <w:tcPr>
            <w:tcW w:w="54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11,468,961</w:t>
            </w:r>
          </w:p>
        </w:tc>
        <w:tc>
          <w:tcPr>
            <w:tcW w:w="1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15,478,327</w:t>
            </w: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37,744,863</w:t>
            </w:r>
          </w:p>
        </w:tc>
        <w:tc>
          <w:tcPr>
            <w:tcW w:w="14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48,381,061</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Advertising and Marketing Costs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expenses advertising costs as incurred. For the three months ended September 30, 2022 and 2021, advertising expense totaled $198,417 and $148,752, respectively. For the nine months ended September 30, 2022 and 2021, advertising expenses totaled $569,127 and $265,812,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Research and development costs are expensed as incurred. Research and development costs include travel, payroll, and other general expenses specific to research and development activities. Research and development costs for the three months ended September 30, 2022 and 2021 were $116,624 and $216,798, respectively. Research and development costs for the nine months ended September 30, 2022 and 2021 were $479,630 and $588,207, respectively.</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Non-controlling Interests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Non-controlling interests on the condensed consolidated balance sheets and condensed consolidated statements of operations and comprehensive income (loss) include the equity allocated to non-controlling interest holders. As of September 30, 2022 and December 31, 2021, there were non-controlling interests with the following subsidiaries: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gridSpan w:val="2"/>
          </w:tcPr>
          <w:p>
            <w:pPr>
              <w:ind w:left="2860"/>
              <w:spacing w:after="0"/>
              <w:rPr>
                <w:sz w:val="20"/>
                <w:szCs w:val="20"/>
                <w:color w:val="auto"/>
              </w:rPr>
            </w:pPr>
            <w:r>
              <w:rPr>
                <w:rFonts w:ascii="Times New Roman" w:cs="Times New Roman" w:eastAsia="Times New Roman" w:hAnsi="Times New Roman"/>
                <w:sz w:val="10"/>
                <w:szCs w:val="10"/>
                <w:b w:val="1"/>
                <w:bCs w:val="1"/>
                <w:color w:val="auto"/>
              </w:rPr>
              <w:t>Subsidiary Name</w:t>
            </w:r>
          </w:p>
        </w:tc>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Equity % Owned</w:t>
            </w:r>
          </w:p>
        </w:tc>
        <w:tc>
          <w:tcPr>
            <w:tcW w:w="164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Non-Controlling %</w:t>
            </w:r>
          </w:p>
        </w:tc>
      </w:tr>
      <w:tr>
        <w:trPr>
          <w:trHeight w:val="133"/>
        </w:trPr>
        <w:tc>
          <w:tcPr>
            <w:tcW w:w="64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Snail Innovative Institute</w:t>
            </w:r>
          </w:p>
        </w:tc>
        <w:tc>
          <w:tcPr>
            <w:tcW w:w="26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w:t>
            </w:r>
          </w:p>
        </w:tc>
        <w:tc>
          <w:tcPr>
            <w:tcW w:w="200" w:type="dxa"/>
            <w:vAlign w:val="bottom"/>
            <w:tcBorders>
              <w:top w:val="single" w:sz="8" w:color="CCEEFF"/>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w w:val="79"/>
              </w:rPr>
              <w:t>%</w:t>
            </w:r>
          </w:p>
        </w:tc>
        <w:tc>
          <w:tcPr>
            <w:tcW w:w="14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w:t>
            </w:r>
          </w:p>
        </w:tc>
        <w:tc>
          <w:tcPr>
            <w:tcW w:w="160" w:type="dxa"/>
            <w:vAlign w:val="bottom"/>
            <w:tcBorders>
              <w:top w:val="single" w:sz="8" w:color="CCEEFF"/>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79"/>
              </w:rPr>
              <w:t>%</w:t>
            </w:r>
          </w:p>
        </w:tc>
      </w:tr>
      <w:tr>
        <w:trPr>
          <w:trHeight w:val="144"/>
        </w:trPr>
        <w:tc>
          <w:tcPr>
            <w:tcW w:w="6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BTBX.IO, LLC</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70 %</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30 %</w:t>
            </w:r>
          </w:p>
        </w:tc>
      </w:tr>
      <w:tr>
        <w:trPr>
          <w:trHeight w:val="144"/>
        </w:trPr>
        <w:tc>
          <w:tcPr>
            <w:tcW w:w="6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Donkey Crew, LLC</w:t>
            </w:r>
          </w:p>
        </w:tc>
        <w:tc>
          <w:tcPr>
            <w:tcW w:w="1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99 %</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1 %</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Fair Value Measurements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1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describes the hierarchy of inputs used to measure fair value and the primary valuation methodologies used by the Company for financial instruments measured at fair value.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three levels of inputs are as follows:</w:t>
      </w:r>
    </w:p>
    <w:p>
      <w:pPr>
        <w:spacing w:after="0" w:line="146" w:lineRule="exact"/>
        <w:rPr>
          <w:sz w:val="20"/>
          <w:szCs w:val="20"/>
          <w:color w:val="auto"/>
        </w:rPr>
      </w:pPr>
    </w:p>
    <w:tbl>
      <w:tblPr>
        <w:tblLayout w:type="fixed"/>
        <w:tblInd w:w="240" w:type="dxa"/>
        <w:tblCellMar>
          <w:top w:w="0" w:type="dxa"/>
          <w:left w:w="0" w:type="dxa"/>
          <w:bottom w:w="0" w:type="dxa"/>
          <w:right w:w="0" w:type="dxa"/>
        </w:tblCellMar>
      </w:tblPr>
      <w:tr>
        <w:trPr>
          <w:trHeight w:val="144"/>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w w:val="87"/>
              </w:rPr>
              <w:t>Level 1</w:t>
            </w:r>
            <w:r>
              <w:rPr>
                <w:rFonts w:ascii="Times New Roman" w:cs="Times New Roman" w:eastAsia="Times New Roman" w:hAnsi="Times New Roman"/>
                <w:sz w:val="12"/>
                <w:szCs w:val="12"/>
                <w:color w:val="auto"/>
                <w:w w:val="87"/>
              </w:rPr>
              <w:t>: </w:t>
            </w:r>
          </w:p>
        </w:tc>
        <w:tc>
          <w:tcPr>
            <w:tcW w:w="90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Quoted prices in active markets for identical assets or liabilities that the Company has an ability to access as of the measurement date.</w:t>
            </w:r>
          </w:p>
        </w:tc>
      </w:tr>
      <w:tr>
        <w:trPr>
          <w:trHeight w:val="148"/>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w w:val="87"/>
              </w:rPr>
              <w:t>Level 2</w:t>
            </w:r>
            <w:r>
              <w:rPr>
                <w:rFonts w:ascii="Times New Roman" w:cs="Times New Roman" w:eastAsia="Times New Roman" w:hAnsi="Times New Roman"/>
                <w:sz w:val="12"/>
                <w:szCs w:val="12"/>
                <w:color w:val="auto"/>
                <w:w w:val="87"/>
              </w:rPr>
              <w:t>: </w:t>
            </w:r>
          </w:p>
        </w:tc>
        <w:tc>
          <w:tcPr>
            <w:tcW w:w="90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Inputs that are observable, either directly or indirectly, such as quoted prices for similar assets or liabilities, quoted prices in markets that are not active, or other inputs that are observable</w:t>
            </w:r>
          </w:p>
        </w:tc>
      </w:tr>
      <w:tr>
        <w:trPr>
          <w:trHeight w:val="140"/>
        </w:trPr>
        <w:tc>
          <w:tcPr>
            <w:tcW w:w="140" w:type="dxa"/>
            <w:vAlign w:val="bottom"/>
          </w:tcPr>
          <w:p>
            <w:pPr>
              <w:spacing w:after="0"/>
              <w:rPr>
                <w:sz w:val="12"/>
                <w:szCs w:val="12"/>
                <w:color w:val="auto"/>
              </w:rPr>
            </w:pPr>
          </w:p>
        </w:tc>
        <w:tc>
          <w:tcPr>
            <w:tcW w:w="95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or can be corroborated by observable market data for substantially the same term of the assets or liabilities.</w:t>
            </w:r>
          </w:p>
        </w:tc>
      </w:tr>
      <w:tr>
        <w:trPr>
          <w:trHeight w:val="159"/>
        </w:trPr>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w w:val="87"/>
              </w:rPr>
              <w:t>Level 3</w:t>
            </w:r>
            <w:r>
              <w:rPr>
                <w:rFonts w:ascii="Times New Roman" w:cs="Times New Roman" w:eastAsia="Times New Roman" w:hAnsi="Times New Roman"/>
                <w:sz w:val="12"/>
                <w:szCs w:val="12"/>
                <w:color w:val="auto"/>
                <w:w w:val="87"/>
              </w:rPr>
              <w:t>: </w:t>
            </w:r>
          </w:p>
        </w:tc>
        <w:tc>
          <w:tcPr>
            <w:tcW w:w="90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Unobservable inputs that are supported by little or no market activity and that are significant to the fair value of the assets or liabilities.</w:t>
            </w:r>
          </w:p>
        </w:tc>
      </w:tr>
    </w:tbl>
    <w:p>
      <w:pPr>
        <w:spacing w:after="0" w:line="13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accounts payable and current liabilities. The carrying values of these financial instruments approximate their fair value due to their short maturities. The carrying amount of our debt approximates fair value because the interest rates on these instruments approximate the interest rate on debt with similar terms available to us for a similar duration with the exception of the Company’s promissory note which has a fixed rate for 5 years,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terms.The Company re-measured the fair value of one of its intangible assets, </w:t>
      </w:r>
      <w:r>
        <w:rPr>
          <w:rFonts w:ascii="Times New Roman" w:cs="Times New Roman" w:eastAsia="Times New Roman" w:hAnsi="Times New Roman"/>
          <w:sz w:val="12"/>
          <w:szCs w:val="12"/>
          <w:i w:val="1"/>
          <w:iCs w:val="1"/>
          <w:color w:val="auto"/>
        </w:rPr>
        <w:t>Atlas</w:t>
      </w:r>
      <w:r>
        <w:rPr>
          <w:rFonts w:ascii="Times New Roman" w:cs="Times New Roman" w:eastAsia="Times New Roman" w:hAnsi="Times New Roman"/>
          <w:sz w:val="12"/>
          <w:szCs w:val="12"/>
          <w:color w:val="auto"/>
        </w:rPr>
        <w:t xml:space="preserve">, as of December 31, 2021, using level 3 inputs. Please refer to Note 11 – </w:t>
      </w:r>
      <w:r>
        <w:rPr>
          <w:rFonts w:ascii="Times New Roman" w:cs="Times New Roman" w:eastAsia="Times New Roman" w:hAnsi="Times New Roman"/>
          <w:sz w:val="12"/>
          <w:szCs w:val="12"/>
          <w:i w:val="1"/>
          <w:iCs w:val="1"/>
          <w:color w:val="auto"/>
        </w:rPr>
        <w:t>Intangible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Assets </w:t>
      </w:r>
      <w:r>
        <w:rPr>
          <w:rFonts w:ascii="Times New Roman" w:cs="Times New Roman" w:eastAsia="Times New Roman" w:hAnsi="Times New Roman"/>
          <w:sz w:val="12"/>
          <w:szCs w:val="12"/>
          <w:color w:val="auto"/>
        </w:rPr>
        <w:t>for more details. The Company does not have any other assets or liabilities measured at fair value on a recurring or non-recurring basis at September 30, 2022 and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Concentration of Credit Risk and Significant Customers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Company maintains cash balances at several major financial institutions. While the Company attempts to limit credit exposure with any single institution, balances often exceed insurable amounts. As of September 30, 2022 and December 31, 2021, the Company had deposits of $14,037,412 and $15,135,863, respectively, that were not insured by the Federal Deposit Insurance Corporation.</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Company extends credit to various digital resellers and partners. Collection of trade receivables may be affected by changes in economic or other industry conditions and may, accordingly, impact our overall credit risk. The Company performs ongoing credit evaluations of customers and maintains reserves for potentially uncollectible accounts. At September 30, 2022 and December 31, 2021, the Company had two customers who accounted for approximately 58% and four customers who accounted for approximately 86% of consolidated gross receivables, respectively. Among the two customers as of September 30, 2022 and four customers as of December 31, 2021, each customer accounted for 30% and 28% as of September 30, 2022, and 29%, 28%, 17%, and 12% as of December 31, 2021 of the consolidated gross receivables outstanding. During the three months ended September 30, 2022 and 2021, approximately 43% and 57%, respectively, of net revenue was derived from these customers. During the nine months ended September 30, 2022 and 2021, approximately 56% and 73%, respectively, of net revenue was derived from these customers.</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January 2022, the Company received approximately $1,500,000 from Pound Sand, LLC in connection with the Company’s sale of its membership interest in Pound Sand, LLC on December 3, 2020; this amount was included as a receivable in the other current assets as of December 31, 2021 in the accompanying condensed consolidated balance sheets.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Leases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The Company has several leases relating primarily to office facilities. The Company determines if an arrangement is or contains a lease at contract inception. Right-of-use assets represent the Company’s right to use an underlying asset for the lease term, and lease liabilities represent the Company’s obligation to make lease payments arising from the lease. The lease liability is measured as the present value of the unpaid lease payments, and the right-of-use asset value is derived from the calculation of the lease liability. Lease payments include fixed and in-substance fixed payments, variable payments based on an index or rate, reasonably certain purchase options, and termination penalties. Variable lease payments are recognized as lease expenses as incurred, and generally relate to variable payments made based on the level of services provided by the landlords of our leases. For leased assets with similar lease terms and asset types, we applied a portfolio approach in determining a single incremental borrowing rate for the leased assets. The Company uses its estimated incremental borrowing rate, which is derived from information available at the lease commencement date, in determining the present value of lease payments because the Company does not have the information necessary to determine the rate implicit in the lease. Lease expense for operating lease payments is recognized on a straight-line basis over the lease term. The Company’s lease term includes any option to extend the lease when it is reasonably certain to be exercised based on considering all relevant factors. Leases with an initial term of 12 months or less are not recorded on the consolidated balance sheets and we recognize lease expense for these leases on a straight-line basis over the lease term. Operating leases are included in operating lease right-of-use assets, net, current portion of operating lease liabilities, and operating lease liabilities, net of current portion on the consolidated balance sheets.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Recently Issued Accounting Pronouncements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In June 2016, the FASB issued ASU 2016-13, </w:t>
      </w:r>
      <w:r>
        <w:rPr>
          <w:rFonts w:ascii="Times New Roman" w:cs="Times New Roman" w:eastAsia="Times New Roman" w:hAnsi="Times New Roman"/>
          <w:sz w:val="12"/>
          <w:szCs w:val="12"/>
          <w:i w:val="1"/>
          <w:iCs w:val="1"/>
          <w:color w:val="auto"/>
        </w:rPr>
        <w:t>Financial Instruments – Credit Losses</w:t>
      </w:r>
      <w:r>
        <w:rPr>
          <w:rFonts w:ascii="Times New Roman" w:cs="Times New Roman" w:eastAsia="Times New Roman" w:hAnsi="Times New Roman"/>
          <w:sz w:val="12"/>
          <w:szCs w:val="12"/>
          <w:color w:val="auto"/>
        </w:rPr>
        <w:t>, which replaces the incurred loss impairment methodology in current US GAAP with a methodology that requires the reflection of expected credit losses and also requires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requires the use of a forward-looking expected loss model rather than the incurred loss model for recognizing credit losses, which generally results in the earlier recognition of credit losses on financial instruments. The Company expects to adopt ASC 2016-13 on January 1, 2023. The impact of adopting the new standard is not anticipated to have a material impact on the Company’s condensed consolidated financial statements.</w:t>
      </w:r>
    </w:p>
    <w:p>
      <w:pPr>
        <w:spacing w:after="0" w:line="1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2"/>
          <w:szCs w:val="12"/>
          <w:color w:val="auto"/>
        </w:rPr>
        <w:t xml:space="preserve">In November 2021, the FASB issued ASU 2021-10, </w:t>
      </w:r>
      <w:r>
        <w:rPr>
          <w:rFonts w:ascii="Times New Roman" w:cs="Times New Roman" w:eastAsia="Times New Roman" w:hAnsi="Times New Roman"/>
          <w:sz w:val="12"/>
          <w:szCs w:val="12"/>
          <w:i w:val="1"/>
          <w:iCs w:val="1"/>
          <w:color w:val="auto"/>
        </w:rPr>
        <w:t>Government Assistance (Topic 832) – Disclosures by Business Entities about Government Assistance</w:t>
      </w:r>
      <w:r>
        <w:rPr>
          <w:rFonts w:ascii="Times New Roman" w:cs="Times New Roman" w:eastAsia="Times New Roman" w:hAnsi="Times New Roman"/>
          <w:sz w:val="12"/>
          <w:szCs w:val="12"/>
          <w:color w:val="auto"/>
        </w:rPr>
        <w:t xml:space="preserve">, to provide guidance on the disclosures of forgivable loan transactions with a government that are accounted for by applying a grant or contribution accounting model, by analogy. It seeks to provide increased transparency for financial statement users to better assess the nature of the transactions, the related accounting policies used to account for the transactions, the effect of the transaction on an entities financial statements and significant terms and conditions of the transactions. The Company adopted this standard beginning on January 1, 2022. The adoption of the standard affected the disclosures of the Paycheck Protection Program (“PPP”) loan and related loan forgiveness in the Company’s condensed consolidated financial statements. Please see Note 15 – </w:t>
      </w:r>
      <w:r>
        <w:rPr>
          <w:rFonts w:ascii="Times New Roman" w:cs="Times New Roman" w:eastAsia="Times New Roman" w:hAnsi="Times New Roman"/>
          <w:sz w:val="12"/>
          <w:szCs w:val="12"/>
          <w:i w:val="1"/>
          <w:iCs w:val="1"/>
          <w:color w:val="auto"/>
        </w:rPr>
        <w:t>Revolving Loan, Short Term Note and Long-Term Debt</w:t>
      </w:r>
      <w:r>
        <w:rPr>
          <w:rFonts w:ascii="Times New Roman" w:cs="Times New Roman" w:eastAsia="Times New Roman" w:hAnsi="Times New Roman"/>
          <w:sz w:val="12"/>
          <w:szCs w:val="12"/>
          <w:color w:val="auto"/>
        </w:rPr>
        <w:t xml:space="preserve"> for more information.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Earnings Per Share</w:t>
      </w:r>
    </w:p>
    <w:p>
      <w:pPr>
        <w:spacing w:after="0" w:line="1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 xml:space="preserve">The Company analyzed the calculation of net income (loss) per share for the three and nine month periods ended September 30, 2022, and 2021 and determined that it resulted in values that would not be meaningful to the users of these condensed consolidated financial statements given the impact of the exchange of shares in connection with the IPO, see Note 19 – </w:t>
      </w:r>
      <w:r>
        <w:rPr>
          <w:rFonts w:ascii="Times New Roman" w:cs="Times New Roman" w:eastAsia="Times New Roman" w:hAnsi="Times New Roman"/>
          <w:sz w:val="12"/>
          <w:szCs w:val="12"/>
          <w:i w:val="1"/>
          <w:iCs w:val="1"/>
          <w:color w:val="auto"/>
        </w:rPr>
        <w:t>Subsequent Events</w:t>
      </w:r>
      <w:r>
        <w:rPr>
          <w:rFonts w:ascii="Times New Roman" w:cs="Times New Roman" w:eastAsia="Times New Roman" w:hAnsi="Times New Roman"/>
          <w:sz w:val="12"/>
          <w:szCs w:val="12"/>
          <w:color w:val="auto"/>
        </w:rPr>
        <w:t>. Therefore, net income (loss) per share information has not been presented for the three and nine months presented.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CARES Act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March 27, 2020, President Trump signed into law the “Coronavirus Aid, Relief, and Economic Security (CARES) Act.”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the Company did not result in a material cash benefit as a result of these provision.</w:t>
      </w:r>
    </w:p>
    <w:p>
      <w:pPr>
        <w:spacing w:after="0" w:line="1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The CARES Act is a stimulus package that provides various forms of relief through, among other things, grants, loans and tax incentives to certain businesses and individuals. In particular, the CARES Act created an emergency lending facility known as the PPP, which is administered by the U.S. Small Business Administration (“SBA”) and provides federally insured and, in some cases, forgivable loans to certain eligible businesses so that those businesses can continue to cover certain of their near-term operating expenses and retain employees. See Note 15 – </w:t>
      </w:r>
      <w:r>
        <w:rPr>
          <w:rFonts w:ascii="Times New Roman" w:cs="Times New Roman" w:eastAsia="Times New Roman" w:hAnsi="Times New Roman"/>
          <w:sz w:val="12"/>
          <w:szCs w:val="12"/>
          <w:i w:val="1"/>
          <w:iCs w:val="1"/>
          <w:color w:val="auto"/>
        </w:rPr>
        <w:t>Revolving Loan, Short Term Note, and Long-Term</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Debt </w:t>
      </w:r>
      <w:r>
        <w:rPr>
          <w:rFonts w:ascii="Times New Roman" w:cs="Times New Roman" w:eastAsia="Times New Roman" w:hAnsi="Times New Roman"/>
          <w:sz w:val="12"/>
          <w:szCs w:val="12"/>
          <w:color w:val="auto"/>
        </w:rPr>
        <w:t>for additional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Dividend Restrictions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ability to pay cash dividends is currently restricted by the terms of our credit facilities.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3 – REVENUE FROM CONTRACTS WITH CUSTOMERS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Disaggregation of revenue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Geography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attribute net revenue to geographic regions based on customer location. Net revenue by geographic region for the three and nine month periods ended September 30, 2022 and 2021 were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center"/>
              <w:ind w:left="325"/>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center"/>
              <w:ind w:left="345"/>
              <w:spacing w:after="0"/>
              <w:rPr>
                <w:sz w:val="20"/>
                <w:szCs w:val="20"/>
                <w:color w:val="auto"/>
              </w:rPr>
            </w:pPr>
            <w:r>
              <w:rPr>
                <w:rFonts w:ascii="Times New Roman" w:cs="Times New Roman" w:eastAsia="Times New Roman" w:hAnsi="Times New Roman"/>
                <w:sz w:val="10"/>
                <w:szCs w:val="10"/>
                <w:b w:val="1"/>
                <w:bCs w:val="1"/>
                <w:color w:val="auto"/>
                <w:w w:val="94"/>
              </w:rPr>
              <w:t>Nine months ended</w:t>
            </w:r>
          </w:p>
        </w:tc>
        <w:tc>
          <w:tcPr>
            <w:tcW w:w="640" w:type="dxa"/>
            <w:vAlign w:val="bottom"/>
          </w:tcPr>
          <w:p>
            <w:pPr>
              <w:spacing w:after="0"/>
              <w:rPr>
                <w:sz w:val="10"/>
                <w:szCs w:val="10"/>
                <w:color w:val="auto"/>
              </w:rPr>
            </w:pPr>
          </w:p>
        </w:tc>
      </w:tr>
      <w:tr>
        <w:trPr>
          <w:trHeight w:val="115"/>
        </w:trPr>
        <w:tc>
          <w:tcPr>
            <w:tcW w:w="3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left="305"/>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left="325"/>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40" w:type="dxa"/>
            <w:vAlign w:val="bottom"/>
            <w:tcBorders>
              <w:bottom w:val="single" w:sz="8" w:color="auto"/>
            </w:tcBorders>
          </w:tcPr>
          <w:p>
            <w:pPr>
              <w:spacing w:after="0"/>
              <w:rPr>
                <w:sz w:val="10"/>
                <w:szCs w:val="10"/>
                <w:color w:val="auto"/>
              </w:rPr>
            </w:pPr>
          </w:p>
        </w:tc>
      </w:tr>
      <w:tr>
        <w:trPr>
          <w:trHeight w:val="88"/>
        </w:trPr>
        <w:tc>
          <w:tcPr>
            <w:tcW w:w="3620" w:type="dxa"/>
            <w:vAlign w:val="bottom"/>
            <w:tcBorders>
              <w:bottom w:val="single" w:sz="8" w:color="CCEEFF"/>
            </w:tcBorders>
          </w:tcPr>
          <w:p>
            <w:pPr>
              <w:spacing w:after="0"/>
              <w:rPr>
                <w:sz w:val="7"/>
                <w:szCs w:val="7"/>
                <w:color w:val="auto"/>
              </w:rPr>
            </w:pPr>
          </w:p>
        </w:tc>
        <w:tc>
          <w:tcPr>
            <w:tcW w:w="18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34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6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36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States</w:t>
            </w:r>
          </w:p>
        </w:tc>
        <w:tc>
          <w:tcPr>
            <w:tcW w:w="18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14,767,182</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22,226,122</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55,025,810</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73,482,250</w:t>
            </w:r>
          </w:p>
        </w:tc>
      </w:tr>
      <w:tr>
        <w:trPr>
          <w:trHeight w:val="144"/>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International</w:t>
            </w:r>
          </w:p>
        </w:tc>
        <w:tc>
          <w:tcPr>
            <w:tcW w:w="18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846,989</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2,134,897</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4,106,474</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9,717,948</w:t>
            </w:r>
          </w:p>
        </w:tc>
      </w:tr>
      <w:tr>
        <w:trPr>
          <w:trHeight w:val="153"/>
        </w:trPr>
        <w:tc>
          <w:tcPr>
            <w:tcW w:w="36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revenue from contracts with customers:</w:t>
            </w:r>
          </w:p>
        </w:tc>
        <w:tc>
          <w:tcPr>
            <w:tcW w:w="18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15,614,171</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24,361,019</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59,132,284</w:t>
            </w: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83,200,198</w:t>
            </w:r>
          </w:p>
        </w:tc>
      </w:tr>
      <w:tr>
        <w:trPr>
          <w:trHeight w:val="275"/>
        </w:trPr>
        <w:tc>
          <w:tcPr>
            <w:tcW w:w="36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Platform</w:t>
            </w:r>
          </w:p>
        </w:tc>
        <w:tc>
          <w:tcPr>
            <w:tcW w:w="1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88"/>
        </w:trPr>
        <w:tc>
          <w:tcPr>
            <w:tcW w:w="5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Net revenue by platform for the three and nine month periods ended September 30, 2022 and 2021 were as follows:</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36"/>
        </w:trPr>
        <w:tc>
          <w:tcPr>
            <w:tcW w:w="36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ind w:left="325"/>
              <w:spacing w:after="0"/>
              <w:rPr>
                <w:sz w:val="20"/>
                <w:szCs w:val="20"/>
                <w:color w:val="auto"/>
              </w:rPr>
            </w:pPr>
            <w:r>
              <w:rPr>
                <w:rFonts w:ascii="Times New Roman" w:cs="Times New Roman" w:eastAsia="Times New Roman" w:hAnsi="Times New Roman"/>
                <w:sz w:val="10"/>
                <w:szCs w:val="10"/>
                <w:b w:val="1"/>
                <w:bCs w:val="1"/>
                <w:color w:val="auto"/>
                <w:w w:val="95"/>
              </w:rPr>
              <w:t>Three months ended</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jc w:val="center"/>
              <w:ind w:left="345"/>
              <w:spacing w:after="0"/>
              <w:rPr>
                <w:sz w:val="20"/>
                <w:szCs w:val="20"/>
                <w:color w:val="auto"/>
              </w:rPr>
            </w:pPr>
            <w:r>
              <w:rPr>
                <w:rFonts w:ascii="Times New Roman" w:cs="Times New Roman" w:eastAsia="Times New Roman" w:hAnsi="Times New Roman"/>
                <w:sz w:val="10"/>
                <w:szCs w:val="10"/>
                <w:b w:val="1"/>
                <w:bCs w:val="1"/>
                <w:color w:val="auto"/>
                <w:w w:val="94"/>
              </w:rPr>
              <w:t>Nine months ended</w:t>
            </w:r>
          </w:p>
        </w:tc>
        <w:tc>
          <w:tcPr>
            <w:tcW w:w="640" w:type="dxa"/>
            <w:vAlign w:val="bottom"/>
          </w:tcPr>
          <w:p>
            <w:pPr>
              <w:spacing w:after="0"/>
              <w:rPr>
                <w:sz w:val="20"/>
                <w:szCs w:val="20"/>
                <w:color w:val="auto"/>
              </w:rPr>
            </w:pPr>
          </w:p>
        </w:tc>
      </w:tr>
      <w:tr>
        <w:trPr>
          <w:trHeight w:val="115"/>
        </w:trPr>
        <w:tc>
          <w:tcPr>
            <w:tcW w:w="36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left="305"/>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center"/>
              <w:ind w:left="325"/>
              <w:spacing w:after="0"/>
              <w:rPr>
                <w:sz w:val="20"/>
                <w:szCs w:val="20"/>
                <w:color w:val="auto"/>
              </w:rPr>
            </w:pPr>
            <w:r>
              <w:rPr>
                <w:rFonts w:ascii="Times New Roman" w:cs="Times New Roman" w:eastAsia="Times New Roman" w:hAnsi="Times New Roman"/>
                <w:sz w:val="10"/>
                <w:szCs w:val="10"/>
                <w:b w:val="1"/>
                <w:bCs w:val="1"/>
                <w:color w:val="auto"/>
                <w:w w:val="98"/>
              </w:rPr>
              <w:t>September 30,</w:t>
            </w:r>
          </w:p>
        </w:tc>
        <w:tc>
          <w:tcPr>
            <w:tcW w:w="640" w:type="dxa"/>
            <w:vAlign w:val="bottom"/>
            <w:tcBorders>
              <w:bottom w:val="single" w:sz="8" w:color="auto"/>
            </w:tcBorders>
          </w:tcPr>
          <w:p>
            <w:pPr>
              <w:spacing w:after="0"/>
              <w:rPr>
                <w:sz w:val="10"/>
                <w:szCs w:val="10"/>
                <w:color w:val="auto"/>
              </w:rPr>
            </w:pPr>
          </w:p>
        </w:tc>
      </w:tr>
      <w:tr>
        <w:trPr>
          <w:trHeight w:val="88"/>
        </w:trPr>
        <w:tc>
          <w:tcPr>
            <w:tcW w:w="3620" w:type="dxa"/>
            <w:vAlign w:val="bottom"/>
            <w:tcBorders>
              <w:bottom w:val="single" w:sz="8" w:color="CCEEFF"/>
            </w:tcBorders>
          </w:tcPr>
          <w:p>
            <w:pPr>
              <w:spacing w:after="0"/>
              <w:rPr>
                <w:sz w:val="7"/>
                <w:szCs w:val="7"/>
                <w:color w:val="auto"/>
              </w:rPr>
            </w:pPr>
          </w:p>
        </w:tc>
        <w:tc>
          <w:tcPr>
            <w:tcW w:w="184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jc w:val="right"/>
              <w:ind w:right="34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6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36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Console</w:t>
            </w:r>
          </w:p>
        </w:tc>
        <w:tc>
          <w:tcPr>
            <w:tcW w:w="18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3,750,029</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8,979,422</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27,157,380</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36,441,184</w:t>
            </w:r>
          </w:p>
        </w:tc>
      </w:tr>
      <w:tr>
        <w:trPr>
          <w:trHeight w:val="144"/>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PC</w:t>
            </w: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9,315,721</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11,886,422</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22,943,193</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34,623,623</w:t>
            </w:r>
          </w:p>
        </w:tc>
      </w:tr>
      <w:tr>
        <w:trPr>
          <w:trHeight w:val="144"/>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Mobile</w:t>
            </w:r>
          </w:p>
        </w:tc>
        <w:tc>
          <w:tcPr>
            <w:tcW w:w="1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2,161,624</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3,116,517</w:t>
            </w: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7,346,822</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10,046,412</w:t>
            </w:r>
          </w:p>
        </w:tc>
      </w:tr>
      <w:tr>
        <w:trPr>
          <w:trHeight w:val="144"/>
        </w:trPr>
        <w:tc>
          <w:tcPr>
            <w:tcW w:w="3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w:t>
            </w:r>
          </w:p>
        </w:tc>
        <w:tc>
          <w:tcPr>
            <w:tcW w:w="18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386,797</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378,658</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1,684,889</w:t>
            </w:r>
          </w:p>
        </w:tc>
        <w:tc>
          <w:tcPr>
            <w:tcW w:w="1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2,088,979</w:t>
            </w:r>
          </w:p>
        </w:tc>
      </w:tr>
      <w:tr>
        <w:trPr>
          <w:trHeight w:val="153"/>
        </w:trPr>
        <w:tc>
          <w:tcPr>
            <w:tcW w:w="362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revenue from contracts with customers:</w:t>
            </w:r>
          </w:p>
        </w:tc>
        <w:tc>
          <w:tcPr>
            <w:tcW w:w="18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15,614,171</w:t>
            </w: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24,361,019</w:t>
            </w:r>
          </w:p>
        </w:tc>
        <w:tc>
          <w:tcPr>
            <w:tcW w:w="16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59,132,284</w:t>
            </w:r>
          </w:p>
        </w:tc>
        <w:tc>
          <w:tcPr>
            <w:tcW w:w="1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83,200,198</w:t>
            </w:r>
          </w:p>
        </w:tc>
      </w:tr>
      <w:tr>
        <w:trPr>
          <w:trHeight w:val="563"/>
        </w:trPr>
        <w:tc>
          <w:tcPr>
            <w:tcW w:w="3620" w:type="dxa"/>
            <w:vAlign w:val="bottom"/>
          </w:tcPr>
          <w:p>
            <w:pPr>
              <w:spacing w:after="0"/>
              <w:rPr>
                <w:sz w:val="24"/>
                <w:szCs w:val="24"/>
                <w:color w:val="auto"/>
              </w:rPr>
            </w:pPr>
          </w:p>
        </w:tc>
        <w:tc>
          <w:tcPr>
            <w:tcW w:w="184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rPr>
              <w:t>14</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0"/>
        </w:trPr>
        <w:tc>
          <w:tcPr>
            <w:tcW w:w="36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390"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Distribution channel</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Our products are delivered through digital online services (digital download, online platforms, and cloud streaming), mobile, and retail distribution and other. Net revenue by distribution channel for the three and nine month periods ended September 30, 2022 and 2021 was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00" w:type="dxa"/>
            <w:vAlign w:val="bottom"/>
            <w:gridSpan w:val="3"/>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40" w:type="dxa"/>
            <w:vAlign w:val="bottom"/>
          </w:tcPr>
          <w:p>
            <w:pPr>
              <w:spacing w:after="0"/>
              <w:rPr>
                <w:sz w:val="10"/>
                <w:szCs w:val="10"/>
                <w:color w:val="auto"/>
              </w:rPr>
            </w:pPr>
          </w:p>
        </w:tc>
      </w:tr>
      <w:tr>
        <w:trPr>
          <w:trHeight w:val="115"/>
        </w:trPr>
        <w:tc>
          <w:tcPr>
            <w:tcW w:w="54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40" w:type="dxa"/>
            <w:vAlign w:val="bottom"/>
            <w:tcBorders>
              <w:bottom w:val="single" w:sz="8" w:color="auto"/>
            </w:tcBorders>
          </w:tcPr>
          <w:p>
            <w:pPr>
              <w:spacing w:after="0"/>
              <w:rPr>
                <w:sz w:val="10"/>
                <w:szCs w:val="10"/>
                <w:color w:val="auto"/>
              </w:rPr>
            </w:pPr>
          </w:p>
        </w:tc>
      </w:tr>
      <w:tr>
        <w:trPr>
          <w:trHeight w:val="88"/>
        </w:trPr>
        <w:tc>
          <w:tcPr>
            <w:tcW w:w="546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4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6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2021</w:t>
            </w:r>
          </w:p>
        </w:tc>
        <w:tc>
          <w:tcPr>
            <w:tcW w:w="16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jc w:val="right"/>
              <w:ind w:right="365"/>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342"/>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5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Digital</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13,065,750</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20,865,844</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50,100,573</w:t>
            </w: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71,064,807</w:t>
            </w:r>
          </w:p>
        </w:tc>
      </w:tr>
      <w:tr>
        <w:trPr>
          <w:trHeight w:val="144"/>
        </w:trPr>
        <w:tc>
          <w:tcPr>
            <w:tcW w:w="5460" w:type="dxa"/>
            <w:vAlign w:val="bottom"/>
          </w:tcPr>
          <w:p>
            <w:pPr>
              <w:spacing w:after="0"/>
              <w:rPr>
                <w:sz w:val="20"/>
                <w:szCs w:val="20"/>
                <w:color w:val="auto"/>
              </w:rPr>
            </w:pPr>
            <w:r>
              <w:rPr>
                <w:rFonts w:ascii="Times New Roman" w:cs="Times New Roman" w:eastAsia="Times New Roman" w:hAnsi="Times New Roman"/>
                <w:sz w:val="12"/>
                <w:szCs w:val="12"/>
                <w:color w:val="auto"/>
              </w:rPr>
              <w:t>Mobile</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2,161,624</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3,116,517</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7,346,822</w:t>
            </w: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10,046,412</w:t>
            </w:r>
          </w:p>
        </w:tc>
      </w:tr>
      <w:tr>
        <w:trPr>
          <w:trHeight w:val="14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Physical retail and other</w:t>
            </w:r>
          </w:p>
        </w:tc>
        <w:tc>
          <w:tcPr>
            <w:tcW w:w="2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386,797</w:t>
            </w:r>
          </w:p>
        </w:tc>
        <w:tc>
          <w:tcPr>
            <w:tcW w:w="16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378,658</w:t>
            </w:r>
          </w:p>
        </w:tc>
        <w:tc>
          <w:tcPr>
            <w:tcW w:w="1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1,684,889</w:t>
            </w:r>
          </w:p>
        </w:tc>
        <w:tc>
          <w:tcPr>
            <w:tcW w:w="14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2,088,979</w:t>
            </w:r>
          </w:p>
        </w:tc>
      </w:tr>
      <w:tr>
        <w:trPr>
          <w:trHeight w:val="140"/>
        </w:trPr>
        <w:tc>
          <w:tcPr>
            <w:tcW w:w="54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revenue from contracts with customers:</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15,614,171</w:t>
            </w:r>
          </w:p>
        </w:tc>
        <w:tc>
          <w:tcPr>
            <w:tcW w:w="160" w:type="dxa"/>
            <w:vAlign w:val="bottom"/>
          </w:tcPr>
          <w:p>
            <w:pPr>
              <w:spacing w:after="0"/>
              <w:rPr>
                <w:sz w:val="12"/>
                <w:szCs w:val="12"/>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24,361,019</w:t>
            </w:r>
          </w:p>
        </w:tc>
        <w:tc>
          <w:tcPr>
            <w:tcW w:w="16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59,132,284</w:t>
            </w:r>
          </w:p>
        </w:tc>
        <w:tc>
          <w:tcPr>
            <w:tcW w:w="140" w:type="dxa"/>
            <w:vAlign w:val="bottom"/>
          </w:tcPr>
          <w:p>
            <w:pPr>
              <w:spacing w:after="0"/>
              <w:rPr>
                <w:sz w:val="12"/>
                <w:szCs w:val="12"/>
                <w:color w:val="auto"/>
              </w:rPr>
            </w:pPr>
          </w:p>
        </w:tc>
        <w:tc>
          <w:tcPr>
            <w:tcW w:w="3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83,200,198</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Deferred Revenue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records deferred revenue when payments are due or received in advance of the fulfillment of our associated performance obligations; reductions to deferred revenue balance were due primarily to the recognition of revenue upon fulfillment of our performance obligations, which were in the ordinary course of business. Activities in the Company’s deferred revenue as of September 30, 2022 and December 31, 2021 were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10"/>
                <w:szCs w:val="10"/>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756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r>
      <w:tr>
        <w:trPr>
          <w:trHeight w:val="133"/>
        </w:trPr>
        <w:tc>
          <w:tcPr>
            <w:tcW w:w="75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Deferred revenue, beginning balance in advance of revenue recognition billing</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20,280,934</w:t>
            </w: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34,529,335</w:t>
            </w:r>
          </w:p>
        </w:tc>
        <w:tc>
          <w:tcPr>
            <w:tcW w:w="20" w:type="dxa"/>
            <w:vAlign w:val="bottom"/>
          </w:tcPr>
          <w:p>
            <w:pPr>
              <w:spacing w:after="0"/>
              <w:rPr>
                <w:sz w:val="11"/>
                <w:szCs w:val="11"/>
                <w:color w:val="auto"/>
              </w:rPr>
            </w:pPr>
          </w:p>
        </w:tc>
      </w:tr>
      <w:tr>
        <w:trPr>
          <w:trHeight w:val="144"/>
        </w:trPr>
        <w:tc>
          <w:tcPr>
            <w:tcW w:w="7560" w:type="dxa"/>
            <w:vAlign w:val="bottom"/>
          </w:tcPr>
          <w:p>
            <w:pPr>
              <w:spacing w:after="0"/>
              <w:rPr>
                <w:sz w:val="20"/>
                <w:szCs w:val="20"/>
                <w:color w:val="auto"/>
              </w:rPr>
            </w:pPr>
            <w:r>
              <w:rPr>
                <w:rFonts w:ascii="Times New Roman" w:cs="Times New Roman" w:eastAsia="Times New Roman" w:hAnsi="Times New Roman"/>
                <w:sz w:val="12"/>
                <w:szCs w:val="12"/>
                <w:color w:val="auto"/>
              </w:rPr>
              <w:t>Revenue recognized</w:t>
            </w:r>
          </w:p>
        </w:tc>
        <w:tc>
          <w:tcPr>
            <w:tcW w:w="160" w:type="dxa"/>
            <w:vAlign w:val="bottom"/>
          </w:tcPr>
          <w:p>
            <w:pPr>
              <w:spacing w:after="0"/>
              <w:rPr>
                <w:sz w:val="12"/>
                <w:szCs w:val="12"/>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(13,039,126)</w:t>
            </w: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(26,478,997)</w:t>
            </w:r>
          </w:p>
        </w:tc>
        <w:tc>
          <w:tcPr>
            <w:tcW w:w="20" w:type="dxa"/>
            <w:vAlign w:val="bottom"/>
          </w:tcPr>
          <w:p>
            <w:pPr>
              <w:spacing w:after="0"/>
              <w:rPr>
                <w:sz w:val="12"/>
                <w:szCs w:val="12"/>
                <w:color w:val="auto"/>
              </w:rPr>
            </w:pPr>
          </w:p>
        </w:tc>
      </w:tr>
      <w:tr>
        <w:trPr>
          <w:trHeight w:val="14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 deferred</w:t>
            </w: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5,741,390</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12,230,596</w:t>
            </w:r>
          </w:p>
        </w:tc>
        <w:tc>
          <w:tcPr>
            <w:tcW w:w="20" w:type="dxa"/>
            <w:vAlign w:val="bottom"/>
          </w:tcPr>
          <w:p>
            <w:pPr>
              <w:spacing w:after="0"/>
              <w:rPr>
                <w:sz w:val="12"/>
                <w:szCs w:val="12"/>
                <w:color w:val="auto"/>
              </w:rPr>
            </w:pPr>
          </w:p>
        </w:tc>
      </w:tr>
      <w:tr>
        <w:trPr>
          <w:trHeight w:val="133"/>
        </w:trPr>
        <w:tc>
          <w:tcPr>
            <w:tcW w:w="7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 revenue, ending balance</w:t>
            </w:r>
          </w:p>
        </w:tc>
        <w:tc>
          <w:tcPr>
            <w:tcW w:w="16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12,983,198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20,280,934</w:t>
            </w:r>
          </w:p>
        </w:tc>
        <w:tc>
          <w:tcPr>
            <w:tcW w:w="20" w:type="dxa"/>
            <w:vAlign w:val="bottom"/>
          </w:tcPr>
          <w:p>
            <w:pPr>
              <w:spacing w:after="0"/>
              <w:rPr>
                <w:sz w:val="11"/>
                <w:szCs w:val="11"/>
                <w:color w:val="auto"/>
              </w:rPr>
            </w:pPr>
          </w:p>
        </w:tc>
      </w:tr>
      <w:tr>
        <w:trPr>
          <w:trHeight w:val="14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short term portion</w:t>
            </w: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3,934,693</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11,005,517</w:t>
            </w:r>
          </w:p>
        </w:tc>
        <w:tc>
          <w:tcPr>
            <w:tcW w:w="20" w:type="dxa"/>
            <w:vAlign w:val="bottom"/>
          </w:tcPr>
          <w:p>
            <w:pPr>
              <w:spacing w:after="0"/>
              <w:rPr>
                <w:sz w:val="12"/>
                <w:szCs w:val="12"/>
                <w:color w:val="auto"/>
              </w:rPr>
            </w:pPr>
          </w:p>
        </w:tc>
      </w:tr>
      <w:tr>
        <w:trPr>
          <w:trHeight w:val="140"/>
        </w:trPr>
        <w:tc>
          <w:tcPr>
            <w:tcW w:w="7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Deferred revenue, long term</w:t>
            </w: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9,048,505</w:t>
            </w: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9,275,417</w:t>
            </w:r>
          </w:p>
        </w:tc>
        <w:tc>
          <w:tcPr>
            <w:tcW w:w="20" w:type="dxa"/>
            <w:vAlign w:val="bottom"/>
          </w:tcPr>
          <w:p>
            <w:pPr>
              <w:spacing w:after="0"/>
              <w:rPr>
                <w:sz w:val="12"/>
                <w:szCs w:val="12"/>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4 – CASH, AND RESTRICTED CASH AND CASH EQUIVALENTS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 xml:space="preserve">Cash equivalents are valued using quoted market prices or other readily available market information. The Company has $6,368,016 and $6,389,777 as of September 30, 2022 and December 31, 2021, respectively, as security for the debt with a financial institution (see Note 15 — </w:t>
      </w:r>
      <w:r>
        <w:rPr>
          <w:rFonts w:ascii="Times New Roman" w:cs="Times New Roman" w:eastAsia="Times New Roman" w:hAnsi="Times New Roman"/>
          <w:sz w:val="12"/>
          <w:szCs w:val="12"/>
          <w:i w:val="1"/>
          <w:iCs w:val="1"/>
          <w:color w:val="auto"/>
        </w:rPr>
        <w:t>Revolving Loan, Short Term Note, and Long-Term Debt</w:t>
      </w:r>
      <w:r>
        <w:rPr>
          <w:rFonts w:ascii="Times New Roman" w:cs="Times New Roman" w:eastAsia="Times New Roman" w:hAnsi="Times New Roman"/>
          <w:sz w:val="12"/>
          <w:szCs w:val="12"/>
          <w:color w:val="auto"/>
        </w:rPr>
        <w:t>) and to secure standby letters of credit with landlords. The following table summarizes the components of the Company’s cash, and restricted cash and cash equivalents as of September 30, 2022 and September 30,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9,044,666</w:t>
            </w: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19,716,853</w:t>
            </w:r>
          </w:p>
        </w:tc>
      </w:tr>
      <w:tr>
        <w:trPr>
          <w:trHeight w:val="144"/>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Restricted cash and cash equivalents</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6,368,016</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6,382,574</w:t>
            </w:r>
          </w:p>
        </w:tc>
      </w:tr>
      <w:tr>
        <w:trPr>
          <w:trHeight w:val="140"/>
        </w:trPr>
        <w:tc>
          <w:tcPr>
            <w:tcW w:w="76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and restricted cash and cash equivalents</w:t>
            </w:r>
          </w:p>
        </w:tc>
        <w:tc>
          <w:tcPr>
            <w:tcW w:w="260" w:type="dxa"/>
            <w:vAlign w:val="bottom"/>
            <w:tcBorders>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15,412,682</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26,099,427</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5 – ACCOUNTS RECEIVABLE – RELATED PARTY</w:t>
      </w:r>
    </w:p>
    <w:p>
      <w:pPr>
        <w:spacing w:after="0" w:line="1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Accounts receivable — related party represents receivables in the ordinary course of business attributable to certain mobile game revenues that, for administrative reasons, are collected by a related party and that the related party has not remitted back to the Company. The accounts receivable is offset by payables due to the related party for royalties, internet data center (“IDC”) and marketing costs. Accounts receivable — related party is non-interest bearing and due on demand. The related party is 100% owned and controlled by the wife of the Founder and Chairman of the Company. As of September 30, 2022 and December 31, 2021, the outstanding balance of net accounts receivable from related party was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400" w:type="dxa"/>
            <w:vAlign w:val="bottom"/>
            <w:tcBorders>
              <w:bottom w:val="single" w:sz="8" w:color="CCEEFF"/>
            </w:tcBorders>
          </w:tcPr>
          <w:p>
            <w:pPr>
              <w:spacing w:after="0"/>
              <w:rPr>
                <w:sz w:val="10"/>
                <w:szCs w:val="10"/>
                <w:color w:val="auto"/>
              </w:rPr>
            </w:pPr>
          </w:p>
        </w:tc>
        <w:tc>
          <w:tcPr>
            <w:tcW w:w="42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r>
      <w:tr>
        <w:trPr>
          <w:trHeight w:val="133"/>
        </w:trPr>
        <w:tc>
          <w:tcPr>
            <w:tcW w:w="34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 related party</w:t>
            </w:r>
          </w:p>
        </w:tc>
        <w:tc>
          <w:tcPr>
            <w:tcW w:w="4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13,519,409</w:t>
            </w: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13,519,409</w:t>
            </w:r>
          </w:p>
        </w:tc>
        <w:tc>
          <w:tcPr>
            <w:tcW w:w="20" w:type="dxa"/>
            <w:vAlign w:val="bottom"/>
          </w:tcPr>
          <w:p>
            <w:pPr>
              <w:spacing w:after="0"/>
              <w:rPr>
                <w:sz w:val="11"/>
                <w:szCs w:val="11"/>
                <w:color w:val="auto"/>
              </w:rPr>
            </w:pPr>
          </w:p>
        </w:tc>
      </w:tr>
      <w:tr>
        <w:trPr>
          <w:trHeight w:val="144"/>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Less: Accounts payable - related party</w:t>
            </w:r>
          </w:p>
        </w:tc>
        <w:tc>
          <w:tcPr>
            <w:tcW w:w="4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(1,279,979)</w:t>
            </w: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(5,083,586)</w:t>
            </w:r>
          </w:p>
        </w:tc>
        <w:tc>
          <w:tcPr>
            <w:tcW w:w="20" w:type="dxa"/>
            <w:vAlign w:val="bottom"/>
          </w:tcPr>
          <w:p>
            <w:pPr>
              <w:spacing w:after="0"/>
              <w:rPr>
                <w:sz w:val="12"/>
                <w:szCs w:val="12"/>
                <w:color w:val="auto"/>
              </w:rPr>
            </w:pPr>
          </w:p>
        </w:tc>
      </w:tr>
      <w:tr>
        <w:trPr>
          <w:trHeight w:val="153"/>
        </w:trPr>
        <w:tc>
          <w:tcPr>
            <w:tcW w:w="34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Accounts receivable - related party, net</w:t>
            </w:r>
          </w:p>
        </w:tc>
        <w:tc>
          <w:tcPr>
            <w:tcW w:w="4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12,239,430</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8,435,823</w:t>
            </w:r>
          </w:p>
        </w:tc>
        <w:tc>
          <w:tcPr>
            <w:tcW w:w="20" w:type="dxa"/>
            <w:vAlign w:val="bottom"/>
          </w:tcPr>
          <w:p>
            <w:pPr>
              <w:spacing w:after="0"/>
              <w:rPr>
                <w:sz w:val="13"/>
                <w:szCs w:val="13"/>
                <w:color w:val="auto"/>
              </w:rPr>
            </w:pPr>
          </w:p>
        </w:tc>
      </w:tr>
      <w:tr>
        <w:trPr>
          <w:trHeight w:val="428"/>
        </w:trPr>
        <w:tc>
          <w:tcPr>
            <w:tcW w:w="3400" w:type="dxa"/>
            <w:vAlign w:val="bottom"/>
          </w:tcPr>
          <w:p>
            <w:pPr>
              <w:spacing w:after="0"/>
              <w:rPr>
                <w:sz w:val="24"/>
                <w:szCs w:val="24"/>
                <w:color w:val="auto"/>
              </w:rPr>
            </w:pPr>
          </w:p>
        </w:tc>
        <w:tc>
          <w:tcPr>
            <w:tcW w:w="4220" w:type="dxa"/>
            <w:vAlign w:val="bottom"/>
          </w:tcPr>
          <w:p>
            <w:pPr>
              <w:jc w:val="right"/>
              <w:ind w:right="2520"/>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34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980"/>
          </w:cols>
          <w:pgMar w:left="960" w:top="390" w:right="9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6 – DUE FROM SHAREHOLDER</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 xml:space="preserve">Other receivables from related party consisted of monies that the Company lent to the Company’s Founder and Chairman, who is also the majority shareholder of Suzhou Snail. The loan bore 2.0% per annum interest. Both the loan receivable and the interest receivable are presented as contra equity in our condensed consolidated statements of equity for a total of $94,353,522 as of December 31, 2021. On April 26, 2022, the Company, with approval from its Board of Directors and in accordance with applicable laws and regulations, assigned the other receivables </w:t>
      </w:r>
      <w:r>
        <w:rPr>
          <w:rFonts w:ascii="Times New Roman" w:cs="Times New Roman" w:eastAsia="Times New Roman" w:hAnsi="Times New Roman"/>
          <w:sz w:val="12"/>
          <w:szCs w:val="12"/>
          <w:color w:val="222222"/>
        </w:rPr>
        <w:t>–</w:t>
      </w:r>
      <w:r>
        <w:rPr>
          <w:rFonts w:ascii="Times New Roman" w:cs="Times New Roman" w:eastAsia="Times New Roman" w:hAnsi="Times New Roman"/>
          <w:sz w:val="12"/>
          <w:szCs w:val="12"/>
          <w:color w:val="auto"/>
        </w:rPr>
        <w:t xml:space="preserve"> related party (“due from shareholder” or the “Shi Loan”) of $94,934,400 outstanding including interest, to Suzhou Snail, which assumed the loan as creditor. Simultaneously, the Company declared and paid Suzhou Snail an in-kind dividend with an aggregate amount equal to $94,934,400 on April 26, 2022; see Note 7 </w:t>
      </w:r>
      <w:r>
        <w:rPr>
          <w:rFonts w:ascii="Times New Roman" w:cs="Times New Roman" w:eastAsia="Times New Roman" w:hAnsi="Times New Roman"/>
          <w:sz w:val="12"/>
          <w:szCs w:val="12"/>
          <w:color w:val="222222"/>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Dividend Distribution</w:t>
      </w:r>
      <w:r>
        <w:rPr>
          <w:rFonts w:ascii="Times New Roman" w:cs="Times New Roman" w:eastAsia="Times New Roman" w:hAnsi="Times New Roman"/>
          <w:sz w:val="12"/>
          <w:szCs w:val="12"/>
          <w:color w:val="auto"/>
        </w:rPr>
        <w:t>. As of September 30, 2022, the other receivable was $0 and no longer reflected on the Company’s condensed consolidated balance sheets.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7 – DIVIDEND DISTRIBUTION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On April 26, 2022, the Company declared an in-kind dividend of $94,934,400 for the assignment of the due from shareholder and a cash dividend of $8,200,000 to pay the related withholding taxes; see Note 6 – </w:t>
      </w:r>
      <w:r>
        <w:rPr>
          <w:rFonts w:ascii="Times New Roman" w:cs="Times New Roman" w:eastAsia="Times New Roman" w:hAnsi="Times New Roman"/>
          <w:sz w:val="12"/>
          <w:szCs w:val="12"/>
          <w:i w:val="1"/>
          <w:iCs w:val="1"/>
          <w:color w:val="auto"/>
        </w:rPr>
        <w:t>Due from Shareholder.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8 – PREPAID EXPENSES - RELATED PARTY</w:t>
      </w:r>
    </w:p>
    <w:p>
      <w:pPr>
        <w:spacing w:after="0" w:line="15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2"/>
          <w:szCs w:val="12"/>
          <w:color w:val="auto"/>
        </w:rPr>
        <w:t xml:space="preserve">During the nine month period ended September 30, 2022 the Company prepaid $5,000,000 for exclusive license rights to </w:t>
      </w:r>
      <w:r>
        <w:rPr>
          <w:rFonts w:ascii="Times New Roman" w:cs="Times New Roman" w:eastAsia="Times New Roman" w:hAnsi="Times New Roman"/>
          <w:sz w:val="12"/>
          <w:szCs w:val="12"/>
          <w:i w:val="1"/>
          <w:iCs w:val="1"/>
          <w:color w:val="auto"/>
        </w:rPr>
        <w:t>ARK 2</w:t>
      </w:r>
      <w:r>
        <w:rPr>
          <w:rFonts w:ascii="Times New Roman" w:cs="Times New Roman" w:eastAsia="Times New Roman" w:hAnsi="Times New Roman"/>
          <w:sz w:val="12"/>
          <w:szCs w:val="12"/>
          <w:color w:val="auto"/>
        </w:rPr>
        <w:t xml:space="preserve"> to a related party. Prepaid expenses — related party consisted of the following as of September 30, 2022 and December 31, 2021:</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Prepaid royalties</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1,520,000</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3,145,000</w:t>
            </w:r>
          </w:p>
        </w:tc>
        <w:tc>
          <w:tcPr>
            <w:tcW w:w="20" w:type="dxa"/>
            <w:vAlign w:val="bottom"/>
          </w:tcPr>
          <w:p>
            <w:pPr>
              <w:spacing w:after="0"/>
              <w:rPr>
                <w:sz w:val="11"/>
                <w:szCs w:val="11"/>
                <w:color w:val="auto"/>
              </w:rPr>
            </w:pPr>
          </w:p>
        </w:tc>
      </w:tr>
      <w:tr>
        <w:trPr>
          <w:trHeight w:val="144"/>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Prepaid licenses</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6,500,000</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Prepaid expenses - related party, ending balance</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8,020,000</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3,145,000</w:t>
            </w:r>
          </w:p>
        </w:tc>
        <w:tc>
          <w:tcPr>
            <w:tcW w:w="20" w:type="dxa"/>
            <w:vAlign w:val="bottom"/>
          </w:tcPr>
          <w:p>
            <w:pPr>
              <w:spacing w:after="0"/>
              <w:rPr>
                <w:sz w:val="11"/>
                <w:szCs w:val="11"/>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Less: short-term portion</w:t>
            </w:r>
          </w:p>
        </w:tc>
        <w:tc>
          <w:tcPr>
            <w:tcW w:w="240" w:type="dxa"/>
            <w:vAlign w:val="bottom"/>
          </w:tcPr>
          <w:p>
            <w:pPr>
              <w:spacing w:after="0"/>
              <w:rPr>
                <w:sz w:val="12"/>
                <w:szCs w:val="1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(1,500,000)</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(3,145,000)</w:t>
            </w:r>
          </w:p>
        </w:tc>
        <w:tc>
          <w:tcPr>
            <w:tcW w:w="20" w:type="dxa"/>
            <w:vAlign w:val="bottom"/>
          </w:tcPr>
          <w:p>
            <w:pPr>
              <w:spacing w:after="0"/>
              <w:rPr>
                <w:sz w:val="12"/>
                <w:szCs w:val="12"/>
                <w:color w:val="auto"/>
              </w:rPr>
            </w:pPr>
          </w:p>
        </w:tc>
      </w:tr>
      <w:tr>
        <w:trPr>
          <w:trHeight w:val="140"/>
        </w:trPr>
        <w:tc>
          <w:tcPr>
            <w:tcW w:w="76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prepaid expenses - related party, long-term</w:t>
            </w: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6,520,000</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2"/>
                <w:szCs w:val="12"/>
                <w:color w:val="auto"/>
              </w:rPr>
            </w:pP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9 – PREPAID EXPENSES AND OTHER CURRENT ASSETS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January 2022, the Company received $1,500,000 from Pound Sand, LLC in connection with the Company’s sale of its membership interest in Pound Sand, LLC on December 3, 2020; this amount was included as a receivable in the prepaid expenses and other current assets as of December 31, 2021 in the accompanying condensed consolidated balance sheets.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expenses and other current assets consisted of the following as of September 30, 2022 and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80" w:type="dxa"/>
            <w:vAlign w:val="bottom"/>
            <w:tcBorders>
              <w:bottom w:val="single" w:sz="8" w:color="CCEEFF"/>
            </w:tcBorders>
          </w:tcPr>
          <w:p>
            <w:pPr>
              <w:spacing w:after="0"/>
              <w:rPr>
                <w:sz w:val="10"/>
                <w:szCs w:val="10"/>
                <w:color w:val="auto"/>
              </w:rPr>
            </w:pPr>
          </w:p>
        </w:tc>
        <w:tc>
          <w:tcPr>
            <w:tcW w:w="400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33"/>
        </w:trPr>
        <w:tc>
          <w:tcPr>
            <w:tcW w:w="3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Prepaid income taxes</w:t>
            </w:r>
          </w:p>
        </w:tc>
        <w:tc>
          <w:tcPr>
            <w:tcW w:w="40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9,076,317</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8,217,660</w:t>
            </w: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Other prepaids</w:t>
            </w:r>
          </w:p>
        </w:tc>
        <w:tc>
          <w:tcPr>
            <w:tcW w:w="4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2,404,370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861,332</w:t>
            </w: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current assets</w:t>
            </w:r>
          </w:p>
        </w:tc>
        <w:tc>
          <w:tcPr>
            <w:tcW w:w="40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224,210</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1,938,015</w:t>
            </w:r>
          </w:p>
        </w:tc>
      </w:tr>
      <w:tr>
        <w:trPr>
          <w:trHeight w:val="140"/>
        </w:trPr>
        <w:tc>
          <w:tcPr>
            <w:tcW w:w="35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prepaid expenses and other current assets</w:t>
            </w:r>
          </w:p>
        </w:tc>
        <w:tc>
          <w:tcPr>
            <w:tcW w:w="400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11,704,897</w:t>
            </w:r>
          </w:p>
        </w:tc>
        <w:tc>
          <w:tcPr>
            <w:tcW w:w="220" w:type="dxa"/>
            <w:vAlign w:val="bottom"/>
          </w:tcPr>
          <w:p>
            <w:pPr>
              <w:spacing w:after="0"/>
              <w:rPr>
                <w:sz w:val="12"/>
                <w:szCs w:val="12"/>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11,017,007</w:t>
            </w:r>
          </w:p>
        </w:tc>
      </w:tr>
      <w:tr>
        <w:trPr>
          <w:trHeight w:val="585"/>
        </w:trPr>
        <w:tc>
          <w:tcPr>
            <w:tcW w:w="3580" w:type="dxa"/>
            <w:vAlign w:val="bottom"/>
          </w:tcPr>
          <w:p>
            <w:pPr>
              <w:spacing w:after="0"/>
              <w:rPr>
                <w:sz w:val="24"/>
                <w:szCs w:val="24"/>
                <w:color w:val="auto"/>
              </w:rPr>
            </w:pPr>
          </w:p>
        </w:tc>
        <w:tc>
          <w:tcPr>
            <w:tcW w:w="4000" w:type="dxa"/>
            <w:vAlign w:val="bottom"/>
          </w:tcPr>
          <w:p>
            <w:pPr>
              <w:jc w:val="right"/>
              <w:ind w:right="2480"/>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0"/>
        </w:trPr>
        <w:tc>
          <w:tcPr>
            <w:tcW w:w="358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9980"/>
          </w:cols>
          <w:pgMar w:left="960" w:top="390" w:right="9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10 – PROPERTY, PLANT AND EQUIPMENT, NET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Property, plant and equipment, net consisted of the following as of September 30, 2022 and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2021</w:t>
            </w:r>
          </w:p>
        </w:tc>
        <w:tc>
          <w:tcPr>
            <w:tcW w:w="20" w:type="dxa"/>
            <w:vAlign w:val="bottom"/>
          </w:tcPr>
          <w:p>
            <w:pPr>
              <w:spacing w:after="0"/>
              <w:rPr>
                <w:sz w:val="10"/>
                <w:szCs w:val="10"/>
                <w:color w:val="auto"/>
              </w:rPr>
            </w:pP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Building</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1,874,049</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1,874,049</w:t>
            </w:r>
          </w:p>
        </w:tc>
        <w:tc>
          <w:tcPr>
            <w:tcW w:w="20" w:type="dxa"/>
            <w:vAlign w:val="bottom"/>
          </w:tcPr>
          <w:p>
            <w:pPr>
              <w:spacing w:after="0"/>
              <w:rPr>
                <w:sz w:val="11"/>
                <w:szCs w:val="11"/>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Land</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2,700,000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2,700,000</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Building improvements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1,010,218</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1,010,218</w:t>
            </w:r>
          </w:p>
        </w:tc>
        <w:tc>
          <w:tcPr>
            <w:tcW w:w="20" w:type="dxa"/>
            <w:vAlign w:val="bottom"/>
          </w:tcPr>
          <w:p>
            <w:pPr>
              <w:spacing w:after="0"/>
              <w:rPr>
                <w:sz w:val="12"/>
                <w:szCs w:val="12"/>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Leasehold improvements</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1,537,775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1,537,775</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Autos and trucks</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178,695</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267,093</w:t>
            </w:r>
          </w:p>
        </w:tc>
        <w:tc>
          <w:tcPr>
            <w:tcW w:w="20" w:type="dxa"/>
            <w:vAlign w:val="bottom"/>
          </w:tcPr>
          <w:p>
            <w:pPr>
              <w:spacing w:after="0"/>
              <w:rPr>
                <w:sz w:val="12"/>
                <w:szCs w:val="12"/>
                <w:color w:val="auto"/>
              </w:rPr>
            </w:pPr>
          </w:p>
        </w:tc>
      </w:tr>
      <w:tr>
        <w:trPr>
          <w:trHeight w:val="144"/>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Computer and equipment</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1,821,819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1,830,949</w:t>
            </w:r>
          </w:p>
        </w:tc>
        <w:tc>
          <w:tcPr>
            <w:tcW w:w="20" w:type="dxa"/>
            <w:vAlign w:val="bottom"/>
          </w:tcPr>
          <w:p>
            <w:pPr>
              <w:spacing w:after="0"/>
              <w:rPr>
                <w:sz w:val="12"/>
                <w:szCs w:val="12"/>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Furniture and fixtures</w:t>
            </w: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411,801</w:t>
            </w:r>
          </w:p>
        </w:tc>
        <w:tc>
          <w:tcPr>
            <w:tcW w:w="22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411,801</w:t>
            </w:r>
          </w:p>
        </w:tc>
        <w:tc>
          <w:tcPr>
            <w:tcW w:w="20" w:type="dxa"/>
            <w:vAlign w:val="bottom"/>
          </w:tcPr>
          <w:p>
            <w:pPr>
              <w:spacing w:after="0"/>
              <w:rPr>
                <w:sz w:val="12"/>
                <w:szCs w:val="12"/>
                <w:color w:val="auto"/>
              </w:rPr>
            </w:pPr>
          </w:p>
        </w:tc>
      </w:tr>
      <w:tr>
        <w:trPr>
          <w:trHeight w:val="133"/>
        </w:trPr>
        <w:tc>
          <w:tcPr>
            <w:tcW w:w="7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9,534,357</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9,631,885</w:t>
            </w:r>
          </w:p>
        </w:tc>
        <w:tc>
          <w:tcPr>
            <w:tcW w:w="20" w:type="dxa"/>
            <w:vAlign w:val="bottom"/>
          </w:tcPr>
          <w:p>
            <w:pPr>
              <w:spacing w:after="0"/>
              <w:rPr>
                <w:sz w:val="11"/>
                <w:szCs w:val="11"/>
                <w:color w:val="auto"/>
              </w:rPr>
            </w:pPr>
          </w:p>
        </w:tc>
      </w:tr>
      <w:tr>
        <w:trPr>
          <w:trHeight w:val="144"/>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depreciation</w:t>
            </w: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(4,289,086)</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(3,953,184)</w:t>
            </w:r>
          </w:p>
        </w:tc>
        <w:tc>
          <w:tcPr>
            <w:tcW w:w="20" w:type="dxa"/>
            <w:vAlign w:val="bottom"/>
          </w:tcPr>
          <w:p>
            <w:pPr>
              <w:spacing w:after="0"/>
              <w:rPr>
                <w:sz w:val="12"/>
                <w:szCs w:val="12"/>
                <w:color w:val="auto"/>
              </w:rPr>
            </w:pPr>
          </w:p>
        </w:tc>
      </w:tr>
      <w:tr>
        <w:trPr>
          <w:trHeight w:val="140"/>
        </w:trPr>
        <w:tc>
          <w:tcPr>
            <w:tcW w:w="76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Property, plant and equipment, net</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5,245,271</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5,678,701</w:t>
            </w:r>
          </w:p>
        </w:tc>
        <w:tc>
          <w:tcPr>
            <w:tcW w:w="20" w:type="dxa"/>
            <w:vAlign w:val="bottom"/>
          </w:tcPr>
          <w:p>
            <w:pPr>
              <w:spacing w:after="0"/>
              <w:rPr>
                <w:sz w:val="12"/>
                <w:szCs w:val="12"/>
                <w:color w:val="auto"/>
              </w:rPr>
            </w:pPr>
          </w:p>
        </w:tc>
      </w:tr>
    </w:tbl>
    <w:p>
      <w:pPr>
        <w:spacing w:after="0" w:line="13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 was $128,536 and $208,896 for the three months ended September 30, 2022 and 2021, respectively. Depreciation and amortization expense was $435,644 and $638,659 for the nine months ended September 30, 2022 and 2021,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11 – INTANGIBLE ASSETS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Intangible assets of trademark and technology consist of game license software underlying intellectual property rights, game trademark name, logo, and other branding items. The Company amortizes the intangible assets over its useful life.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During 2021, the Company impaired the </w:t>
      </w:r>
      <w:r>
        <w:rPr>
          <w:rFonts w:ascii="Times New Roman" w:cs="Times New Roman" w:eastAsia="Times New Roman" w:hAnsi="Times New Roman"/>
          <w:sz w:val="12"/>
          <w:szCs w:val="12"/>
          <w:i w:val="1"/>
          <w:iCs w:val="1"/>
          <w:color w:val="auto"/>
        </w:rPr>
        <w:t>Atlas</w:t>
      </w:r>
      <w:r>
        <w:rPr>
          <w:rFonts w:ascii="Times New Roman" w:cs="Times New Roman" w:eastAsia="Times New Roman" w:hAnsi="Times New Roman"/>
          <w:sz w:val="12"/>
          <w:szCs w:val="12"/>
          <w:color w:val="auto"/>
        </w:rPr>
        <w:t xml:space="preserve"> license right due to delay in launching the game in several platforms. The Company recognized $16,325,000 as impairment loss during the year ended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December 31, 2021 and the impairment was calculated based on revision to the discounted cash flow valuation using a 10% discount rate, which reflected the launch delay’s and decreased future cash flow.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tables set all the intangible assets presented on the condensed consolidated balance sheets as of September 30, 2022 and December 31, 2021: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0"/>
                <w:szCs w:val="10"/>
                <w:b w:val="1"/>
                <w:bCs w:val="1"/>
                <w:color w:val="auto"/>
              </w:rPr>
              <w:t>September 30, 2022</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gridSpan w:val="2"/>
          </w:tcPr>
          <w:p>
            <w:pPr>
              <w:jc w:val="center"/>
              <w:ind w:right="360"/>
              <w:spacing w:after="0" w:line="72" w:lineRule="exact"/>
              <w:rPr>
                <w:sz w:val="20"/>
                <w:szCs w:val="20"/>
                <w:color w:val="auto"/>
              </w:rPr>
            </w:pPr>
            <w:r>
              <w:rPr>
                <w:rFonts w:ascii="Times New Roman" w:cs="Times New Roman" w:eastAsia="Times New Roman" w:hAnsi="Times New Roman"/>
                <w:sz w:val="8"/>
                <w:szCs w:val="8"/>
                <w:b w:val="1"/>
                <w:bCs w:val="1"/>
                <w:color w:val="auto"/>
              </w:rPr>
              <w:t>Gross</w:t>
            </w:r>
          </w:p>
        </w:tc>
        <w:tc>
          <w:tcPr>
            <w:tcW w:w="200" w:type="dxa"/>
            <w:vAlign w:val="bottom"/>
          </w:tcPr>
          <w:p>
            <w:pPr>
              <w:spacing w:after="0"/>
              <w:rPr>
                <w:sz w:val="6"/>
                <w:szCs w:val="6"/>
                <w:color w:val="auto"/>
              </w:rPr>
            </w:pPr>
          </w:p>
        </w:tc>
        <w:tc>
          <w:tcPr>
            <w:tcW w:w="114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6"/>
                <w:szCs w:val="6"/>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Impairment</w:t>
            </w:r>
          </w:p>
        </w:tc>
        <w:tc>
          <w:tcPr>
            <w:tcW w:w="180" w:type="dxa"/>
            <w:vAlign w:val="bottom"/>
          </w:tcPr>
          <w:p>
            <w:pPr>
              <w:spacing w:after="0"/>
              <w:rPr>
                <w:sz w:val="6"/>
                <w:szCs w:val="6"/>
                <w:color w:val="auto"/>
              </w:rPr>
            </w:pPr>
          </w:p>
        </w:tc>
        <w:tc>
          <w:tcPr>
            <w:tcW w:w="76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Net Book</w:t>
            </w:r>
          </w:p>
        </w:tc>
        <w:tc>
          <w:tcPr>
            <w:tcW w:w="140" w:type="dxa"/>
            <w:vAlign w:val="bottom"/>
          </w:tcPr>
          <w:p>
            <w:pPr>
              <w:spacing w:after="0"/>
              <w:rPr>
                <w:sz w:val="6"/>
                <w:szCs w:val="6"/>
                <w:color w:val="auto"/>
              </w:rPr>
            </w:pPr>
          </w:p>
        </w:tc>
        <w:tc>
          <w:tcPr>
            <w:tcW w:w="7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Weighted</w:t>
            </w:r>
          </w:p>
        </w:tc>
        <w:tc>
          <w:tcPr>
            <w:tcW w:w="0" w:type="dxa"/>
            <w:vAlign w:val="bottom"/>
          </w:tcPr>
          <w:p>
            <w:pPr>
              <w:spacing w:after="0"/>
              <w:rPr>
                <w:sz w:val="1"/>
                <w:szCs w:val="1"/>
                <w:color w:val="auto"/>
              </w:rPr>
            </w:pPr>
          </w:p>
        </w:tc>
      </w:tr>
      <w:tr>
        <w:trPr>
          <w:trHeight w:val="99"/>
        </w:trPr>
        <w:tc>
          <w:tcPr>
            <w:tcW w:w="4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6"/>
              </w:rPr>
              <w:t>Carrying</w:t>
            </w:r>
          </w:p>
        </w:tc>
        <w:tc>
          <w:tcPr>
            <w:tcW w:w="20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115"/>
        </w:trPr>
        <w:tc>
          <w:tcPr>
            <w:tcW w:w="4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200" w:type="dxa"/>
            <w:vAlign w:val="bottom"/>
          </w:tcPr>
          <w:p>
            <w:pPr>
              <w:spacing w:after="0"/>
              <w:rPr>
                <w:sz w:val="10"/>
                <w:szCs w:val="10"/>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80" w:type="dxa"/>
            <w:vAlign w:val="bottom"/>
          </w:tcPr>
          <w:p>
            <w:pPr>
              <w:spacing w:after="0"/>
              <w:rPr>
                <w:sz w:val="10"/>
                <w:szCs w:val="10"/>
                <w:color w:val="auto"/>
              </w:rPr>
            </w:pPr>
          </w:p>
        </w:tc>
        <w:tc>
          <w:tcPr>
            <w:tcW w:w="80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Loss</w:t>
            </w:r>
          </w:p>
        </w:tc>
        <w:tc>
          <w:tcPr>
            <w:tcW w:w="180" w:type="dxa"/>
            <w:vAlign w:val="bottom"/>
          </w:tcPr>
          <w:p>
            <w:pPr>
              <w:spacing w:after="0"/>
              <w:rPr>
                <w:sz w:val="10"/>
                <w:szCs w:val="10"/>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Useful Life</w:t>
            </w:r>
          </w:p>
        </w:tc>
        <w:tc>
          <w:tcPr>
            <w:tcW w:w="0" w:type="dxa"/>
            <w:vAlign w:val="bottom"/>
          </w:tcPr>
          <w:p>
            <w:pPr>
              <w:spacing w:after="0"/>
              <w:rPr>
                <w:sz w:val="1"/>
                <w:szCs w:val="1"/>
                <w:color w:val="auto"/>
              </w:rPr>
            </w:pPr>
          </w:p>
        </w:tc>
      </w:tr>
      <w:tr>
        <w:trPr>
          <w:trHeight w:val="153"/>
        </w:trPr>
        <w:tc>
          <w:tcPr>
            <w:tcW w:w="46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License rights from related parties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136,665,000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(133,429,962)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3,235,038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3 - 5 years</w:t>
            </w:r>
          </w:p>
        </w:tc>
        <w:tc>
          <w:tcPr>
            <w:tcW w:w="0" w:type="dxa"/>
            <w:vAlign w:val="bottom"/>
          </w:tcPr>
          <w:p>
            <w:pPr>
              <w:spacing w:after="0"/>
              <w:rPr>
                <w:sz w:val="1"/>
                <w:szCs w:val="1"/>
                <w:color w:val="auto"/>
              </w:rPr>
            </w:pPr>
          </w:p>
        </w:tc>
      </w:tr>
      <w:tr>
        <w:trPr>
          <w:trHeight w:val="138"/>
        </w:trPr>
        <w:tc>
          <w:tcPr>
            <w:tcW w:w="466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License rights</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3,000,000</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(3,000,000)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ind w:left="500"/>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5 years</w:t>
            </w: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 other:</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51,784</w:t>
            </w:r>
          </w:p>
        </w:tc>
        <w:tc>
          <w:tcPr>
            <w:tcW w:w="1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(51,784)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c>
          <w:tcPr>
            <w:tcW w:w="0" w:type="dxa"/>
            <w:vAlign w:val="bottom"/>
          </w:tcPr>
          <w:p>
            <w:pPr>
              <w:spacing w:after="0"/>
              <w:rPr>
                <w:sz w:val="1"/>
                <w:szCs w:val="1"/>
                <w:color w:val="auto"/>
              </w:rPr>
            </w:pPr>
          </w:p>
        </w:tc>
      </w:tr>
      <w:tr>
        <w:trPr>
          <w:trHeight w:val="144"/>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Trademark</w:t>
            </w: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10,745</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(6,031)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4,714</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 years</w:t>
            </w:r>
          </w:p>
        </w:tc>
        <w:tc>
          <w:tcPr>
            <w:tcW w:w="0" w:type="dxa"/>
            <w:vAlign w:val="bottom"/>
          </w:tcPr>
          <w:p>
            <w:pPr>
              <w:spacing w:after="0"/>
              <w:rPr>
                <w:sz w:val="1"/>
                <w:szCs w:val="1"/>
                <w:color w:val="auto"/>
              </w:rPr>
            </w:pPr>
          </w:p>
        </w:tc>
      </w:tr>
      <w:tr>
        <w:trPr>
          <w:trHeight w:val="144"/>
        </w:trPr>
        <w:tc>
          <w:tcPr>
            <w:tcW w:w="4660" w:type="dxa"/>
            <w:vAlign w:val="bottom"/>
          </w:tcPr>
          <w:p>
            <w:pPr>
              <w:spacing w:after="0"/>
              <w:rPr>
                <w:sz w:val="20"/>
                <w:szCs w:val="20"/>
                <w:color w:val="auto"/>
              </w:rPr>
            </w:pPr>
            <w:r>
              <w:rPr>
                <w:rFonts w:ascii="Times New Roman" w:cs="Times New Roman" w:eastAsia="Times New Roman" w:hAnsi="Times New Roman"/>
                <w:sz w:val="12"/>
                <w:szCs w:val="12"/>
                <w:color w:val="auto"/>
              </w:rPr>
              <w:t>In-progress patent</w:t>
            </w:r>
          </w:p>
        </w:tc>
        <w:tc>
          <w:tcPr>
            <w:tcW w:w="20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270,886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270,886</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6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333,415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(57,815)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ind w:left="5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275,600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3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w w:val="93"/>
              </w:rPr>
              <w:t>December 31, 2021</w:t>
            </w: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40" w:type="dxa"/>
            <w:vAlign w:val="bottom"/>
            <w:gridSpan w:val="2"/>
          </w:tcPr>
          <w:p>
            <w:pPr>
              <w:jc w:val="center"/>
              <w:ind w:right="360"/>
              <w:spacing w:after="0" w:line="72" w:lineRule="exact"/>
              <w:rPr>
                <w:sz w:val="20"/>
                <w:szCs w:val="20"/>
                <w:color w:val="auto"/>
              </w:rPr>
            </w:pPr>
            <w:r>
              <w:rPr>
                <w:rFonts w:ascii="Times New Roman" w:cs="Times New Roman" w:eastAsia="Times New Roman" w:hAnsi="Times New Roman"/>
                <w:sz w:val="8"/>
                <w:szCs w:val="8"/>
                <w:b w:val="1"/>
                <w:bCs w:val="1"/>
                <w:color w:val="auto"/>
              </w:rPr>
              <w:t>Gross</w:t>
            </w:r>
          </w:p>
        </w:tc>
        <w:tc>
          <w:tcPr>
            <w:tcW w:w="180" w:type="dxa"/>
            <w:vAlign w:val="bottom"/>
          </w:tcPr>
          <w:p>
            <w:pPr>
              <w:spacing w:after="0"/>
              <w:rPr>
                <w:sz w:val="6"/>
                <w:szCs w:val="6"/>
                <w:color w:val="auto"/>
              </w:rPr>
            </w:pPr>
          </w:p>
        </w:tc>
        <w:tc>
          <w:tcPr>
            <w:tcW w:w="1000" w:type="dxa"/>
            <w:vAlign w:val="bottom"/>
            <w:vMerge w:val="restart"/>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Impairment</w:t>
            </w:r>
          </w:p>
        </w:tc>
        <w:tc>
          <w:tcPr>
            <w:tcW w:w="180" w:type="dxa"/>
            <w:vAlign w:val="bottom"/>
          </w:tcPr>
          <w:p>
            <w:pPr>
              <w:spacing w:after="0"/>
              <w:rPr>
                <w:sz w:val="6"/>
                <w:szCs w:val="6"/>
                <w:color w:val="auto"/>
              </w:rPr>
            </w:pPr>
          </w:p>
        </w:tc>
        <w:tc>
          <w:tcPr>
            <w:tcW w:w="760" w:type="dxa"/>
            <w:vAlign w:val="bottom"/>
            <w:vMerge w:val="restart"/>
          </w:tcPr>
          <w:p>
            <w:pPr>
              <w:jc w:val="right"/>
              <w:ind w:right="223"/>
              <w:spacing w:after="0"/>
              <w:rPr>
                <w:sz w:val="20"/>
                <w:szCs w:val="20"/>
                <w:color w:val="auto"/>
              </w:rPr>
            </w:pPr>
            <w:r>
              <w:rPr>
                <w:rFonts w:ascii="Times New Roman" w:cs="Times New Roman" w:eastAsia="Times New Roman" w:hAnsi="Times New Roman"/>
                <w:sz w:val="10"/>
                <w:szCs w:val="10"/>
                <w:b w:val="1"/>
                <w:bCs w:val="1"/>
                <w:color w:val="auto"/>
              </w:rPr>
              <w:t>Net Book</w:t>
            </w:r>
          </w:p>
        </w:tc>
        <w:tc>
          <w:tcPr>
            <w:tcW w:w="140" w:type="dxa"/>
            <w:vAlign w:val="bottom"/>
          </w:tcPr>
          <w:p>
            <w:pPr>
              <w:spacing w:after="0"/>
              <w:rPr>
                <w:sz w:val="6"/>
                <w:szCs w:val="6"/>
                <w:color w:val="auto"/>
              </w:rPr>
            </w:pPr>
          </w:p>
        </w:tc>
        <w:tc>
          <w:tcPr>
            <w:tcW w:w="760" w:type="dxa"/>
            <w:vAlign w:val="bottom"/>
          </w:tcPr>
          <w:p>
            <w:pPr>
              <w:jc w:val="center"/>
              <w:spacing w:after="0" w:line="72" w:lineRule="exact"/>
              <w:rPr>
                <w:sz w:val="20"/>
                <w:szCs w:val="20"/>
                <w:color w:val="auto"/>
              </w:rPr>
            </w:pPr>
            <w:r>
              <w:rPr>
                <w:rFonts w:ascii="Times New Roman" w:cs="Times New Roman" w:eastAsia="Times New Roman" w:hAnsi="Times New Roman"/>
                <w:sz w:val="8"/>
                <w:szCs w:val="8"/>
                <w:b w:val="1"/>
                <w:bCs w:val="1"/>
                <w:color w:val="auto"/>
              </w:rPr>
              <w:t>Weighted</w:t>
            </w:r>
          </w:p>
        </w:tc>
        <w:tc>
          <w:tcPr>
            <w:tcW w:w="0" w:type="dxa"/>
            <w:vAlign w:val="bottom"/>
          </w:tcPr>
          <w:p>
            <w:pPr>
              <w:spacing w:after="0"/>
              <w:rPr>
                <w:sz w:val="1"/>
                <w:szCs w:val="1"/>
                <w:color w:val="auto"/>
              </w:rPr>
            </w:pPr>
          </w:p>
        </w:tc>
      </w:tr>
      <w:tr>
        <w:trPr>
          <w:trHeight w:val="99"/>
        </w:trPr>
        <w:tc>
          <w:tcPr>
            <w:tcW w:w="4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6"/>
              </w:rPr>
              <w:t>Carrying</w:t>
            </w:r>
          </w:p>
        </w:tc>
        <w:tc>
          <w:tcPr>
            <w:tcW w:w="18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0" w:type="dxa"/>
            <w:vAlign w:val="bottom"/>
          </w:tcPr>
          <w:p>
            <w:pPr>
              <w:spacing w:after="0"/>
              <w:rPr>
                <w:sz w:val="1"/>
                <w:szCs w:val="1"/>
                <w:color w:val="auto"/>
              </w:rPr>
            </w:pPr>
          </w:p>
        </w:tc>
      </w:tr>
      <w:tr>
        <w:trPr>
          <w:trHeight w:val="115"/>
        </w:trPr>
        <w:tc>
          <w:tcPr>
            <w:tcW w:w="4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80" w:type="dxa"/>
            <w:vAlign w:val="bottom"/>
          </w:tcPr>
          <w:p>
            <w:pPr>
              <w:spacing w:after="0"/>
              <w:rPr>
                <w:sz w:val="10"/>
                <w:szCs w:val="10"/>
                <w:color w:val="auto"/>
              </w:rPr>
            </w:pPr>
          </w:p>
        </w:tc>
        <w:tc>
          <w:tcPr>
            <w:tcW w:w="1000" w:type="dxa"/>
            <w:vAlign w:val="bottom"/>
          </w:tcPr>
          <w:p>
            <w:pPr>
              <w:jc w:val="right"/>
              <w:ind w:right="263"/>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Loss</w:t>
            </w:r>
          </w:p>
        </w:tc>
        <w:tc>
          <w:tcPr>
            <w:tcW w:w="180" w:type="dxa"/>
            <w:vAlign w:val="bottom"/>
          </w:tcPr>
          <w:p>
            <w:pPr>
              <w:spacing w:after="0"/>
              <w:rPr>
                <w:sz w:val="10"/>
                <w:szCs w:val="10"/>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0"/>
                <w:szCs w:val="10"/>
                <w:b w:val="1"/>
                <w:bCs w:val="1"/>
                <w:color w:val="auto"/>
              </w:rPr>
              <w:t>Value</w:t>
            </w:r>
          </w:p>
        </w:tc>
        <w:tc>
          <w:tcPr>
            <w:tcW w:w="14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Useful Life</w:t>
            </w:r>
          </w:p>
        </w:tc>
        <w:tc>
          <w:tcPr>
            <w:tcW w:w="0" w:type="dxa"/>
            <w:vAlign w:val="bottom"/>
          </w:tcPr>
          <w:p>
            <w:pPr>
              <w:spacing w:after="0"/>
              <w:rPr>
                <w:sz w:val="1"/>
                <w:szCs w:val="1"/>
                <w:color w:val="auto"/>
              </w:rPr>
            </w:pPr>
          </w:p>
        </w:tc>
      </w:tr>
      <w:tr>
        <w:trPr>
          <w:trHeight w:val="153"/>
        </w:trPr>
        <w:tc>
          <w:tcPr>
            <w:tcW w:w="43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License rights from related parties</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152,990,000</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(127,877,024)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(16,325,000)</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8,787,976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CCEEFF"/>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3 - 5 years</w:t>
            </w:r>
          </w:p>
        </w:tc>
        <w:tc>
          <w:tcPr>
            <w:tcW w:w="0" w:type="dxa"/>
            <w:vAlign w:val="bottom"/>
          </w:tcPr>
          <w:p>
            <w:pPr>
              <w:spacing w:after="0"/>
              <w:rPr>
                <w:sz w:val="1"/>
                <w:szCs w:val="1"/>
                <w:color w:val="auto"/>
              </w:rPr>
            </w:pPr>
          </w:p>
        </w:tc>
      </w:tr>
      <w:tr>
        <w:trPr>
          <w:trHeight w:val="138"/>
        </w:trPr>
        <w:tc>
          <w:tcPr>
            <w:tcW w:w="4300" w:type="dxa"/>
            <w:vAlign w:val="bottom"/>
            <w:tcBorders>
              <w:bottom w:val="single" w:sz="8" w:color="CCEEFF"/>
            </w:tcBorders>
          </w:tcPr>
          <w:p>
            <w:pPr>
              <w:spacing w:after="0" w:line="131" w:lineRule="exact"/>
              <w:rPr>
                <w:sz w:val="20"/>
                <w:szCs w:val="20"/>
                <w:color w:val="auto"/>
              </w:rPr>
            </w:pPr>
            <w:r>
              <w:rPr>
                <w:rFonts w:ascii="Times New Roman" w:cs="Times New Roman" w:eastAsia="Times New Roman" w:hAnsi="Times New Roman"/>
                <w:sz w:val="12"/>
                <w:szCs w:val="12"/>
                <w:color w:val="auto"/>
              </w:rPr>
              <w:t>License rights</w:t>
            </w: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3,000,000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(2,750,000)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bottom w:val="single" w:sz="8" w:color="auto"/>
            </w:tcBorders>
          </w:tcPr>
          <w:p>
            <w:pPr>
              <w:jc w:val="right"/>
              <w:spacing w:after="0" w:line="131" w:lineRule="exact"/>
              <w:rPr>
                <w:sz w:val="20"/>
                <w:szCs w:val="20"/>
                <w:color w:val="auto"/>
              </w:rPr>
            </w:pPr>
            <w:r>
              <w:rPr>
                <w:rFonts w:ascii="Times New Roman" w:cs="Times New Roman" w:eastAsia="Times New Roman" w:hAnsi="Times New Roman"/>
                <w:sz w:val="12"/>
                <w:szCs w:val="12"/>
                <w:color w:val="auto"/>
              </w:rPr>
              <w:t>250,000</w:t>
            </w:r>
          </w:p>
        </w:tc>
        <w:tc>
          <w:tcPr>
            <w:tcW w:w="14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jc w:val="center"/>
              <w:spacing w:after="0" w:line="131" w:lineRule="exact"/>
              <w:rPr>
                <w:sz w:val="20"/>
                <w:szCs w:val="20"/>
                <w:color w:val="auto"/>
              </w:rPr>
            </w:pPr>
            <w:r>
              <w:rPr>
                <w:rFonts w:ascii="Times New Roman" w:cs="Times New Roman" w:eastAsia="Times New Roman" w:hAnsi="Times New Roman"/>
                <w:sz w:val="12"/>
                <w:szCs w:val="12"/>
                <w:color w:val="auto"/>
                <w:w w:val="98"/>
              </w:rPr>
              <w:t>5 years</w:t>
            </w: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 other:</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Software</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51,784</w:t>
            </w:r>
          </w:p>
        </w:tc>
        <w:tc>
          <w:tcPr>
            <w:tcW w:w="16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(50,908)</w:t>
            </w:r>
          </w:p>
        </w:tc>
        <w:tc>
          <w:tcPr>
            <w:tcW w:w="32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1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3 years</w:t>
            </w:r>
          </w:p>
        </w:tc>
        <w:tc>
          <w:tcPr>
            <w:tcW w:w="0" w:type="dxa"/>
            <w:vAlign w:val="bottom"/>
          </w:tcPr>
          <w:p>
            <w:pPr>
              <w:spacing w:after="0"/>
              <w:rPr>
                <w:sz w:val="1"/>
                <w:szCs w:val="1"/>
                <w:color w:val="auto"/>
              </w:rPr>
            </w:pP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Trademark</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(5,359)</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5,386</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 years</w:t>
            </w:r>
          </w:p>
        </w:tc>
        <w:tc>
          <w:tcPr>
            <w:tcW w:w="0" w:type="dxa"/>
            <w:vAlign w:val="bottom"/>
          </w:tcPr>
          <w:p>
            <w:pPr>
              <w:spacing w:after="0"/>
              <w:rPr>
                <w:sz w:val="1"/>
                <w:szCs w:val="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In-progress patent</w:t>
            </w:r>
          </w:p>
        </w:tc>
        <w:tc>
          <w:tcPr>
            <w:tcW w:w="22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270,886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270,886</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0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333,415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(56,267)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277,148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576"/>
        </w:trPr>
        <w:tc>
          <w:tcPr>
            <w:tcW w:w="4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jc w:val="right"/>
              <w:ind w:right="304"/>
              <w:spacing w:after="0"/>
              <w:rPr>
                <w:sz w:val="20"/>
                <w:szCs w:val="20"/>
                <w:color w:val="auto"/>
              </w:rPr>
            </w:pPr>
            <w:r>
              <w:rPr>
                <w:rFonts w:ascii="Times New Roman" w:cs="Times New Roman" w:eastAsia="Times New Roman" w:hAnsi="Times New Roman"/>
                <w:sz w:val="12"/>
                <w:szCs w:val="12"/>
                <w:color w:val="auto"/>
              </w:rPr>
              <w:t>17</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80"/>
          </w:cols>
          <w:pgMar w:left="960" w:top="390" w:right="9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Amortization expense was $1,851,203 and $4,139,551 for the three months ended September 30, 2022 and 2021, respectively. Amortization expense was $5,803,610 and $11,131,342 for the nine months ended September 30, 2022 and 2021, respectively. These amounts are included in cost of revenues in the accompanying condensed consolidated statements of operations and comprehensive income (loss). Future amortization expense of intangible assets is as follows:</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15"/>
        </w:trPr>
        <w:tc>
          <w:tcPr>
            <w:tcW w:w="69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i w:val="1"/>
                <w:iCs w:val="1"/>
                <w:color w:val="auto"/>
              </w:rPr>
              <w:t>Years ending December 31,</w:t>
            </w:r>
          </w:p>
        </w:tc>
        <w:tc>
          <w:tcPr>
            <w:tcW w:w="200" w:type="dxa"/>
            <w:vAlign w:val="bottom"/>
          </w:tcPr>
          <w:p>
            <w:pPr>
              <w:spacing w:after="0"/>
              <w:rPr>
                <w:sz w:val="10"/>
                <w:szCs w:val="10"/>
                <w:color w:val="auto"/>
              </w:rPr>
            </w:pPr>
          </w:p>
        </w:tc>
        <w:tc>
          <w:tcPr>
            <w:tcW w:w="800" w:type="dxa"/>
            <w:vAlign w:val="bottom"/>
          </w:tcPr>
          <w:p>
            <w:pPr>
              <w:jc w:val="right"/>
              <w:ind w:right="282"/>
              <w:spacing w:after="0"/>
              <w:rPr>
                <w:sz w:val="20"/>
                <w:szCs w:val="20"/>
                <w:color w:val="auto"/>
              </w:rPr>
            </w:pPr>
            <w:r>
              <w:rPr>
                <w:rFonts w:ascii="Times New Roman" w:cs="Times New Roman" w:eastAsia="Times New Roman" w:hAnsi="Times New Roman"/>
                <w:sz w:val="10"/>
                <w:szCs w:val="10"/>
                <w:b w:val="1"/>
                <w:bCs w:val="1"/>
                <w:i w:val="1"/>
                <w:iCs w:val="1"/>
                <w:color w:val="auto"/>
              </w:rPr>
              <w:t>Amount</w:t>
            </w:r>
          </w:p>
        </w:tc>
      </w:tr>
      <w:tr>
        <w:trPr>
          <w:trHeight w:val="133"/>
        </w:trPr>
        <w:tc>
          <w:tcPr>
            <w:tcW w:w="678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Remainder of 2022</w:t>
            </w:r>
          </w:p>
        </w:tc>
        <w:tc>
          <w:tcPr>
            <w:tcW w:w="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1,851,205</w:t>
            </w:r>
          </w:p>
        </w:tc>
      </w:tr>
      <w:tr>
        <w:trPr>
          <w:trHeight w:val="144"/>
        </w:trPr>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1,384,927</w:t>
            </w:r>
          </w:p>
        </w:tc>
      </w:tr>
      <w:tr>
        <w:trPr>
          <w:trHeight w:val="14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804</w:t>
            </w:r>
          </w:p>
        </w:tc>
      </w:tr>
      <w:tr>
        <w:trPr>
          <w:trHeight w:val="144"/>
        </w:trPr>
        <w:tc>
          <w:tcPr>
            <w:tcW w:w="678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803</w:t>
            </w:r>
          </w:p>
        </w:tc>
      </w:tr>
      <w:tr>
        <w:trPr>
          <w:trHeight w:val="144"/>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w:t>
            </w:r>
          </w:p>
        </w:tc>
      </w:tr>
      <w:tr>
        <w:trPr>
          <w:trHeight w:val="144"/>
        </w:trPr>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color w:val="auto"/>
              </w:rPr>
              <w:t>Thereafter</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272,156</w:t>
            </w:r>
          </w:p>
        </w:tc>
      </w:tr>
      <w:tr>
        <w:trPr>
          <w:trHeight w:val="140"/>
        </w:trPr>
        <w:tc>
          <w:tcPr>
            <w:tcW w:w="67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3,510,638</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12 – ACCOUNTS PAYABLE — RELATED PARTY</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2"/>
          <w:szCs w:val="12"/>
          <w:color w:val="auto"/>
        </w:rPr>
        <w:t>Accounts payable to related party represents payables in the ordinary course of business primarily for purchases of game distribution licenses and also the royalties due to Suzhou Snail. As of September 30, 2022 and December 31, 2021, the Company had $22,330,781 and $23,733,572, respectively, as accounts payable due to Suzhou Snail. For the three months ended September 30, 2022 and 2021, the Company incurred $94,836 and $200,239, respectively as license costs due to Suzhou Snail. During the nine months ended September 30, 2022 and 2021, the Company incurred $316,869 and $592,262, respectively as license costs due to Suzhou Snail. During the nine months ended September 30, 2022, there was $1,719,660 paid to Suzhou Snail for royalties. There were no such payments made during the nine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13  – LOAN AND INTEREST RECEIVABLE — RELATED PARTY</w:t>
      </w:r>
    </w:p>
    <w:p>
      <w:pPr>
        <w:spacing w:after="0" w:line="15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 xml:space="preserve">In February 2021, the Company lent $200,000 to a wholly owned subsidiary of Suzhou Snail, the loan bears 2.0% per annum interest, interest and principal are due in February 2022. In February 2022, Suzhou Snail signed an agreement with this subsidiary and assumed loan and related interest for a total of $203,890. Subsequently, $103,890 was offset against the loan and interest payable owed to Suzhou Snail on a separate note. Please refer to Note 14 — </w:t>
      </w:r>
      <w:r>
        <w:rPr>
          <w:rFonts w:ascii="Times New Roman" w:cs="Times New Roman" w:eastAsia="Times New Roman" w:hAnsi="Times New Roman"/>
          <w:sz w:val="12"/>
          <w:szCs w:val="12"/>
          <w:i w:val="1"/>
          <w:iCs w:val="1"/>
          <w:color w:val="auto"/>
        </w:rPr>
        <w:t>Loan Payable and Interest Payable — Related Parties</w:t>
      </w:r>
      <w:r>
        <w:rPr>
          <w:rFonts w:ascii="Times New Roman" w:cs="Times New Roman" w:eastAsia="Times New Roman" w:hAnsi="Times New Roman"/>
          <w:sz w:val="12"/>
          <w:szCs w:val="12"/>
          <w:color w:val="auto"/>
        </w:rPr>
        <w:t>. The total amount of loan and interest receivable — related parties was $101,249 and $203,408, as of September 30, 2022 and December 31, 2021,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14 – LOAN PAYABLE AND INTEREST PAYABLE — RELATED PARTIES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The Company had a loan amount due to related parties of $400,000 bearing 2.00% per annum interest. $300,000 of the loan is from a wholly owned subsidiary of Suzhou Snail and due in June 2022, and $100,000 is from Suzhou Snail and due in December 2023. The $100,000 loan along with $3,890 interest payable to Suzhou Snail was offset by the loan receivable Suzhou Snail assumed in February 2022. Please refer to Note 13 — </w:t>
      </w:r>
      <w:r>
        <w:rPr>
          <w:rFonts w:ascii="Times New Roman" w:cs="Times New Roman" w:eastAsia="Times New Roman" w:hAnsi="Times New Roman"/>
          <w:sz w:val="12"/>
          <w:szCs w:val="12"/>
          <w:i w:val="1"/>
          <w:iCs w:val="1"/>
          <w:color w:val="auto"/>
        </w:rPr>
        <w:t>Loan and Interest Receivable — Related Party</w:t>
      </w:r>
      <w:r>
        <w:rPr>
          <w:rFonts w:ascii="Times New Roman" w:cs="Times New Roman" w:eastAsia="Times New Roman" w:hAnsi="Times New Roman"/>
          <w:sz w:val="12"/>
          <w:szCs w:val="12"/>
          <w:color w:val="auto"/>
        </w:rPr>
        <w:t>. In July 2022, the Company paid off the outstanding principal balance of $300,000. As of September 30, 2022 and December 31, 2021, the total loan payable — related parties amounted to $0 and $400,000, respectively, and total unpaid interest amounted to $527,770 and $528,439, as of September 30, 2022 and December 31, 2021,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15 – REVOLVING LOAN, SHORT TERM NOTE AND LONG-TERM DEBT</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160" w:type="dxa"/>
            <w:vAlign w:val="bottom"/>
          </w:tcPr>
          <w:p>
            <w:pPr>
              <w:spacing w:after="0"/>
              <w:rPr>
                <w:sz w:val="10"/>
                <w:szCs w:val="10"/>
                <w:color w:val="auto"/>
              </w:rPr>
            </w:pPr>
          </w:p>
        </w:tc>
        <w:tc>
          <w:tcPr>
            <w:tcW w:w="920" w:type="dxa"/>
            <w:vAlign w:val="bottom"/>
          </w:tcPr>
          <w:p>
            <w:pPr>
              <w:jc w:val="right"/>
              <w:ind w:right="203"/>
              <w:spacing w:after="0"/>
              <w:rPr>
                <w:sz w:val="20"/>
                <w:szCs w:val="20"/>
                <w:color w:val="auto"/>
              </w:rPr>
            </w:pPr>
            <w:r>
              <w:rPr>
                <w:rFonts w:ascii="Times New Roman" w:cs="Times New Roman" w:eastAsia="Times New Roman" w:hAnsi="Times New Roman"/>
                <w:sz w:val="10"/>
                <w:szCs w:val="10"/>
                <w:b w:val="1"/>
                <w:bCs w:val="1"/>
                <w:color w:val="auto"/>
              </w:rPr>
              <w:t>December 31,</w:t>
            </w:r>
          </w:p>
        </w:tc>
      </w:tr>
      <w:tr>
        <w:trPr>
          <w:trHeight w:val="115"/>
        </w:trPr>
        <w:tc>
          <w:tcPr>
            <w:tcW w:w="76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0"/>
                <w:szCs w:val="10"/>
                <w:b w:val="1"/>
                <w:bCs w:val="1"/>
                <w:color w:val="auto"/>
              </w:rPr>
              <w:t>2021</w:t>
            </w:r>
          </w:p>
        </w:tc>
      </w:tr>
      <w:tr>
        <w:trPr>
          <w:trHeight w:val="113"/>
        </w:trPr>
        <w:tc>
          <w:tcPr>
            <w:tcW w:w="7600" w:type="dxa"/>
            <w:vAlign w:val="bottom"/>
            <w:shd w:val="clear" w:color="auto" w:fill="CCEEFF"/>
          </w:tcPr>
          <w:p>
            <w:pPr>
              <w:spacing w:after="0" w:line="113" w:lineRule="exact"/>
              <w:rPr>
                <w:sz w:val="20"/>
                <w:szCs w:val="20"/>
                <w:color w:val="auto"/>
              </w:rPr>
            </w:pPr>
            <w:r>
              <w:rPr>
                <w:rFonts w:ascii="Times New Roman" w:cs="Times New Roman" w:eastAsia="Times New Roman" w:hAnsi="Times New Roman"/>
                <w:sz w:val="12"/>
                <w:szCs w:val="12"/>
                <w:b w:val="1"/>
                <w:bCs w:val="1"/>
                <w:color w:val="auto"/>
              </w:rPr>
              <w:t xml:space="preserve">PPP Promissory Note - </w:t>
            </w:r>
            <w:r>
              <w:rPr>
                <w:rFonts w:ascii="Times New Roman" w:cs="Times New Roman" w:eastAsia="Times New Roman" w:hAnsi="Times New Roman"/>
                <w:sz w:val="12"/>
                <w:szCs w:val="12"/>
                <w:color w:val="auto"/>
              </w:rPr>
              <w:t>In April 2020, the Company applied for and received $773,810 in SBA loans through the paycheck protection program. During</w:t>
            </w: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the period ended March 31, 2022, the Company made $90,198 in principal payments and during the year ended December 31, 2021 the SBA forgave</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$392,200 of the PPP loan. In April 2022, the SBA forgave the remaining balance of $126,131 and issued a refund for $48,305 of principal payments</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55"/>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made during the three months ended March 31, 2022.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216,329</w:t>
            </w:r>
          </w:p>
        </w:tc>
      </w:tr>
      <w:tr>
        <w:trPr>
          <w:trHeight w:val="133"/>
        </w:trPr>
        <w:tc>
          <w:tcPr>
            <w:tcW w:w="76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2021 Revolving Loan - </w:t>
            </w:r>
            <w:r>
              <w:rPr>
                <w:rFonts w:ascii="Times New Roman" w:cs="Times New Roman" w:eastAsia="Times New Roman" w:hAnsi="Times New Roman"/>
                <w:sz w:val="12"/>
                <w:szCs w:val="12"/>
                <w:color w:val="auto"/>
              </w:rPr>
              <w:t>On June 17, 2021, the Company amended its revolving loan agreement (“amended revolver”) and increased the maximum</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balance to $9,000,000. The amended revolver matures on December 31, 2023 and has an annual interest rate equal to the prime rate less 0.25%. The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revolver is secured by the certificate of deposit accounts held with the financial institution, and reported as restricted cash, in the amount of $5,257,382</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and $5,240,752 as of September 30, 2022 and December 31, 2021, respectively. Debt covenants of this loan require the Company to maintain a</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5"/>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minimum debt service coverage ratio of at least 1.5 to 1.</w:t>
            </w:r>
          </w:p>
        </w:tc>
        <w:tc>
          <w:tcPr>
            <w:tcW w:w="1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9,000,000</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9,000,000</w:t>
            </w: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2021 Promissory Note - </w:t>
            </w:r>
            <w:r>
              <w:rPr>
                <w:rFonts w:ascii="Times New Roman" w:cs="Times New Roman" w:eastAsia="Times New Roman" w:hAnsi="Times New Roman"/>
                <w:sz w:val="12"/>
                <w:szCs w:val="12"/>
                <w:color w:val="auto"/>
              </w:rPr>
              <w:t>On June 17, 2021, the Company amended its loan agreement to reduce the principal amount with financial institution for 10</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4"/>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years, annual interest rate of 3.5% for the first 5 years, and then floating at Wall Street Journal rate from years 6 to 10, the loan is secured by the</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55"/>
        </w:trPr>
        <w:tc>
          <w:tcPr>
            <w:tcW w:w="7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Company’s building and matures on June 30, 2031. The note is subject to a prepayment penalty.</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2,904,815</w:t>
            </w: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2,962,782</w:t>
            </w:r>
          </w:p>
        </w:tc>
      </w:tr>
      <w:tr>
        <w:trPr>
          <w:trHeight w:val="133"/>
        </w:trPr>
        <w:tc>
          <w:tcPr>
            <w:tcW w:w="760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2022 Short Term Note </w:t>
            </w:r>
            <w:r>
              <w:rPr>
                <w:rFonts w:ascii="Times New Roman" w:cs="Times New Roman" w:eastAsia="Times New Roman" w:hAnsi="Times New Roman"/>
                <w:sz w:val="12"/>
                <w:szCs w:val="12"/>
                <w:color w:val="auto"/>
              </w:rPr>
              <w:t>- On January 26, 2022, the Company amended its revolving loan and long-term debt agreements to obtain an additional note with</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 principal balance of $10,000,000 which matures on January 26, 2023. Interest shall be equal to the higher of 3.75% or the Wall Street Journal Prime</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Rate plus 0.50%. The loan is secured by the Company’s assets. In the event of a default, all outstanding amounts under the note will bear interest at a</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2"/>
        </w:trPr>
        <w:tc>
          <w:tcPr>
            <w:tcW w:w="76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default rate equal to 5% over the note rate. Debt covenants of this loan require the Company to maintain a minimum debt service coverage ratio of at</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7"/>
        </w:trPr>
        <w:tc>
          <w:tcPr>
            <w:tcW w:w="7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2"/>
                <w:szCs w:val="12"/>
                <w:color w:val="auto"/>
              </w:rPr>
              <w:t xml:space="preserve">least 1.5 to 1 and will be measured quarterly. In November 2022, the maturity was extended to January 26, 2024; see Note 19 - </w:t>
            </w:r>
            <w:r>
              <w:rPr>
                <w:rFonts w:ascii="Times New Roman" w:cs="Times New Roman" w:eastAsia="Times New Roman" w:hAnsi="Times New Roman"/>
                <w:sz w:val="12"/>
                <w:szCs w:val="12"/>
                <w:i w:val="1"/>
                <w:iCs w:val="1"/>
                <w:color w:val="auto"/>
              </w:rPr>
              <w:t>Subsequent Events.</w:t>
            </w: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6,666,667</w:t>
            </w:r>
          </w:p>
        </w:tc>
        <w:tc>
          <w:tcPr>
            <w:tcW w:w="2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76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18,571,482</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12,179,111</w:t>
            </w:r>
          </w:p>
        </w:tc>
      </w:tr>
      <w:tr>
        <w:trPr>
          <w:trHeight w:val="144"/>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Less: current portion</w:t>
            </w: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15,746,092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9,293,677</w:t>
            </w:r>
          </w:p>
        </w:tc>
      </w:tr>
      <w:tr>
        <w:trPr>
          <w:trHeight w:val="140"/>
        </w:trPr>
        <w:tc>
          <w:tcPr>
            <w:tcW w:w="76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long-term debt</w:t>
            </w:r>
          </w:p>
        </w:tc>
        <w:tc>
          <w:tcPr>
            <w:tcW w:w="14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2,825,390</w:t>
            </w:r>
          </w:p>
        </w:tc>
        <w:tc>
          <w:tcPr>
            <w:tcW w:w="2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2,885,434</w:t>
            </w:r>
          </w:p>
        </w:tc>
      </w:tr>
    </w:tbl>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Total interest expense for the above debt and revolver loan amounted to $254,480 and $105,577 for the three months ended, September 30, 2022 and 2021, respectively. Total interest expense for above debt and revolver loan amounted to $594,171 and $281,680 for the nine months ended September 30, 2022 and 2021, respectively. Amortization of loan origination expenses of $6,590 and $8,870 are included as part of interest expense for the three months ended September 30, 2022 and 2021, respectively. Amortization of loan origination expenses of $19,149 and $22,388 are included as part of interest expense for the nine months ended September 30, 2022 and 2021, respectively. The Company is in compliance with its debt covenants as of September 30, 2022 and December 31, 2021.</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future minimum payments of its long-term debt as of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0"/>
                <w:szCs w:val="10"/>
                <w:b w:val="1"/>
                <w:bCs w:val="1"/>
                <w:i w:val="1"/>
                <w:iCs w:val="1"/>
                <w:color w:val="auto"/>
              </w:rPr>
              <w:t>Years ending December 31,</w:t>
            </w:r>
          </w:p>
        </w:tc>
        <w:tc>
          <w:tcPr>
            <w:tcW w:w="4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i w:val="1"/>
                <w:iCs w:val="1"/>
                <w:color w:val="auto"/>
              </w:rPr>
              <w:t>Amount</w:t>
            </w:r>
          </w:p>
        </w:tc>
      </w:tr>
      <w:tr>
        <w:trPr>
          <w:trHeight w:val="133"/>
        </w:trPr>
        <w:tc>
          <w:tcPr>
            <w:tcW w:w="1000" w:type="dxa"/>
            <w:vAlign w:val="bottom"/>
          </w:tcPr>
          <w:p>
            <w:pPr>
              <w:spacing w:after="0"/>
              <w:rPr>
                <w:sz w:val="11"/>
                <w:szCs w:val="11"/>
                <w:color w:val="auto"/>
              </w:rPr>
            </w:pPr>
          </w:p>
        </w:tc>
        <w:tc>
          <w:tcPr>
            <w:tcW w:w="250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Remainder of 2022</w:t>
            </w:r>
          </w:p>
        </w:tc>
        <w:tc>
          <w:tcPr>
            <w:tcW w:w="4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1,269,381</w:t>
            </w:r>
          </w:p>
        </w:tc>
        <w:tc>
          <w:tcPr>
            <w:tcW w:w="980" w:type="dxa"/>
            <w:vAlign w:val="bottom"/>
          </w:tcPr>
          <w:p>
            <w:pPr>
              <w:spacing w:after="0"/>
              <w:rPr>
                <w:sz w:val="11"/>
                <w:szCs w:val="11"/>
                <w:color w:val="auto"/>
              </w:rPr>
            </w:pPr>
          </w:p>
        </w:tc>
      </w:tr>
      <w:tr>
        <w:trPr>
          <w:trHeight w:val="144"/>
        </w:trPr>
        <w:tc>
          <w:tcPr>
            <w:tcW w:w="1000" w:type="dxa"/>
            <w:vAlign w:val="bottom"/>
          </w:tcPr>
          <w:p>
            <w:pPr>
              <w:spacing w:after="0"/>
              <w:rPr>
                <w:sz w:val="12"/>
                <w:szCs w:val="1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2"/>
                <w:szCs w:val="12"/>
                <w:color w:val="auto"/>
              </w:rPr>
              <w:t>2023</w:t>
            </w:r>
          </w:p>
        </w:tc>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14,496,804</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2024</w:t>
            </w:r>
          </w:p>
        </w:tc>
        <w:tc>
          <w:tcPr>
            <w:tcW w:w="4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82,748</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500" w:type="dxa"/>
            <w:vAlign w:val="bottom"/>
          </w:tcPr>
          <w:p>
            <w:pPr>
              <w:spacing w:after="0"/>
              <w:rPr>
                <w:sz w:val="20"/>
                <w:szCs w:val="20"/>
                <w:color w:val="auto"/>
              </w:rPr>
            </w:pPr>
            <w:r>
              <w:rPr>
                <w:rFonts w:ascii="Times New Roman" w:cs="Times New Roman" w:eastAsia="Times New Roman" w:hAnsi="Times New Roman"/>
                <w:sz w:val="12"/>
                <w:szCs w:val="12"/>
                <w:color w:val="auto"/>
              </w:rPr>
              <w:t>2025</w:t>
            </w:r>
          </w:p>
        </w:tc>
        <w:tc>
          <w:tcPr>
            <w:tcW w:w="4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86,013</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2026</w:t>
            </w:r>
          </w:p>
        </w:tc>
        <w:tc>
          <w:tcPr>
            <w:tcW w:w="4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89,115</w:t>
            </w:r>
          </w:p>
        </w:tc>
        <w:tc>
          <w:tcPr>
            <w:tcW w:w="980" w:type="dxa"/>
            <w:vAlign w:val="bottom"/>
          </w:tcPr>
          <w:p>
            <w:pPr>
              <w:spacing w:after="0"/>
              <w:rPr>
                <w:sz w:val="12"/>
                <w:szCs w:val="12"/>
                <w:color w:val="auto"/>
              </w:rPr>
            </w:pPr>
          </w:p>
        </w:tc>
      </w:tr>
      <w:tr>
        <w:trPr>
          <w:trHeight w:val="144"/>
        </w:trPr>
        <w:tc>
          <w:tcPr>
            <w:tcW w:w="1000" w:type="dxa"/>
            <w:vAlign w:val="bottom"/>
          </w:tcPr>
          <w:p>
            <w:pPr>
              <w:spacing w:after="0"/>
              <w:rPr>
                <w:sz w:val="12"/>
                <w:szCs w:val="12"/>
                <w:color w:val="auto"/>
              </w:rPr>
            </w:pPr>
          </w:p>
        </w:tc>
        <w:tc>
          <w:tcPr>
            <w:tcW w:w="2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Thereafter</w:t>
            </w:r>
          </w:p>
        </w:tc>
        <w:tc>
          <w:tcPr>
            <w:tcW w:w="4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2,547,421</w:t>
            </w:r>
          </w:p>
        </w:tc>
        <w:tc>
          <w:tcPr>
            <w:tcW w:w="980" w:type="dxa"/>
            <w:vAlign w:val="bottom"/>
          </w:tcPr>
          <w:p>
            <w:pPr>
              <w:spacing w:after="0"/>
              <w:rPr>
                <w:sz w:val="12"/>
                <w:szCs w:val="12"/>
                <w:color w:val="auto"/>
              </w:rPr>
            </w:pPr>
          </w:p>
        </w:tc>
      </w:tr>
      <w:tr>
        <w:trPr>
          <w:trHeight w:val="153"/>
        </w:trPr>
        <w:tc>
          <w:tcPr>
            <w:tcW w:w="1000" w:type="dxa"/>
            <w:vAlign w:val="bottom"/>
          </w:tcPr>
          <w:p>
            <w:pPr>
              <w:spacing w:after="0"/>
              <w:rPr>
                <w:sz w:val="13"/>
                <w:szCs w:val="13"/>
                <w:color w:val="auto"/>
              </w:rPr>
            </w:pPr>
          </w:p>
        </w:tc>
        <w:tc>
          <w:tcPr>
            <w:tcW w:w="2500" w:type="dxa"/>
            <w:vAlign w:val="bottom"/>
            <w:tcBorders>
              <w:bottom w:val="single" w:sz="8" w:color="CCEEFF"/>
            </w:tcBorders>
            <w:shd w:val="clear" w:color="auto" w:fill="CCEEFF"/>
          </w:tcPr>
          <w:p>
            <w:pPr>
              <w:spacing w:after="0"/>
              <w:rPr>
                <w:sz w:val="13"/>
                <w:szCs w:val="13"/>
                <w:color w:val="auto"/>
              </w:rPr>
            </w:pPr>
          </w:p>
        </w:tc>
        <w:tc>
          <w:tcPr>
            <w:tcW w:w="42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18,571,482</w:t>
            </w:r>
          </w:p>
        </w:tc>
        <w:tc>
          <w:tcPr>
            <w:tcW w:w="980" w:type="dxa"/>
            <w:vAlign w:val="bottom"/>
          </w:tcPr>
          <w:p>
            <w:pPr>
              <w:spacing w:after="0"/>
              <w:rPr>
                <w:sz w:val="13"/>
                <w:szCs w:val="13"/>
                <w:color w:val="auto"/>
              </w:rPr>
            </w:pPr>
          </w:p>
        </w:tc>
      </w:tr>
      <w:tr>
        <w:trPr>
          <w:trHeight w:val="572"/>
        </w:trPr>
        <w:tc>
          <w:tcPr>
            <w:tcW w:w="1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40" w:type="dxa"/>
            <w:vAlign w:val="bottom"/>
          </w:tcPr>
          <w:p>
            <w:pPr>
              <w:jc w:val="right"/>
              <w:ind w:right="2640"/>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60"/>
        </w:trPr>
        <w:tc>
          <w:tcPr>
            <w:tcW w:w="1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390" w:right="9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16 – INCOME TAXES</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The Company and its subsidiaries currently file tax returns in the United States (federal and state) and Poland. The statute of limitations for its consolidated federal income tax returns are open for tax years ended December 31, 2018 and after. The statute of limitations for its consolidated California income tax returns are open for tax years ended December 31, 2017 and after. All tax periods for its Polish subsidiary are currently subject to examination since its inception in 2018.</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recognized an income tax benefit of $398,998 and expense of $891,538 for the three months ended September 30, 2022 and 2021, respectively, reflecting an effective tax rate of 20.5% and 19.2% for the three month periods ended September 30, 2022 and 2021, respectively. The income tax expense of $803,305 and $4,214,245 for the nine months ended September 30, 2022 and 2021, respectively, reflects an effective tax rate of 19.7% for the period ended September 30, 2022 and 19.8% for the period ended September 30, 2021. At September 30, 2022, the Company’s effective tax rate of 19.7% was less than the federal statutory rate of 21.0% primarily due to the impact of foreign taxes.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17 – OPERATING LEASE RIGHT-OF-USE ASSETS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September 30, 2022 and December 31, 2021 the Company’s net operating lease right-of-use assets amounted to $3,887,326 and $5,100,912, respectively. During the nine months ended September 30, 2022, the Company terminated one of its lease contracts and had a second expire. One of the Company’s lease contracts resulted in a gain on the lease termination of $122,533. There were no such terminations during the year ended December 31, 2021. The effects of the termination and expiration of the Company’s lease contracts on the related lease asset and liability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0"/>
                <w:szCs w:val="10"/>
                <w:b w:val="1"/>
                <w:bCs w:val="1"/>
                <w:color w:val="auto"/>
                <w:w w:val="94"/>
              </w:rPr>
              <w:t>Right of Use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1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tcPr>
          <w:p>
            <w:pPr>
              <w:jc w:val="right"/>
              <w:ind w:right="506"/>
              <w:spacing w:after="0"/>
              <w:rPr>
                <w:sz w:val="20"/>
                <w:szCs w:val="20"/>
                <w:color w:val="auto"/>
              </w:rPr>
            </w:pPr>
            <w:r>
              <w:rPr>
                <w:rFonts w:ascii="Times New Roman" w:cs="Times New Roman" w:eastAsia="Times New Roman" w:hAnsi="Times New Roman"/>
                <w:sz w:val="10"/>
                <w:szCs w:val="10"/>
                <w:b w:val="1"/>
                <w:bCs w:val="1"/>
                <w:color w:val="auto"/>
              </w:rPr>
              <w:t>Lease Liability</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w w:val="99"/>
              </w:rPr>
              <w:t>Gain on</w:t>
            </w:r>
          </w:p>
        </w:tc>
      </w:tr>
      <w:tr>
        <w:trPr>
          <w:trHeight w:val="88"/>
        </w:trPr>
        <w:tc>
          <w:tcPr>
            <w:tcW w:w="5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jc w:val="center"/>
              <w:ind w:right="108"/>
              <w:spacing w:after="0" w:line="88" w:lineRule="exact"/>
              <w:rPr>
                <w:sz w:val="20"/>
                <w:szCs w:val="20"/>
                <w:color w:val="auto"/>
              </w:rPr>
            </w:pPr>
            <w:r>
              <w:rPr>
                <w:rFonts w:ascii="Times New Roman" w:cs="Times New Roman" w:eastAsia="Times New Roman" w:hAnsi="Times New Roman"/>
                <w:sz w:val="10"/>
                <w:szCs w:val="10"/>
                <w:b w:val="1"/>
                <w:bCs w:val="1"/>
                <w:color w:val="auto"/>
                <w:w w:val="96"/>
              </w:rPr>
              <w:t>Asset</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ind w:left="60"/>
              <w:spacing w:after="0" w:line="88" w:lineRule="exact"/>
              <w:rPr>
                <w:sz w:val="20"/>
                <w:szCs w:val="20"/>
                <w:color w:val="auto"/>
              </w:rPr>
            </w:pPr>
            <w:r>
              <w:rPr>
                <w:rFonts w:ascii="Times New Roman" w:cs="Times New Roman" w:eastAsia="Times New Roman" w:hAnsi="Times New Roman"/>
                <w:sz w:val="10"/>
                <w:szCs w:val="10"/>
                <w:b w:val="1"/>
                <w:bCs w:val="1"/>
                <w:color w:val="auto"/>
              </w:rPr>
              <w:t>Amortization</w:t>
            </w:r>
          </w:p>
        </w:tc>
        <w:tc>
          <w:tcPr>
            <w:tcW w:w="14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jc w:val="right"/>
              <w:ind w:right="188"/>
              <w:spacing w:after="0" w:line="88" w:lineRule="exact"/>
              <w:rPr>
                <w:sz w:val="20"/>
                <w:szCs w:val="20"/>
                <w:color w:val="auto"/>
              </w:rPr>
            </w:pPr>
            <w:r>
              <w:rPr>
                <w:rFonts w:ascii="Times New Roman" w:cs="Times New Roman" w:eastAsia="Times New Roman" w:hAnsi="Times New Roman"/>
                <w:sz w:val="10"/>
                <w:szCs w:val="10"/>
                <w:b w:val="1"/>
                <w:bCs w:val="1"/>
                <w:color w:val="auto"/>
              </w:rPr>
              <w:t>Current</w:t>
            </w:r>
          </w:p>
        </w:tc>
        <w:tc>
          <w:tcPr>
            <w:tcW w:w="1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ind w:right="106"/>
              <w:spacing w:after="0" w:line="88" w:lineRule="exact"/>
              <w:rPr>
                <w:sz w:val="20"/>
                <w:szCs w:val="20"/>
                <w:color w:val="auto"/>
              </w:rPr>
            </w:pPr>
            <w:r>
              <w:rPr>
                <w:rFonts w:ascii="Times New Roman" w:cs="Times New Roman" w:eastAsia="Times New Roman" w:hAnsi="Times New Roman"/>
                <w:sz w:val="10"/>
                <w:szCs w:val="10"/>
                <w:b w:val="1"/>
                <w:bCs w:val="1"/>
                <w:color w:val="auto"/>
                <w:w w:val="94"/>
              </w:rPr>
              <w:t>Long Term</w:t>
            </w:r>
          </w:p>
        </w:tc>
        <w:tc>
          <w:tcPr>
            <w:tcW w:w="14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jc w:val="center"/>
              <w:ind w:right="48"/>
              <w:spacing w:after="0" w:line="88" w:lineRule="exact"/>
              <w:rPr>
                <w:sz w:val="20"/>
                <w:szCs w:val="20"/>
                <w:color w:val="auto"/>
              </w:rPr>
            </w:pPr>
            <w:r>
              <w:rPr>
                <w:rFonts w:ascii="Times New Roman" w:cs="Times New Roman" w:eastAsia="Times New Roman" w:hAnsi="Times New Roman"/>
                <w:sz w:val="10"/>
                <w:szCs w:val="10"/>
                <w:b w:val="1"/>
                <w:bCs w:val="1"/>
                <w:color w:val="auto"/>
                <w:w w:val="92"/>
              </w:rPr>
              <w:t>Termination</w:t>
            </w:r>
          </w:p>
        </w:tc>
      </w:tr>
      <w:tr>
        <w:trPr>
          <w:trHeight w:val="140"/>
        </w:trPr>
        <w:tc>
          <w:tcPr>
            <w:tcW w:w="5100" w:type="dxa"/>
            <w:vAlign w:val="bottom"/>
            <w:tcBorders>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Lease Terminations</w:t>
            </w:r>
          </w:p>
        </w:tc>
        <w:tc>
          <w:tcPr>
            <w:tcW w:w="1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5"/>
                <w:szCs w:val="5"/>
                <w:color w:val="auto"/>
                <w:w w:val="78"/>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(1,301,571)</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907,370</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442,704</w:t>
            </w:r>
          </w:p>
        </w:tc>
        <w:tc>
          <w:tcPr>
            <w:tcW w:w="1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6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74,030</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122,533</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18 – COMMITMENTS AND CONTINGENCIES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Litigation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is subject to claims and contingencies related to lawsuits and other matters arising out of the normal course of business. In addition, we may receive notifications alleging infringement of patent or other intellectual property rights. The Company has elected to expense legal costs associated with legal contingencies as incurred. As of December 31, 2021, the Company had an estimated accrual of $1,330,000, as a result of a pending litigation settlement. Such amount is included in accrued expenses on the accompanying condensed consolidated balance sheets. The Company paid the balance of $1,330,000 during the nine month period ended September 30, 2022.</w:t>
      </w:r>
    </w:p>
    <w:p>
      <w:pPr>
        <w:spacing w:after="0" w:line="12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2"/>
          <w:szCs w:val="12"/>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concerns a videogame titled </w:t>
      </w:r>
      <w:r>
        <w:rPr>
          <w:rFonts w:ascii="Times New Roman" w:cs="Times New Roman" w:eastAsia="Times New Roman" w:hAnsi="Times New Roman"/>
          <w:sz w:val="12"/>
          <w:szCs w:val="12"/>
          <w:i w:val="1"/>
          <w:iCs w:val="1"/>
          <w:color w:val="auto"/>
        </w:rPr>
        <w:t>Myth of Empires</w:t>
      </w:r>
      <w:r>
        <w:rPr>
          <w:rFonts w:ascii="Times New Roman" w:cs="Times New Roman" w:eastAsia="Times New Roman" w:hAnsi="Times New Roman"/>
          <w:sz w:val="12"/>
          <w:szCs w:val="12"/>
          <w:color w:val="auto"/>
        </w:rPr>
        <w:t xml:space="preserve">, which was developed by Suzhou Angela Online Game Technology Co., Ltd. (“Angela Game”) and published by Imperium Interactive Entertainment Limited (“Imperium”). The DCMA Takedown Notice alleges that Angela Game and Imperium misappropriated the copyrighted source code of </w:t>
      </w:r>
      <w:r>
        <w:rPr>
          <w:rFonts w:ascii="Times New Roman" w:cs="Times New Roman" w:eastAsia="Times New Roman" w:hAnsi="Times New Roman"/>
          <w:sz w:val="12"/>
          <w:szCs w:val="12"/>
          <w:i w:val="1"/>
          <w:iCs w:val="1"/>
          <w:color w:val="auto"/>
        </w:rPr>
        <w:t>ARK: Survival Evolved</w:t>
      </w:r>
      <w:r>
        <w:rPr>
          <w:rFonts w:ascii="Times New Roman" w:cs="Times New Roman" w:eastAsia="Times New Roman" w:hAnsi="Times New Roman"/>
          <w:sz w:val="12"/>
          <w:szCs w:val="12"/>
          <w:color w:val="auto"/>
        </w:rPr>
        <w:t xml:space="preserve"> and used it to develop the game </w:t>
      </w:r>
      <w:r>
        <w:rPr>
          <w:rFonts w:ascii="Times New Roman" w:cs="Times New Roman" w:eastAsia="Times New Roman" w:hAnsi="Times New Roman"/>
          <w:sz w:val="12"/>
          <w:szCs w:val="12"/>
          <w:i w:val="1"/>
          <w:iCs w:val="1"/>
          <w:color w:val="auto"/>
        </w:rPr>
        <w:t>Myth of Empires</w:t>
      </w:r>
      <w:r>
        <w:rPr>
          <w:rFonts w:ascii="Times New Roman" w:cs="Times New Roman" w:eastAsia="Times New Roman" w:hAnsi="Times New Roman"/>
          <w:sz w:val="12"/>
          <w:szCs w:val="12"/>
          <w:color w:val="auto"/>
        </w:rPr>
        <w:t xml:space="preserve">. The DCMA Takedown Notice requested that Steam cease distributing </w:t>
      </w:r>
      <w:r>
        <w:rPr>
          <w:rFonts w:ascii="Times New Roman" w:cs="Times New Roman" w:eastAsia="Times New Roman" w:hAnsi="Times New Roman"/>
          <w:sz w:val="12"/>
          <w:szCs w:val="12"/>
          <w:i w:val="1"/>
          <w:iCs w:val="1"/>
          <w:color w:val="auto"/>
        </w:rPr>
        <w:t>Myth of Empires</w:t>
      </w:r>
      <w:r>
        <w:rPr>
          <w:rFonts w:ascii="Times New Roman" w:cs="Times New Roman" w:eastAsia="Times New Roman" w:hAnsi="Times New Roman"/>
          <w:sz w:val="12"/>
          <w:szCs w:val="12"/>
          <w:color w:val="auto"/>
        </w:rPr>
        <w:t xml:space="preserve"> and remove the game from the Steam platform. Steam complied with the DCMA Takedown Notice and removed </w:t>
      </w:r>
      <w:r>
        <w:rPr>
          <w:rFonts w:ascii="Times New Roman" w:cs="Times New Roman" w:eastAsia="Times New Roman" w:hAnsi="Times New Roman"/>
          <w:sz w:val="12"/>
          <w:szCs w:val="12"/>
          <w:i w:val="1"/>
          <w:iCs w:val="1"/>
          <w:color w:val="auto"/>
        </w:rPr>
        <w:t>Myth of Empires</w:t>
      </w:r>
      <w:r>
        <w:rPr>
          <w:rFonts w:ascii="Times New Roman" w:cs="Times New Roman" w:eastAsia="Times New Roman" w:hAnsi="Times New Roman"/>
          <w:sz w:val="12"/>
          <w:szCs w:val="12"/>
          <w:color w:val="auto"/>
        </w:rPr>
        <w:t xml:space="preserve"> from its platform. The DCMA Takedown Notice was also sent to Tencent Cloud LLC (“Tencent”), which hosts the United States servers for users who downloaded the game before it was removed from Steam, but Tencent has not complied with the DCMA Takedown Notice.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 xml:space="preserve">On December 9, 2021, Angela Game and Imperium filed a complaint against the Company and Studio Wildcard in the United States District Court for the Central District of California in response to the DCMA Takedown Notice. The lawsuit seeks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once again reinstate </w:t>
      </w:r>
      <w:r>
        <w:rPr>
          <w:rFonts w:ascii="Times New Roman" w:cs="Times New Roman" w:eastAsia="Times New Roman" w:hAnsi="Times New Roman"/>
          <w:sz w:val="12"/>
          <w:szCs w:val="12"/>
          <w:i w:val="1"/>
          <w:iCs w:val="1"/>
          <w:color w:val="auto"/>
        </w:rPr>
        <w:t>Myth of Empires</w:t>
      </w:r>
      <w:r>
        <w:rPr>
          <w:rFonts w:ascii="Times New Roman" w:cs="Times New Roman" w:eastAsia="Times New Roman" w:hAnsi="Times New Roman"/>
          <w:sz w:val="12"/>
          <w:szCs w:val="12"/>
          <w:color w:val="auto"/>
        </w:rPr>
        <w:t xml:space="preserve">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 w:cs="Times New Roman" w:eastAsia="Times New Roman" w:hAnsi="Times New Roman"/>
          <w:sz w:val="12"/>
          <w:szCs w:val="12"/>
          <w:i w:val="1"/>
          <w:iCs w:val="1"/>
          <w:color w:val="auto"/>
        </w:rPr>
        <w:t>ARK: Survival Evolved</w:t>
      </w:r>
      <w:r>
        <w:rPr>
          <w:rFonts w:ascii="Times New Roman" w:cs="Times New Roman" w:eastAsia="Times New Roman" w:hAnsi="Times New Roman"/>
          <w:sz w:val="12"/>
          <w:szCs w:val="12"/>
          <w:color w:val="auto"/>
        </w:rPr>
        <w:t xml:space="preserve"> source code. On December 23, 2021 the court denied the application for a temporary restraining order and issued an order to show cause as to why a preliminary injunction should not be issued. On January 31, 2022, a hearing was held on the order to show cause, and the court issued an order denying the preliminary injunction.</w:t>
      </w:r>
    </w:p>
    <w:p>
      <w:pPr>
        <w:spacing w:after="0" w:line="6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February 3, 2022 Angela Game and Imperium appealed the order to the Ninth Circuit Court of Appeals (“Ninth Circuit”), claiming that the district court judge abused her discretion in denying the injunction. On October 6, 2022, the Ninth Circuit issued an order affirming the district court’s denial of the injunction.</w:t>
      </w:r>
    </w:p>
    <w:p>
      <w:pPr>
        <w:spacing w:after="0" w:line="48"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Meanwhile, the district court has appointed a neutral expert to compare the parties’ computer code and issue a report about the extent of similarities. The parties have also retained their own experts to compare the code. The district court has set no discovery deadlines or a trial date.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this time, we are unable to quantify the magnitude of the potential loss should the plaintiffs’ lawsuit succeed. The Company has not recorded any accrual as the legal costs are borne by Studio Wildcard.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 19 – SUBSEQUENT EVENTS</w:t>
      </w:r>
    </w:p>
    <w:p>
      <w:pPr>
        <w:spacing w:after="0" w:line="154" w:lineRule="exact"/>
        <w:rPr>
          <w:sz w:val="20"/>
          <w:szCs w:val="20"/>
          <w:color w:val="auto"/>
        </w:rPr>
      </w:pPr>
    </w:p>
    <w:p>
      <w:pPr>
        <w:jc w:val="both"/>
        <w:ind w:left="460" w:hanging="211"/>
        <w:spacing w:after="0" w:line="252"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September 16, 2022, the Company’s parent, Snail, Inc., filed a Form S-1 Registration Statement with the United States Securities and Exchange Commission in connection with its IPO. On November 9, 2022, effective with the IPO pricing, the Company’s existing shareholders transferred their 500,000 shares of common stock of the Company to Snail, Inc. in exchange for 6,251,420 shares of Class A common stock and 28,748,580 shares of Class B common stock of Snail, Inc., and Snail, Inc. became the parent of Snail Games USA Inc. On November 9, 2022 the Company’s parent, Snail, Inc., priced its IPO, and on November 10, 2022, Snail, Inc.’s Class A common stock began trading on The Nasdaq Capital Market exchange under the ticker symbol SNAL. In the IPO, Snail, Inc. issued 3,000,000 shares of Class A common stock and net proceeds from the IPO were distributed to the Company in November 2022 in the amount of approximately $12.0 million. In connection with the IPO, $1.0 million of IPO proceeds were remitted to an escrow account which is held to provide a source of funding for certain indemnification obligations of Snail, Inc. to the underwriters. The amount in escrow will be reported as restricted cash for 12 months from the date of the offering, at which time the restrictions will be removed and the balance will be reverted to unrestricted cash. In the IPO, Snail, Inc. also issued to the underwriters warrants to purchase 120,000 shares of Class A common stock at 125% of the IPO price, or $6.25 per share. The warrants are exercisable for three years from the effective date of registration. The underwriters were also granted an option to purchase up to an additional 450,000 shares of Class A common stock that expires on December 19, 2022, and the underwriters have not exercised the option.</w:t>
      </w:r>
    </w:p>
    <w:p>
      <w:pPr>
        <w:spacing w:after="0" w:line="1" w:lineRule="exact"/>
        <w:rPr>
          <w:rFonts w:ascii="Times New Roman" w:cs="Times New Roman" w:eastAsia="Times New Roman" w:hAnsi="Times New Roman"/>
          <w:sz w:val="12"/>
          <w:szCs w:val="12"/>
          <w:color w:val="auto"/>
        </w:rPr>
      </w:pPr>
    </w:p>
    <w:p>
      <w:pPr>
        <w:jc w:val="both"/>
        <w:ind w:left="460" w:hanging="211"/>
        <w:spacing w:after="0" w:line="250"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2022 Omnibus Incentive Plan (the “2022 Plan”) became effective upon the consummation of the IPO. The 2022 Plan is administered by the compensation committee of the board of directors. The maximum number of shares available for issuance under the 2022 Plan is 5,718,000. The 2022 Plan permits the grant of restricted stock units (“RSUs”). RSU grants of shares of Class A common stock are subject to certain vesting conditions and restrictions specified in the applicable RSU award agreement. Any employee, non-employee director or consultant is eligible to receive equity-based compensation in the form of RSUs pursuant to the 2022 Plan. In November 2022, employees were granted 1,200,960 RSUs at a value of $6.0 million and non-employee directors were granted 24,000 RSUs at a value of $0.1 million.</w:t>
      </w:r>
    </w:p>
    <w:p>
      <w:pPr>
        <w:spacing w:after="0" w:line="1" w:lineRule="exact"/>
        <w:rPr>
          <w:rFonts w:ascii="Times New Roman" w:cs="Times New Roman" w:eastAsia="Times New Roman" w:hAnsi="Times New Roman"/>
          <w:sz w:val="12"/>
          <w:szCs w:val="12"/>
          <w:color w:val="auto"/>
        </w:rPr>
      </w:pPr>
    </w:p>
    <w:p>
      <w:pPr>
        <w:ind w:left="460" w:hanging="211"/>
        <w:spacing w:after="0" w:line="273" w:lineRule="auto"/>
        <w:tabs>
          <w:tab w:leader="none" w:pos="46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November 2022, the Company received a $2.5 million refund of prior year California income tax relating to the Company’s implementation of California’s adopted market-based sourcing rules in income years open for refund. Subsequent years’ returns have been filed using the same methodology on which these refund claims were granted following California Franchise Tax Board review.</w:t>
      </w:r>
    </w:p>
    <w:p>
      <w:pPr>
        <w:jc w:val="both"/>
        <w:ind w:left="460" w:hanging="211"/>
        <w:spacing w:after="0" w:line="250"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November 10, 2022, the Snail, Inc. board of directors approved and established a new share repurchase program (the “Share Repurchase Program”) to reacquire shares of Snail, Inc.’s Class A common stock. The maximum aggregate value of the shares repurchased shall not exceed $5.0 million, and there is no fixed expiration date on the Share Repurchase Program. The exact number of shares of Class A common stock and timing and method of the repurchase are at the discretion of the CEO, CFO and Treasurer. As of December 13, 2022, 1,090,877 shares of Class A common stock were repurchased pursuant to the Share Repurchase Program and the average price paid per share was $2.98.</w:t>
      </w:r>
    </w:p>
    <w:p>
      <w:pPr>
        <w:spacing w:after="0" w:line="1" w:lineRule="exact"/>
        <w:rPr>
          <w:rFonts w:ascii="Times New Roman" w:cs="Times New Roman" w:eastAsia="Times New Roman" w:hAnsi="Times New Roman"/>
          <w:sz w:val="12"/>
          <w:szCs w:val="12"/>
          <w:color w:val="auto"/>
        </w:rPr>
      </w:pPr>
    </w:p>
    <w:p>
      <w:pPr>
        <w:jc w:val="both"/>
        <w:ind w:left="460" w:hanging="211"/>
        <w:spacing w:after="0" w:line="250"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December 2022, the Company extended the maturity of its term loan from January 26, 2023 to January 26, 2024 for the remaining balance outstanding at the time of the extension, which was $5.8 million. The rate has also been amended to the higher of the Wall Street Journal Prime Rate less 0.25% or 5.75%. A modification fee of $9,375 was paid in connection with the maturity extension.</w:t>
      </w:r>
    </w:p>
    <w:p>
      <w:pPr>
        <w:ind w:left="460" w:hanging="211"/>
        <w:spacing w:after="0" w:line="260" w:lineRule="auto"/>
        <w:tabs>
          <w:tab w:leader="none" w:pos="4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December 2022, the Company amended its exclusive license agreement relating to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The license fee has been restructured so that the Company will pay 45% of total revenue of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as a royalty instead of the $1.5 million monthly fee plus 25% of the total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revenue once the sequel, </w:t>
      </w:r>
      <w:r>
        <w:rPr>
          <w:rFonts w:ascii="Times New Roman" w:cs="Times New Roman" w:eastAsia="Times New Roman" w:hAnsi="Times New Roman"/>
          <w:sz w:val="12"/>
          <w:szCs w:val="12"/>
          <w:i w:val="1"/>
          <w:iCs w:val="1"/>
          <w:color w:val="auto"/>
        </w:rPr>
        <w:t>ARK 2</w:t>
      </w:r>
      <w:r>
        <w:rPr>
          <w:rFonts w:ascii="Times New Roman" w:cs="Times New Roman" w:eastAsia="Times New Roman" w:hAnsi="Times New Roman"/>
          <w:sz w:val="12"/>
          <w:szCs w:val="12"/>
          <w:color w:val="auto"/>
        </w:rPr>
        <w:t>, is publicly released.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60"/>
          </w:cols>
          <w:pgMar w:left="960" w:top="390" w:right="9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Management’s Discussion and Analysis of Financial Condition and Results of Operations</w:t>
      </w:r>
    </w:p>
    <w:p>
      <w:pPr>
        <w:spacing w:after="0" w:line="152" w:lineRule="exact"/>
        <w:rPr>
          <w:sz w:val="20"/>
          <w:szCs w:val="20"/>
          <w:color w:val="auto"/>
        </w:rPr>
      </w:pPr>
    </w:p>
    <w:p>
      <w:pPr>
        <w:jc w:val="both"/>
        <w:ind w:right="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The following discussion and analysis should be read in conjunction with our unaudited condensed consolidated financial statements and the related notes included elsewhere in this Quarterly Report on Form 10-Q (this “Quarterly Report”). This discussion and analysis may contain forward-looking statements based upon our current expectation, estimates and projections that involve risks and uncertainties. Our actual results could differ materially from those discussed in these forward-looking statements as a result of various factors, including those set forth under “Risk Factors,” in Part II, Item 1A of this Quarterly Report.</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54"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For four of the last six years ended December 2021, most recently in 2020, </w:t>
      </w:r>
      <w:r>
        <w:rPr>
          <w:rFonts w:ascii="Times New Roman" w:cs="Times New Roman" w:eastAsia="Times New Roman" w:hAnsi="Times New Roman"/>
          <w:sz w:val="12"/>
          <w:szCs w:val="12"/>
          <w:i w:val="1"/>
          <w:iCs w:val="1"/>
          <w:color w:val="auto"/>
        </w:rPr>
        <w:t>ARK: Survival Evolved</w:t>
      </w:r>
      <w:r>
        <w:rPr>
          <w:rFonts w:ascii="Times New Roman" w:cs="Times New Roman" w:eastAsia="Times New Roman" w:hAnsi="Times New Roman"/>
          <w:sz w:val="12"/>
          <w:szCs w:val="12"/>
          <w:color w:val="auto"/>
        </w:rPr>
        <w:t xml:space="preserve"> was a top-25 seller on the Steam platform across all game genres.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2"/>
          <w:szCs w:val="12"/>
          <w:i w:val="1"/>
          <w:iCs w:val="1"/>
          <w:color w:val="auto"/>
        </w:rPr>
        <w:t>ARK: Survival Evolved</w:t>
      </w:r>
      <w:r>
        <w:rPr>
          <w:rFonts w:ascii="Times New Roman" w:cs="Times New Roman" w:eastAsia="Times New Roman" w:hAnsi="Times New Roman"/>
          <w:sz w:val="12"/>
          <w:szCs w:val="12"/>
          <w:color w:val="auto"/>
        </w:rPr>
        <w:t xml:space="preserve">, is a leader within the sandbox survival genre with over 83.2 million console and PC installs through September 30, 2022. See “— Key Performance Metrics and Non-GAAP Measures.” In the three and nine month period ended September 30, 2022, </w:t>
      </w:r>
      <w:r>
        <w:rPr>
          <w:rFonts w:ascii="Times New Roman" w:cs="Times New Roman" w:eastAsia="Times New Roman" w:hAnsi="Times New Roman"/>
          <w:sz w:val="12"/>
          <w:szCs w:val="12"/>
          <w:i w:val="1"/>
          <w:iCs w:val="1"/>
          <w:color w:val="auto"/>
        </w:rPr>
        <w:t>ARK: Survival Evolved</w:t>
      </w:r>
      <w:r>
        <w:rPr>
          <w:rFonts w:ascii="Times New Roman" w:cs="Times New Roman" w:eastAsia="Times New Roman" w:hAnsi="Times New Roman"/>
          <w:sz w:val="12"/>
          <w:szCs w:val="12"/>
          <w:color w:val="auto"/>
        </w:rPr>
        <w:t xml:space="preserve"> averaged a total of 328,583 and 446,640 daily active users (“DAUs”) on the Steam and Epic platforms, respectively, and we experienced a peak of approximately 755,000 DAUs in June 2020. We define “daily active users” as the number of unique users who play any given game on any given day. For the nine months ended September 30, 2022 and 2021, we generated 91.7% and 91.0%, respectively, of our revenues from </w:t>
      </w:r>
      <w:r>
        <w:rPr>
          <w:rFonts w:ascii="Times New Roman" w:cs="Times New Roman" w:eastAsia="Times New Roman" w:hAnsi="Times New Roman"/>
          <w:sz w:val="12"/>
          <w:szCs w:val="12"/>
          <w:i w:val="1"/>
          <w:iCs w:val="1"/>
          <w:color w:val="auto"/>
        </w:rPr>
        <w:t>ARK: Survival Evolved</w:t>
      </w:r>
      <w:r>
        <w:rPr>
          <w:rFonts w:ascii="Times New Roman" w:cs="Times New Roman" w:eastAsia="Times New Roman" w:hAnsi="Times New Roman"/>
          <w:sz w:val="12"/>
          <w:szCs w:val="12"/>
          <w:color w:val="auto"/>
        </w:rPr>
        <w:t xml:space="preserve">. For the three months ended September 30, 2022 and 2021 we generated 89.6% and 90.9%, respectively, of our revenues from </w:t>
      </w:r>
      <w:r>
        <w:rPr>
          <w:rFonts w:ascii="Times New Roman" w:cs="Times New Roman" w:eastAsia="Times New Roman" w:hAnsi="Times New Roman"/>
          <w:sz w:val="12"/>
          <w:szCs w:val="12"/>
          <w:i w:val="1"/>
          <w:iCs w:val="1"/>
          <w:color w:val="auto"/>
        </w:rPr>
        <w:t>ARK: Survival Evolved.</w:t>
      </w:r>
    </w:p>
    <w:p>
      <w:pPr>
        <w:spacing w:after="0" w:line="126"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 xml:space="preserve">Our dedication to provide audiences with high-quality entertainment experiences utilizing the latest gaming technology has produced strong user engagement, continued revenue growth, and increased cash flows. Through September 30, 2022, our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 xml:space="preserve"> franchise game has been played for more than 2.9 billion hours with an average playing time per user of more than 159 hours and with the top 21% of all players spending over 100 hours in the game, according to data related to the Steam platform. For the nine months ended September 30, 2022 and 2021, our net revenue was $59.1 million and $83.2 million, respectively. For the three months ended September 30, 2022 and 2021, our net revenue was $15.6 million and $24.4 million, respectively. We have maintained a diversified revenue base across platforms. During the nine months ended September 30, 2022, approximately 45.9% of our revenue came from consoles, 38.8% from PC and 12.4% from mobile platforms. During the nine months ended September 30, 2021, approximately 43.8% of our revenue came from consoles, 41.6% from PC and 12.1% from mobile platforms. During the three months ended September 30, 2022, approximately 24.0% of our revenue came from consoles, 59.7% from PC and 13.8% from mobile platforms. During the three months ended September 30, 2021, approximately 36.9% of our revenue came from consoles, 48.8% PC and 12.8% from mobile platforms. We had net income of $3.2 million for the nine months ended September 30, 2022, as compared to net income of $17.0 million for the nine months ended September 30, 2021; and a loss of $1.5 million for the three months ended September 30, 2022, as compared to net income of $3.8 million for the three months ended September 30, 2021.</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Key Factors Affecting Our Business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There are a number of factors that affect the performance of our business and the comparability of our results from period to period, including:</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Investments in our content strategy</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 w:cs="Times New Roman" w:eastAsia="Times New Roman" w:hAnsi="Times New Roman"/>
          <w:sz w:val="12"/>
          <w:szCs w:val="12"/>
          <w:i w:val="1"/>
          <w:iCs w:val="1"/>
          <w:color w:val="auto"/>
        </w:rPr>
        <w:t>NOIZ</w:t>
      </w:r>
      <w:r>
        <w:rPr>
          <w:rFonts w:ascii="Times New Roman" w:cs="Times New Roman" w:eastAsia="Times New Roman" w:hAnsi="Times New Roman"/>
          <w:sz w:val="12"/>
          <w:szCs w:val="12"/>
          <w:color w:val="auto"/>
        </w:rPr>
        <w:t>, by attracting new influencers and brand customers.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Growth of user base</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have experienced significant growth in our number of downloads over the last several years. We have sold 34.6 million units between January 1, 2016 and September 30, 2022. During the nine months ended September 30, 2022, we sold 4.2 million units compared to 5.4 million during the nine months ended September 30, 2021. During the three months ended September 30, 2022, we sold 1.2 million units compared to 1.3 million during the 3 months ended September 30, 2021.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on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w:t>
      </w:r>
    </w:p>
    <w:p>
      <w:pPr>
        <w:spacing w:after="0" w:line="125"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While we believe we have a significant opportunity to grow our install base, we anticipate that our overall install growth rate will fluctuate over time as we continue to release new master games and companion DLCs. Download rates and user engagement may increase or decrease based on other factors such as growth in console, PC and mobile games, ability to release content, and market effectively and distribute to users.</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Investments in our technology platform</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to bring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Ability to release content, market effectively through cross media and expand the gaming group</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Strategic relationship with developers, Studio Wildcard &amp; Suzhou Snail</w:t>
      </w:r>
    </w:p>
    <w:p>
      <w:pPr>
        <w:spacing w:after="0" w:line="154" w:lineRule="exact"/>
        <w:rPr>
          <w:sz w:val="20"/>
          <w:szCs w:val="20"/>
          <w:color w:val="auto"/>
        </w:rPr>
      </w:pPr>
    </w:p>
    <w:p>
      <w:pPr>
        <w:jc w:val="both"/>
        <w:ind w:right="20" w:firstLine="216"/>
        <w:spacing w:after="0" w:line="257" w:lineRule="auto"/>
        <w:rPr>
          <w:sz w:val="20"/>
          <w:szCs w:val="20"/>
          <w:color w:val="auto"/>
        </w:rPr>
      </w:pPr>
      <w:r>
        <w:rPr>
          <w:rFonts w:ascii="Times New Roman" w:cs="Times New Roman" w:eastAsia="Times New Roman" w:hAnsi="Times New Roman"/>
          <w:sz w:val="12"/>
          <w:szCs w:val="12"/>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which develops our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 xml:space="preserve"> franchise. We have an exclusive license with Studio Wildcard for rights to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Relationship with third party distribution platforms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derive nearly all of our revenue from third-party distribution platforms, such as Xbox Live and Game Pass, PlayStation Network, Steam, Epic Games Store, Google Stadia, the Apple App Store, the Google Play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Seasonality</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COVID-19</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Since March 2020, the COVID-19 pandemic has caused major disruption to all aspects of the global economy and daily life, particularly as quarantine and stay-at-home orders have been imposed by all levels of government. We have followed guidance by U.S. and other applicable foreign and local governments to protect our employees and operations during the pandemic and have implemented a remote environment for our business.</w:t>
      </w:r>
    </w:p>
    <w:p>
      <w:pPr>
        <w:spacing w:after="0" w:line="119"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Despite the challenges we have faced in light of the COVID-19 pandemic, our revenues and number of installs have increased while the stay-at-home orders were at their peak across the United States. As individuals spent more time at home, we observed an increase in time spent with digital entertainment, including casual gaming and games involving socially interactive experiences. For example, primarily during the second quarter of 2020, we saw increased sales and revenues relative to our quarterly forecasts and historic trends. However, beginning in the third quarter of 2020, sales and revenues returned to levels more consistent with historical periods.</w:t>
      </w:r>
    </w:p>
    <w:p>
      <w:pPr>
        <w:spacing w:after="0" w:line="120" w:lineRule="exact"/>
        <w:rPr>
          <w:sz w:val="20"/>
          <w:szCs w:val="20"/>
          <w:color w:val="auto"/>
        </w:rPr>
      </w:pPr>
    </w:p>
    <w:p>
      <w:pPr>
        <w:jc w:val="both"/>
        <w:ind w:firstLine="216"/>
        <w:spacing w:after="0" w:line="261" w:lineRule="auto"/>
        <w:rPr>
          <w:sz w:val="20"/>
          <w:szCs w:val="20"/>
          <w:color w:val="auto"/>
        </w:rPr>
      </w:pPr>
      <w:r>
        <w:rPr>
          <w:rFonts w:ascii="Times New Roman" w:cs="Times New Roman" w:eastAsia="Times New Roman" w:hAnsi="Times New Roman"/>
          <w:sz w:val="12"/>
          <w:szCs w:val="12"/>
          <w:color w:val="auto"/>
        </w:rPr>
        <w:t>We cannot predict the potential future impact the COVID-19 pandemic may have on our business or operations. See “</w:t>
      </w:r>
      <w:r>
        <w:rPr>
          <w:rFonts w:ascii="Times New Roman" w:cs="Times New Roman" w:eastAsia="Times New Roman" w:hAnsi="Times New Roman"/>
          <w:sz w:val="12"/>
          <w:szCs w:val="12"/>
          <w:i w:val="1"/>
          <w:iCs w:val="1"/>
          <w:color w:val="auto"/>
        </w:rPr>
        <w:t>Risk Factors — Risks Related to Our Business — The COVID-19 pandemic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containment efforts across the globe have materially altered how individuals interact with each other and have materially affected how we and our business partners are operating, and the extent to which this situation will impact our future results of operations and overall financial performance remains uncertain</w:t>
      </w:r>
      <w:r>
        <w:rPr>
          <w:rFonts w:ascii="Times New Roman" w:cs="Times New Roman" w:eastAsia="Times New Roman" w:hAnsi="Times New Roman"/>
          <w:sz w:val="12"/>
          <w:szCs w:val="12"/>
          <w:color w:val="auto"/>
        </w:rPr>
        <w:t>” included in our Prospectus as filed by us with the SEC on November 10, 2022 pursuant to Rule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424(b)(4) under the Securities Act, relating to our registration statement on Form S-1, as amended, for more information.</w:t>
      </w:r>
    </w:p>
    <w:p>
      <w:pPr>
        <w:spacing w:after="0" w:line="12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2020, we applied for, and received, funds under the Paycheck Protection Program (“PPP”) in the amount of $0.8 million. In December 2020, $0.1 million of the PPP loan was forgiven by the U.S. Small Business Administration (the “SBA”). In March 2021, an additional $0.4 million principal amount of the PPP loan balance was forgiven by the SBA and, as of April 2022, all outstanding amounts under the PPP loan had been repaid or forgiven.</w:t>
      </w:r>
    </w:p>
    <w:p>
      <w:pPr>
        <w:spacing w:after="0" w:line="1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will continue to evaluate the nature and extent of the potential impact of the COVID-19 pandemic on our business, results of operations and liquidity.</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Key Performance Metrics and Non-GAAP Measures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Units Sold</w:t>
      </w:r>
    </w:p>
    <w:p>
      <w:pPr>
        <w:spacing w:after="0" w:line="154"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2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8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0"/>
                <w:szCs w:val="10"/>
                <w:b w:val="1"/>
                <w:bCs w:val="1"/>
                <w:color w:val="auto"/>
                <w:w w:val="95"/>
              </w:rPr>
              <w:t>Three Months ended September 30,</w:t>
            </w:r>
          </w:p>
        </w:tc>
        <w:tc>
          <w:tcPr>
            <w:tcW w:w="6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w w:val="94"/>
              </w:rPr>
              <w:t>Nine months ended September 30,</w:t>
            </w:r>
          </w:p>
        </w:tc>
        <w:tc>
          <w:tcPr>
            <w:tcW w:w="6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88"/>
        </w:trPr>
        <w:tc>
          <w:tcPr>
            <w:tcW w:w="3880" w:type="dxa"/>
            <w:vAlign w:val="bottom"/>
          </w:tcPr>
          <w:p>
            <w:pPr>
              <w:spacing w:after="0"/>
              <w:rPr>
                <w:sz w:val="7"/>
                <w:szCs w:val="7"/>
                <w:color w:val="auto"/>
              </w:rPr>
            </w:pPr>
          </w:p>
        </w:tc>
        <w:tc>
          <w:tcPr>
            <w:tcW w:w="3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80" w:type="dxa"/>
            <w:vAlign w:val="bottom"/>
            <w:tcBorders>
              <w:bottom w:val="single" w:sz="8" w:color="auto"/>
            </w:tcBorders>
          </w:tcPr>
          <w:p>
            <w:pPr>
              <w:jc w:val="right"/>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2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Borders>
              <w:bottom w:val="single" w:sz="8" w:color="auto"/>
            </w:tcBorders>
          </w:tcPr>
          <w:p>
            <w:pPr>
              <w:jc w:val="right"/>
              <w:ind w:right="86"/>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140" w:type="dxa"/>
            <w:vAlign w:val="bottom"/>
          </w:tcPr>
          <w:p>
            <w:pPr>
              <w:spacing w:after="0"/>
              <w:rPr>
                <w:sz w:val="7"/>
                <w:szCs w:val="7"/>
                <w:color w:val="auto"/>
              </w:rPr>
            </w:pPr>
          </w:p>
        </w:tc>
        <w:tc>
          <w:tcPr>
            <w:tcW w:w="680" w:type="dxa"/>
            <w:vAlign w:val="bottom"/>
            <w:tcBorders>
              <w:bottom w:val="single" w:sz="8" w:color="auto"/>
            </w:tcBorders>
          </w:tcPr>
          <w:p>
            <w:pPr>
              <w:ind w:left="120"/>
              <w:spacing w:after="0" w:line="88" w:lineRule="exact"/>
              <w:rPr>
                <w:sz w:val="20"/>
                <w:szCs w:val="20"/>
                <w:color w:val="auto"/>
              </w:rPr>
            </w:pPr>
            <w:r>
              <w:rPr>
                <w:rFonts w:ascii="Times New Roman" w:cs="Times New Roman" w:eastAsia="Times New Roman" w:hAnsi="Times New Roman"/>
                <w:sz w:val="10"/>
                <w:szCs w:val="10"/>
                <w:b w:val="1"/>
                <w:bCs w:val="1"/>
                <w:color w:val="auto"/>
              </w:rPr>
              <w:t>% Change</w:t>
            </w:r>
          </w:p>
        </w:tc>
        <w:tc>
          <w:tcPr>
            <w:tcW w:w="2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46"/>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40" w:type="dxa"/>
            <w:vAlign w:val="bottom"/>
          </w:tcPr>
          <w:p>
            <w:pPr>
              <w:spacing w:after="0"/>
              <w:rPr>
                <w:sz w:val="7"/>
                <w:szCs w:val="7"/>
                <w:color w:val="auto"/>
              </w:rPr>
            </w:pPr>
          </w:p>
        </w:tc>
        <w:tc>
          <w:tcPr>
            <w:tcW w:w="580" w:type="dxa"/>
            <w:vAlign w:val="bottom"/>
            <w:tcBorders>
              <w:bottom w:val="single" w:sz="8" w:color="auto"/>
            </w:tcBorders>
          </w:tcPr>
          <w:p>
            <w:pPr>
              <w:jc w:val="right"/>
              <w:ind w:right="148"/>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Pr>
          <w:p>
            <w:pPr>
              <w:spacing w:after="0"/>
              <w:rPr>
                <w:sz w:val="7"/>
                <w:szCs w:val="7"/>
                <w:color w:val="auto"/>
              </w:rPr>
            </w:pPr>
          </w:p>
        </w:tc>
        <w:tc>
          <w:tcPr>
            <w:tcW w:w="580" w:type="dxa"/>
            <w:vAlign w:val="bottom"/>
            <w:tcBorders>
              <w:bottom w:val="single" w:sz="8" w:color="auto"/>
            </w:tcBorders>
          </w:tcPr>
          <w:p>
            <w:pPr>
              <w:ind w:left="140"/>
              <w:spacing w:after="0" w:line="88" w:lineRule="exact"/>
              <w:rPr>
                <w:sz w:val="20"/>
                <w:szCs w:val="20"/>
                <w:color w:val="auto"/>
              </w:rPr>
            </w:pPr>
            <w:r>
              <w:rPr>
                <w:rFonts w:ascii="Times New Roman" w:cs="Times New Roman" w:eastAsia="Times New Roman" w:hAnsi="Times New Roman"/>
                <w:sz w:val="10"/>
                <w:szCs w:val="10"/>
                <w:b w:val="1"/>
                <w:bCs w:val="1"/>
                <w:color w:val="auto"/>
              </w:rPr>
              <w:t>Change</w:t>
            </w:r>
          </w:p>
        </w:tc>
        <w:tc>
          <w:tcPr>
            <w:tcW w:w="160" w:type="dxa"/>
            <w:vAlign w:val="bottom"/>
          </w:tcPr>
          <w:p>
            <w:pPr>
              <w:spacing w:after="0"/>
              <w:rPr>
                <w:sz w:val="7"/>
                <w:szCs w:val="7"/>
                <w:color w:val="auto"/>
              </w:rPr>
            </w:pPr>
          </w:p>
        </w:tc>
        <w:tc>
          <w:tcPr>
            <w:tcW w:w="680" w:type="dxa"/>
            <w:vAlign w:val="bottom"/>
            <w:tcBorders>
              <w:bottom w:val="single" w:sz="8" w:color="auto"/>
            </w:tcBorders>
          </w:tcPr>
          <w:p>
            <w:pPr>
              <w:ind w:left="120"/>
              <w:spacing w:after="0" w:line="88" w:lineRule="exact"/>
              <w:rPr>
                <w:sz w:val="20"/>
                <w:szCs w:val="20"/>
                <w:color w:val="auto"/>
              </w:rPr>
            </w:pPr>
            <w:r>
              <w:rPr>
                <w:rFonts w:ascii="Times New Roman" w:cs="Times New Roman" w:eastAsia="Times New Roman" w:hAnsi="Times New Roman"/>
                <w:sz w:val="10"/>
                <w:szCs w:val="10"/>
                <w:b w:val="1"/>
                <w:bCs w:val="1"/>
                <w:color w:val="auto"/>
              </w:rPr>
              <w:t>% Change</w:t>
            </w:r>
          </w:p>
        </w:tc>
        <w:tc>
          <w:tcPr>
            <w:tcW w:w="140" w:type="dxa"/>
            <w:vAlign w:val="bottom"/>
          </w:tcPr>
          <w:p>
            <w:pPr>
              <w:spacing w:after="0"/>
              <w:rPr>
                <w:sz w:val="7"/>
                <w:szCs w:val="7"/>
                <w:color w:val="auto"/>
              </w:rPr>
            </w:pPr>
          </w:p>
        </w:tc>
      </w:tr>
      <w:tr>
        <w:trPr>
          <w:trHeight w:val="79"/>
        </w:trPr>
        <w:tc>
          <w:tcPr>
            <w:tcW w:w="38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3"/>
          </w:tcPr>
          <w:p>
            <w:pPr>
              <w:ind w:left="560"/>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r>
      <w:tr>
        <w:trPr>
          <w:trHeight w:val="144"/>
        </w:trPr>
        <w:tc>
          <w:tcPr>
            <w:tcW w:w="4260" w:type="dxa"/>
            <w:vAlign w:val="bottom"/>
            <w:gridSpan w:val="2"/>
            <w:shd w:val="clear" w:color="auto" w:fill="CCEEFF"/>
          </w:tcPr>
          <w:p>
            <w:pPr>
              <w:jc w:val="right"/>
              <w:ind w:right="3712"/>
              <w:spacing w:after="0"/>
              <w:rPr>
                <w:sz w:val="20"/>
                <w:szCs w:val="20"/>
                <w:color w:val="auto"/>
              </w:rPr>
            </w:pPr>
            <w:r>
              <w:rPr>
                <w:rFonts w:ascii="Times New Roman" w:cs="Times New Roman" w:eastAsia="Times New Roman" w:hAnsi="Times New Roman"/>
                <w:sz w:val="12"/>
                <w:szCs w:val="12"/>
                <w:color w:val="auto"/>
                <w:w w:val="93"/>
              </w:rPr>
              <w:t>Units Sold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1.2</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3"/>
              </w:rPr>
              <w:t>1.3</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(0.1)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(7.7)%</w:t>
            </w: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2"/>
                <w:szCs w:val="12"/>
                <w:color w:val="auto"/>
              </w:rPr>
              <w:t>4.2</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(1.2)</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(22.2)%</w:t>
            </w: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Bookings &amp; EBITDA</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In addition to our financial results determined in accordance with U.S. generally accepted accounting principles, or GAAP, we believe Bookings and EBITDA, as non-GAAP measures, are useful in evaluating our operating performance. Bookings and EBITDA, as used in this Quarterly Report, are non-GAAP financial measures that are presented as supplemental disclosures and should not be construed as alternatives to net income (loss) or revenue as indicators of operating performance, nor as alternatives to cash flow provided by operating activities as measures of liquidity, both as determined in accordance with GAAP.</w:t>
      </w:r>
    </w:p>
    <w:p>
      <w:pPr>
        <w:spacing w:after="0" w:line="122" w:lineRule="exact"/>
        <w:rPr>
          <w:sz w:val="20"/>
          <w:szCs w:val="20"/>
          <w:color w:val="auto"/>
        </w:rPr>
      </w:pPr>
    </w:p>
    <w:p>
      <w:pPr>
        <w:jc w:val="both"/>
        <w:ind w:firstLine="216"/>
        <w:spacing w:after="0" w:line="254" w:lineRule="auto"/>
        <w:rPr>
          <w:sz w:val="20"/>
          <w:szCs w:val="20"/>
          <w:color w:val="auto"/>
        </w:rPr>
      </w:pPr>
      <w:r>
        <w:rPr>
          <w:rFonts w:ascii="Times New Roman" w:cs="Times New Roman" w:eastAsia="Times New Roman" w:hAnsi="Times New Roman"/>
          <w:sz w:val="12"/>
          <w:szCs w:val="12"/>
          <w:color w:val="auto"/>
        </w:rPr>
        <w:t>We supplementally present Bookings and EBITDA because they are key operating measures used by our management to assess our financial performance. Bookings adjusts for the impact of deferrals and, we believe, provides a useful indicator of sales in a given period. EBITDA adjusts for items that we believe do not reflect the ongoing operating performance of our business, such as certain non-cash items, unusual or infrequent items or items that change from period to period without any material relevance to our operating performance. Management believes Bookings and EBITDA are useful to investors and analysts in highlighting trends in our operating performance, while other measures can differ significantly depending on long-term strategic decisions regarding capital structure, the tax jurisdictions in which we operate and capital investments. Management uses Bookings and EBITDA to supplement GAAP measures of performance in the evaluation of the effectiveness of our business strategies, to make budgeting decisions, and to compare our performance against other peer companies using similar measures. We evaluate Bookings and EBITDA in conjunction with our results according to GAAP because we believe it provides investors and analysts a more complete understanding of factors and trends affecting our business than GAAP measures alone. Bookings and EBITDA should not be considered as alternatives to net income (loss), as measures of financial performance or any other performance measure derived in accordance with GAAP.</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Bookings</w:t>
      </w:r>
    </w:p>
    <w:p>
      <w:pPr>
        <w:spacing w:after="0" w:line="1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Below is a reconciliation of total net revenue to Bookings, the closest GAAP financial measure.</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Bookings is defined as the net amount of products and services sold digitally or physically in the period. Bookings is equal to revenues excluding the impact from deferrals.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5"/>
          </w:tcPr>
          <w:p>
            <w:pPr>
              <w:ind w:left="1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Nine months ended</w:t>
            </w: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vMerge w:val="restart"/>
          </w:tcPr>
          <w:p>
            <w:pPr>
              <w:jc w:val="right"/>
              <w:ind w:right="43"/>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180" w:type="dxa"/>
            <w:vAlign w:val="bottom"/>
            <w:vMerge w:val="restart"/>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4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5"/>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4"/>
              </w:rPr>
              <w:t>September 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vMerge w:val="restart"/>
          </w:tcPr>
          <w:p>
            <w:pPr>
              <w:jc w:val="right"/>
              <w:ind w:right="43"/>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180" w:type="dxa"/>
            <w:vAlign w:val="bottom"/>
            <w:vMerge w:val="restart"/>
          </w:tcPr>
          <w:p>
            <w:pPr>
              <w:spacing w:after="0"/>
              <w:rPr>
                <w:sz w:val="10"/>
                <w:szCs w:val="10"/>
                <w:color w:val="auto"/>
              </w:rPr>
            </w:pPr>
          </w:p>
        </w:tc>
        <w:tc>
          <w:tcPr>
            <w:tcW w:w="700" w:type="dxa"/>
            <w:vAlign w:val="bottom"/>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6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3660" w:type="dxa"/>
            <w:vAlign w:val="bottom"/>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146"/>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Borders>
              <w:top w:val="single" w:sz="8" w:color="auto"/>
            </w:tcBorders>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400" w:type="dxa"/>
            <w:vAlign w:val="bottom"/>
            <w:tcBorders>
              <w:top w:val="single" w:sz="8" w:color="auto"/>
              <w:bottom w:val="single" w:sz="8" w:color="auto"/>
            </w:tcBorders>
          </w:tcPr>
          <w:p>
            <w:pPr>
              <w:jc w:val="right"/>
              <w:ind w:right="143"/>
              <w:spacing w:after="0" w:line="88" w:lineRule="exact"/>
              <w:rPr>
                <w:sz w:val="20"/>
                <w:szCs w:val="20"/>
                <w:color w:val="auto"/>
              </w:rPr>
            </w:pPr>
            <w:r>
              <w:rPr>
                <w:rFonts w:ascii="Times New Roman" w:cs="Times New Roman" w:eastAsia="Times New Roman" w:hAnsi="Times New Roman"/>
                <w:sz w:val="10"/>
                <w:szCs w:val="10"/>
                <w:b w:val="1"/>
                <w:bCs w:val="1"/>
                <w:color w:val="auto"/>
                <w:w w:val="89"/>
              </w:rPr>
              <w:t>2021</w:t>
            </w:r>
          </w:p>
        </w:tc>
        <w:tc>
          <w:tcPr>
            <w:tcW w:w="180" w:type="dxa"/>
            <w:vAlign w:val="bottom"/>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20" w:type="dxa"/>
            <w:vAlign w:val="bottom"/>
            <w:tcBorders>
              <w:top w:val="single" w:sz="8" w:color="auto"/>
              <w:bottom w:val="single" w:sz="8" w:color="auto"/>
            </w:tcBorders>
          </w:tcPr>
          <w:p>
            <w:pPr>
              <w:spacing w:after="0"/>
              <w:rPr>
                <w:sz w:val="7"/>
                <w:szCs w:val="7"/>
                <w:color w:val="auto"/>
              </w:rPr>
            </w:pPr>
          </w:p>
        </w:tc>
        <w:tc>
          <w:tcPr>
            <w:tcW w:w="380" w:type="dxa"/>
            <w:vAlign w:val="bottom"/>
            <w:tcBorders>
              <w:top w:val="single" w:sz="8" w:color="auto"/>
              <w:bottom w:val="single" w:sz="8" w:color="auto"/>
            </w:tcBorders>
          </w:tcPr>
          <w:p>
            <w:pPr>
              <w:jc w:val="right"/>
              <w:ind w:right="106"/>
              <w:spacing w:after="0" w:line="88" w:lineRule="exact"/>
              <w:rPr>
                <w:sz w:val="20"/>
                <w:szCs w:val="20"/>
                <w:color w:val="auto"/>
              </w:rPr>
            </w:pPr>
            <w:r>
              <w:rPr>
                <w:rFonts w:ascii="Times New Roman" w:cs="Times New Roman" w:eastAsia="Times New Roman" w:hAnsi="Times New Roman"/>
                <w:sz w:val="10"/>
                <w:szCs w:val="10"/>
                <w:b w:val="1"/>
                <w:bCs w:val="1"/>
                <w:color w:val="auto"/>
                <w:w w:val="99"/>
              </w:rPr>
              <w:t>2022</w:t>
            </w:r>
          </w:p>
        </w:tc>
        <w:tc>
          <w:tcPr>
            <w:tcW w:w="180" w:type="dxa"/>
            <w:vAlign w:val="bottom"/>
            <w:tcBorders>
              <w:top w:val="single" w:sz="8" w:color="auto"/>
            </w:tcBorders>
          </w:tcPr>
          <w:p>
            <w:pPr>
              <w:spacing w:after="0"/>
              <w:rPr>
                <w:sz w:val="7"/>
                <w:szCs w:val="7"/>
                <w:color w:val="auto"/>
              </w:rPr>
            </w:pPr>
          </w:p>
        </w:tc>
        <w:tc>
          <w:tcPr>
            <w:tcW w:w="140" w:type="dxa"/>
            <w:vAlign w:val="bottom"/>
            <w:tcBorders>
              <w:top w:val="single" w:sz="8" w:color="auto"/>
              <w:bottom w:val="single" w:sz="8" w:color="auto"/>
            </w:tcBorders>
          </w:tcPr>
          <w:p>
            <w:pPr>
              <w:spacing w:after="0"/>
              <w:rPr>
                <w:sz w:val="7"/>
                <w:szCs w:val="7"/>
                <w:color w:val="auto"/>
              </w:rPr>
            </w:pPr>
          </w:p>
        </w:tc>
        <w:tc>
          <w:tcPr>
            <w:tcW w:w="460" w:type="dxa"/>
            <w:vAlign w:val="bottom"/>
            <w:tcBorders>
              <w:top w:val="single" w:sz="8" w:color="auto"/>
              <w:bottom w:val="single" w:sz="8" w:color="auto"/>
            </w:tcBorders>
          </w:tcPr>
          <w:p>
            <w:pPr>
              <w:jc w:val="right"/>
              <w:ind w:right="14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7"/>
                <w:szCs w:val="7"/>
                <w:color w:val="auto"/>
              </w:rPr>
            </w:pPr>
          </w:p>
        </w:tc>
        <w:tc>
          <w:tcPr>
            <w:tcW w:w="16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700" w:type="dxa"/>
            <w:vAlign w:val="bottom"/>
            <w:tcBorders>
              <w:bottom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3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gridSpan w:val="3"/>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net revenue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(36.1)%</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(24.1)</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(29.0)%</w:t>
            </w:r>
          </w:p>
        </w:tc>
        <w:tc>
          <w:tcPr>
            <w:tcW w:w="0" w:type="dxa"/>
            <w:vAlign w:val="bottom"/>
          </w:tcPr>
          <w:p>
            <w:pPr>
              <w:spacing w:after="0"/>
              <w:rPr>
                <w:sz w:val="1"/>
                <w:szCs w:val="1"/>
                <w:color w:val="auto"/>
              </w:rPr>
            </w:pP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Change in deferred net revenue</w:t>
            </w:r>
          </w:p>
        </w:tc>
        <w:tc>
          <w:tcPr>
            <w:tcW w:w="1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(6.2)</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(30.6)%</w:t>
            </w:r>
          </w:p>
        </w:tc>
        <w:tc>
          <w:tcPr>
            <w:tcW w:w="12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(7.3)</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(11.4)</w:t>
            </w:r>
          </w:p>
        </w:tc>
        <w:tc>
          <w:tcPr>
            <w:tcW w:w="1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(36.0)%</w:t>
            </w:r>
          </w:p>
        </w:tc>
        <w:tc>
          <w:tcPr>
            <w:tcW w:w="0" w:type="dxa"/>
            <w:vAlign w:val="bottom"/>
          </w:tcPr>
          <w:p>
            <w:pPr>
              <w:spacing w:after="0"/>
              <w:rPr>
                <w:sz w:val="1"/>
                <w:szCs w:val="1"/>
                <w:color w:val="auto"/>
              </w:rPr>
            </w:pPr>
          </w:p>
        </w:tc>
      </w:tr>
      <w:tr>
        <w:trPr>
          <w:trHeight w:val="140"/>
        </w:trPr>
        <w:tc>
          <w:tcPr>
            <w:tcW w:w="36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Bookings</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18.2</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920" w:type="dxa"/>
            <w:vAlign w:val="bottom"/>
            <w:tcBorders>
              <w:top w:val="single" w:sz="8" w:color="CCEEFF"/>
              <w:bottom w:val="single" w:sz="8" w:color="CCEEFF"/>
            </w:tcBorders>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(37.9)%</w:t>
            </w: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51.</w:t>
            </w:r>
            <w:r>
              <w:rPr>
                <w:rFonts w:ascii="Times New Roman" w:cs="Times New Roman" w:eastAsia="Times New Roman" w:hAnsi="Times New Roman"/>
                <w:sz w:val="12"/>
                <w:szCs w:val="12"/>
                <w:u w:val="single" w:color="auto"/>
                <w:color w:val="auto"/>
              </w:rPr>
              <w:t>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CCEEFF"/>
              <w:bottom w:val="single" w:sz="8" w:color="CCEEFF"/>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(27.9)%</w:t>
            </w:r>
          </w:p>
        </w:tc>
        <w:tc>
          <w:tcPr>
            <w:tcW w:w="0" w:type="dxa"/>
            <w:vAlign w:val="bottom"/>
          </w:tcPr>
          <w:p>
            <w:pPr>
              <w:spacing w:after="0"/>
              <w:rPr>
                <w:sz w:val="1"/>
                <w:szCs w:val="1"/>
                <w:color w:val="auto"/>
              </w:rPr>
            </w:pPr>
          </w:p>
        </w:tc>
      </w:tr>
    </w:tbl>
    <w:p>
      <w:pPr>
        <w:spacing w:after="0" w:line="131"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For the three months ended September 30, 2022, bookings decreased by $6.9 million, or 37.9%, compared to the three months ended September 30, 2021, primarily as a result of a decline in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 xml:space="preserve">-related revenues. On June 3, 2021 we had also launched our </w:t>
      </w:r>
      <w:r>
        <w:rPr>
          <w:rFonts w:ascii="Times New Roman" w:cs="Times New Roman" w:eastAsia="Times New Roman" w:hAnsi="Times New Roman"/>
          <w:sz w:val="12"/>
          <w:szCs w:val="12"/>
          <w:i w:val="1"/>
          <w:iCs w:val="1"/>
          <w:color w:val="auto"/>
        </w:rPr>
        <w:t>Genesis II</w:t>
      </w:r>
      <w:r>
        <w:rPr>
          <w:rFonts w:ascii="Times New Roman" w:cs="Times New Roman" w:eastAsia="Times New Roman" w:hAnsi="Times New Roman"/>
          <w:sz w:val="12"/>
          <w:szCs w:val="12"/>
          <w:color w:val="auto"/>
        </w:rPr>
        <w:t xml:space="preserve"> DLC resulting in elevated bookings during the three month period ended September 30, 2021.</w:t>
      </w:r>
    </w:p>
    <w:p>
      <w:pPr>
        <w:spacing w:after="0" w:line="107" w:lineRule="exact"/>
        <w:rPr>
          <w:sz w:val="20"/>
          <w:szCs w:val="20"/>
          <w:color w:val="auto"/>
        </w:rPr>
      </w:pPr>
    </w:p>
    <w:p>
      <w:pPr>
        <w:jc w:val="both"/>
        <w:ind w:firstLine="216"/>
        <w:spacing w:after="0" w:line="283" w:lineRule="auto"/>
        <w:rPr>
          <w:sz w:val="20"/>
          <w:szCs w:val="20"/>
          <w:color w:val="auto"/>
        </w:rPr>
      </w:pPr>
      <w:r>
        <w:rPr>
          <w:rFonts w:ascii="Times New Roman" w:cs="Times New Roman" w:eastAsia="Times New Roman" w:hAnsi="Times New Roman"/>
          <w:sz w:val="12"/>
          <w:szCs w:val="12"/>
          <w:color w:val="auto"/>
        </w:rPr>
        <w:t xml:space="preserve">For the nine months ended September 30, 2022, bookings decreased by $20.0 million, or 27.9%, compared to the nine months ended September 30, 2021, primarily as a result of a decline in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-related revenues.</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EBITDA</w:t>
      </w:r>
    </w:p>
    <w:p>
      <w:pPr>
        <w:spacing w:after="0" w:line="15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Below is a reconciliation of net income (loss) to EBITDA, the closest GAAP financial measure. We define EBITDA as net income (loss) before (i) interest expense, (ii) interest income, (iii) income tax provision (benefit) and (iv) depreciation and amortization expense.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Three Months ended</w:t>
            </w: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4"/>
          </w:tcPr>
          <w:p>
            <w:pPr>
              <w:jc w:val="center"/>
              <w:ind w:left="4"/>
              <w:spacing w:after="0"/>
              <w:rPr>
                <w:sz w:val="20"/>
                <w:szCs w:val="20"/>
                <w:color w:val="auto"/>
              </w:rPr>
            </w:pPr>
            <w:r>
              <w:rPr>
                <w:rFonts w:ascii="Times New Roman" w:cs="Times New Roman" w:eastAsia="Times New Roman" w:hAnsi="Times New Roman"/>
                <w:sz w:val="10"/>
                <w:szCs w:val="10"/>
                <w:b w:val="1"/>
                <w:bCs w:val="1"/>
                <w:color w:val="auto"/>
                <w:w w:val="97"/>
              </w:rPr>
              <w:t>Nine months ended</w:t>
            </w: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3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restart"/>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gridSpan w:val="5"/>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6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vMerge w:val="restart"/>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4"/>
          </w:tcPr>
          <w:p>
            <w:pPr>
              <w:jc w:val="center"/>
              <w:ind w:left="24"/>
              <w:spacing w:after="0" w:line="99" w:lineRule="exact"/>
              <w:rPr>
                <w:sz w:val="20"/>
                <w:szCs w:val="20"/>
                <w:color w:val="auto"/>
              </w:rPr>
            </w:pPr>
            <w:r>
              <w:rPr>
                <w:rFonts w:ascii="Times New Roman" w:cs="Times New Roman" w:eastAsia="Times New Roman" w:hAnsi="Times New Roman"/>
                <w:sz w:val="10"/>
                <w:szCs w:val="10"/>
                <w:b w:val="1"/>
                <w:bCs w:val="1"/>
                <w:color w:val="auto"/>
                <w:w w:val="94"/>
              </w:rPr>
              <w:t>September 30,</w:t>
            </w:r>
          </w:p>
        </w:tc>
        <w:tc>
          <w:tcPr>
            <w:tcW w:w="180" w:type="dxa"/>
            <w:vAlign w:val="bottom"/>
          </w:tcPr>
          <w:p>
            <w:pPr>
              <w:spacing w:after="0"/>
              <w:rPr>
                <w:sz w:val="8"/>
                <w:szCs w:val="8"/>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6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9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9"/>
              </w:rPr>
              <w:t>$ Change</w:t>
            </w:r>
          </w:p>
        </w:tc>
        <w:tc>
          <w:tcPr>
            <w:tcW w:w="180" w:type="dxa"/>
            <w:vAlign w:val="bottom"/>
          </w:tcPr>
          <w:p>
            <w:pPr>
              <w:spacing w:after="0"/>
              <w:rPr>
                <w:sz w:val="10"/>
                <w:szCs w:val="10"/>
                <w:color w:val="auto"/>
              </w:rPr>
            </w:pPr>
          </w:p>
        </w:tc>
        <w:tc>
          <w:tcPr>
            <w:tcW w:w="660" w:type="dxa"/>
            <w:vAlign w:val="bottom"/>
            <w:tcBorders>
              <w:bottom w:val="single" w:sz="8" w:color="auto"/>
            </w:tcBorders>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9"/>
              </w:rPr>
              <w:t>$ Change</w:t>
            </w:r>
          </w:p>
        </w:tc>
        <w:tc>
          <w:tcPr>
            <w:tcW w:w="180" w:type="dxa"/>
            <w:vAlign w:val="bottom"/>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gridSpan w:val="4"/>
          </w:tcPr>
          <w:p>
            <w:pPr>
              <w:jc w:val="right"/>
              <w:ind w:right="282"/>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(139)%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 and interest income – related parties</w:t>
            </w:r>
          </w:p>
        </w:tc>
        <w:tc>
          <w:tcPr>
            <w:tcW w:w="10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(0.4)</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80" w:type="dxa"/>
            <w:vAlign w:val="bottom"/>
          </w:tcPr>
          <w:p>
            <w:pPr>
              <w:spacing w:after="0"/>
              <w:rPr>
                <w:sz w:val="12"/>
                <w:szCs w:val="12"/>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(45)%</w:t>
            </w:r>
          </w:p>
        </w:tc>
        <w:tc>
          <w:tcPr>
            <w:tcW w:w="0" w:type="dxa"/>
            <w:vAlign w:val="bottom"/>
          </w:tcPr>
          <w:p>
            <w:pPr>
              <w:spacing w:after="0"/>
              <w:rPr>
                <w:sz w:val="1"/>
                <w:szCs w:val="1"/>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and interest expense – related parties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200 %</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100 %</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10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(144)%</w:t>
            </w: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w:t>
            </w:r>
          </w:p>
        </w:tc>
        <w:tc>
          <w:tcPr>
            <w:tcW w:w="0" w:type="dxa"/>
            <w:vAlign w:val="bottom"/>
          </w:tcPr>
          <w:p>
            <w:pPr>
              <w:spacing w:after="0"/>
              <w:rPr>
                <w:sz w:val="1"/>
                <w:szCs w:val="1"/>
                <w:color w:val="auto"/>
              </w:rPr>
            </w:pPr>
          </w:p>
        </w:tc>
      </w:tr>
      <w:tr>
        <w:trPr>
          <w:trHeight w:val="144"/>
        </w:trPr>
        <w:tc>
          <w:tcPr>
            <w:tcW w:w="39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EBITDA</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w:t>
            </w:r>
            <w:r>
              <w:rPr>
                <w:rFonts w:ascii="Times New Roman" w:cs="Times New Roman" w:eastAsia="Times New Roman" w:hAnsi="Times New Roman"/>
                <w:sz w:val="12"/>
                <w:szCs w:val="12"/>
                <w:u w:val="single" w:color="auto"/>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80" w:type="dxa"/>
            <w:vAlign w:val="bottom"/>
          </w:tcPr>
          <w:p>
            <w:pPr>
              <w:spacing w:after="0"/>
              <w:rPr>
                <w:sz w:val="12"/>
                <w:szCs w:val="12"/>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(6.1)</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(133)%</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8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w:t>
            </w:r>
            <w:r>
              <w:rPr>
                <w:rFonts w:ascii="Times New Roman" w:cs="Times New Roman" w:eastAsia="Times New Roman" w:hAnsi="Times New Roman"/>
                <w:sz w:val="12"/>
                <w:szCs w:val="12"/>
                <w:u w:val="single" w:color="auto"/>
                <w:color w:val="auto"/>
              </w:rPr>
              <w:t>0</w:t>
            </w:r>
          </w:p>
        </w:tc>
        <w:tc>
          <w:tcPr>
            <w:tcW w:w="180" w:type="dxa"/>
            <w:vAlign w:val="bottom"/>
          </w:tcPr>
          <w:p>
            <w:pPr>
              <w:spacing w:after="0"/>
              <w:rPr>
                <w:sz w:val="12"/>
                <w:szCs w:val="12"/>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(79)%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Components of Results of Operations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Google Stadia, the Apple App Store, the Google Play Store and the Amazon Appstore, and certain retail distributors. For sales arrangements through Xbox Live and Game Pass, PlayStation Network, Steam, Epic Game Stores, Google Stadia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26"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We record deferred revenue when payments are due or received in advance of the fulfillment of our associated performance obligations. Deferred revenue is comprised of the transaction price allocable to our performance obligation on technical support and the sale of virtual goods available for in-app purchases, and payments received from customers prior to launching the games on the platforms. We record deferred revenue when payments are due or received in advance of the fulfillment of our associated performance obligations.</w:t>
      </w:r>
    </w:p>
    <w:p>
      <w:pPr>
        <w:spacing w:after="0" w:line="119"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Our net revenues through our top platform providers as a proportion of our total net revenue for the three months ended September 30, 2022 and 2021 and the nine months ended September 30, 2022 and 2021 were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00" w:type="dxa"/>
            <w:vAlign w:val="bottom"/>
          </w:tcPr>
          <w:p>
            <w:pPr>
              <w:spacing w:after="0"/>
              <w:rPr>
                <w:sz w:val="10"/>
                <w:szCs w:val="10"/>
                <w:color w:val="auto"/>
              </w:rPr>
            </w:pPr>
          </w:p>
        </w:tc>
        <w:tc>
          <w:tcPr>
            <w:tcW w:w="192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3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0"/>
                <w:szCs w:val="10"/>
                <w:b w:val="1"/>
                <w:bCs w:val="1"/>
                <w:color w:val="auto"/>
                <w:w w:val="98"/>
              </w:rPr>
              <w:t>Nine months ended September 30,</w:t>
            </w:r>
          </w:p>
        </w:tc>
        <w:tc>
          <w:tcPr>
            <w:tcW w:w="3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33"/>
        </w:trPr>
        <w:tc>
          <w:tcPr>
            <w:tcW w:w="1900" w:type="dxa"/>
            <w:vAlign w:val="bottom"/>
          </w:tcPr>
          <w:p>
            <w:pPr>
              <w:spacing w:after="0"/>
              <w:rPr>
                <w:sz w:val="11"/>
                <w:szCs w:val="11"/>
                <w:color w:val="auto"/>
              </w:rPr>
            </w:pPr>
          </w:p>
        </w:tc>
        <w:tc>
          <w:tcPr>
            <w:tcW w:w="6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2021</w:t>
            </w:r>
          </w:p>
        </w:tc>
        <w:tc>
          <w:tcPr>
            <w:tcW w:w="3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180" w:type="dxa"/>
            <w:vAlign w:val="bottom"/>
          </w:tcPr>
          <w:p>
            <w:pPr>
              <w:spacing w:after="0"/>
              <w:rPr>
                <w:sz w:val="11"/>
                <w:szCs w:val="11"/>
                <w:color w:val="auto"/>
              </w:rPr>
            </w:pPr>
          </w:p>
        </w:tc>
        <w:tc>
          <w:tcPr>
            <w:tcW w:w="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60" w:type="dxa"/>
            <w:vAlign w:val="bottom"/>
          </w:tcPr>
          <w:p>
            <w:pPr>
              <w:spacing w:after="0"/>
              <w:rPr>
                <w:sz w:val="11"/>
                <w:szCs w:val="11"/>
                <w:color w:val="auto"/>
              </w:rPr>
            </w:pPr>
          </w:p>
        </w:tc>
      </w:tr>
      <w:tr>
        <w:trPr>
          <w:trHeight w:val="79"/>
        </w:trPr>
        <w:tc>
          <w:tcPr>
            <w:tcW w:w="19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gridSpan w:val="3"/>
          </w:tcPr>
          <w:p>
            <w:pPr>
              <w:jc w:val="right"/>
              <w:ind w:right="86"/>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7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14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Valve Corporation (Steam)</w:t>
            </w:r>
          </w:p>
        </w:tc>
        <w:tc>
          <w:tcPr>
            <w:tcW w:w="680" w:type="dxa"/>
            <w:vAlign w:val="bottom"/>
            <w:shd w:val="clear" w:color="auto" w:fill="CCEEFF"/>
          </w:tcPr>
          <w:p>
            <w:pPr>
              <w:jc w:val="right"/>
              <w:ind w:right="56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6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(23.9)%</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(35.4)%</w:t>
            </w:r>
          </w:p>
        </w:tc>
      </w:tr>
      <w:tr>
        <w:trPr>
          <w:trHeight w:val="144"/>
        </w:trPr>
        <w:tc>
          <w:tcPr>
            <w:tcW w:w="1900" w:type="dxa"/>
            <w:vAlign w:val="bottom"/>
          </w:tcPr>
          <w:p>
            <w:pPr>
              <w:spacing w:after="0"/>
              <w:rPr>
                <w:sz w:val="20"/>
                <w:szCs w:val="20"/>
                <w:color w:val="auto"/>
              </w:rPr>
            </w:pPr>
            <w:r>
              <w:rPr>
                <w:rFonts w:ascii="Times New Roman" w:cs="Times New Roman" w:eastAsia="Times New Roman" w:hAnsi="Times New Roman"/>
                <w:sz w:val="12"/>
                <w:szCs w:val="12"/>
                <w:color w:val="auto"/>
              </w:rPr>
              <w:t>Microsoft Corporation</w:t>
            </w:r>
          </w:p>
        </w:tc>
        <w:tc>
          <w:tcPr>
            <w:tcW w:w="6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(3.4)</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(68.0)%</w:t>
            </w:r>
          </w:p>
        </w:tc>
        <w:tc>
          <w:tcPr>
            <w:tcW w:w="2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(14.1)%</w:t>
            </w:r>
          </w:p>
        </w:tc>
      </w:tr>
      <w:tr>
        <w:trPr>
          <w:trHeight w:val="133"/>
        </w:trPr>
        <w:tc>
          <w:tcPr>
            <w:tcW w:w="19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Sony Interactive Entertainment</w:t>
            </w: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5"/>
        </w:trPr>
        <w:tc>
          <w:tcPr>
            <w:tcW w:w="19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LLC</w:t>
            </w: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(0.8)</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(42.1)%</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(18.9)%</w:t>
            </w:r>
          </w:p>
        </w:tc>
      </w:tr>
      <w:tr>
        <w:trPr>
          <w:trHeight w:val="133"/>
        </w:trPr>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Sony Interactive Entertainment</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5"/>
        </w:trPr>
        <w:tc>
          <w:tcPr>
            <w:tcW w:w="19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Europe</w:t>
            </w:r>
          </w:p>
        </w:tc>
        <w:tc>
          <w:tcPr>
            <w:tcW w:w="6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2"/>
                <w:szCs w:val="12"/>
                <w:color w:val="auto"/>
              </w:rPr>
              <w:t>(58.8)%</w:t>
            </w:r>
          </w:p>
        </w:tc>
        <w:tc>
          <w:tcPr>
            <w:tcW w:w="2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(60.0)%</w:t>
            </w:r>
          </w:p>
        </w:tc>
      </w:tr>
      <w:tr>
        <w:trPr>
          <w:trHeight w:val="14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Other Revenue</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w:t>
            </w: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(22.0)%</w:t>
            </w:r>
          </w:p>
        </w:tc>
        <w:tc>
          <w:tcPr>
            <w:tcW w:w="2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(25.6)%</w:t>
            </w:r>
          </w:p>
        </w:tc>
      </w:tr>
      <w:tr>
        <w:trPr>
          <w:trHeight w:val="140"/>
        </w:trPr>
        <w:tc>
          <w:tcPr>
            <w:tcW w:w="19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680" w:type="dxa"/>
            <w:vAlign w:val="bottom"/>
            <w:tcBorders>
              <w:top w:val="single" w:sz="8" w:color="auto"/>
              <w:bottom w:val="single" w:sz="8" w:color="auto"/>
            </w:tcBorders>
          </w:tcPr>
          <w:p>
            <w:pPr>
              <w:jc w:val="right"/>
              <w:ind w:right="56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15.6</w:t>
            </w:r>
          </w:p>
        </w:tc>
        <w:tc>
          <w:tcPr>
            <w:tcW w:w="2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24.4</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(8.8)</w:t>
            </w:r>
          </w:p>
        </w:tc>
        <w:tc>
          <w:tcPr>
            <w:tcW w:w="20" w:type="dxa"/>
            <w:vAlign w:val="bottom"/>
          </w:tcPr>
          <w:p>
            <w:pPr>
              <w:spacing w:after="0"/>
              <w:rPr>
                <w:sz w:val="12"/>
                <w:szCs w:val="12"/>
                <w:color w:val="auto"/>
              </w:rPr>
            </w:pPr>
          </w:p>
        </w:tc>
        <w:tc>
          <w:tcPr>
            <w:tcW w:w="108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(36.1)%</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59.1</w:t>
            </w:r>
          </w:p>
        </w:tc>
        <w:tc>
          <w:tcPr>
            <w:tcW w:w="2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83.2</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(24.1)</w:t>
            </w:r>
          </w:p>
        </w:tc>
        <w:tc>
          <w:tcPr>
            <w:tcW w:w="180" w:type="dxa"/>
            <w:vAlign w:val="bottom"/>
          </w:tcPr>
          <w:p>
            <w:pPr>
              <w:spacing w:after="0"/>
              <w:rPr>
                <w:sz w:val="12"/>
                <w:szCs w:val="12"/>
                <w:color w:val="auto"/>
              </w:rPr>
            </w:pPr>
          </w:p>
        </w:tc>
        <w:tc>
          <w:tcPr>
            <w:tcW w:w="8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(29.0)%</w:t>
            </w:r>
          </w:p>
        </w:tc>
      </w:tr>
      <w:tr>
        <w:trPr>
          <w:trHeight w:val="576"/>
        </w:trPr>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2"/>
              </w:rPr>
              <w:t>27</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60"/>
        </w:trPr>
        <w:tc>
          <w:tcPr>
            <w:tcW w:w="1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980"/>
          </w:cols>
          <w:pgMar w:left="960" w:top="390" w:right="9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We expect changes in revenue to correlate with trends in the use and purchase of our games.</w:t>
      </w:r>
    </w:p>
    <w:p>
      <w:pPr>
        <w:spacing w:after="0" w:line="1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Cost of revenue includes license royalty fees, merchant fees, engine fees, server and database cost centers, game licenses and license right amortization. For a description of our licensing arrangements, please see Note 2 –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to our unaudited condensed consolidated financial statements included in this Quarterly Report. We generally expect cost of revenue to fluctuate proportionately with revenues.</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General and administrative expenses include rent expense, outsourced professional services such as consulting, legal and accounting services, taxes and dues, insurance premiums, and costs associated with maintaining our property and infrastructure. General and administrative expenses also include salaries and wages, which consist of compensation we pay to our employees. We expect salaries and wages to increase in a manner that is proportional with the added expenses and expertise of operating as a public company. We also expect salaries and wages to increase as we increase headcount as we expand our product offerings. Future stock-based compensation will be recorded within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Research and development consists primarily of consulting expenses and salaries and wages devoted towards the development of new games and related technologies.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Advertising and marketing</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 and other, net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Interest expense consists of interest incurred under our Term Loans, Revolver and Promissory Notes (each as defined herein). We expect to continue to incur interest expense under our debt instruments, although with respect to certain instruments, our interest expense will fluctuate based upon the underlying variable interest rates and level of debt outstanding.</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Provision for income taxes</w:t>
      </w:r>
    </w:p>
    <w:p>
      <w:pPr>
        <w:spacing w:after="0" w:line="154"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19.7% was lower than the federal statutory rate of 21% primarily due to the impact of foreign taxes.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Comparison of the three months ended September 30, 2022 versus the three months ended September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960" w:type="dxa"/>
            <w:vAlign w:val="bottom"/>
          </w:tcPr>
          <w:p>
            <w:pPr>
              <w:spacing w:after="0"/>
              <w:rPr>
                <w:sz w:val="10"/>
                <w:szCs w:val="10"/>
                <w:color w:val="auto"/>
              </w:rPr>
            </w:pPr>
          </w:p>
        </w:tc>
        <w:tc>
          <w:tcPr>
            <w:tcW w:w="2400" w:type="dxa"/>
            <w:vAlign w:val="bottom"/>
            <w:gridSpan w:val="6"/>
          </w:tcPr>
          <w:p>
            <w:pPr>
              <w:ind w:left="38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5960" w:type="dxa"/>
            <w:vAlign w:val="bottom"/>
          </w:tcPr>
          <w:p>
            <w:pPr>
              <w:spacing w:after="0"/>
              <w:rPr>
                <w:sz w:val="7"/>
                <w:szCs w:val="7"/>
                <w:color w:val="auto"/>
              </w:rPr>
            </w:pPr>
          </w:p>
        </w:tc>
        <w:tc>
          <w:tcPr>
            <w:tcW w:w="660" w:type="dxa"/>
            <w:vAlign w:val="bottom"/>
            <w:tcBorders>
              <w:top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760" w:type="dxa"/>
            <w:vAlign w:val="bottom"/>
            <w:tcBorders>
              <w:top w:val="single" w:sz="8" w:color="auto"/>
            </w:tcBorders>
          </w:tcPr>
          <w:p>
            <w:pPr>
              <w:jc w:val="right"/>
              <w:ind w:right="34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5960" w:type="dxa"/>
            <w:vAlign w:val="bottom"/>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60" w:type="dxa"/>
            <w:vAlign w:val="bottom"/>
            <w:tcBorders>
              <w:top w:val="single" w:sz="8" w:color="auto"/>
            </w:tcBorders>
          </w:tcPr>
          <w:p>
            <w:pPr>
              <w:jc w:val="right"/>
              <w:ind w:right="3"/>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 net</w:t>
            </w:r>
          </w:p>
        </w:tc>
        <w:tc>
          <w:tcPr>
            <w:tcW w:w="660" w:type="dxa"/>
            <w:vAlign w:val="bottom"/>
            <w:shd w:val="clear" w:color="auto" w:fill="CCEEFF"/>
          </w:tcPr>
          <w:p>
            <w:pPr>
              <w:jc w:val="right"/>
              <w:ind w:right="54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(8.8)</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(36.1)%</w:t>
            </w:r>
          </w:p>
        </w:tc>
        <w:tc>
          <w:tcPr>
            <w:tcW w:w="0" w:type="dxa"/>
            <w:vAlign w:val="bottom"/>
          </w:tcPr>
          <w:p>
            <w:pPr>
              <w:spacing w:after="0"/>
              <w:rPr>
                <w:sz w:val="1"/>
                <w:szCs w:val="1"/>
                <w:color w:val="auto"/>
              </w:rPr>
            </w:pPr>
          </w:p>
        </w:tc>
      </w:tr>
      <w:tr>
        <w:trPr>
          <w:trHeight w:val="144"/>
        </w:trPr>
        <w:tc>
          <w:tcPr>
            <w:tcW w:w="5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revenues</w:t>
            </w:r>
          </w:p>
        </w:tc>
        <w:tc>
          <w:tcPr>
            <w:tcW w:w="6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(4.0)</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(25.8)%</w:t>
            </w:r>
          </w:p>
        </w:tc>
        <w:tc>
          <w:tcPr>
            <w:tcW w:w="0" w:type="dxa"/>
            <w:vAlign w:val="bottom"/>
          </w:tcPr>
          <w:p>
            <w:pPr>
              <w:spacing w:after="0"/>
              <w:rPr>
                <w:sz w:val="1"/>
                <w:szCs w:val="1"/>
                <w:color w:val="auto"/>
              </w:rPr>
            </w:pPr>
          </w:p>
        </w:tc>
      </w:tr>
      <w:tr>
        <w:trPr>
          <w:trHeight w:val="133"/>
        </w:trPr>
        <w:tc>
          <w:tcPr>
            <w:tcW w:w="5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8.9</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w:t>
            </w: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(53.9)%</w:t>
            </w:r>
          </w:p>
        </w:tc>
        <w:tc>
          <w:tcPr>
            <w:tcW w:w="0" w:type="dxa"/>
            <w:vAlign w:val="bottom"/>
          </w:tcPr>
          <w:p>
            <w:pPr>
              <w:spacing w:after="0"/>
              <w:rPr>
                <w:sz w:val="1"/>
                <w:szCs w:val="1"/>
                <w:color w:val="auto"/>
              </w:rPr>
            </w:pPr>
          </w:p>
        </w:tc>
      </w:tr>
      <w:tr>
        <w:trPr>
          <w:trHeight w:val="133"/>
        </w:trPr>
        <w:tc>
          <w:tcPr>
            <w:tcW w:w="59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35.0 %</w:t>
            </w:r>
          </w:p>
        </w:tc>
        <w:tc>
          <w:tcPr>
            <w:tcW w:w="0" w:type="dxa"/>
            <w:vAlign w:val="bottom"/>
          </w:tcPr>
          <w:p>
            <w:pPr>
              <w:spacing w:after="0"/>
              <w:rPr>
                <w:sz w:val="1"/>
                <w:szCs w:val="1"/>
                <w:color w:val="auto"/>
              </w:rPr>
            </w:pPr>
          </w:p>
        </w:tc>
      </w:tr>
      <w:tr>
        <w:trPr>
          <w:trHeight w:val="144"/>
        </w:trPr>
        <w:tc>
          <w:tcPr>
            <w:tcW w:w="5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(50.0)%</w:t>
            </w:r>
          </w:p>
        </w:tc>
        <w:tc>
          <w:tcPr>
            <w:tcW w:w="0" w:type="dxa"/>
            <w:vAlign w:val="bottom"/>
          </w:tcPr>
          <w:p>
            <w:pPr>
              <w:spacing w:after="0"/>
              <w:rPr>
                <w:sz w:val="1"/>
                <w:szCs w:val="1"/>
                <w:color w:val="auto"/>
              </w:rPr>
            </w:pPr>
          </w:p>
        </w:tc>
      </w:tr>
      <w:tr>
        <w:trPr>
          <w:trHeight w:val="144"/>
        </w:trPr>
        <w:tc>
          <w:tcPr>
            <w:tcW w:w="59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Advertising and marketing</w:t>
            </w: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0.0 %</w:t>
            </w:r>
          </w:p>
        </w:tc>
        <w:tc>
          <w:tcPr>
            <w:tcW w:w="0" w:type="dxa"/>
            <w:vAlign w:val="bottom"/>
          </w:tcPr>
          <w:p>
            <w:pPr>
              <w:spacing w:after="0"/>
              <w:rPr>
                <w:sz w:val="1"/>
                <w:szCs w:val="1"/>
                <w:color w:val="auto"/>
              </w:rPr>
            </w:pPr>
          </w:p>
        </w:tc>
      </w:tr>
      <w:tr>
        <w:trPr>
          <w:trHeight w:val="144"/>
        </w:trPr>
        <w:tc>
          <w:tcPr>
            <w:tcW w:w="59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(50.0)%</w:t>
            </w:r>
          </w:p>
        </w:tc>
        <w:tc>
          <w:tcPr>
            <w:tcW w:w="0" w:type="dxa"/>
            <w:vAlign w:val="bottom"/>
          </w:tcPr>
          <w:p>
            <w:pPr>
              <w:spacing w:after="0"/>
              <w:rPr>
                <w:sz w:val="1"/>
                <w:szCs w:val="1"/>
                <w:color w:val="auto"/>
              </w:rPr>
            </w:pPr>
          </w:p>
        </w:tc>
      </w:tr>
      <w:tr>
        <w:trPr>
          <w:trHeight w:val="133"/>
        </w:trPr>
        <w:tc>
          <w:tcPr>
            <w:tcW w:w="59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66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w:t>
            </w: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26.1 %</w:t>
            </w:r>
          </w:p>
        </w:tc>
        <w:tc>
          <w:tcPr>
            <w:tcW w:w="0" w:type="dxa"/>
            <w:vAlign w:val="bottom"/>
          </w:tcPr>
          <w:p>
            <w:pPr>
              <w:spacing w:after="0"/>
              <w:rPr>
                <w:sz w:val="1"/>
                <w:szCs w:val="1"/>
                <w:color w:val="auto"/>
              </w:rPr>
            </w:pPr>
          </w:p>
        </w:tc>
      </w:tr>
      <w:tr>
        <w:trPr>
          <w:trHeight w:val="140"/>
        </w:trPr>
        <w:tc>
          <w:tcPr>
            <w:tcW w:w="59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(loss) from operations</w:t>
            </w:r>
          </w:p>
        </w:tc>
        <w:tc>
          <w:tcPr>
            <w:tcW w:w="660" w:type="dxa"/>
            <w:vAlign w:val="bottom"/>
            <w:tcBorders>
              <w:bottom w:val="single" w:sz="8" w:color="auto"/>
            </w:tcBorders>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4.3</w:t>
            </w:r>
          </w:p>
        </w:tc>
        <w:tc>
          <w:tcPr>
            <w:tcW w:w="180" w:type="dxa"/>
            <w:vAlign w:val="bottom"/>
          </w:tcPr>
          <w:p>
            <w:pPr>
              <w:spacing w:after="0"/>
              <w:rPr>
                <w:sz w:val="12"/>
                <w:szCs w:val="12"/>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(6.0)</w:t>
            </w:r>
          </w:p>
        </w:tc>
        <w:tc>
          <w:tcPr>
            <w:tcW w:w="20" w:type="dxa"/>
            <w:vAlign w:val="bottom"/>
            <w:tcBorders>
              <w:bottom w:val="single" w:sz="8" w:color="auto"/>
            </w:tcBorders>
          </w:tcPr>
          <w:p>
            <w:pPr>
              <w:spacing w:after="0"/>
              <w:rPr>
                <w:sz w:val="12"/>
                <w:szCs w:val="12"/>
                <w:color w:val="auto"/>
              </w:rPr>
            </w:pPr>
          </w:p>
        </w:tc>
        <w:tc>
          <w:tcPr>
            <w:tcW w:w="10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(139.5)%</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 xml:space="preserve">Net revenues for the three months ended September 30, 2022 decreased by $8.8 million, or 36.1%, compared to the three months ended September 30, 2021. The decrease in net revenue was due to a decrease in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 xml:space="preserve"> Units Sold, milestone payments and a higher amount of deferred revenue recognized as revenue in 2021. Total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 xml:space="preserve"> related revenues decreased by $8.5 million during the three months ended September 30, 2022 as compared to the three month period ended September 30, 2021. $5.2 million of the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decrease was attributable to both the age of the game and sales normalizing in 2022 after the initial release of </w:t>
      </w:r>
      <w:r>
        <w:rPr>
          <w:rFonts w:ascii="Times New Roman" w:cs="Times New Roman" w:eastAsia="Times New Roman" w:hAnsi="Times New Roman"/>
          <w:sz w:val="12"/>
          <w:szCs w:val="12"/>
          <w:i w:val="1"/>
          <w:iCs w:val="1"/>
          <w:color w:val="auto"/>
        </w:rPr>
        <w:t>Genesis II in</w:t>
      </w:r>
      <w:r>
        <w:rPr>
          <w:rFonts w:ascii="Times New Roman" w:cs="Times New Roman" w:eastAsia="Times New Roman" w:hAnsi="Times New Roman"/>
          <w:sz w:val="12"/>
          <w:szCs w:val="12"/>
          <w:color w:val="auto"/>
        </w:rPr>
        <w:t xml:space="preserve"> June 2021, $2.3 million of the decrease is due to reduced deferred revenue recognized in 2022 and $1.0 million of the decrease is due to a milestone payment related to the launch of </w:t>
      </w:r>
      <w:r>
        <w:rPr>
          <w:rFonts w:ascii="Times New Roman" w:cs="Times New Roman" w:eastAsia="Times New Roman" w:hAnsi="Times New Roman"/>
          <w:sz w:val="12"/>
          <w:szCs w:val="12"/>
          <w:i w:val="1"/>
          <w:iCs w:val="1"/>
          <w:color w:val="auto"/>
        </w:rPr>
        <w:t>ARK</w:t>
      </w:r>
      <w:r>
        <w:rPr>
          <w:rFonts w:ascii="Times New Roman" w:cs="Times New Roman" w:eastAsia="Times New Roman" w:hAnsi="Times New Roman"/>
          <w:sz w:val="12"/>
          <w:szCs w:val="12"/>
          <w:color w:val="auto"/>
        </w:rPr>
        <w:t xml:space="preserve"> on a platform during the three months ended September 30, 2021 that did not occur in 2022.</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Cost of revenues for the three months ended September 30, 2022 decreased by $4.0 million, or 25.8%, compared to the three months ended September 30, 2021.</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Cost of revenues for the three months ended September 30, 2022 and 2021 comprised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60" w:type="dxa"/>
            <w:vAlign w:val="bottom"/>
            <w:gridSpan w:val="5"/>
          </w:tcPr>
          <w:p>
            <w:pPr>
              <w:ind w:left="20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200" w:type="dxa"/>
            <w:vAlign w:val="bottom"/>
          </w:tcPr>
          <w:p>
            <w:pPr>
              <w:spacing w:after="0"/>
              <w:rPr>
                <w:sz w:val="10"/>
                <w:szCs w:val="10"/>
                <w:color w:val="auto"/>
              </w:rPr>
            </w:pPr>
          </w:p>
        </w:tc>
        <w:tc>
          <w:tcPr>
            <w:tcW w:w="860" w:type="dxa"/>
            <w:vAlign w:val="bottom"/>
            <w:vMerge w:val="restart"/>
          </w:tcPr>
          <w:p>
            <w:pPr>
              <w:jc w:val="right"/>
              <w:ind w:right="281"/>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rPr>
              <w:t>2022</w:t>
            </w:r>
          </w:p>
        </w:tc>
        <w:tc>
          <w:tcPr>
            <w:tcW w:w="22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4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Software license royalties - related parties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3,428,231</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4,954,040</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(1,525,809)</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(30.8)%</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Software license royalties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47,020</w:t>
            </w:r>
          </w:p>
        </w:tc>
        <w:tc>
          <w:tcPr>
            <w:tcW w:w="20" w:type="dxa"/>
            <w:vAlign w:val="bottom"/>
          </w:tcPr>
          <w:p>
            <w:pPr>
              <w:spacing w:after="0"/>
              <w:rPr>
                <w:sz w:val="12"/>
                <w:szCs w:val="12"/>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100.0 %</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License and amortization - related parties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6,350,979</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8,483,182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(2,132,203)</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(25.1)%</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License and amortization</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155,701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(155,477)</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(99.9)%</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Game localization</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5,727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(4,887)</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(85.3)%</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Merchant fees</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602,814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847,610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(244,796)</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(28.9)%</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Engine fees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359,263</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552,913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(193,650)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(35.0)%</w:t>
            </w:r>
          </w:p>
        </w:tc>
        <w:tc>
          <w:tcPr>
            <w:tcW w:w="0" w:type="dxa"/>
            <w:vAlign w:val="bottom"/>
          </w:tcPr>
          <w:p>
            <w:pPr>
              <w:spacing w:after="0"/>
              <w:rPr>
                <w:sz w:val="1"/>
                <w:szCs w:val="1"/>
                <w:color w:val="auto"/>
              </w:rPr>
            </w:pPr>
          </w:p>
        </w:tc>
      </w:tr>
      <w:tr>
        <w:trPr>
          <w:trHeight w:val="144"/>
        </w:trPr>
        <w:tc>
          <w:tcPr>
            <w:tcW w:w="5420" w:type="dxa"/>
            <w:vAlign w:val="bottom"/>
          </w:tcPr>
          <w:p>
            <w:pPr>
              <w:spacing w:after="0"/>
              <w:rPr>
                <w:sz w:val="20"/>
                <w:szCs w:val="20"/>
                <w:color w:val="auto"/>
              </w:rPr>
            </w:pPr>
            <w:r>
              <w:rPr>
                <w:rFonts w:ascii="Times New Roman" w:cs="Times New Roman" w:eastAsia="Times New Roman" w:hAnsi="Times New Roman"/>
                <w:sz w:val="12"/>
                <w:szCs w:val="12"/>
                <w:color w:val="auto"/>
              </w:rPr>
              <w:t>Internet, server and data center</w:t>
            </w: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535,399</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479,154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56,245</w:t>
            </w:r>
          </w:p>
        </w:tc>
        <w:tc>
          <w:tcPr>
            <w:tcW w:w="20" w:type="dxa"/>
            <w:vAlign w:val="bottom"/>
          </w:tcPr>
          <w:p>
            <w:pPr>
              <w:spacing w:after="0"/>
              <w:rPr>
                <w:sz w:val="12"/>
                <w:szCs w:val="12"/>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11.7 %</w:t>
            </w:r>
          </w:p>
        </w:tc>
        <w:tc>
          <w:tcPr>
            <w:tcW w:w="0" w:type="dxa"/>
            <w:vAlign w:val="bottom"/>
          </w:tcPr>
          <w:p>
            <w:pPr>
              <w:spacing w:after="0"/>
              <w:rPr>
                <w:sz w:val="1"/>
                <w:szCs w:val="1"/>
                <w:color w:val="auto"/>
              </w:rPr>
            </w:pPr>
          </w:p>
        </w:tc>
      </w:tr>
      <w:tr>
        <w:trPr>
          <w:trHeight w:val="144"/>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related to advertising revenue</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144,191</w:t>
            </w: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144,191</w:t>
            </w:r>
          </w:p>
        </w:tc>
        <w:tc>
          <w:tcPr>
            <w:tcW w:w="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100.0 %</w:t>
            </w:r>
          </w:p>
        </w:tc>
        <w:tc>
          <w:tcPr>
            <w:tcW w:w="0" w:type="dxa"/>
            <w:vAlign w:val="bottom"/>
          </w:tcPr>
          <w:p>
            <w:pPr>
              <w:spacing w:after="0"/>
              <w:rPr>
                <w:sz w:val="1"/>
                <w:szCs w:val="1"/>
                <w:color w:val="auto"/>
              </w:rPr>
            </w:pPr>
          </w:p>
        </w:tc>
      </w:tr>
      <w:tr>
        <w:trPr>
          <w:trHeight w:val="140"/>
        </w:trPr>
        <w:tc>
          <w:tcPr>
            <w:tcW w:w="54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11,468,961</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15,478,327</w:t>
            </w:r>
          </w:p>
        </w:tc>
        <w:tc>
          <w:tcPr>
            <w:tcW w:w="14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(4,009,366)</w:t>
            </w:r>
          </w:p>
        </w:tc>
        <w:tc>
          <w:tcPr>
            <w:tcW w:w="20" w:type="dxa"/>
            <w:vAlign w:val="bottom"/>
            <w:tcBorders>
              <w:bottom w:val="single" w:sz="8" w:color="auto"/>
            </w:tcBorders>
          </w:tcPr>
          <w:p>
            <w:pPr>
              <w:spacing w:after="0"/>
              <w:rPr>
                <w:sz w:val="12"/>
                <w:szCs w:val="12"/>
                <w:color w:val="auto"/>
              </w:rPr>
            </w:pPr>
          </w:p>
        </w:tc>
        <w:tc>
          <w:tcPr>
            <w:tcW w:w="94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(25.9)%</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 xml:space="preserve">The decrease in cost of revenue for the three months ended September 30, 2022 was due to a decrease in royalties in line with a decrease in revenue and lower amortization costs due to the impairment of the Company’s </w:t>
      </w:r>
      <w:r>
        <w:rPr>
          <w:rFonts w:ascii="Times New Roman" w:cs="Times New Roman" w:eastAsia="Times New Roman" w:hAnsi="Times New Roman"/>
          <w:sz w:val="12"/>
          <w:szCs w:val="12"/>
          <w:i w:val="1"/>
          <w:iCs w:val="1"/>
          <w:color w:val="auto"/>
        </w:rPr>
        <w:t>Atlas</w:t>
      </w:r>
      <w:r>
        <w:rPr>
          <w:rFonts w:ascii="Times New Roman" w:cs="Times New Roman" w:eastAsia="Times New Roman" w:hAnsi="Times New Roman"/>
          <w:sz w:val="12"/>
          <w:szCs w:val="12"/>
          <w:color w:val="auto"/>
        </w:rPr>
        <w:t xml:space="preserve"> license previously in late 2021.</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General and administrative expenses for the three months ended September 30, 2022 increased by $1.4 million, or 35.0%, compared to the three months ended September 30, 2021. The increase in general and administrative expenses was primarily due to $1.0 million of increased legal and professional expenses that was the result of the Angela Games litigation and financial reporting related costs. Salaries and wages increased by $0.6 million due to the growth of the Company. Compensation and internet and server costs increased by $0.3 million due to inflation pressure of the underlying costs. These were offset by decrease in contractors expenses of $0.4 million due to the decrease in activity for our subsidiary, BTBX.IO, LLC during the three month period ended September 30, 2022,</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 xml:space="preserve">Research and development expenses for the three months ended September 30, 2022 decreased by $0.1 million, or 50.0%, compared to the three months ended September 30, 2021. The decrease in research and development expenses was primarily due to decreased spending on the development of the </w:t>
      </w:r>
      <w:r>
        <w:rPr>
          <w:rFonts w:ascii="Times New Roman" w:cs="Times New Roman" w:eastAsia="Times New Roman" w:hAnsi="Times New Roman"/>
          <w:sz w:val="12"/>
          <w:szCs w:val="12"/>
          <w:i w:val="1"/>
          <w:iCs w:val="1"/>
          <w:color w:val="auto"/>
        </w:rPr>
        <w:t>Agartha</w:t>
      </w:r>
      <w:r>
        <w:rPr>
          <w:rFonts w:ascii="Times New Roman" w:cs="Times New Roman" w:eastAsia="Times New Roman" w:hAnsi="Times New Roman"/>
          <w:sz w:val="12"/>
          <w:szCs w:val="12"/>
          <w:color w:val="auto"/>
        </w:rPr>
        <w:t xml:space="preserve"> game in 2022 as the game development was completed and </w:t>
      </w:r>
      <w:r>
        <w:rPr>
          <w:rFonts w:ascii="Times New Roman" w:cs="Times New Roman" w:eastAsia="Times New Roman" w:hAnsi="Times New Roman"/>
          <w:sz w:val="12"/>
          <w:szCs w:val="12"/>
          <w:i w:val="1"/>
          <w:iCs w:val="1"/>
          <w:color w:val="auto"/>
        </w:rPr>
        <w:t>Agartha</w:t>
      </w:r>
      <w:r>
        <w:rPr>
          <w:rFonts w:ascii="Times New Roman" w:cs="Times New Roman" w:eastAsia="Times New Roman" w:hAnsi="Times New Roman"/>
          <w:sz w:val="12"/>
          <w:szCs w:val="12"/>
          <w:color w:val="auto"/>
        </w:rPr>
        <w:t xml:space="preserve"> released on August 18, 2022.</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Advertising and marketing expenses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 xml:space="preserve">Advertising and marketing expenses for the three months ended September 30, 2022 remained approximately the same as compared to the three months ended September 30, 2021, due to reduced spending on direct advertising in 2022 as the Company marketed the </w:t>
      </w:r>
      <w:r>
        <w:rPr>
          <w:rFonts w:ascii="Times New Roman" w:cs="Times New Roman" w:eastAsia="Times New Roman" w:hAnsi="Times New Roman"/>
          <w:sz w:val="12"/>
          <w:szCs w:val="12"/>
          <w:i w:val="1"/>
          <w:iCs w:val="1"/>
          <w:color w:val="auto"/>
        </w:rPr>
        <w:t>Genesis II</w:t>
      </w:r>
      <w:r>
        <w:rPr>
          <w:rFonts w:ascii="Times New Roman" w:cs="Times New Roman" w:eastAsia="Times New Roman" w:hAnsi="Times New Roman"/>
          <w:sz w:val="12"/>
          <w:szCs w:val="12"/>
          <w:color w:val="auto"/>
        </w:rPr>
        <w:t xml:space="preserve"> release in 2021 and did not have a release in 2022, offset by the Company’s participation in PAX West in 2022.</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 expenses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expenses for the three months ended September 30, 2022 decreased by $0.1 million, or 50.0%, compared to the three months ended September 30, 2021. The decrease in depreciation and amortization expenses was primarily due to the termination of a lease which resulted in a lower depreciable base of leasehold improvements.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Factors Affecting Net Income (Loss)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140" w:type="dxa"/>
            <w:vAlign w:val="bottom"/>
          </w:tcPr>
          <w:p>
            <w:pPr>
              <w:spacing w:after="0"/>
              <w:rPr>
                <w:sz w:val="10"/>
                <w:szCs w:val="10"/>
                <w:color w:val="auto"/>
              </w:rPr>
            </w:pPr>
          </w:p>
        </w:tc>
        <w:tc>
          <w:tcPr>
            <w:tcW w:w="2340" w:type="dxa"/>
            <w:vAlign w:val="bottom"/>
            <w:gridSpan w:val="6"/>
          </w:tcPr>
          <w:p>
            <w:pPr>
              <w:ind w:left="400"/>
              <w:spacing w:after="0"/>
              <w:rPr>
                <w:sz w:val="20"/>
                <w:szCs w:val="20"/>
                <w:color w:val="auto"/>
              </w:rPr>
            </w:pPr>
            <w:r>
              <w:rPr>
                <w:rFonts w:ascii="Times New Roman" w:cs="Times New Roman" w:eastAsia="Times New Roman" w:hAnsi="Times New Roman"/>
                <w:sz w:val="10"/>
                <w:szCs w:val="10"/>
                <w:b w:val="1"/>
                <w:bCs w:val="1"/>
                <w:color w:val="auto"/>
              </w:rPr>
              <w:t>Three Months ended September 30,</w:t>
            </w:r>
          </w:p>
        </w:tc>
        <w:tc>
          <w:tcPr>
            <w:tcW w:w="80" w:type="dxa"/>
            <w:vAlign w:val="bottom"/>
          </w:tcPr>
          <w:p>
            <w:pPr>
              <w:spacing w:after="0"/>
              <w:rPr>
                <w:sz w:val="10"/>
                <w:szCs w:val="10"/>
                <w:color w:val="auto"/>
              </w:rPr>
            </w:pPr>
          </w:p>
        </w:tc>
        <w:tc>
          <w:tcPr>
            <w:tcW w:w="5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w w:val="94"/>
              </w:rPr>
              <w:t>$ Change</w:t>
            </w:r>
          </w:p>
        </w:tc>
        <w:tc>
          <w:tcPr>
            <w:tcW w:w="8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6140" w:type="dxa"/>
            <w:vAlign w:val="bottom"/>
          </w:tcPr>
          <w:p>
            <w:pPr>
              <w:spacing w:after="0"/>
              <w:rPr>
                <w:sz w:val="7"/>
                <w:szCs w:val="7"/>
                <w:color w:val="auto"/>
              </w:rPr>
            </w:pPr>
          </w:p>
        </w:tc>
        <w:tc>
          <w:tcPr>
            <w:tcW w:w="680" w:type="dxa"/>
            <w:vAlign w:val="bottom"/>
            <w:tcBorders>
              <w:top w:val="single" w:sz="8" w:color="auto"/>
            </w:tcBorders>
          </w:tcPr>
          <w:p>
            <w:pPr>
              <w:ind w:left="40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346"/>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14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jc w:val="right"/>
              <w:ind w:right="106"/>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1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 – related parties</w:t>
            </w:r>
          </w:p>
        </w:tc>
        <w:tc>
          <w:tcPr>
            <w:tcW w:w="6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(0.4)</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14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80" w:type="dxa"/>
            <w:vAlign w:val="bottom"/>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(0.3)</w:t>
            </w:r>
          </w:p>
        </w:tc>
        <w:tc>
          <w:tcPr>
            <w:tcW w:w="20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(0.1)</w:t>
            </w:r>
          </w:p>
        </w:tc>
        <w:tc>
          <w:tcPr>
            <w:tcW w:w="8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(0.2)</w:t>
            </w: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200.0 %</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provision (benefit)</w:t>
            </w:r>
          </w:p>
        </w:tc>
        <w:tc>
          <w:tcPr>
            <w:tcW w:w="6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(0.4)</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(144.4)%</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Interest income — related parties stemmed from the interest charged on the Shi Loan (as defined below).</w:t>
      </w:r>
    </w:p>
    <w:p>
      <w:pPr>
        <w:spacing w:after="0" w:line="150"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Interest income — related parties was $0.0 million, and $0.4 million for the three months ended September 30, 2022 and 2021, respectively. The decrease was due to the distribution of the Shi Loan to Suzhou Snail in April 2022.</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Interest expense primarily related to our outstanding indebtedness with our third-party lenders. Interest expense increased by $0.2 million for the three months ended September 30, 2022 as a result of interest charges on the new short-term note issued in January 2022.</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Income tax provision (benefit)</w:t>
      </w:r>
    </w:p>
    <w:p>
      <w:pPr>
        <w:spacing w:after="0" w:line="154"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 provision for income tax was a $0.4 million benefit and a $0.9 million provision for the three months ended September 30, 2022 and 2021, respectively, representing a decrease of $1.3 million. Our effective income tax rate was 20.5% and 19.2% for the three months ended September 30, 2022 and 2021, respectively.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Comparison for the nine months ended September 30, 2022 versus the nine months ended September 30, 2021.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2300" w:type="dxa"/>
            <w:vAlign w:val="bottom"/>
            <w:gridSpan w:val="6"/>
          </w:tcPr>
          <w:p>
            <w:pPr>
              <w:ind w:left="36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w w:val="91"/>
              </w:rPr>
              <w:t>Change</w:t>
            </w:r>
          </w:p>
        </w:tc>
        <w:tc>
          <w:tcPr>
            <w:tcW w:w="160" w:type="dxa"/>
            <w:vAlign w:val="bottom"/>
          </w:tcPr>
          <w:p>
            <w:pPr>
              <w:spacing w:after="0"/>
              <w:rPr>
                <w:sz w:val="10"/>
                <w:szCs w:val="10"/>
                <w:color w:val="auto"/>
              </w:rPr>
            </w:pP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6060" w:type="dxa"/>
            <w:vAlign w:val="bottom"/>
          </w:tcPr>
          <w:p>
            <w:pPr>
              <w:spacing w:after="0"/>
              <w:rPr>
                <w:sz w:val="7"/>
                <w:szCs w:val="7"/>
                <w:color w:val="auto"/>
              </w:rPr>
            </w:pPr>
          </w:p>
        </w:tc>
        <w:tc>
          <w:tcPr>
            <w:tcW w:w="620" w:type="dxa"/>
            <w:vAlign w:val="bottom"/>
            <w:tcBorders>
              <w:top w:val="single" w:sz="8" w:color="auto"/>
            </w:tcBorders>
          </w:tcPr>
          <w:p>
            <w:pPr>
              <w:jc w:val="right"/>
              <w:ind w:right="9"/>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3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ind w:right="323"/>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060" w:type="dxa"/>
            <w:vAlign w:val="bottom"/>
          </w:tcPr>
          <w:p>
            <w:pPr>
              <w:spacing w:after="0"/>
              <w:rPr>
                <w:sz w:val="6"/>
                <w:szCs w:val="6"/>
                <w:color w:val="auto"/>
              </w:rPr>
            </w:pPr>
          </w:p>
        </w:tc>
        <w:tc>
          <w:tcPr>
            <w:tcW w:w="6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18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Revenues, net</w:t>
            </w:r>
          </w:p>
        </w:tc>
        <w:tc>
          <w:tcPr>
            <w:tcW w:w="620" w:type="dxa"/>
            <w:vAlign w:val="bottom"/>
            <w:shd w:val="clear" w:color="auto" w:fill="CCEEFF"/>
          </w:tcPr>
          <w:p>
            <w:pPr>
              <w:jc w:val="right"/>
              <w:ind w:right="50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(24.1)</w:t>
            </w: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(29.0)%</w:t>
            </w:r>
          </w:p>
        </w:tc>
        <w:tc>
          <w:tcPr>
            <w:tcW w:w="0" w:type="dxa"/>
            <w:vAlign w:val="bottom"/>
          </w:tcPr>
          <w:p>
            <w:pPr>
              <w:spacing w:after="0"/>
              <w:rPr>
                <w:sz w:val="1"/>
                <w:szCs w:val="1"/>
                <w:color w:val="auto"/>
              </w:rPr>
            </w:pPr>
          </w:p>
        </w:tc>
      </w:tr>
      <w:tr>
        <w:trPr>
          <w:trHeight w:val="144"/>
        </w:trPr>
        <w:tc>
          <w:tcPr>
            <w:tcW w:w="6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Cost of revenues</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37.7</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(10.7)</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(22.1)%</w:t>
            </w:r>
          </w:p>
        </w:tc>
        <w:tc>
          <w:tcPr>
            <w:tcW w:w="0" w:type="dxa"/>
            <w:vAlign w:val="bottom"/>
          </w:tcPr>
          <w:p>
            <w:pPr>
              <w:spacing w:after="0"/>
              <w:rPr>
                <w:sz w:val="1"/>
                <w:szCs w:val="1"/>
                <w:color w:val="auto"/>
              </w:rPr>
            </w:pPr>
          </w:p>
        </w:tc>
      </w:tr>
      <w:tr>
        <w:trPr>
          <w:trHeight w:val="133"/>
        </w:trPr>
        <w:tc>
          <w:tcPr>
            <w:tcW w:w="6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profit</w:t>
            </w: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21.4</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34.8</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(13.4)</w:t>
            </w: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(38.5)%</w:t>
            </w:r>
          </w:p>
        </w:tc>
        <w:tc>
          <w:tcPr>
            <w:tcW w:w="0" w:type="dxa"/>
            <w:vAlign w:val="bottom"/>
          </w:tcPr>
          <w:p>
            <w:pPr>
              <w:spacing w:after="0"/>
              <w:rPr>
                <w:sz w:val="1"/>
                <w:szCs w:val="1"/>
                <w:color w:val="auto"/>
              </w:rPr>
            </w:pPr>
          </w:p>
        </w:tc>
      </w:tr>
      <w:tr>
        <w:trPr>
          <w:trHeight w:val="133"/>
        </w:trPr>
        <w:tc>
          <w:tcPr>
            <w:tcW w:w="60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expenses:</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24.6 %</w:t>
            </w:r>
          </w:p>
        </w:tc>
        <w:tc>
          <w:tcPr>
            <w:tcW w:w="0" w:type="dxa"/>
            <w:vAlign w:val="bottom"/>
          </w:tcPr>
          <w:p>
            <w:pPr>
              <w:spacing w:after="0"/>
              <w:rPr>
                <w:sz w:val="1"/>
                <w:szCs w:val="1"/>
                <w:color w:val="auto"/>
              </w:rPr>
            </w:pPr>
          </w:p>
        </w:tc>
      </w:tr>
      <w:tr>
        <w:trPr>
          <w:trHeight w:val="144"/>
        </w:trPr>
        <w:tc>
          <w:tcPr>
            <w:tcW w:w="6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Research and development</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(0.1)</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Advertising and marketing</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0" w:type="dxa"/>
            <w:vAlign w:val="bottom"/>
            <w:shd w:val="clear" w:color="auto" w:fill="CCEEFF"/>
          </w:tcPr>
          <w:p>
            <w:pPr>
              <w:spacing w:after="0"/>
              <w:rPr>
                <w:sz w:val="12"/>
                <w:szCs w:val="12"/>
                <w:color w:val="auto"/>
              </w:rPr>
            </w:pPr>
          </w:p>
        </w:tc>
        <w:tc>
          <w:tcPr>
            <w:tcW w:w="10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100.0 %</w:t>
            </w:r>
          </w:p>
        </w:tc>
        <w:tc>
          <w:tcPr>
            <w:tcW w:w="0" w:type="dxa"/>
            <w:vAlign w:val="bottom"/>
          </w:tcPr>
          <w:p>
            <w:pPr>
              <w:spacing w:after="0"/>
              <w:rPr>
                <w:sz w:val="1"/>
                <w:szCs w:val="1"/>
                <w:color w:val="auto"/>
              </w:rPr>
            </w:pPr>
          </w:p>
        </w:tc>
      </w:tr>
      <w:tr>
        <w:trPr>
          <w:trHeight w:val="144"/>
        </w:trPr>
        <w:tc>
          <w:tcPr>
            <w:tcW w:w="60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62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(0.2)</w:t>
            </w: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color w:val="auto"/>
              </w:rPr>
              <w:t>(33.3)%</w:t>
            </w:r>
          </w:p>
        </w:tc>
        <w:tc>
          <w:tcPr>
            <w:tcW w:w="0" w:type="dxa"/>
            <w:vAlign w:val="bottom"/>
          </w:tcPr>
          <w:p>
            <w:pPr>
              <w:spacing w:after="0"/>
              <w:rPr>
                <w:sz w:val="1"/>
                <w:szCs w:val="1"/>
                <w:color w:val="auto"/>
              </w:rPr>
            </w:pPr>
          </w:p>
        </w:tc>
      </w:tr>
      <w:tr>
        <w:trPr>
          <w:trHeight w:val="133"/>
        </w:trPr>
        <w:tc>
          <w:tcPr>
            <w:tcW w:w="60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operating expenses</w:t>
            </w:r>
          </w:p>
        </w:tc>
        <w:tc>
          <w:tcPr>
            <w:tcW w:w="620" w:type="dxa"/>
            <w:vAlign w:val="bottom"/>
            <w:tcBorders>
              <w:top w:val="single" w:sz="8" w:color="auto"/>
              <w:bottom w:val="single" w:sz="8" w:color="auto"/>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w:t>
            </w: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14.5</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w:t>
            </w:r>
          </w:p>
        </w:tc>
        <w:tc>
          <w:tcPr>
            <w:tcW w:w="2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gridSpan w:val="3"/>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22.1 %</w:t>
            </w:r>
          </w:p>
        </w:tc>
        <w:tc>
          <w:tcPr>
            <w:tcW w:w="0" w:type="dxa"/>
            <w:vAlign w:val="bottom"/>
          </w:tcPr>
          <w:p>
            <w:pPr>
              <w:spacing w:after="0"/>
              <w:rPr>
                <w:sz w:val="1"/>
                <w:szCs w:val="1"/>
                <w:color w:val="auto"/>
              </w:rPr>
            </w:pPr>
          </w:p>
        </w:tc>
      </w:tr>
      <w:tr>
        <w:trPr>
          <w:trHeight w:val="133"/>
        </w:trPr>
        <w:tc>
          <w:tcPr>
            <w:tcW w:w="606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from operations</w:t>
            </w:r>
          </w:p>
        </w:tc>
        <w:tc>
          <w:tcPr>
            <w:tcW w:w="6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240" w:type="dxa"/>
            <w:vAlign w:val="bottom"/>
          </w:tcPr>
          <w:p>
            <w:pPr>
              <w:spacing w:after="0"/>
              <w:rPr>
                <w:sz w:val="11"/>
                <w:szCs w:val="11"/>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20.3</w:t>
            </w:r>
          </w:p>
        </w:tc>
        <w:tc>
          <w:tcPr>
            <w:tcW w:w="18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(16.6)</w:t>
            </w:r>
          </w:p>
        </w:tc>
        <w:tc>
          <w:tcPr>
            <w:tcW w:w="20" w:type="dxa"/>
            <w:vAlign w:val="bottom"/>
            <w:tcBorders>
              <w:bottom w:val="single" w:sz="8" w:color="auto"/>
            </w:tcBorders>
          </w:tcPr>
          <w:p>
            <w:pPr>
              <w:spacing w:after="0"/>
              <w:rPr>
                <w:sz w:val="11"/>
                <w:szCs w:val="11"/>
                <w:color w:val="auto"/>
              </w:rPr>
            </w:pPr>
          </w:p>
        </w:tc>
        <w:tc>
          <w:tcPr>
            <w:tcW w:w="1000" w:type="dxa"/>
            <w:vAlign w:val="bottom"/>
            <w:gridSpan w:val="3"/>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(81.8)%</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Revenues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 xml:space="preserve">Net revenues for the nine months ended September 30, 2022 decreased by $24.1 million, or 29.0%, compared to the nine months ended September 30, 2021. Of the $24.1 million decrease in net revenues, $22.2 million was attributable to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$0.8 million to </w:t>
      </w:r>
      <w:r>
        <w:rPr>
          <w:rFonts w:ascii="Times New Roman" w:cs="Times New Roman" w:eastAsia="Times New Roman" w:hAnsi="Times New Roman"/>
          <w:sz w:val="12"/>
          <w:szCs w:val="12"/>
          <w:i w:val="1"/>
          <w:iCs w:val="1"/>
          <w:color w:val="auto"/>
        </w:rPr>
        <w:t>Age of Wushu,</w:t>
      </w:r>
      <w:r>
        <w:rPr>
          <w:rFonts w:ascii="Times New Roman" w:cs="Times New Roman" w:eastAsia="Times New Roman" w:hAnsi="Times New Roman"/>
          <w:sz w:val="12"/>
          <w:szCs w:val="12"/>
          <w:color w:val="auto"/>
        </w:rPr>
        <w:t xml:space="preserve"> $0.5 million to </w:t>
      </w:r>
      <w:r>
        <w:rPr>
          <w:rFonts w:ascii="Times New Roman" w:cs="Times New Roman" w:eastAsia="Times New Roman" w:hAnsi="Times New Roman"/>
          <w:sz w:val="12"/>
          <w:szCs w:val="12"/>
          <w:i w:val="1"/>
          <w:iCs w:val="1"/>
          <w:color w:val="auto"/>
        </w:rPr>
        <w:t>Last Oasis,</w:t>
      </w:r>
      <w:r>
        <w:rPr>
          <w:rFonts w:ascii="Times New Roman" w:cs="Times New Roman" w:eastAsia="Times New Roman" w:hAnsi="Times New Roman"/>
          <w:sz w:val="12"/>
          <w:szCs w:val="12"/>
          <w:color w:val="auto"/>
        </w:rPr>
        <w:t xml:space="preserve"> $0.3 million to </w:t>
      </w:r>
      <w:r>
        <w:rPr>
          <w:rFonts w:ascii="Times New Roman" w:cs="Times New Roman" w:eastAsia="Times New Roman" w:hAnsi="Times New Roman"/>
          <w:sz w:val="12"/>
          <w:szCs w:val="12"/>
          <w:i w:val="1"/>
          <w:iCs w:val="1"/>
          <w:color w:val="auto"/>
        </w:rPr>
        <w:t>PixARK</w:t>
      </w:r>
      <w:r>
        <w:rPr>
          <w:rFonts w:ascii="Times New Roman" w:cs="Times New Roman" w:eastAsia="Times New Roman" w:hAnsi="Times New Roman"/>
          <w:sz w:val="12"/>
          <w:szCs w:val="12"/>
          <w:color w:val="auto"/>
        </w:rPr>
        <w:t xml:space="preserve">, $0.2 million to </w:t>
      </w:r>
      <w:r>
        <w:rPr>
          <w:rFonts w:ascii="Times New Roman" w:cs="Times New Roman" w:eastAsia="Times New Roman" w:hAnsi="Times New Roman"/>
          <w:sz w:val="12"/>
          <w:szCs w:val="12"/>
          <w:i w:val="1"/>
          <w:iCs w:val="1"/>
          <w:color w:val="auto"/>
        </w:rPr>
        <w:t>Atlas and</w:t>
      </w:r>
      <w:r>
        <w:rPr>
          <w:rFonts w:ascii="Times New Roman" w:cs="Times New Roman" w:eastAsia="Times New Roman" w:hAnsi="Times New Roman"/>
          <w:sz w:val="12"/>
          <w:szCs w:val="12"/>
          <w:color w:val="auto"/>
        </w:rPr>
        <w:t xml:space="preserve"> $0.2 million to </w:t>
      </w:r>
      <w:r>
        <w:rPr>
          <w:rFonts w:ascii="Times New Roman" w:cs="Times New Roman" w:eastAsia="Times New Roman" w:hAnsi="Times New Roman"/>
          <w:sz w:val="12"/>
          <w:szCs w:val="12"/>
          <w:i w:val="1"/>
          <w:iCs w:val="1"/>
          <w:color w:val="auto"/>
        </w:rPr>
        <w:t>Voyage,</w:t>
      </w:r>
      <w:r>
        <w:rPr>
          <w:rFonts w:ascii="Times New Roman" w:cs="Times New Roman" w:eastAsia="Times New Roman" w:hAnsi="Times New Roman"/>
          <w:sz w:val="12"/>
          <w:szCs w:val="12"/>
          <w:color w:val="auto"/>
        </w:rPr>
        <w:t xml:space="preserve"> offset by an increase of $0.2 million due to release of </w:t>
      </w:r>
      <w:r>
        <w:rPr>
          <w:rFonts w:ascii="Times New Roman" w:cs="Times New Roman" w:eastAsia="Times New Roman" w:hAnsi="Times New Roman"/>
          <w:sz w:val="12"/>
          <w:szCs w:val="12"/>
          <w:i w:val="1"/>
          <w:iCs w:val="1"/>
          <w:color w:val="auto"/>
        </w:rPr>
        <w:t>West Hunt</w:t>
      </w:r>
      <w:r>
        <w:rPr>
          <w:rFonts w:ascii="Times New Roman" w:cs="Times New Roman" w:eastAsia="Times New Roman" w:hAnsi="Times New Roman"/>
          <w:sz w:val="12"/>
          <w:szCs w:val="12"/>
          <w:color w:val="auto"/>
        </w:rPr>
        <w:t xml:space="preserve"> during the period. Of the $22.2 million decrease attributable to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$24.9 million is due to reduced sales of </w:t>
      </w:r>
      <w:r>
        <w:rPr>
          <w:rFonts w:ascii="Times New Roman" w:cs="Times New Roman" w:eastAsia="Times New Roman" w:hAnsi="Times New Roman"/>
          <w:sz w:val="12"/>
          <w:szCs w:val="12"/>
          <w:i w:val="1"/>
          <w:iCs w:val="1"/>
          <w:color w:val="auto"/>
        </w:rPr>
        <w:t>ARK 1,</w:t>
      </w:r>
      <w:r>
        <w:rPr>
          <w:rFonts w:ascii="Times New Roman" w:cs="Times New Roman" w:eastAsia="Times New Roman" w:hAnsi="Times New Roman"/>
          <w:sz w:val="12"/>
          <w:szCs w:val="12"/>
          <w:color w:val="auto"/>
        </w:rPr>
        <w:t xml:space="preserve"> $4.8 million is due to the decrease in deferred revenue recognized, offset by a $7.5 million increase in one off payments during the nine month period ended September 30, 2022. Despite the decrease in Units Sold, the Company recorded a significant increase in its game installs during the nine months ended September 30, 2022, mainly caused by the free week promotions on the Steam and Epic platforms and a subscription program on a certain platform, as a result of which the Company recorded 34.7 million installs, compared to 5.1 million installs for the nine months ended September 30, 2021.</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Cost of revenues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Cost of revenues for the nine months ended September 30, 2022 decreased by $10.6 million, or 22.0%, compared to the nine months ended September 30, 2021.</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Cost of revenues for the nine months ended September 30, 2022 and 2021, respectively, comprised the following:</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10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240" w:type="dxa"/>
            <w:vAlign w:val="bottom"/>
          </w:tcPr>
          <w:p>
            <w:pPr>
              <w:spacing w:after="0"/>
              <w:rPr>
                <w:sz w:val="10"/>
                <w:szCs w:val="10"/>
                <w:color w:val="auto"/>
              </w:rPr>
            </w:pPr>
          </w:p>
        </w:tc>
        <w:tc>
          <w:tcPr>
            <w:tcW w:w="920" w:type="dxa"/>
            <w:vAlign w:val="bottom"/>
            <w:vMerge w:val="restart"/>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4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52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0"/>
                <w:szCs w:val="10"/>
                <w:b w:val="1"/>
                <w:bCs w:val="1"/>
                <w:color w:val="auto"/>
              </w:rPr>
              <w:t>2022</w:t>
            </w: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0"/>
                <w:szCs w:val="10"/>
                <w:b w:val="1"/>
                <w:bCs w:val="1"/>
                <w:color w:val="auto"/>
              </w:rPr>
              <w:t>2021</w:t>
            </w:r>
          </w:p>
        </w:tc>
        <w:tc>
          <w:tcPr>
            <w:tcW w:w="1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vMerge w:val="continue"/>
          </w:tcPr>
          <w:p>
            <w:pPr>
              <w:spacing w:after="0"/>
              <w:rPr>
                <w:sz w:val="10"/>
                <w:szCs w:val="10"/>
                <w:color w:val="auto"/>
              </w:rPr>
            </w:pPr>
          </w:p>
        </w:tc>
        <w:tc>
          <w:tcPr>
            <w:tcW w:w="2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55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Software license royalties - related parties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13,314,258</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17,046,875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(3,732,617)</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44"/>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Software license royalties</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47,020</w:t>
            </w:r>
          </w:p>
        </w:tc>
        <w:tc>
          <w:tcPr>
            <w:tcW w:w="20" w:type="dxa"/>
            <w:vAlign w:val="bottom"/>
          </w:tcPr>
          <w:p>
            <w:pPr>
              <w:spacing w:after="0"/>
              <w:rPr>
                <w:sz w:val="12"/>
                <w:szCs w:val="12"/>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0.0 %</w:t>
            </w:r>
          </w:p>
        </w:tc>
        <w:tc>
          <w:tcPr>
            <w:tcW w:w="0" w:type="dxa"/>
            <w:vAlign w:val="bottom"/>
          </w:tcPr>
          <w:p>
            <w:pPr>
              <w:spacing w:after="0"/>
              <w:rPr>
                <w:sz w:val="1"/>
                <w:szCs w:val="1"/>
                <w:color w:val="auto"/>
              </w:rPr>
            </w:pPr>
          </w:p>
        </w:tc>
      </w:tr>
      <w:tr>
        <w:trPr>
          <w:trHeight w:val="14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License and amortization - related parties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19,052,938</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24,169,714</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(5,116,776)</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(21.2)%</w:t>
            </w:r>
          </w:p>
        </w:tc>
        <w:tc>
          <w:tcPr>
            <w:tcW w:w="0" w:type="dxa"/>
            <w:vAlign w:val="bottom"/>
          </w:tcPr>
          <w:p>
            <w:pPr>
              <w:spacing w:after="0"/>
              <w:rPr>
                <w:sz w:val="1"/>
                <w:szCs w:val="1"/>
                <w:color w:val="auto"/>
              </w:rPr>
            </w:pPr>
          </w:p>
        </w:tc>
      </w:tr>
      <w:tr>
        <w:trPr>
          <w:trHeight w:val="144"/>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License and amortization</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250,672</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456,149</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(205,477)</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(45.0)%</w:t>
            </w:r>
          </w:p>
        </w:tc>
        <w:tc>
          <w:tcPr>
            <w:tcW w:w="0" w:type="dxa"/>
            <w:vAlign w:val="bottom"/>
          </w:tcPr>
          <w:p>
            <w:pPr>
              <w:spacing w:after="0"/>
              <w:rPr>
                <w:sz w:val="1"/>
                <w:szCs w:val="1"/>
                <w:color w:val="auto"/>
              </w:rPr>
            </w:pPr>
          </w:p>
        </w:tc>
      </w:tr>
      <w:tr>
        <w:trPr>
          <w:trHeight w:val="14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Game localization</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47,100</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(46,260)</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(98.2)%</w:t>
            </w:r>
          </w:p>
        </w:tc>
        <w:tc>
          <w:tcPr>
            <w:tcW w:w="0" w:type="dxa"/>
            <w:vAlign w:val="bottom"/>
          </w:tcPr>
          <w:p>
            <w:pPr>
              <w:spacing w:after="0"/>
              <w:rPr>
                <w:sz w:val="1"/>
                <w:szCs w:val="1"/>
                <w:color w:val="auto"/>
              </w:rPr>
            </w:pPr>
          </w:p>
        </w:tc>
      </w:tr>
      <w:tr>
        <w:trPr>
          <w:trHeight w:val="144"/>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Merchant fees</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1,856,371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2,878,020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(1,021,649)</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(35.5)%</w:t>
            </w:r>
          </w:p>
        </w:tc>
        <w:tc>
          <w:tcPr>
            <w:tcW w:w="0" w:type="dxa"/>
            <w:vAlign w:val="bottom"/>
          </w:tcPr>
          <w:p>
            <w:pPr>
              <w:spacing w:after="0"/>
              <w:rPr>
                <w:sz w:val="1"/>
                <w:szCs w:val="1"/>
                <w:color w:val="auto"/>
              </w:rPr>
            </w:pPr>
          </w:p>
        </w:tc>
      </w:tr>
      <w:tr>
        <w:trPr>
          <w:trHeight w:val="14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Engine fees</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1,575,942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2,453,533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(877,591)</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(35.8)%</w:t>
            </w:r>
          </w:p>
        </w:tc>
        <w:tc>
          <w:tcPr>
            <w:tcW w:w="0" w:type="dxa"/>
            <w:vAlign w:val="bottom"/>
          </w:tcPr>
          <w:p>
            <w:pPr>
              <w:spacing w:after="0"/>
              <w:rPr>
                <w:sz w:val="1"/>
                <w:szCs w:val="1"/>
                <w:color w:val="auto"/>
              </w:rPr>
            </w:pPr>
          </w:p>
        </w:tc>
      </w:tr>
      <w:tr>
        <w:trPr>
          <w:trHeight w:val="144"/>
        </w:trPr>
        <w:tc>
          <w:tcPr>
            <w:tcW w:w="5520" w:type="dxa"/>
            <w:vAlign w:val="bottom"/>
          </w:tcPr>
          <w:p>
            <w:pPr>
              <w:spacing w:after="0"/>
              <w:rPr>
                <w:sz w:val="20"/>
                <w:szCs w:val="20"/>
                <w:color w:val="auto"/>
              </w:rPr>
            </w:pPr>
            <w:r>
              <w:rPr>
                <w:rFonts w:ascii="Times New Roman" w:cs="Times New Roman" w:eastAsia="Times New Roman" w:hAnsi="Times New Roman"/>
                <w:sz w:val="12"/>
                <w:szCs w:val="12"/>
                <w:color w:val="auto"/>
              </w:rPr>
              <w:t>Internet, server and data center</w:t>
            </w:r>
          </w:p>
        </w:tc>
        <w:tc>
          <w:tcPr>
            <w:tcW w:w="2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1,502,631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1,329,670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172,961</w:t>
            </w:r>
          </w:p>
        </w:tc>
        <w:tc>
          <w:tcPr>
            <w:tcW w:w="20" w:type="dxa"/>
            <w:vAlign w:val="bottom"/>
          </w:tcPr>
          <w:p>
            <w:pPr>
              <w:spacing w:after="0"/>
              <w:rPr>
                <w:sz w:val="12"/>
                <w:szCs w:val="12"/>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13.0 %</w:t>
            </w:r>
          </w:p>
        </w:tc>
        <w:tc>
          <w:tcPr>
            <w:tcW w:w="0" w:type="dxa"/>
            <w:vAlign w:val="bottom"/>
          </w:tcPr>
          <w:p>
            <w:pPr>
              <w:spacing w:after="0"/>
              <w:rPr>
                <w:sz w:val="1"/>
                <w:szCs w:val="1"/>
                <w:color w:val="auto"/>
              </w:rPr>
            </w:pPr>
          </w:p>
        </w:tc>
      </w:tr>
      <w:tr>
        <w:trPr>
          <w:trHeight w:val="144"/>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Costs related to advertising revenue</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144,191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144,191</w:t>
            </w:r>
          </w:p>
        </w:tc>
        <w:tc>
          <w:tcPr>
            <w:tcW w:w="2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0.0 %</w:t>
            </w:r>
          </w:p>
        </w:tc>
        <w:tc>
          <w:tcPr>
            <w:tcW w:w="0" w:type="dxa"/>
            <w:vAlign w:val="bottom"/>
          </w:tcPr>
          <w:p>
            <w:pPr>
              <w:spacing w:after="0"/>
              <w:rPr>
                <w:sz w:val="1"/>
                <w:szCs w:val="1"/>
                <w:color w:val="auto"/>
              </w:rPr>
            </w:pPr>
          </w:p>
        </w:tc>
      </w:tr>
      <w:tr>
        <w:trPr>
          <w:trHeight w:val="140"/>
        </w:trPr>
        <w:tc>
          <w:tcPr>
            <w:tcW w:w="55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37,744,863</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48,381,061</w:t>
            </w: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(10,636,198)</w:t>
            </w:r>
          </w:p>
        </w:tc>
        <w:tc>
          <w:tcPr>
            <w:tcW w:w="20" w:type="dxa"/>
            <w:vAlign w:val="bottom"/>
            <w:tcBorders>
              <w:bottom w:val="single" w:sz="8" w:color="auto"/>
            </w:tcBorders>
          </w:tcPr>
          <w:p>
            <w:pPr>
              <w:spacing w:after="0"/>
              <w:rPr>
                <w:sz w:val="12"/>
                <w:szCs w:val="12"/>
                <w:color w:val="auto"/>
              </w:rPr>
            </w:pPr>
          </w:p>
        </w:tc>
        <w:tc>
          <w:tcPr>
            <w:tcW w:w="94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 xml:space="preserve">The decrease in cost of revenue during the nine months ended September 30, 2022 was primarily due to a reduction in software license royalties of $3.7 million, which is in line with the reduced sales during the period, and decreased amortization costs of $5.3 million as a result of the 2021 impairment loss of $16.3 million on the </w:t>
      </w:r>
      <w:r>
        <w:rPr>
          <w:rFonts w:ascii="Times New Roman" w:cs="Times New Roman" w:eastAsia="Times New Roman" w:hAnsi="Times New Roman"/>
          <w:sz w:val="12"/>
          <w:szCs w:val="12"/>
          <w:i w:val="1"/>
          <w:iCs w:val="1"/>
          <w:color w:val="auto"/>
        </w:rPr>
        <w:t>Atlas</w:t>
      </w:r>
      <w:r>
        <w:rPr>
          <w:rFonts w:ascii="Times New Roman" w:cs="Times New Roman" w:eastAsia="Times New Roman" w:hAnsi="Times New Roman"/>
          <w:sz w:val="12"/>
          <w:szCs w:val="12"/>
          <w:color w:val="auto"/>
        </w:rPr>
        <w:t xml:space="preserve"> license, which led to a lower amortizable base in the current period.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General and administrative expenses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General and administrative expenses for the nine months ended September 30, 2022 increased by $3.2 million, or 24.6%, compared to the nine months ended September 30, 2021. The increase in general and administrative expenses was primarily due to $2.9 million of increased legal expenses as a result of the Angela Game litigation, $0.5 million of increased professional fees as a result of the shareholder loan distribution related tax consultation expenses, $1.1 million of increased salaries and wages and $0.6 million of increased internet and server costs; offset by a $1.7 million reduction in contractor expenses as a result of decreased activity in the Company’s subsidiary, BTBX.IO, LLC, and reduced need for contractors at the subsidiaries Donkey Crew and Eminence.</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Research and development expenses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 xml:space="preserve">Research and development expenses for the nine months ended September 30, 2022 decreased by $0.1 million, or 16.7%, compared to the nine months ended September 30, 2021. The decrease in research and development expenses was primarily due to lower costs related to the development of </w:t>
      </w:r>
      <w:r>
        <w:rPr>
          <w:rFonts w:ascii="Times New Roman" w:cs="Times New Roman" w:eastAsia="Times New Roman" w:hAnsi="Times New Roman"/>
          <w:sz w:val="12"/>
          <w:szCs w:val="12"/>
          <w:i w:val="1"/>
          <w:iCs w:val="1"/>
          <w:color w:val="auto"/>
        </w:rPr>
        <w:t>Agartha</w:t>
      </w:r>
      <w:r>
        <w:rPr>
          <w:rFonts w:ascii="Times New Roman" w:cs="Times New Roman" w:eastAsia="Times New Roman" w:hAnsi="Times New Roman"/>
          <w:sz w:val="12"/>
          <w:szCs w:val="12"/>
          <w:color w:val="auto"/>
        </w:rPr>
        <w:t xml:space="preserve"> as the game was released in August 2022.</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Advertising and marketing expenses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 xml:space="preserve">Advertising and marketing expenses for the nine months ended September 30, 2022 increased by $0.3 million, or 100.0%, compared to the nine months ended September 30, 2021 which was due to increased campaigns on </w:t>
      </w:r>
      <w:r>
        <w:rPr>
          <w:rFonts w:ascii="Times New Roman" w:cs="Times New Roman" w:eastAsia="Times New Roman" w:hAnsi="Times New Roman"/>
          <w:sz w:val="12"/>
          <w:szCs w:val="12"/>
          <w:i w:val="1"/>
          <w:iCs w:val="1"/>
          <w:color w:val="auto"/>
        </w:rPr>
        <w:t>NOIZ</w:t>
      </w:r>
      <w:r>
        <w:rPr>
          <w:rFonts w:ascii="Times New Roman" w:cs="Times New Roman" w:eastAsia="Times New Roman" w:hAnsi="Times New Roman"/>
          <w:sz w:val="12"/>
          <w:szCs w:val="12"/>
          <w:color w:val="auto"/>
        </w:rPr>
        <w:t xml:space="preserve">, $0.1 million increased advertising by Wandering Wizard for the </w:t>
      </w:r>
      <w:r>
        <w:rPr>
          <w:rFonts w:ascii="Times New Roman" w:cs="Times New Roman" w:eastAsia="Times New Roman" w:hAnsi="Times New Roman"/>
          <w:sz w:val="12"/>
          <w:szCs w:val="12"/>
          <w:i w:val="1"/>
          <w:iCs w:val="1"/>
          <w:color w:val="auto"/>
        </w:rPr>
        <w:t>Agartha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West Hunt</w:t>
      </w:r>
      <w:r>
        <w:rPr>
          <w:rFonts w:ascii="Times New Roman" w:cs="Times New Roman" w:eastAsia="Times New Roman" w:hAnsi="Times New Roman"/>
          <w:sz w:val="12"/>
          <w:szCs w:val="12"/>
          <w:color w:val="auto"/>
        </w:rPr>
        <w:t xml:space="preserve"> campaigns and $0.2 million for the Company’s participation at the Gamesbeat Summit and Paxwest in 2022.</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Depreciation and amortization expenses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Depreciation and amortization expenses for the nine months ended September 30, 2022 decreased by $0.2 million, or 33.3%, compared to the nine months ended September 30, 2021. The decrease in depreciation and amortization expenses was primarily due to lower depreciable base of leasehold improvements as a result of a lease terminations that occurred in 2022.</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Factors Affecting Net Income (Loss)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2300" w:type="dxa"/>
            <w:vAlign w:val="bottom"/>
            <w:gridSpan w:val="6"/>
          </w:tcPr>
          <w:p>
            <w:pPr>
              <w:ind w:left="36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8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4"/>
              </w:rPr>
              <w:t>$ Change</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6060" w:type="dxa"/>
            <w:vAlign w:val="bottom"/>
          </w:tcPr>
          <w:p>
            <w:pPr>
              <w:spacing w:after="0"/>
              <w:rPr>
                <w:sz w:val="7"/>
                <w:szCs w:val="7"/>
                <w:color w:val="auto"/>
              </w:rPr>
            </w:pPr>
          </w:p>
        </w:tc>
        <w:tc>
          <w:tcPr>
            <w:tcW w:w="640" w:type="dxa"/>
            <w:vAlign w:val="bottom"/>
            <w:tcBorders>
              <w:top w:val="single" w:sz="8" w:color="auto"/>
            </w:tcBorders>
          </w:tcPr>
          <w:p>
            <w:pPr>
              <w:ind w:left="380"/>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ind w:right="324"/>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0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6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 – related parties</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(45.5)%</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(0.6)</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100.0 %</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Other income</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(40.0)%</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Equity in (loss) of unconsolidated entity</w:t>
            </w: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55"/>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Income tax provision</w:t>
            </w:r>
          </w:p>
        </w:tc>
        <w:tc>
          <w:tcPr>
            <w:tcW w:w="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(81.0)%</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Interest income in the nine months ended September 30, 2022 and 2021 primarily related to our deposits with third-party financial institutions, while interest income — related parties primarily stemmed from the interest charged on the shareholder loan.</w:t>
      </w:r>
    </w:p>
    <w:p>
      <w:pPr>
        <w:spacing w:after="0" w:line="111"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Interest income — related parties were $0.6 million and $1.1 million for the nine months ended September 30, 2022 and 2021, respectively. The decrease was driven by the distribution of the shareholder loan to Suzhou Snail in April 2022.</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Interest expense</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Interest expense primarily related to our outstanding indebtedness with our third-party lenders.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Interest expense increased by $0.3 million for the nine months ended September 30, 2022 primarily as a result of interest charges on the new short-term note issued in January 2022.</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Income tax provision</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provision for income tax was $0.8 million and $4.2 million for the nine months ended September 30, 2022 and 2021, respectively, representing a decrease of $3.4 million. Our effective income tax rate was 19.7% and 19.8% for the nine months ended September 30, 2022 and 2021, respectively.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Capital spending</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Liquidity</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Our primary sources of liquidity are the cash flows generated from our operations, currently available unrestricted cash and cash equivalents. Our unrestricted cash and cash equivalents were $9.0 million and $19.7 million as of September 30, 2022 and 2021, respectively. Our restricted cash primarily consists of time deposits and is used as security for certain of our debt instruments and to secure standby letters of credit with certain of our landlords.</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tables present a summary of our cash flows for the periods indicated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060" w:type="dxa"/>
            <w:vAlign w:val="bottom"/>
          </w:tcPr>
          <w:p>
            <w:pPr>
              <w:spacing w:after="0"/>
              <w:rPr>
                <w:sz w:val="10"/>
                <w:szCs w:val="10"/>
                <w:color w:val="auto"/>
              </w:rPr>
            </w:pPr>
          </w:p>
        </w:tc>
        <w:tc>
          <w:tcPr>
            <w:tcW w:w="2300" w:type="dxa"/>
            <w:vAlign w:val="bottom"/>
            <w:gridSpan w:val="6"/>
          </w:tcPr>
          <w:p>
            <w:pPr>
              <w:ind w:left="360"/>
              <w:spacing w:after="0"/>
              <w:rPr>
                <w:sz w:val="20"/>
                <w:szCs w:val="20"/>
                <w:color w:val="auto"/>
              </w:rPr>
            </w:pPr>
            <w:r>
              <w:rPr>
                <w:rFonts w:ascii="Times New Roman" w:cs="Times New Roman" w:eastAsia="Times New Roman" w:hAnsi="Times New Roman"/>
                <w:sz w:val="10"/>
                <w:szCs w:val="10"/>
                <w:b w:val="1"/>
                <w:bCs w:val="1"/>
                <w:color w:val="auto"/>
              </w:rPr>
              <w:t>Nine months ended September 30,</w:t>
            </w:r>
          </w:p>
        </w:tc>
        <w:tc>
          <w:tcPr>
            <w:tcW w:w="80" w:type="dxa"/>
            <w:vAlign w:val="bottom"/>
          </w:tcPr>
          <w:p>
            <w:pPr>
              <w:spacing w:after="0"/>
              <w:rPr>
                <w:sz w:val="10"/>
                <w:szCs w:val="10"/>
                <w:color w:val="auto"/>
              </w:rPr>
            </w:pPr>
          </w:p>
        </w:tc>
        <w:tc>
          <w:tcPr>
            <w:tcW w:w="6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4"/>
              </w:rPr>
              <w:t>$ Change</w:t>
            </w:r>
          </w:p>
        </w:tc>
        <w:tc>
          <w:tcPr>
            <w:tcW w:w="8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88"/>
        </w:trPr>
        <w:tc>
          <w:tcPr>
            <w:tcW w:w="6060" w:type="dxa"/>
            <w:vAlign w:val="bottom"/>
          </w:tcPr>
          <w:p>
            <w:pPr>
              <w:spacing w:after="0"/>
              <w:rPr>
                <w:sz w:val="7"/>
                <w:szCs w:val="7"/>
                <w:color w:val="auto"/>
              </w:rPr>
            </w:pPr>
          </w:p>
        </w:tc>
        <w:tc>
          <w:tcPr>
            <w:tcW w:w="640" w:type="dxa"/>
            <w:vAlign w:val="bottom"/>
            <w:tcBorders>
              <w:top w:val="single" w:sz="8" w:color="auto"/>
            </w:tcBorders>
          </w:tcPr>
          <w:p>
            <w:pPr>
              <w:jc w:val="right"/>
              <w:ind w:right="29"/>
              <w:spacing w:after="0" w:line="88" w:lineRule="exact"/>
              <w:rPr>
                <w:sz w:val="20"/>
                <w:szCs w:val="20"/>
                <w:color w:val="auto"/>
              </w:rPr>
            </w:pPr>
            <w:r>
              <w:rPr>
                <w:rFonts w:ascii="Times New Roman" w:cs="Times New Roman" w:eastAsia="Times New Roman" w:hAnsi="Times New Roman"/>
                <w:sz w:val="10"/>
                <w:szCs w:val="10"/>
                <w:b w:val="1"/>
                <w:bCs w:val="1"/>
                <w:color w:val="auto"/>
              </w:rPr>
              <w:t>2022</w:t>
            </w:r>
          </w:p>
        </w:tc>
        <w:tc>
          <w:tcPr>
            <w:tcW w:w="30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jc w:val="right"/>
              <w:ind w:right="324"/>
              <w:spacing w:after="0" w:line="88" w:lineRule="exact"/>
              <w:rPr>
                <w:sz w:val="20"/>
                <w:szCs w:val="20"/>
                <w:color w:val="auto"/>
              </w:rPr>
            </w:pPr>
            <w:r>
              <w:rPr>
                <w:rFonts w:ascii="Times New Roman" w:cs="Times New Roman" w:eastAsia="Times New Roman" w:hAnsi="Times New Roman"/>
                <w:sz w:val="10"/>
                <w:szCs w:val="10"/>
                <w:b w:val="1"/>
                <w:bCs w:val="1"/>
                <w:color w:val="auto"/>
              </w:rPr>
              <w:t>2021</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6060" w:type="dxa"/>
            <w:vAlign w:val="bottom"/>
          </w:tcPr>
          <w:p>
            <w:pPr>
              <w:spacing w:after="0"/>
              <w:rPr>
                <w:sz w:val="6"/>
                <w:szCs w:val="6"/>
                <w:color w:val="auto"/>
              </w:rPr>
            </w:pPr>
          </w:p>
        </w:tc>
        <w:tc>
          <w:tcPr>
            <w:tcW w:w="640" w:type="dxa"/>
            <w:vAlign w:val="bottom"/>
            <w:tcBorders>
              <w:top w:val="single" w:sz="8" w:color="auto"/>
            </w:tcBorders>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b w:val="1"/>
                <w:bCs w:val="1"/>
                <w:color w:val="auto"/>
              </w:rPr>
              <w:t>(in millions)</w:t>
            </w:r>
          </w:p>
        </w:tc>
        <w:tc>
          <w:tcPr>
            <w:tcW w:w="18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180" w:type="dxa"/>
            <w:vAlign w:val="bottom"/>
          </w:tcPr>
          <w:p>
            <w:pPr>
              <w:spacing w:after="0"/>
              <w:rPr>
                <w:sz w:val="6"/>
                <w:szCs w:val="6"/>
                <w:color w:val="auto"/>
              </w:rPr>
            </w:pPr>
          </w:p>
        </w:tc>
        <w:tc>
          <w:tcPr>
            <w:tcW w:w="680" w:type="dxa"/>
            <w:vAlign w:val="bottom"/>
            <w:tcBorders>
              <w:top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flows provided by (used in) operating activities</w:t>
            </w:r>
          </w:p>
        </w:tc>
        <w:tc>
          <w:tcPr>
            <w:tcW w:w="640" w:type="dxa"/>
            <w:vAlign w:val="bottom"/>
            <w:shd w:val="clear" w:color="auto" w:fill="CCEE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(0.7)</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(103.8)%</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Net cash flows provided by (used in) investing activities</w:t>
            </w:r>
          </w:p>
        </w:tc>
        <w:tc>
          <w:tcPr>
            <w:tcW w:w="64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(29.5)</w:t>
            </w: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w:t>
            </w:r>
          </w:p>
        </w:tc>
        <w:tc>
          <w:tcPr>
            <w:tcW w:w="180" w:type="dxa"/>
            <w:vAlign w:val="bottom"/>
          </w:tcPr>
          <w:p>
            <w:pPr>
              <w:spacing w:after="0"/>
              <w:rPr>
                <w:sz w:val="12"/>
                <w:szCs w:val="12"/>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(104.1)%</w:t>
            </w:r>
          </w:p>
        </w:tc>
        <w:tc>
          <w:tcPr>
            <w:tcW w:w="0" w:type="dxa"/>
            <w:vAlign w:val="bottom"/>
          </w:tcPr>
          <w:p>
            <w:pPr>
              <w:spacing w:after="0"/>
              <w:rPr>
                <w:sz w:val="1"/>
                <w:szCs w:val="1"/>
                <w:color w:val="auto"/>
              </w:rPr>
            </w:pPr>
          </w:p>
        </w:tc>
      </w:tr>
      <w:tr>
        <w:trPr>
          <w:trHeight w:val="144"/>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flows provided by (used in) financing activities</w:t>
            </w:r>
          </w:p>
        </w:tc>
        <w:tc>
          <w:tcPr>
            <w:tcW w:w="6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w:t>
            </w: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(159.3)%</w:t>
            </w:r>
          </w:p>
        </w:tc>
        <w:tc>
          <w:tcPr>
            <w:tcW w:w="0" w:type="dxa"/>
            <w:vAlign w:val="bottom"/>
          </w:tcPr>
          <w:p>
            <w:pPr>
              <w:spacing w:after="0"/>
              <w:rPr>
                <w:sz w:val="1"/>
                <w:szCs w:val="1"/>
                <w:color w:val="auto"/>
              </w:rPr>
            </w:pPr>
          </w:p>
        </w:tc>
      </w:tr>
      <w:tr>
        <w:trPr>
          <w:trHeight w:val="144"/>
        </w:trPr>
        <w:tc>
          <w:tcPr>
            <w:tcW w:w="6060" w:type="dxa"/>
            <w:vAlign w:val="bottom"/>
          </w:tcPr>
          <w:p>
            <w:pPr>
              <w:spacing w:after="0"/>
              <w:rPr>
                <w:sz w:val="20"/>
                <w:szCs w:val="20"/>
                <w:color w:val="auto"/>
              </w:rPr>
            </w:pPr>
            <w:r>
              <w:rPr>
                <w:rFonts w:ascii="Times New Roman" w:cs="Times New Roman" w:eastAsia="Times New Roman" w:hAnsi="Times New Roman"/>
                <w:sz w:val="12"/>
                <w:szCs w:val="12"/>
                <w:color w:val="auto"/>
              </w:rPr>
              <w:t>Effect of currency translation on cash and cash equivalents</w:t>
            </w:r>
          </w:p>
        </w:tc>
        <w:tc>
          <w:tcPr>
            <w:tcW w:w="640" w:type="dxa"/>
            <w:vAlign w:val="bottom"/>
          </w:tcPr>
          <w:p>
            <w:pPr>
              <w:spacing w:after="0"/>
              <w:rPr>
                <w:sz w:val="12"/>
                <w:szCs w:val="12"/>
                <w:color w:val="auto"/>
              </w:rPr>
            </w:pP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(0.4)</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(100.0)%</w:t>
            </w:r>
          </w:p>
        </w:tc>
        <w:tc>
          <w:tcPr>
            <w:tcW w:w="0" w:type="dxa"/>
            <w:vAlign w:val="bottom"/>
          </w:tcPr>
          <w:p>
            <w:pPr>
              <w:spacing w:after="0"/>
              <w:rPr>
                <w:sz w:val="1"/>
                <w:szCs w:val="1"/>
                <w:color w:val="auto"/>
              </w:rPr>
            </w:pPr>
          </w:p>
        </w:tc>
      </w:tr>
      <w:tr>
        <w:trPr>
          <w:trHeight w:val="140"/>
        </w:trPr>
        <w:tc>
          <w:tcPr>
            <w:tcW w:w="606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increase (decrease) in cash and cash equivalents and restricted cash and cash equivalents</w:t>
            </w:r>
          </w:p>
        </w:tc>
        <w:tc>
          <w:tcPr>
            <w:tcW w:w="640" w:type="dxa"/>
            <w:vAlign w:val="bottom"/>
            <w:tcBorders>
              <w:top w:val="single" w:sz="8" w:color="auto"/>
              <w:bottom w:val="single" w:sz="8" w:color="auto"/>
            </w:tcBorders>
            <w:shd w:val="clear" w:color="auto" w:fill="CCEEFF"/>
          </w:tcPr>
          <w:p>
            <w:pPr>
              <w:jc w:val="right"/>
              <w:ind w:right="529"/>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CCEEFF"/>
              <w:bottom w:val="single" w:sz="8" w:color="CCEEFF"/>
            </w:tcBorders>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(85.9)%</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5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Net cash flows used in operating activities for the nine months ended September 30, 2022 decreased $19.3 million as compared to the cash provided by operating activities for the nine months ended September 30, 2021, which resulted primarily from a $0.6 million net decrease in change in net operating assets and liabilities, a period-over-period decrease in net income of $13.8 million and a decrease of $5.0 million in non-cash reconciling items.</w:t>
      </w:r>
    </w:p>
    <w:p>
      <w:pPr>
        <w:spacing w:after="0" w:line="119"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Net income was $3.2 million and $17.0 million for the nine months ended September 30, 2022 and 2021, respectively, representing a decrease of $13.8 million. The decrease was primarily due to a decrease in revenue of $24.1 million, an increase in general and administrative expenses of $3.1 million, offset by a decrease in license cost and license right amortization of $9.0 million, a decrease in merchant and engine fees of $1.9 million and a decrease in the Company’s tax provision of $3.4 million.</w:t>
      </w:r>
    </w:p>
    <w:p>
      <w:pPr>
        <w:spacing w:after="0" w:line="119"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Non-cash reconciling items were $5.4 million and $10.4 million for the nine months ended September 30, 2022 and 2021, respectively, representing a decrease of $5.0 million. The decrease in the non-cash reconciling items was primarily due to a decrease of $5.3 million in amortization that was the result of an impairment loss recognized at the end of fiscal year 2021.</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The decrease in our net operating assets and liabilities between the nine months ended September 30, 2022 and 2021 of $0.6 million was primarily the result of a net decrease in accounts receivables and accounts receivable — related party of $3.7 million due to timing of receipts and payments from customers and related party, a net decrease in prepaid expenses related party and prepaid expenses and other current assets of $1.4 million primarily driven by timing of payments of federal and state taxes and development costs and the expense of prepaid royalties, a decrease in accrued expenses of $0.8 million primarily driven by larger income tax accruals in 2021, partially offset by an increase in deferred revenue of $4.1 million and a net increase in accounts payable and accounts payable – related party of $1.6 million.</w:t>
      </w:r>
    </w:p>
    <w:p>
      <w:pPr>
        <w:spacing w:after="0" w:line="125"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 xml:space="preserve">Our accounts receivable — related party represent revenues attributable to certain mobile games that, for administrative reasons, were collected on our behalf by SDE, Inc. (“SDE”), a related party. SDE no longer collects such payments on our behalf; all such payments are received directly from the platforms through which we offer the relevant games. As of September 30, 2022 and December 31, 2021, the net outstanding balance of receivables due from SDE was $12.2 million and $8.4 million, respectively. We expect accounts receivables owed to us by SDE will be repaid within a commercially reasonable period of time. In the event we do not receive timely remittance from SDE, we may hold back amounts owed to SDE from future licensing costs payable to SDE pursuant to our existing contractual relationship. See Note 5 – </w:t>
      </w:r>
      <w:r>
        <w:rPr>
          <w:rFonts w:ascii="Times New Roman" w:cs="Times New Roman" w:eastAsia="Times New Roman" w:hAnsi="Times New Roman"/>
          <w:sz w:val="12"/>
          <w:szCs w:val="12"/>
          <w:i w:val="1"/>
          <w:iCs w:val="1"/>
          <w:color w:val="auto"/>
        </w:rPr>
        <w:t>Accounts Receivable — Related Party</w:t>
      </w:r>
      <w:r>
        <w:rPr>
          <w:rFonts w:ascii="Times New Roman" w:cs="Times New Roman" w:eastAsia="Times New Roman" w:hAnsi="Times New Roman"/>
          <w:sz w:val="12"/>
          <w:szCs w:val="12"/>
          <w:color w:val="auto"/>
        </w:rPr>
        <w:t xml:space="preserve"> to our unaudited condensed consolidated financial statements included in this Quarterly Report.</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154"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 xml:space="preserve">Cash provided by investing activities for the nine months ended September 30, 2022 increased $30.7 million compared to the nine months ended September 30, 2021 due to payments for the acquisition of license rights relating to the release of </w:t>
      </w:r>
      <w:r>
        <w:rPr>
          <w:rFonts w:ascii="Times New Roman" w:cs="Times New Roman" w:eastAsia="Times New Roman" w:hAnsi="Times New Roman"/>
          <w:sz w:val="12"/>
          <w:szCs w:val="12"/>
          <w:i w:val="1"/>
          <w:iCs w:val="1"/>
          <w:color w:val="auto"/>
        </w:rPr>
        <w:t>Genesis II</w:t>
      </w:r>
      <w:r>
        <w:rPr>
          <w:rFonts w:ascii="Times New Roman" w:cs="Times New Roman" w:eastAsia="Times New Roman" w:hAnsi="Times New Roman"/>
          <w:sz w:val="12"/>
          <w:szCs w:val="12"/>
          <w:color w:val="auto"/>
        </w:rPr>
        <w:t xml:space="preserve"> of $5.0 million in 2021, the additional funding of the Shi Loan of $24.5 million in 2021 and the receipt by the Company of $1.5 million on the Pound Sand note in 2022.</w:t>
      </w:r>
    </w:p>
    <w:p>
      <w:pPr>
        <w:spacing w:after="0" w:line="1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54"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Net cash flows used in financing activities for the nine months ended September 30, 2022 was $1.6 million compared to net cash flows provided by financing activities of $2.7 million for the nine months ended September 30, 2021. Financing activities for the nine months ended September 30, 2022 included $10.0 million in borrowings on a short term note which was offset by $8.2 million in cash dividends that was declared and paid during the period and $3.3 million of repayments on the Company’s short term note. Financing activities for the nine months ended September 30, 2021 included $3.0 million in borrowings under our Term Loan and $6.5 million in borrowings on our revolving loan which was partially offset by $6.7 million in repayments on long term debt.</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Registered Offering</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11"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is held to provide a source of funding for our indemnification obligations to the underwriters. The amount in escrow will be reported as restricted cash for 12 months from the date of the IPO, at which time the restrictions will be removed and the balance will be reverted to unrestricted cash.</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Loans to related parties</w:t>
      </w:r>
    </w:p>
    <w:p>
      <w:pPr>
        <w:spacing w:after="0" w:line="154" w:lineRule="exact"/>
        <w:rPr>
          <w:sz w:val="20"/>
          <w:szCs w:val="20"/>
          <w:color w:val="auto"/>
        </w:rPr>
      </w:pPr>
    </w:p>
    <w:p>
      <w:pPr>
        <w:jc w:val="both"/>
        <w:ind w:right="20" w:firstLine="216"/>
        <w:spacing w:after="0" w:line="256" w:lineRule="auto"/>
        <w:rPr>
          <w:sz w:val="20"/>
          <w:szCs w:val="20"/>
          <w:color w:val="auto"/>
        </w:rPr>
      </w:pPr>
      <w:r>
        <w:rPr>
          <w:rFonts w:ascii="Times New Roman" w:cs="Times New Roman" w:eastAsia="Times New Roman" w:hAnsi="Times New Roman"/>
          <w:sz w:val="12"/>
          <w:szCs w:val="12"/>
          <w:color w:val="auto"/>
        </w:rPr>
        <w:t>Snail Games USA was party to a line of credit note with Mr. Hai Shi, our Founder and Chairman, which provided for loans to Mr. Shi up to a maximum aggregate principal amount of $100.0 million (the “shareholder loan” or “Shi Loan”). Interest accrued on outstanding amounts at a rate of 2.00% per year, and all outstanding amounts were due and payable on demand. As of December 31, 2021, outstanding borrowings (including interest receivable) under the line of credit amounted to $94.4 million. In April 2022, Snail Games USA distributed the Shi Loan to Suzhou Snail, Snail Games USA’s former corporate parent, which assumed the loan as creditor. At the time of the distribution, $94.9 million was outstanding, including interest. As a result of this distribution, the total withholding taxes amounted to $8.2 million, which amount was distributed to Suzhou Snail in connection with the distribution of the Shi Loan and subsequently paid on April 29, 2022. As of April 2022, as a result of the distribution, the Shi Loan is no longer reflected on our condensed consolidated balance sheets.</w:t>
      </w:r>
    </w:p>
    <w:p>
      <w:pPr>
        <w:spacing w:after="0" w:line="1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Capital resources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We primarily fund our operations from our net cash flows provided by operating activities. In addition to these cash flows, we have entered into certain debt arrangements to provide additional liquidity and to finance our operations.</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Revolving Loan</w:t>
      </w:r>
    </w:p>
    <w:p>
      <w:pPr>
        <w:spacing w:after="0" w:line="152"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In December 2018, we entered into a revolving loan and security agreement with a financial institution for a revolving note in the amount of $5.5 million. On June 17, 2021, we amended and restated our revolving loan and security agreement (the “Revolver”) to increase our revolving line of credit to $9.0 million. As amended, the Revolver matures on December 31, 2023 and bears interest at a rate equal to the prime rate less 0.25%. Interest is due and payable under the Revolver on a monthly basis, and borrowings under the revolver are secured by certain deposit accounts. The revolver is secured by the certificate of deposit accounts held with the financial institution, and reported as restricted cash, in the amounts of $5.3 million and $5.2 million as of September 30, 2022 and December 31, 2021, respectively. As of September 30, 2022 and December 31, 2021, we had borrowings of $9.0 million, outstanding under our Revolver.</w:t>
      </w:r>
    </w:p>
    <w:p>
      <w:pPr>
        <w:spacing w:after="0" w:line="1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Term Loan</w:t>
      </w:r>
    </w:p>
    <w:p>
      <w:pPr>
        <w:spacing w:after="0" w:line="152" w:lineRule="exact"/>
        <w:rPr>
          <w:sz w:val="20"/>
          <w:szCs w:val="20"/>
          <w:color w:val="auto"/>
        </w:rPr>
      </w:pPr>
    </w:p>
    <w:p>
      <w:pPr>
        <w:jc w:val="both"/>
        <w:ind w:right="20" w:firstLine="216"/>
        <w:spacing w:after="0" w:line="265" w:lineRule="auto"/>
        <w:rPr>
          <w:sz w:val="20"/>
          <w:szCs w:val="20"/>
          <w:color w:val="auto"/>
        </w:rPr>
      </w:pPr>
      <w:r>
        <w:rPr>
          <w:rFonts w:ascii="Times New Roman" w:cs="Times New Roman" w:eastAsia="Times New Roman" w:hAnsi="Times New Roman"/>
          <w:sz w:val="12"/>
          <w:szCs w:val="12"/>
          <w:color w:val="auto"/>
        </w:rPr>
        <w:t>In June 2021, we entered into a loan agreement with a financial institution providing for a term loan in an aggregate principal amount of $3.0 million (the “Term Loan”). The Term Loan, which matures in June 2031, bears interest at a fixed rate of 3.5% for the five years and then at a floating rate of the Wall Street Journal prime rate until maturity. The Term Loan is secured by our principal headquarters. The Term Loan replaced and refinanced a previously outstanding $3.0 million promissory note due September 2021.</w:t>
      </w:r>
    </w:p>
    <w:p>
      <w:pPr>
        <w:spacing w:after="0" w:line="119"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 xml:space="preserve">In January 2022, we amended and restated our Revolver and we executed a promissory note to obtain an additional long-term loan with a principal balance of $10.0 million which matures on January 26, 2023 (the “New Term Loan”). Interest is equal to the higher of 3.75% and the Wall Street Journal prime rate plus 0.50%. The New Term Loan is secured and collateralized by our existing assets. In December 2022, the maturity date was extended to January 26, 2024 and interest rate amended to the higher of the Wall Street Journal Prime Rate less 0.25% or 5.75%, see Note 19 – </w:t>
      </w:r>
      <w:r>
        <w:rPr>
          <w:rFonts w:ascii="Times New Roman" w:cs="Times New Roman" w:eastAsia="Times New Roman" w:hAnsi="Times New Roman"/>
          <w:sz w:val="12"/>
          <w:szCs w:val="12"/>
          <w:i w:val="1"/>
          <w:iCs w:val="1"/>
          <w:color w:val="auto"/>
        </w:rPr>
        <w:t>Subsequent Events</w:t>
      </w:r>
      <w:r>
        <w:rPr>
          <w:rFonts w:ascii="Times New Roman" w:cs="Times New Roman" w:eastAsia="Times New Roman" w:hAnsi="Times New Roman"/>
          <w:sz w:val="12"/>
          <w:szCs w:val="12"/>
          <w:color w:val="auto"/>
        </w:rPr>
        <w:t xml:space="preserve"> to our unaudited condensed consolidated financial statements included in this Quarterly Report.</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 of September 30, 2022, we had borrowings of $6.7 million outstanding under the New Term Loan.</w:t>
      </w:r>
    </w:p>
    <w:p>
      <w:pPr>
        <w:spacing w:after="0" w:line="14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i w:val="1"/>
          <w:iCs w:val="1"/>
          <w:color w:val="auto"/>
        </w:rPr>
        <w:t>Cares Act PPP Loan</w:t>
      </w:r>
    </w:p>
    <w:p>
      <w:pPr>
        <w:spacing w:after="0" w:line="152"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In 2020, we applied for, and received, funds under the PPP in the amount of $0.8 million. In December 2020, $0.1 million of the PPP loan was forgiven by the SBA. In March 2021, an additional $0.4 million principal amount of the PPP loan balance was forgiven by the SBA. As of April 2022, all outstanding amounts under the PPP loan have either been repaid or forgiven.</w:t>
      </w:r>
    </w:p>
    <w:p>
      <w:pPr>
        <w:spacing w:after="0" w:line="1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Financial covenants</w:t>
      </w:r>
    </w:p>
    <w:p>
      <w:pPr>
        <w:spacing w:after="0" w:line="154"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Revolver, Term Loan and the New Term Loan require us to maintain quarterly minimum EBITDA of $3.0 million and to satisfy certain financial maintenance ratios, including a current ratio of 1.5 to 1.0, and minimum service coverage ratio of 1.5 to 1.0. We were in compliance with all covenants under our debt facilities as of September 30, 2022 and December 31, 2021.</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4"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For additional information regarding our indebtedness, see Note 15  — </w:t>
      </w:r>
      <w:r>
        <w:rPr>
          <w:rFonts w:ascii="Times New Roman" w:cs="Times New Roman" w:eastAsia="Times New Roman" w:hAnsi="Times New Roman"/>
          <w:sz w:val="12"/>
          <w:szCs w:val="12"/>
          <w:i w:val="1"/>
          <w:iCs w:val="1"/>
          <w:color w:val="auto"/>
        </w:rPr>
        <w:t>Revolving Loan, Short Term Note and Long-Term Debt</w:t>
      </w:r>
      <w:r>
        <w:rPr>
          <w:rFonts w:ascii="Times New Roman" w:cs="Times New Roman" w:eastAsia="Times New Roman" w:hAnsi="Times New Roman"/>
          <w:sz w:val="12"/>
          <w:szCs w:val="12"/>
          <w:color w:val="auto"/>
        </w:rPr>
        <w:t xml:space="preserve"> to our unaudited condensed consolidated financial statement included in this Quarterly Report.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Contractual Obligations and Commitments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following table summarizes our contractual obligations as of September 30, 2022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76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Payments Due by Period</w:t>
            </w: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100" w:type="dxa"/>
            <w:vAlign w:val="bottom"/>
          </w:tcPr>
          <w:p>
            <w:pPr>
              <w:spacing w:after="0"/>
              <w:rPr>
                <w:sz w:val="7"/>
                <w:szCs w:val="7"/>
                <w:color w:val="auto"/>
              </w:rPr>
            </w:pPr>
          </w:p>
        </w:tc>
        <w:tc>
          <w:tcPr>
            <w:tcW w:w="600" w:type="dxa"/>
            <w:vAlign w:val="bottom"/>
          </w:tcPr>
          <w:p>
            <w:pPr>
              <w:jc w:val="right"/>
              <w:ind w:right="126"/>
              <w:spacing w:after="0" w:line="90" w:lineRule="exact"/>
              <w:rPr>
                <w:sz w:val="20"/>
                <w:szCs w:val="20"/>
                <w:color w:val="auto"/>
              </w:rPr>
            </w:pPr>
            <w:r>
              <w:rPr>
                <w:rFonts w:ascii="Times New Roman" w:cs="Times New Roman" w:eastAsia="Times New Roman" w:hAnsi="Times New Roman"/>
                <w:sz w:val="10"/>
                <w:szCs w:val="10"/>
                <w:b w:val="1"/>
                <w:bCs w:val="1"/>
                <w:color w:val="auto"/>
                <w:w w:val="97"/>
              </w:rPr>
              <w:t>Less than</w:t>
            </w: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9"/>
              </w:rPr>
              <w:t>1 – 3 years</w:t>
            </w:r>
          </w:p>
        </w:tc>
        <w:tc>
          <w:tcPr>
            <w:tcW w:w="100" w:type="dxa"/>
            <w:vAlign w:val="bottom"/>
          </w:tcPr>
          <w:p>
            <w:pPr>
              <w:spacing w:after="0"/>
              <w:rPr>
                <w:sz w:val="7"/>
                <w:szCs w:val="7"/>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3 – 5 years</w:t>
            </w:r>
          </w:p>
        </w:tc>
        <w:tc>
          <w:tcPr>
            <w:tcW w:w="100" w:type="dxa"/>
            <w:vAlign w:val="bottom"/>
          </w:tcPr>
          <w:p>
            <w:pPr>
              <w:spacing w:after="0"/>
              <w:rPr>
                <w:sz w:val="7"/>
                <w:szCs w:val="7"/>
                <w:color w:val="auto"/>
              </w:rPr>
            </w:pPr>
          </w:p>
        </w:tc>
        <w:tc>
          <w:tcPr>
            <w:tcW w:w="600" w:type="dxa"/>
            <w:vAlign w:val="bottom"/>
          </w:tcPr>
          <w:p>
            <w:pPr>
              <w:jc w:val="right"/>
              <w:ind w:right="86"/>
              <w:spacing w:after="0" w:line="90" w:lineRule="exact"/>
              <w:rPr>
                <w:sz w:val="20"/>
                <w:szCs w:val="20"/>
                <w:color w:val="auto"/>
              </w:rPr>
            </w:pPr>
            <w:r>
              <w:rPr>
                <w:rFonts w:ascii="Times New Roman" w:cs="Times New Roman" w:eastAsia="Times New Roman" w:hAnsi="Times New Roman"/>
                <w:sz w:val="10"/>
                <w:szCs w:val="10"/>
                <w:b w:val="1"/>
                <w:bCs w:val="1"/>
                <w:color w:val="auto"/>
                <w:w w:val="97"/>
              </w:rPr>
              <w:t>More than</w:t>
            </w:r>
          </w:p>
        </w:tc>
        <w:tc>
          <w:tcPr>
            <w:tcW w:w="0" w:type="dxa"/>
            <w:vAlign w:val="bottom"/>
          </w:tcPr>
          <w:p>
            <w:pPr>
              <w:spacing w:after="0"/>
              <w:rPr>
                <w:sz w:val="1"/>
                <w:szCs w:val="1"/>
                <w:color w:val="auto"/>
              </w:rPr>
            </w:pPr>
          </w:p>
        </w:tc>
      </w:tr>
      <w:tr>
        <w:trPr>
          <w:trHeight w:val="115"/>
        </w:trPr>
        <w:tc>
          <w:tcPr>
            <w:tcW w:w="5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86"/>
              <w:spacing w:after="0"/>
              <w:rPr>
                <w:sz w:val="20"/>
                <w:szCs w:val="20"/>
                <w:color w:val="auto"/>
              </w:rPr>
            </w:pPr>
            <w:r>
              <w:rPr>
                <w:rFonts w:ascii="Times New Roman" w:cs="Times New Roman" w:eastAsia="Times New Roman" w:hAnsi="Times New Roman"/>
                <w:sz w:val="10"/>
                <w:szCs w:val="10"/>
                <w:b w:val="1"/>
                <w:bCs w:val="1"/>
                <w:color w:val="auto"/>
              </w:rPr>
              <w:t>1 year</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46"/>
              <w:spacing w:after="0"/>
              <w:rPr>
                <w:sz w:val="20"/>
                <w:szCs w:val="20"/>
                <w:color w:val="auto"/>
              </w:rPr>
            </w:pPr>
            <w:r>
              <w:rPr>
                <w:rFonts w:ascii="Times New Roman" w:cs="Times New Roman" w:eastAsia="Times New Roman" w:hAnsi="Times New Roman"/>
                <w:sz w:val="10"/>
                <w:szCs w:val="10"/>
                <w:b w:val="1"/>
                <w:bCs w:val="1"/>
                <w:color w:val="auto"/>
              </w:rPr>
              <w:t>5 years</w:t>
            </w:r>
          </w:p>
        </w:tc>
        <w:tc>
          <w:tcPr>
            <w:tcW w:w="0" w:type="dxa"/>
            <w:vAlign w:val="bottom"/>
          </w:tcPr>
          <w:p>
            <w:pPr>
              <w:spacing w:after="0"/>
              <w:rPr>
                <w:sz w:val="1"/>
                <w:szCs w:val="1"/>
                <w:color w:val="auto"/>
              </w:rPr>
            </w:pPr>
          </w:p>
        </w:tc>
      </w:tr>
      <w:tr>
        <w:trPr>
          <w:trHeight w:val="133"/>
        </w:trPr>
        <w:tc>
          <w:tcPr>
            <w:tcW w:w="57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Operating lease obligations</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4.6</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0.2</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5760" w:type="dxa"/>
            <w:vAlign w:val="bottom"/>
          </w:tcPr>
          <w:p>
            <w:pPr>
              <w:spacing w:after="0"/>
              <w:rPr>
                <w:sz w:val="20"/>
                <w:szCs w:val="20"/>
                <w:color w:val="auto"/>
              </w:rPr>
            </w:pPr>
            <w:r>
              <w:rPr>
                <w:rFonts w:ascii="Times New Roman" w:cs="Times New Roman" w:eastAsia="Times New Roman" w:hAnsi="Times New Roman"/>
                <w:sz w:val="12"/>
                <w:szCs w:val="12"/>
                <w:color w:val="auto"/>
              </w:rPr>
              <w:t>Debt</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 and Estimates</w:t>
      </w:r>
    </w:p>
    <w:p>
      <w:pPr>
        <w:spacing w:after="0" w:line="154"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 xml:space="preserve">Our discussion and analysis of results of operations, financial condition, and liquidity are based upon our condensed consolidated financial statements, which have been prepared in accordance with U.S. GAAP. The preparation of these financial statements requires us to make estimates and judgements that affect the reported amounts of assets and liabilities and disclosure of contingent assets and liabilities at the date of the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 w:cs="Times New Roman" w:eastAsia="Times New Roman" w:hAnsi="Times New Roman"/>
          <w:sz w:val="12"/>
          <w:szCs w:val="12"/>
          <w:i w:val="1"/>
          <w:iCs w:val="1"/>
          <w:color w:val="auto"/>
        </w:rPr>
        <w:t>Summary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of Significant Accounting Policies </w:t>
      </w:r>
      <w:r>
        <w:rPr>
          <w:rFonts w:ascii="Times New Roman" w:cs="Times New Roman" w:eastAsia="Times New Roman" w:hAnsi="Times New Roman"/>
          <w:sz w:val="12"/>
          <w:szCs w:val="12"/>
          <w:color w:val="auto"/>
        </w:rPr>
        <w:t>to our unaudited condensed consolidated financial statements included in this Quarterly Report.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w:t>
      </w:r>
    </w:p>
    <w:p>
      <w:pPr>
        <w:spacing w:after="0" w:line="152" w:lineRule="exact"/>
        <w:rPr>
          <w:sz w:val="20"/>
          <w:szCs w:val="20"/>
          <w:color w:val="auto"/>
        </w:rPr>
      </w:pPr>
    </w:p>
    <w:p>
      <w:pPr>
        <w:jc w:val="both"/>
        <w:ind w:right="20" w:firstLine="216"/>
        <w:spacing w:after="0" w:line="283" w:lineRule="auto"/>
        <w:rPr>
          <w:sz w:val="20"/>
          <w:szCs w:val="20"/>
          <w:color w:val="auto"/>
        </w:rPr>
      </w:pPr>
      <w:r>
        <w:rPr>
          <w:rFonts w:ascii="Times New Roman" w:cs="Times New Roman" w:eastAsia="Times New Roman" w:hAnsi="Times New Roman"/>
          <w:sz w:val="12"/>
          <w:szCs w:val="12"/>
          <w:color w:val="auto"/>
        </w:rPr>
        <w:t xml:space="preserve">See Note 2 – </w:t>
      </w:r>
      <w:r>
        <w:rPr>
          <w:rFonts w:ascii="Times New Roman" w:cs="Times New Roman" w:eastAsia="Times New Roman" w:hAnsi="Times New Roman"/>
          <w:sz w:val="12"/>
          <w:szCs w:val="12"/>
          <w:i w:val="1"/>
          <w:iCs w:val="1"/>
          <w:color w:val="auto"/>
        </w:rPr>
        <w:t>Summary of Significant Accounting Policies</w:t>
      </w:r>
      <w:r>
        <w:rPr>
          <w:rFonts w:ascii="Times New Roman" w:cs="Times New Roman" w:eastAsia="Times New Roman" w:hAnsi="Times New Roman"/>
          <w:sz w:val="12"/>
          <w:szCs w:val="12"/>
          <w:color w:val="auto"/>
        </w:rPr>
        <w:t xml:space="preserve"> to our unaudited condensed consolidated financial statements included in this Quarterly Report for a description of recently adopted accounting pronouncements and recently issued accounting pronouncements not yet adopted as of the date of this Quarterly Report.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JOBS Act Accounting Election</w:t>
      </w:r>
    </w:p>
    <w:p>
      <w:pPr>
        <w:spacing w:after="0" w:line="154" w:lineRule="exact"/>
        <w:rPr>
          <w:sz w:val="20"/>
          <w:szCs w:val="20"/>
          <w:color w:val="auto"/>
        </w:rPr>
      </w:pPr>
    </w:p>
    <w:p>
      <w:pPr>
        <w:jc w:val="both"/>
        <w:ind w:firstLine="216"/>
        <w:spacing w:after="0" w:line="257" w:lineRule="auto"/>
        <w:rPr>
          <w:sz w:val="20"/>
          <w:szCs w:val="20"/>
          <w:color w:val="auto"/>
        </w:rPr>
      </w:pPr>
      <w:r>
        <w:rPr>
          <w:rFonts w:ascii="Times New Roman" w:cs="Times New Roman" w:eastAsia="Times New Roman" w:hAnsi="Times New Roman"/>
          <w:sz w:val="12"/>
          <w:szCs w:val="12"/>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Quantitative and Qualitative Disclosures about Market Risk</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As a “smaller reporting company” as defined by Item 10 of Regulation S-K, the Company is not required to provide the information required by this item.</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Disclosure Controls and Procedures</w:t>
      </w:r>
    </w:p>
    <w:p>
      <w:pPr>
        <w:spacing w:after="0" w:line="152"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our Chief Financial Officer, to allow timely decisions regarding required disclosure.</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right="20" w:firstLine="216"/>
        <w:spacing w:after="0" w:line="279" w:lineRule="auto"/>
        <w:rPr>
          <w:sz w:val="20"/>
          <w:szCs w:val="20"/>
          <w:color w:val="auto"/>
        </w:rPr>
      </w:pPr>
      <w:r>
        <w:rPr>
          <w:rFonts w:ascii="Times New Roman" w:cs="Times New Roman" w:eastAsia="Times New Roman" w:hAnsi="Times New Roman"/>
          <w:sz w:val="12"/>
          <w:szCs w:val="12"/>
          <w:color w:val="auto"/>
        </w:rPr>
        <w:t>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11" w:lineRule="exact"/>
        <w:rPr>
          <w:sz w:val="20"/>
          <w:szCs w:val="20"/>
          <w:color w:val="auto"/>
        </w:rPr>
      </w:pPr>
    </w:p>
    <w:p>
      <w:pPr>
        <w:jc w:val="both"/>
        <w:ind w:firstLine="216"/>
        <w:spacing w:after="0" w:line="256" w:lineRule="auto"/>
        <w:rPr>
          <w:sz w:val="20"/>
          <w:szCs w:val="20"/>
          <w:color w:val="auto"/>
        </w:rPr>
      </w:pPr>
      <w:r>
        <w:rPr>
          <w:rFonts w:ascii="Times New Roman" w:cs="Times New Roman" w:eastAsia="Times New Roman" w:hAnsi="Times New Roman"/>
          <w:sz w:val="12"/>
          <w:szCs w:val="12"/>
          <w:color w:val="auto"/>
        </w:rPr>
        <w:t>With respect to the quarter ended September 30, 2022,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are effective. Management does not expect that our internal control over financial reporting will prevent or detect all errors and all fraud. A control system, no matter how well conceived and operated, can provide only reasonable, not absolute, assurance that the objectives of the control systems are met. Further, the design of a control system must reflect the fact that there are resource constraints, and the benefits of controls must be considered relative to their costs. Because of the inherent limitations in a cost-effective control system, no evaluation of internal control over financial reporting can provide absolute assurance that misstatements due to error or fraud will not occur or that all control issues and instances of fraud, if any, have been or will be detected.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Changes in Internal Control over Financial Reporting:</w:t>
      </w:r>
    </w:p>
    <w:p>
      <w:pPr>
        <w:spacing w:after="0" w:line="152"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There were no changes in our internal control over financial reporting (as defined in Rules 13a-15(f) and 15d-15(f) under the Exchange Act) that occurred during the quarter ended September 30, 2022 which have materially affected, or are reasonably likely to materially affect, our internal control over financial reporting.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Legal Proceedings.</w:t>
      </w:r>
    </w:p>
    <w:p>
      <w:pPr>
        <w:spacing w:after="0" w:line="152" w:lineRule="exact"/>
        <w:rPr>
          <w:sz w:val="20"/>
          <w:szCs w:val="20"/>
          <w:color w:val="auto"/>
        </w:rPr>
      </w:pPr>
    </w:p>
    <w:p>
      <w:pPr>
        <w:ind w:right="3660" w:firstLine="216"/>
        <w:spacing w:after="0" w:line="479" w:lineRule="auto"/>
        <w:rPr>
          <w:sz w:val="20"/>
          <w:szCs w:val="20"/>
          <w:color w:val="auto"/>
        </w:rPr>
      </w:pPr>
      <w:r>
        <w:rPr>
          <w:rFonts w:ascii="Times New Roman" w:cs="Times New Roman" w:eastAsia="Times New Roman" w:hAnsi="Times New Roman"/>
          <w:sz w:val="12"/>
          <w:szCs w:val="12"/>
          <w:color w:val="auto"/>
        </w:rPr>
        <w:t>See Item 1 of Part I, “Unaudited Consolidated Financial Statements—Note 18—</w:t>
      </w:r>
      <w:r>
        <w:rPr>
          <w:rFonts w:ascii="Times New Roman" w:cs="Times New Roman" w:eastAsia="Times New Roman" w:hAnsi="Times New Roman"/>
          <w:sz w:val="12"/>
          <w:szCs w:val="12"/>
          <w:i w:val="1"/>
          <w:iCs w:val="1"/>
          <w:color w:val="auto"/>
        </w:rPr>
        <w:t>Commitments and Contingencies—Litigation.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Item 1A. Risk Factors.</w:t>
      </w: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As of the date of this Quarterly Report on, there have been no material changes from the risk factors disclosed in our Prospectus as filed by us with the SEC on November 10, 2022 pursuant to Rule 424(b)(4) under the Securities Act, relating to our registration statement on Form S-1 (File No. 333-267483), as amended, except as described below. Any of these factors could result in a significant or material adverse effect on our result of operations or financial conditions. Additional risk factors not presently known to us or that we currently deem immaterial may also impair our business or results of operations. We may disclose changes to such factors or disclose additional factors from time to time in our future filings with the SEC.</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i w:val="1"/>
          <w:iCs w:val="1"/>
          <w:color w:val="auto"/>
        </w:rPr>
        <w:t>We cannot guarantee that our share repurchase program will be fully implemented or it will enhance stockholder value, and share repurchases could affect the price of our Class A common stock.</w:t>
      </w:r>
    </w:p>
    <w:p>
      <w:pPr>
        <w:spacing w:after="0" w:line="136" w:lineRule="exact"/>
        <w:rPr>
          <w:sz w:val="20"/>
          <w:szCs w:val="20"/>
          <w:color w:val="auto"/>
        </w:rPr>
      </w:pPr>
    </w:p>
    <w:p>
      <w:pPr>
        <w:jc w:val="both"/>
        <w:ind w:firstLine="216"/>
        <w:spacing w:after="0" w:line="255" w:lineRule="auto"/>
        <w:rPr>
          <w:sz w:val="20"/>
          <w:szCs w:val="20"/>
          <w:color w:val="auto"/>
        </w:rPr>
      </w:pPr>
      <w:r>
        <w:rPr>
          <w:rFonts w:ascii="Times New Roman" w:cs="Times New Roman" w:eastAsia="Times New Roman" w:hAnsi="Times New Roman"/>
          <w:sz w:val="12"/>
          <w:szCs w:val="12"/>
          <w:color w:val="auto"/>
        </w:rPr>
        <w:t>In November 2022, our board of directors authorized a share repurchase program of up to $5 million of our outstanding Class A common stock,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December 13, 2022, approximately $1.8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6" w:lineRule="exact"/>
        <w:rPr>
          <w:sz w:val="20"/>
          <w:szCs w:val="20"/>
          <w:color w:val="auto"/>
        </w:rPr>
      </w:pPr>
    </w:p>
    <w:p>
      <w:pPr>
        <w:jc w:val="both"/>
        <w:ind w:right="20" w:firstLine="216"/>
        <w:spacing w:after="0" w:line="255" w:lineRule="auto"/>
        <w:rPr>
          <w:sz w:val="20"/>
          <w:szCs w:val="20"/>
          <w:color w:val="auto"/>
        </w:rPr>
      </w:pPr>
      <w:r>
        <w:rPr>
          <w:rFonts w:ascii="Times New Roman" w:cs="Times New Roman" w:eastAsia="Times New Roman" w:hAnsi="Times New Roman"/>
          <w:sz w:val="12"/>
          <w:szCs w:val="12"/>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Unregistered Sales of Equity Securities and Use of Proceeds.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Sales of Unregistered Securities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Subsequent to the period covered by this Quarterly Report, we issued the following securities that were not registered under the Securities Act.</w:t>
      </w:r>
    </w:p>
    <w:p>
      <w:pPr>
        <w:spacing w:after="0" w:line="150" w:lineRule="exact"/>
        <w:rPr>
          <w:sz w:val="20"/>
          <w:szCs w:val="20"/>
          <w:color w:val="auto"/>
        </w:rPr>
      </w:pPr>
    </w:p>
    <w:p>
      <w:pPr>
        <w:jc w:val="both"/>
        <w:ind w:right="20" w:firstLine="216"/>
        <w:spacing w:after="0" w:line="295" w:lineRule="auto"/>
        <w:rPr>
          <w:sz w:val="20"/>
          <w:szCs w:val="20"/>
          <w:color w:val="auto"/>
        </w:rPr>
      </w:pPr>
      <w:r>
        <w:rPr>
          <w:rFonts w:ascii="Times New Roman" w:cs="Times New Roman" w:eastAsia="Times New Roman" w:hAnsi="Times New Roman"/>
          <w:sz w:val="12"/>
          <w:szCs w:val="12"/>
          <w:color w:val="auto"/>
        </w:rPr>
        <w:t>On November 14, 2022, concurrently with the IPO and pursuant to the certain reorganization transactions, the pre-IPO stockholders of Snail Games USA Inc. (“SGUSA”) collectively exchanged 500,000 shares of SGUSA common stock for 6,251,420 shares of our Class A common stock and 28,748,580 shares of our Class B common stock.</w:t>
      </w:r>
    </w:p>
    <w:p>
      <w:pPr>
        <w:spacing w:after="0" w:line="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The foregoing transactions were exempt from registration under the Securities Act of 1933, as amended (the “Act”), in reliance on Section 4(a)(2) of the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Proceeds.</w:t>
      </w:r>
    </w:p>
    <w:p>
      <w:pPr>
        <w:spacing w:after="0" w:line="154"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On November 14, 2022, we closed our IPO, in which we issued and sold 3,000,000 shares of our Class A common stock. All of the shares were sold at a price to the public of $5.00 per share for an aggregate offering price of $15.0 million. The underwriters may also exercise their option to purchase up to an additional 450,000 shares of Class A common stock from us (the “Option”), less the underwriting discount, for 45 days after the date of the prospectus (the “Prospectus”) included in our registration statement on Form S-1 (File No. 333-267483) (the “Registration Statement”). As of the date of this Quarterly Report, the underwriters have not exercised the Option.</w:t>
      </w:r>
    </w:p>
    <w:p>
      <w:pPr>
        <w:spacing w:after="0" w:line="95"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All of the shares sold were registered under the Act pursuant the Registration Statement, which became effective on November 9, 2022. The representatives of the underwriters for the offering were US Tiger Securities, Inc. EF Hutton, division of Benchmark Investments, LLC.</w:t>
      </w:r>
    </w:p>
    <w:p>
      <w:pPr>
        <w:spacing w:after="0" w:line="93" w:lineRule="exact"/>
        <w:rPr>
          <w:sz w:val="20"/>
          <w:szCs w:val="20"/>
          <w:color w:val="auto"/>
        </w:rPr>
      </w:pPr>
    </w:p>
    <w:p>
      <w:pPr>
        <w:jc w:val="both"/>
        <w:ind w:firstLine="216"/>
        <w:spacing w:after="0" w:line="260" w:lineRule="auto"/>
        <w:rPr>
          <w:sz w:val="20"/>
          <w:szCs w:val="20"/>
          <w:color w:val="auto"/>
        </w:rPr>
      </w:pPr>
      <w:r>
        <w:rPr>
          <w:rFonts w:ascii="Times New Roman" w:cs="Times New Roman" w:eastAsia="Times New Roman" w:hAnsi="Times New Roman"/>
          <w:sz w:val="12"/>
          <w:szCs w:val="12"/>
          <w:color w:val="auto"/>
        </w:rPr>
        <w:t>We received net proceeds of approximately $10.3 million after deducting underwriting discounts and commissions of $975,000 and estimated offering expenses of $3.7 million. No payments for such expenses were made directly or indirectly to (i) any of our officers or directors or their associates (ii) any persons owning 10% or more of any class of our equity securities or (iii) any of our affiliates. In addition to the use of proceeds described in the Prospectus included in the Registration Statement, we intend to use up to $5.0 million of IPO proceeds to repurchase shares of Class A common stock pursuant to the Share Repurchase Program.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Purchases of Equity Securities by the Issuer and Affiliated Purchasers.</w:t>
      </w:r>
    </w:p>
    <w:p>
      <w:pPr>
        <w:spacing w:after="0" w:line="154" w:lineRule="exact"/>
        <w:rPr>
          <w:sz w:val="20"/>
          <w:szCs w:val="20"/>
          <w:color w:val="auto"/>
        </w:rPr>
      </w:pPr>
    </w:p>
    <w:p>
      <w:pPr>
        <w:jc w:val="both"/>
        <w:ind w:right="20" w:firstLine="216"/>
        <w:spacing w:after="0" w:line="257" w:lineRule="auto"/>
        <w:rPr>
          <w:sz w:val="20"/>
          <w:szCs w:val="20"/>
          <w:color w:val="auto"/>
        </w:rPr>
      </w:pPr>
      <w:r>
        <w:rPr>
          <w:rFonts w:ascii="Times New Roman" w:cs="Times New Roman" w:eastAsia="Times New Roman" w:hAnsi="Times New Roman"/>
          <w:sz w:val="12"/>
          <w:szCs w:val="12"/>
          <w:color w:val="auto"/>
        </w:rPr>
        <w:t>None. However, on November 10, 2022, the Snail, Inc. board of directors approved and established the Share Repurchase Program to reacquire shares of Snail, Inc.’s Class A common stock. The maximum aggregate value of the shares repurchased shall not exceed $5.0 million, and there is no fixed expiration date on the Share Repurchase Program. The exact number of shares of Class A common stock and timing and method of the repurchase are at the discretion of the CEO, CFO and Treasurer. As of December 13, 2022, 1,090,877 shares of Class A common stock were repurchased pursuant to the Share Repurchase Program for an aggregate purchase price of approximately $3.2 million. The average price paid per share was $2.98 and approximately $1.8 million aggregate amount of shares of Class A common stock remain available for repurchase under the Share Repurchase Program. See Item 1 of Part I, “Unaudited Consolidated Financial Statements—Note 19—</w:t>
      </w:r>
      <w:r>
        <w:rPr>
          <w:rFonts w:ascii="Times New Roman" w:cs="Times New Roman" w:eastAsia="Times New Roman" w:hAnsi="Times New Roman"/>
          <w:sz w:val="12"/>
          <w:szCs w:val="12"/>
          <w:i w:val="1"/>
          <w:iCs w:val="1"/>
          <w:color w:val="auto"/>
        </w:rPr>
        <w:t>Subsequent Events</w:t>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980"/>
          </w:cols>
          <w:pgMar w:left="960" w:top="390" w:right="9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3. Defaults Upon Senior Securities.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Other Information.</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None.</w:t>
      </w:r>
    </w:p>
    <w:p>
      <w:pPr>
        <w:spacing w:after="0" w:line="200" w:lineRule="exact"/>
        <w:rPr>
          <w:sz w:val="20"/>
          <w:szCs w:val="20"/>
          <w:color w:val="auto"/>
        </w:rPr>
      </w:pPr>
    </w:p>
    <w:p>
      <w:pPr>
        <w:spacing w:after="0" w:line="23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9499"/>
          </w:cols>
          <w:pgMar w:left="960" w:top="390" w:right="1440" w:bottom="1440" w:gutter="0" w:footer="0" w:header="0"/>
        </w:sectPr>
      </w:pPr>
    </w:p>
    <w:bookmarkStart w:id="40" w:name="page41"/>
    <w:bookmarkEnd w:id="40"/>
    <w:p>
      <w:pPr>
        <w:ind w:left="3"/>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Item 6. Exhibits.</w:t>
      </w:r>
    </w:p>
    <w:p>
      <w:pPr>
        <w:spacing w:after="0" w:line="163" w:lineRule="exact"/>
        <w:rPr>
          <w:sz w:val="20"/>
          <w:szCs w:val="20"/>
          <w:color w:val="auto"/>
        </w:rPr>
      </w:pPr>
    </w:p>
    <w:tbl>
      <w:tblPr>
        <w:tblLayout w:type="fixed"/>
        <w:tblInd w:w="3"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8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Incorporated by Reference</w:t>
            </w: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No.</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60" w:type="dxa"/>
            <w:vAlign w:val="bottom"/>
            <w:gridSpan w:val="11"/>
          </w:tcPr>
          <w:p>
            <w:pPr>
              <w:ind w:left="52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12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File No.</w:t>
            </w:r>
          </w:p>
        </w:tc>
        <w:tc>
          <w:tcPr>
            <w:tcW w:w="120" w:type="dxa"/>
            <w:vAlign w:val="bottom"/>
          </w:tcPr>
          <w:p>
            <w:pPr>
              <w:spacing w:after="0"/>
              <w:rPr>
                <w:sz w:val="12"/>
                <w:szCs w:val="12"/>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Filing Date</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w w:val="93"/>
              </w:rPr>
              <w:t>Fil</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 w:type="dxa"/>
            <w:vAlign w:val="bottom"/>
            <w:tcBorders>
              <w:top w:val="single" w:sz="8" w:color="auto"/>
            </w:tcBorders>
          </w:tcPr>
          <w:p>
            <w:pPr>
              <w:spacing w:after="0" w:line="101" w:lineRule="exact"/>
              <w:rPr>
                <w:sz w:val="20"/>
                <w:szCs w:val="20"/>
                <w:color w:val="auto"/>
              </w:rPr>
            </w:pPr>
            <w:r>
              <w:rPr>
                <w:rFonts w:ascii="Times New Roman" w:cs="Times New Roman" w:eastAsia="Times New Roman" w:hAnsi="Times New Roman"/>
                <w:sz w:val="11"/>
                <w:szCs w:val="11"/>
                <w:color w:val="auto"/>
              </w:rPr>
              <w:t>3.1</w:t>
            </w:r>
          </w:p>
        </w:tc>
        <w:tc>
          <w:tcPr>
            <w:tcW w:w="100" w:type="dxa"/>
            <w:vAlign w:val="bottom"/>
          </w:tcPr>
          <w:p>
            <w:pPr>
              <w:spacing w:after="0"/>
              <w:rPr>
                <w:sz w:val="8"/>
                <w:szCs w:val="8"/>
                <w:color w:val="auto"/>
              </w:rPr>
            </w:pPr>
          </w:p>
        </w:tc>
        <w:tc>
          <w:tcPr>
            <w:tcW w:w="20" w:type="dxa"/>
            <w:vAlign w:val="bottom"/>
            <w:tcBorders>
              <w:bottom w:val="single" w:sz="8" w:color="0000EE"/>
            </w:tcBorders>
          </w:tcPr>
          <w:p>
            <w:pPr>
              <w:spacing w:after="0"/>
              <w:rPr>
                <w:sz w:val="8"/>
                <w:szCs w:val="8"/>
                <w:color w:val="auto"/>
              </w:rPr>
            </w:pPr>
          </w:p>
        </w:tc>
        <w:tc>
          <w:tcPr>
            <w:tcW w:w="2800" w:type="dxa"/>
            <w:vAlign w:val="bottom"/>
            <w:tcBorders>
              <w:top w:val="single" w:sz="8" w:color="auto"/>
              <w:bottom w:val="single" w:sz="8" w:color="0000EE"/>
            </w:tcBorders>
            <w:gridSpan w:val="3"/>
          </w:tcPr>
          <w:p>
            <w:pPr>
              <w:spacing w:after="0" w:line="101" w:lineRule="exact"/>
              <w:rPr>
                <w:rFonts w:ascii="Times New Roman" w:cs="Times New Roman" w:eastAsia="Times New Roman" w:hAnsi="Times New Roman"/>
                <w:sz w:val="11"/>
                <w:szCs w:val="11"/>
                <w:color w:val="0000EE"/>
                <w:w w:val="97"/>
              </w:rPr>
            </w:pPr>
            <w:hyperlink r:id="rId47">
              <w:r>
                <w:rPr>
                  <w:rFonts w:ascii="Times New Roman" w:cs="Times New Roman" w:eastAsia="Times New Roman" w:hAnsi="Times New Roman"/>
                  <w:sz w:val="11"/>
                  <w:szCs w:val="11"/>
                  <w:color w:val="0000EE"/>
                  <w:w w:val="97"/>
                </w:rPr>
                <w:t>Amended and Restated Certificate of Incorporation of Snail, Inc.</w:t>
              </w:r>
            </w:hyperlink>
          </w:p>
        </w:tc>
        <w:tc>
          <w:tcPr>
            <w:tcW w:w="4780" w:type="dxa"/>
            <w:vAlign w:val="bottom"/>
            <w:tcBorders>
              <w:top w:val="single" w:sz="8" w:color="auto"/>
            </w:tcBorders>
            <w:gridSpan w:val="10"/>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3"/>
              </w:rPr>
              <w:t>8-K</w:t>
            </w:r>
          </w:p>
        </w:tc>
        <w:tc>
          <w:tcPr>
            <w:tcW w:w="120" w:type="dxa"/>
            <w:vAlign w:val="bottom"/>
          </w:tcPr>
          <w:p>
            <w:pPr>
              <w:spacing w:after="0"/>
              <w:rPr>
                <w:sz w:val="8"/>
                <w:szCs w:val="8"/>
                <w:color w:val="auto"/>
              </w:rPr>
            </w:pPr>
          </w:p>
        </w:tc>
        <w:tc>
          <w:tcPr>
            <w:tcW w:w="4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6"/>
              </w:rPr>
              <w:t>001-41556</w:t>
            </w:r>
          </w:p>
        </w:tc>
        <w:tc>
          <w:tcPr>
            <w:tcW w:w="120" w:type="dxa"/>
            <w:vAlign w:val="bottom"/>
          </w:tcPr>
          <w:p>
            <w:pPr>
              <w:spacing w:after="0"/>
              <w:rPr>
                <w:sz w:val="8"/>
                <w:szCs w:val="8"/>
                <w:color w:val="auto"/>
              </w:rPr>
            </w:pPr>
          </w:p>
        </w:tc>
        <w:tc>
          <w:tcPr>
            <w:tcW w:w="34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rPr>
              <w:t>3.1</w:t>
            </w:r>
          </w:p>
        </w:tc>
        <w:tc>
          <w:tcPr>
            <w:tcW w:w="120" w:type="dxa"/>
            <w:vAlign w:val="bottom"/>
          </w:tcPr>
          <w:p>
            <w:pPr>
              <w:spacing w:after="0"/>
              <w:rPr>
                <w:sz w:val="8"/>
                <w:szCs w:val="8"/>
                <w:color w:val="auto"/>
              </w:rPr>
            </w:pPr>
          </w:p>
        </w:tc>
        <w:tc>
          <w:tcPr>
            <w:tcW w:w="860" w:type="dxa"/>
            <w:vAlign w:val="bottom"/>
            <w:tcBorders>
              <w:top w:val="single" w:sz="8" w:color="auto"/>
            </w:tcBorders>
          </w:tcPr>
          <w:p>
            <w:pPr>
              <w:jc w:val="center"/>
              <w:spacing w:after="0" w:line="101" w:lineRule="exact"/>
              <w:rPr>
                <w:sz w:val="20"/>
                <w:szCs w:val="20"/>
                <w:color w:val="auto"/>
              </w:rPr>
            </w:pPr>
            <w:r>
              <w:rPr>
                <w:rFonts w:ascii="Times New Roman" w:cs="Times New Roman" w:eastAsia="Times New Roman" w:hAnsi="Times New Roman"/>
                <w:sz w:val="11"/>
                <w:szCs w:val="11"/>
                <w:color w:val="auto"/>
                <w:w w:val="98"/>
              </w:rPr>
              <w:t>November 15, 2022</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0"/>
                <w:szCs w:val="10"/>
                <w:color w:val="auto"/>
              </w:rPr>
            </w:pPr>
          </w:p>
        </w:tc>
        <w:tc>
          <w:tcPr>
            <w:tcW w:w="2580" w:type="dxa"/>
            <w:vAlign w:val="bottom"/>
            <w:tcBorders>
              <w:bottom w:val="single" w:sz="8" w:color="0000EE"/>
            </w:tcBorders>
            <w:gridSpan w:val="3"/>
          </w:tcPr>
          <w:p>
            <w:pPr>
              <w:spacing w:after="0" w:line="115" w:lineRule="exact"/>
              <w:rPr>
                <w:rFonts w:ascii="Times New Roman" w:cs="Times New Roman" w:eastAsia="Times New Roman" w:hAnsi="Times New Roman"/>
                <w:sz w:val="11"/>
                <w:szCs w:val="11"/>
                <w:color w:val="0000EE"/>
                <w:w w:val="97"/>
              </w:rPr>
            </w:pPr>
            <w:hyperlink r:id="rId48">
              <w:r>
                <w:rPr>
                  <w:rFonts w:ascii="Times New Roman" w:cs="Times New Roman" w:eastAsia="Times New Roman" w:hAnsi="Times New Roman"/>
                  <w:sz w:val="11"/>
                  <w:szCs w:val="11"/>
                  <w:color w:val="0000EE"/>
                  <w:w w:val="97"/>
                </w:rPr>
                <w:t>Amended and Restated Bylaws of the Registrant Snail, Inc.</w:t>
              </w:r>
            </w:hyperlink>
          </w:p>
        </w:tc>
        <w:tc>
          <w:tcPr>
            <w:tcW w:w="5100" w:type="dxa"/>
            <w:vAlign w:val="bottom"/>
            <w:gridSpan w:val="12"/>
          </w:tcPr>
          <w:p>
            <w:pPr>
              <w:spacing w:after="0"/>
              <w:rPr>
                <w:sz w:val="10"/>
                <w:szCs w:val="10"/>
                <w:color w:val="auto"/>
              </w:rPr>
            </w:pPr>
          </w:p>
        </w:tc>
        <w:tc>
          <w:tcPr>
            <w:tcW w:w="2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3"/>
              </w:rPr>
              <w:t>8-K</w:t>
            </w:r>
          </w:p>
        </w:tc>
        <w:tc>
          <w:tcPr>
            <w:tcW w:w="580" w:type="dxa"/>
            <w:vAlign w:val="bottom"/>
            <w:gridSpan w:val="2"/>
          </w:tcPr>
          <w:p>
            <w:pPr>
              <w:jc w:val="center"/>
              <w:ind w:left="66"/>
              <w:spacing w:after="0" w:line="115" w:lineRule="exact"/>
              <w:rPr>
                <w:sz w:val="20"/>
                <w:szCs w:val="20"/>
                <w:color w:val="auto"/>
              </w:rPr>
            </w:pPr>
            <w:r>
              <w:rPr>
                <w:rFonts w:ascii="Times New Roman" w:cs="Times New Roman" w:eastAsia="Times New Roman" w:hAnsi="Times New Roman"/>
                <w:sz w:val="11"/>
                <w:szCs w:val="11"/>
                <w:color w:val="auto"/>
                <w:w w:val="96"/>
              </w:rPr>
              <w:t>001-41556</w:t>
            </w:r>
          </w:p>
        </w:tc>
        <w:tc>
          <w:tcPr>
            <w:tcW w:w="46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8"/>
              </w:rPr>
              <w:t>November 15, 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10.1</w:t>
            </w:r>
          </w:p>
        </w:tc>
        <w:tc>
          <w:tcPr>
            <w:tcW w:w="100" w:type="dxa"/>
            <w:vAlign w:val="bottom"/>
          </w:tcPr>
          <w:p>
            <w:pPr>
              <w:spacing w:after="0"/>
              <w:rPr>
                <w:sz w:val="10"/>
                <w:szCs w:val="10"/>
                <w:color w:val="auto"/>
              </w:rPr>
            </w:pPr>
          </w:p>
        </w:tc>
        <w:tc>
          <w:tcPr>
            <w:tcW w:w="6480" w:type="dxa"/>
            <w:vAlign w:val="bottom"/>
            <w:tcBorders>
              <w:bottom w:val="single" w:sz="8" w:color="0000EE"/>
            </w:tcBorders>
            <w:gridSpan w:val="8"/>
          </w:tcPr>
          <w:p>
            <w:pPr>
              <w:spacing w:after="0" w:line="115" w:lineRule="exact"/>
              <w:rPr>
                <w:rFonts w:ascii="Times New Roman" w:cs="Times New Roman" w:eastAsia="Times New Roman" w:hAnsi="Times New Roman"/>
                <w:sz w:val="11"/>
                <w:szCs w:val="11"/>
                <w:color w:val="0000EE"/>
                <w:w w:val="98"/>
              </w:rPr>
            </w:pPr>
            <w:hyperlink r:id="rId49">
              <w:r>
                <w:rPr>
                  <w:rFonts w:ascii="Times New Roman" w:cs="Times New Roman" w:eastAsia="Times New Roman" w:hAnsi="Times New Roman"/>
                  <w:sz w:val="11"/>
                  <w:szCs w:val="11"/>
                  <w:color w:val="0000EE"/>
                  <w:w w:val="98"/>
                </w:rPr>
                <w:t>Amended and Restated Exclusive Software License Agreement, effective as of January 1, 2022, by and between Snail Games USA Inc. and SDE Inc.</w:t>
              </w:r>
            </w:hyperlink>
          </w:p>
        </w:tc>
        <w:tc>
          <w:tcPr>
            <w:tcW w:w="1200" w:type="dxa"/>
            <w:vAlign w:val="bottom"/>
            <w:gridSpan w:val="7"/>
          </w:tcPr>
          <w:p>
            <w:pPr>
              <w:spacing w:after="0"/>
              <w:rPr>
                <w:sz w:val="10"/>
                <w:szCs w:val="10"/>
                <w:color w:val="auto"/>
              </w:rPr>
            </w:pPr>
          </w:p>
        </w:tc>
        <w:tc>
          <w:tcPr>
            <w:tcW w:w="2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S-1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rPr>
              <w:t>10.12</w:t>
            </w:r>
          </w:p>
        </w:tc>
        <w:tc>
          <w:tcPr>
            <w:tcW w:w="120" w:type="dxa"/>
            <w:vAlign w:val="bottom"/>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November 4, 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10.2</w:t>
            </w:r>
          </w:p>
        </w:tc>
        <w:tc>
          <w:tcPr>
            <w:tcW w:w="100" w:type="dxa"/>
            <w:vAlign w:val="bottom"/>
          </w:tcPr>
          <w:p>
            <w:pPr>
              <w:spacing w:after="0"/>
              <w:rPr>
                <w:sz w:val="10"/>
                <w:szCs w:val="10"/>
                <w:color w:val="auto"/>
              </w:rPr>
            </w:pPr>
          </w:p>
        </w:tc>
        <w:tc>
          <w:tcPr>
            <w:tcW w:w="7580" w:type="dxa"/>
            <w:vAlign w:val="bottom"/>
            <w:tcBorders>
              <w:bottom w:val="single" w:sz="8" w:color="0000EE"/>
            </w:tcBorders>
            <w:gridSpan w:val="13"/>
          </w:tcPr>
          <w:p>
            <w:pPr>
              <w:spacing w:after="0" w:line="115" w:lineRule="exact"/>
              <w:rPr>
                <w:sz w:val="20"/>
                <w:szCs w:val="20"/>
                <w:color w:val="auto"/>
              </w:rPr>
            </w:pPr>
            <w:r>
              <w:rPr>
                <w:rFonts w:ascii="Times New Roman" w:cs="Times New Roman" w:eastAsia="Times New Roman" w:hAnsi="Times New Roman"/>
                <w:sz w:val="11"/>
                <w:szCs w:val="11"/>
                <w:color w:val="0000EE"/>
                <w:w w:val="98"/>
              </w:rPr>
              <w:t>Amendment No. 1 to Amended and Restated Exclusive Software License Agreement, effective as of December 13, 2022, by and between Snail Games USA Inc. and SDE Inc.</w:t>
            </w:r>
          </w:p>
        </w:tc>
        <w:tc>
          <w:tcPr>
            <w:tcW w:w="100" w:type="dxa"/>
            <w:vAlign w:val="bottom"/>
            <w:gridSpan w:val="2"/>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10.3</w:t>
            </w:r>
          </w:p>
        </w:tc>
        <w:tc>
          <w:tcPr>
            <w:tcW w:w="100" w:type="dxa"/>
            <w:vAlign w:val="bottom"/>
          </w:tcPr>
          <w:p>
            <w:pPr>
              <w:spacing w:after="0"/>
              <w:rPr>
                <w:sz w:val="10"/>
                <w:szCs w:val="10"/>
                <w:color w:val="auto"/>
              </w:rPr>
            </w:pPr>
          </w:p>
        </w:tc>
        <w:tc>
          <w:tcPr>
            <w:tcW w:w="4980" w:type="dxa"/>
            <w:vAlign w:val="bottom"/>
            <w:tcBorders>
              <w:bottom w:val="single" w:sz="8" w:color="0000EE"/>
            </w:tcBorders>
            <w:gridSpan w:val="7"/>
          </w:tcPr>
          <w:p>
            <w:pPr>
              <w:spacing w:after="0" w:line="115" w:lineRule="exact"/>
              <w:rPr>
                <w:rFonts w:ascii="Times New Roman" w:cs="Times New Roman" w:eastAsia="Times New Roman" w:hAnsi="Times New Roman"/>
                <w:sz w:val="11"/>
                <w:szCs w:val="11"/>
                <w:color w:val="0000EE"/>
                <w:w w:val="97"/>
              </w:rPr>
            </w:pPr>
            <w:hyperlink r:id="rId50">
              <w:r>
                <w:rPr>
                  <w:rFonts w:ascii="Times New Roman" w:cs="Times New Roman" w:eastAsia="Times New Roman" w:hAnsi="Times New Roman"/>
                  <w:sz w:val="11"/>
                  <w:szCs w:val="11"/>
                  <w:color w:val="0000EE"/>
                  <w:w w:val="97"/>
                </w:rPr>
                <w:t>Exclusive License Agreement, effective as of April 27, 2022, by and between Snail Games USA Inc. and SDE Inc.</w:t>
              </w:r>
            </w:hyperlink>
          </w:p>
        </w:tc>
        <w:tc>
          <w:tcPr>
            <w:tcW w:w="2700" w:type="dxa"/>
            <w:vAlign w:val="bottom"/>
            <w:gridSpan w:val="8"/>
          </w:tcPr>
          <w:p>
            <w:pPr>
              <w:spacing w:after="0"/>
              <w:rPr>
                <w:sz w:val="10"/>
                <w:szCs w:val="10"/>
                <w:color w:val="auto"/>
              </w:rPr>
            </w:pPr>
          </w:p>
        </w:tc>
        <w:tc>
          <w:tcPr>
            <w:tcW w:w="2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S-1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w w:val="93"/>
              </w:rPr>
              <w:t>10.5</w:t>
            </w:r>
          </w:p>
        </w:tc>
        <w:tc>
          <w:tcPr>
            <w:tcW w:w="120" w:type="dxa"/>
            <w:vAlign w:val="bottom"/>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November 4, 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10.4</w:t>
            </w: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680" w:type="dxa"/>
            <w:vAlign w:val="bottom"/>
            <w:gridSpan w:val="15"/>
          </w:tcPr>
          <w:p>
            <w:pPr>
              <w:spacing w:after="0" w:line="115" w:lineRule="exact"/>
              <w:rPr>
                <w:rFonts w:ascii="Times New Roman" w:cs="Times New Roman" w:eastAsia="Times New Roman" w:hAnsi="Times New Roman"/>
                <w:sz w:val="11"/>
                <w:szCs w:val="11"/>
                <w:color w:val="0000EE"/>
              </w:rPr>
            </w:pPr>
            <w:hyperlink r:id="rId51">
              <w:r>
                <w:rPr>
                  <w:rFonts w:ascii="Times New Roman" w:cs="Times New Roman" w:eastAsia="Times New Roman" w:hAnsi="Times New Roman"/>
                  <w:sz w:val="11"/>
                  <w:szCs w:val="11"/>
                  <w:color w:val="0000EE"/>
                </w:rPr>
                <w:t>Snail, Inc. 2022 Omnibus Incentive Plan</w:t>
              </w:r>
            </w:hyperlink>
          </w:p>
        </w:tc>
        <w:tc>
          <w:tcPr>
            <w:tcW w:w="2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S-1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2"/>
          </w:tcPr>
          <w:p>
            <w:pPr>
              <w:jc w:val="center"/>
              <w:ind w:left="6"/>
              <w:spacing w:after="0" w:line="115" w:lineRule="exact"/>
              <w:rPr>
                <w:sz w:val="20"/>
                <w:szCs w:val="20"/>
                <w:color w:val="auto"/>
              </w:rPr>
            </w:pPr>
            <w:r>
              <w:rPr>
                <w:rFonts w:ascii="Times New Roman" w:cs="Times New Roman" w:eastAsia="Times New Roman" w:hAnsi="Times New Roman"/>
                <w:sz w:val="11"/>
                <w:szCs w:val="11"/>
                <w:color w:val="auto"/>
                <w:w w:val="96"/>
              </w:rPr>
              <w:t>10.11</w:t>
            </w:r>
          </w:p>
        </w:tc>
        <w:tc>
          <w:tcPr>
            <w:tcW w:w="120" w:type="dxa"/>
            <w:vAlign w:val="bottom"/>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November 4, 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10.5</w:t>
            </w:r>
            <w:r>
              <w:rPr>
                <w:rFonts w:ascii="Arial" w:cs="Arial" w:eastAsia="Arial" w:hAnsi="Arial"/>
                <w:sz w:val="11"/>
                <w:szCs w:val="11"/>
                <w:color w:val="auto"/>
              </w:rPr>
              <w:t>˄</w:t>
            </w:r>
          </w:p>
        </w:tc>
        <w:tc>
          <w:tcPr>
            <w:tcW w:w="10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80" w:type="dxa"/>
            <w:vAlign w:val="bottom"/>
            <w:gridSpan w:val="15"/>
          </w:tcPr>
          <w:p>
            <w:pPr>
              <w:spacing w:after="0" w:line="115" w:lineRule="exact"/>
              <w:rPr>
                <w:rFonts w:ascii="Times New Roman" w:cs="Times New Roman" w:eastAsia="Times New Roman" w:hAnsi="Times New Roman"/>
                <w:sz w:val="11"/>
                <w:szCs w:val="11"/>
                <w:color w:val="0000EE"/>
              </w:rPr>
            </w:pPr>
            <w:hyperlink r:id="rId52">
              <w:r>
                <w:rPr>
                  <w:rFonts w:ascii="Times New Roman" w:cs="Times New Roman" w:eastAsia="Times New Roman" w:hAnsi="Times New Roman"/>
                  <w:sz w:val="11"/>
                  <w:szCs w:val="11"/>
                  <w:color w:val="0000EE"/>
                </w:rPr>
                <w:t>Form of RSU Award Agreement (Employee) pursuant to the Snail, Inc. Omnibus Incentive Plan</w:t>
              </w:r>
            </w:hyperlink>
          </w:p>
        </w:tc>
        <w:tc>
          <w:tcPr>
            <w:tcW w:w="2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S-1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rPr>
              <w:t>10.15</w:t>
            </w:r>
          </w:p>
        </w:tc>
        <w:tc>
          <w:tcPr>
            <w:tcW w:w="120" w:type="dxa"/>
            <w:vAlign w:val="bottom"/>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November 4, 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10.6</w:t>
            </w:r>
            <w:r>
              <w:rPr>
                <w:rFonts w:ascii="Arial" w:cs="Arial" w:eastAsia="Arial" w:hAnsi="Arial"/>
                <w:sz w:val="11"/>
                <w:szCs w:val="11"/>
                <w:color w:val="auto"/>
              </w:rPr>
              <w:t>˄</w:t>
            </w:r>
          </w:p>
        </w:tc>
        <w:tc>
          <w:tcPr>
            <w:tcW w:w="100" w:type="dxa"/>
            <w:vAlign w:val="bottom"/>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80" w:type="dxa"/>
            <w:vAlign w:val="bottom"/>
            <w:gridSpan w:val="15"/>
          </w:tcPr>
          <w:p>
            <w:pPr>
              <w:spacing w:after="0" w:line="115" w:lineRule="exact"/>
              <w:rPr>
                <w:rFonts w:ascii="Times New Roman" w:cs="Times New Roman" w:eastAsia="Times New Roman" w:hAnsi="Times New Roman"/>
                <w:sz w:val="11"/>
                <w:szCs w:val="11"/>
                <w:color w:val="0000EE"/>
              </w:rPr>
            </w:pPr>
            <w:hyperlink r:id="rId53">
              <w:r>
                <w:rPr>
                  <w:rFonts w:ascii="Times New Roman" w:cs="Times New Roman" w:eastAsia="Times New Roman" w:hAnsi="Times New Roman"/>
                  <w:sz w:val="11"/>
                  <w:szCs w:val="11"/>
                  <w:color w:val="0000EE"/>
                </w:rPr>
                <w:t>Form of RSU Award Agreement (Non-Employee) pursuant to the Snail, Inc. Omnibus Incentive Plan</w:t>
              </w:r>
            </w:hyperlink>
          </w:p>
        </w:tc>
        <w:tc>
          <w:tcPr>
            <w:tcW w:w="2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rPr>
              <w:t>S-1</w:t>
            </w: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gridSpan w:val="2"/>
          </w:tcPr>
          <w:p>
            <w:pPr>
              <w:jc w:val="center"/>
              <w:ind w:left="26"/>
              <w:spacing w:after="0" w:line="115" w:lineRule="exact"/>
              <w:rPr>
                <w:sz w:val="20"/>
                <w:szCs w:val="20"/>
                <w:color w:val="auto"/>
              </w:rPr>
            </w:pPr>
            <w:r>
              <w:rPr>
                <w:rFonts w:ascii="Times New Roman" w:cs="Times New Roman" w:eastAsia="Times New Roman" w:hAnsi="Times New Roman"/>
                <w:sz w:val="11"/>
                <w:szCs w:val="11"/>
                <w:color w:val="auto"/>
              </w:rPr>
              <w:t>10.16</w:t>
            </w:r>
          </w:p>
        </w:tc>
        <w:tc>
          <w:tcPr>
            <w:tcW w:w="120" w:type="dxa"/>
            <w:vAlign w:val="bottom"/>
          </w:tcPr>
          <w:p>
            <w:pPr>
              <w:spacing w:after="0"/>
              <w:rPr>
                <w:sz w:val="10"/>
                <w:szCs w:val="10"/>
                <w:color w:val="auto"/>
              </w:rPr>
            </w:pPr>
          </w:p>
        </w:tc>
        <w:tc>
          <w:tcPr>
            <w:tcW w:w="8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color w:val="auto"/>
                <w:w w:val="97"/>
              </w:rPr>
              <w:t>November 4, 2022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380" w:type="dxa"/>
            <w:vAlign w:val="bottom"/>
            <w:gridSpan w:val="6"/>
            <w:shd w:val="clear" w:color="auto" w:fill="0000EE"/>
          </w:tcPr>
          <w:p>
            <w:pPr>
              <w:spacing w:after="0" w:line="20" w:lineRule="exact"/>
              <w:rPr>
                <w:sz w:val="1"/>
                <w:szCs w:val="1"/>
                <w:color w:val="auto"/>
              </w:rPr>
            </w:pPr>
          </w:p>
        </w:tc>
        <w:tc>
          <w:tcPr>
            <w:tcW w:w="23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31.1</w:t>
            </w:r>
          </w:p>
        </w:tc>
        <w:tc>
          <w:tcPr>
            <w:tcW w:w="100" w:type="dxa"/>
            <w:vAlign w:val="bottom"/>
          </w:tcPr>
          <w:p>
            <w:pPr>
              <w:spacing w:after="0"/>
              <w:rPr>
                <w:sz w:val="10"/>
                <w:szCs w:val="10"/>
                <w:color w:val="auto"/>
              </w:rPr>
            </w:pPr>
          </w:p>
        </w:tc>
        <w:tc>
          <w:tcPr>
            <w:tcW w:w="768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color w:val="0000EE"/>
              </w:rPr>
              <w:t>Certification of Chief Executive Officer of Snail, Inc. pursuant to Rule 13a-14(a)/15d-14(a), as adopted pursuant to Section 302 of the Sarbanes-Oxley Act of 2002.</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31.2</w:t>
            </w:r>
          </w:p>
        </w:tc>
        <w:tc>
          <w:tcPr>
            <w:tcW w:w="100" w:type="dxa"/>
            <w:vAlign w:val="bottom"/>
          </w:tcPr>
          <w:p>
            <w:pPr>
              <w:spacing w:after="0"/>
              <w:rPr>
                <w:sz w:val="10"/>
                <w:szCs w:val="10"/>
                <w:color w:val="auto"/>
              </w:rPr>
            </w:pPr>
          </w:p>
        </w:tc>
        <w:tc>
          <w:tcPr>
            <w:tcW w:w="768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color w:val="0000EE"/>
              </w:rPr>
              <w:t>Certification of Principal Financial Officer of Snail, Inc. pursuant to Rule 13a-14(a)/15d-14(a), as adopted pursuant to Section 302 of the Sarbanes-Oxley Act of 2002.</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32.1*</w:t>
            </w:r>
          </w:p>
        </w:tc>
        <w:tc>
          <w:tcPr>
            <w:tcW w:w="100" w:type="dxa"/>
            <w:vAlign w:val="bottom"/>
          </w:tcPr>
          <w:p>
            <w:pPr>
              <w:spacing w:after="0"/>
              <w:rPr>
                <w:sz w:val="10"/>
                <w:szCs w:val="10"/>
                <w:color w:val="auto"/>
              </w:rPr>
            </w:pPr>
          </w:p>
        </w:tc>
        <w:tc>
          <w:tcPr>
            <w:tcW w:w="7200" w:type="dxa"/>
            <w:vAlign w:val="bottom"/>
            <w:tcBorders>
              <w:top w:val="single" w:sz="8" w:color="0000EE"/>
            </w:tcBorders>
            <w:gridSpan w:val="12"/>
          </w:tcPr>
          <w:p>
            <w:pPr>
              <w:spacing w:after="0" w:line="115" w:lineRule="exact"/>
              <w:rPr>
                <w:sz w:val="20"/>
                <w:szCs w:val="20"/>
                <w:color w:val="auto"/>
              </w:rPr>
            </w:pPr>
            <w:r>
              <w:rPr>
                <w:rFonts w:ascii="Times New Roman" w:cs="Times New Roman" w:eastAsia="Times New Roman" w:hAnsi="Times New Roman"/>
                <w:sz w:val="11"/>
                <w:szCs w:val="11"/>
                <w:color w:val="0000EE"/>
              </w:rPr>
              <w:t>Certification of Chief Executive Officer of Snail, Inc. pursuant to 18 U.S.C. §1350, as adopted pursuant to Section 906 of the Sarbanes-Oxley Act of 2002.</w:t>
            </w:r>
          </w:p>
        </w:tc>
        <w:tc>
          <w:tcPr>
            <w:tcW w:w="480" w:type="dxa"/>
            <w:vAlign w:val="bottom"/>
            <w:gridSpan w:val="3"/>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70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color w:val="auto"/>
              </w:rPr>
              <w:t>32.2*</w:t>
            </w:r>
          </w:p>
        </w:tc>
        <w:tc>
          <w:tcPr>
            <w:tcW w:w="100" w:type="dxa"/>
            <w:vAlign w:val="bottom"/>
          </w:tcPr>
          <w:p>
            <w:pPr>
              <w:spacing w:after="0"/>
              <w:rPr>
                <w:sz w:val="10"/>
                <w:szCs w:val="10"/>
                <w:color w:val="auto"/>
              </w:rPr>
            </w:pPr>
          </w:p>
        </w:tc>
        <w:tc>
          <w:tcPr>
            <w:tcW w:w="7680" w:type="dxa"/>
            <w:vAlign w:val="bottom"/>
            <w:gridSpan w:val="15"/>
          </w:tcPr>
          <w:p>
            <w:pPr>
              <w:spacing w:after="0" w:line="115" w:lineRule="exact"/>
              <w:rPr>
                <w:sz w:val="20"/>
                <w:szCs w:val="20"/>
                <w:color w:val="auto"/>
              </w:rPr>
            </w:pPr>
            <w:r>
              <w:rPr>
                <w:rFonts w:ascii="Times New Roman" w:cs="Times New Roman" w:eastAsia="Times New Roman" w:hAnsi="Times New Roman"/>
                <w:sz w:val="11"/>
                <w:szCs w:val="11"/>
                <w:color w:val="0000EE"/>
              </w:rPr>
              <w:t>Certification of Principal Financial Officer of Snail, Inc. pursuant to 18 U.S.C. §1350, as adopted pursuant to Section 906 of the Sarbanes-Oxley Act of 2002.</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20" w:type="dxa"/>
            <w:vAlign w:val="bottom"/>
            <w:gridSpan w:val="10"/>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101.INS</w:t>
            </w:r>
          </w:p>
        </w:tc>
        <w:tc>
          <w:tcPr>
            <w:tcW w:w="100" w:type="dxa"/>
            <w:vAlign w:val="bottom"/>
          </w:tcPr>
          <w:p>
            <w:pPr>
              <w:spacing w:after="0"/>
              <w:rPr>
                <w:sz w:val="11"/>
                <w:szCs w:val="11"/>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Inline XBRL Instance Document – the instance document does not appear in the Interactive Data File because XBRL tags are embedded within the Inline XBRL document.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3"/>
              </w:rPr>
              <w:t>101.SCH</w:t>
            </w:r>
          </w:p>
        </w:tc>
        <w:tc>
          <w:tcPr>
            <w:tcW w:w="100" w:type="dxa"/>
            <w:vAlign w:val="bottom"/>
          </w:tcPr>
          <w:p>
            <w:pPr>
              <w:spacing w:after="0"/>
              <w:rPr>
                <w:sz w:val="11"/>
                <w:szCs w:val="11"/>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Inline XBRL Taxonomy Extension Schema Document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2"/>
              </w:rPr>
              <w:t>101.CAL</w:t>
            </w:r>
          </w:p>
        </w:tc>
        <w:tc>
          <w:tcPr>
            <w:tcW w:w="100" w:type="dxa"/>
            <w:vAlign w:val="bottom"/>
          </w:tcPr>
          <w:p>
            <w:pPr>
              <w:spacing w:after="0"/>
              <w:rPr>
                <w:sz w:val="11"/>
                <w:szCs w:val="11"/>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Inline XBRL Taxonomy Extension Calculation Linkbase Document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4"/>
              </w:rPr>
              <w:t>101.DEF</w:t>
            </w:r>
          </w:p>
        </w:tc>
        <w:tc>
          <w:tcPr>
            <w:tcW w:w="100" w:type="dxa"/>
            <w:vAlign w:val="bottom"/>
          </w:tcPr>
          <w:p>
            <w:pPr>
              <w:spacing w:after="0"/>
              <w:rPr>
                <w:sz w:val="11"/>
                <w:szCs w:val="11"/>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Inline XBRL Taxonomy Extension Definition Linkbase Document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2"/>
              </w:rPr>
              <w:t>101.LAB</w:t>
            </w:r>
          </w:p>
        </w:tc>
        <w:tc>
          <w:tcPr>
            <w:tcW w:w="100" w:type="dxa"/>
            <w:vAlign w:val="bottom"/>
          </w:tcPr>
          <w:p>
            <w:pPr>
              <w:spacing w:after="0"/>
              <w:rPr>
                <w:sz w:val="11"/>
                <w:szCs w:val="11"/>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Inline XBRL Taxonomy Extension Label Linkbase Document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6"/>
              </w:rPr>
              <w:t>101.PRE</w:t>
            </w:r>
          </w:p>
        </w:tc>
        <w:tc>
          <w:tcPr>
            <w:tcW w:w="100" w:type="dxa"/>
            <w:vAlign w:val="bottom"/>
          </w:tcPr>
          <w:p>
            <w:pPr>
              <w:spacing w:after="0"/>
              <w:rPr>
                <w:sz w:val="11"/>
                <w:szCs w:val="11"/>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Inline XBRL Taxonomy Extension Presentation Linkbase Document</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104</w:t>
            </w:r>
          </w:p>
        </w:tc>
        <w:tc>
          <w:tcPr>
            <w:tcW w:w="100" w:type="dxa"/>
            <w:vAlign w:val="bottom"/>
          </w:tcPr>
          <w:p>
            <w:pPr>
              <w:spacing w:after="0"/>
              <w:rPr>
                <w:sz w:val="12"/>
                <w:szCs w:val="12"/>
                <w:color w:val="auto"/>
              </w:rPr>
            </w:pPr>
          </w:p>
        </w:tc>
        <w:tc>
          <w:tcPr>
            <w:tcW w:w="7680" w:type="dxa"/>
            <w:vAlign w:val="bottom"/>
            <w:gridSpan w:val="15"/>
          </w:tcPr>
          <w:p>
            <w:pPr>
              <w:spacing w:after="0"/>
              <w:rPr>
                <w:sz w:val="20"/>
                <w:szCs w:val="20"/>
                <w:color w:val="auto"/>
              </w:rPr>
            </w:pPr>
            <w:r>
              <w:rPr>
                <w:rFonts w:ascii="Times New Roman" w:cs="Times New Roman" w:eastAsia="Times New Roman" w:hAnsi="Times New Roman"/>
                <w:sz w:val="11"/>
                <w:szCs w:val="11"/>
                <w:color w:val="auto"/>
              </w:rPr>
              <w:t>Cover Page Interactive Data File (embedded within the Inline XBRL document)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37" w:lineRule="exact"/>
        <w:rPr>
          <w:sz w:val="20"/>
          <w:szCs w:val="20"/>
          <w:color w:val="auto"/>
        </w:rPr>
      </w:pPr>
    </w:p>
    <w:p>
      <w:pPr>
        <w:ind w:left="223" w:right="740" w:hanging="223"/>
        <w:spacing w:after="0" w:line="258" w:lineRule="auto"/>
        <w:tabs>
          <w:tab w:leader="none" w:pos="22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certifications furnished in Exhibit 32 hereto are deemed to accompany this Quarterly Report and will not be deemed “filed” for purposes of Section 18 of the Securities Exchange Act of 1934, as amended, except to the extent that the registrant specifically incorporates it by reference.</w:t>
      </w:r>
    </w:p>
    <w:p>
      <w:pPr>
        <w:spacing w:after="0" w:line="1" w:lineRule="exact"/>
        <w:rPr>
          <w:sz w:val="20"/>
          <w:szCs w:val="20"/>
          <w:color w:val="auto"/>
        </w:rPr>
      </w:pPr>
    </w:p>
    <w:p>
      <w:pPr>
        <w:ind w:left="223" w:hanging="223"/>
        <w:spacing w:after="0"/>
        <w:tabs>
          <w:tab w:leader="none" w:pos="223" w:val="left"/>
        </w:tabs>
        <w:numPr>
          <w:ilvl w:val="0"/>
          <w:numId w:val="6"/>
        </w:numPr>
        <w:rPr>
          <w:rFonts w:ascii="Arial" w:cs="Arial" w:eastAsia="Arial" w:hAnsi="Arial"/>
          <w:sz w:val="11"/>
          <w:szCs w:val="11"/>
          <w:color w:val="auto"/>
        </w:rPr>
      </w:pPr>
      <w:r>
        <w:rPr>
          <w:rFonts w:ascii="Times New Roman" w:cs="Times New Roman" w:eastAsia="Times New Roman" w:hAnsi="Times New Roman"/>
          <w:sz w:val="12"/>
          <w:szCs w:val="12"/>
          <w:color w:val="auto"/>
        </w:rPr>
        <w:t>Indicates management contract or compensatory plan.</w:t>
      </w:r>
    </w:p>
    <w:p>
      <w:pPr>
        <w:spacing w:after="0" w:line="200" w:lineRule="exact"/>
        <w:rPr>
          <w:sz w:val="20"/>
          <w:szCs w:val="20"/>
          <w:color w:val="auto"/>
        </w:rPr>
      </w:pPr>
    </w:p>
    <w:p>
      <w:pPr>
        <w:spacing w:after="0" w:line="228" w:lineRule="exact"/>
        <w:rPr>
          <w:sz w:val="20"/>
          <w:szCs w:val="20"/>
          <w:color w:val="auto"/>
        </w:rPr>
      </w:pPr>
    </w:p>
    <w:p>
      <w:pPr>
        <w:ind w:left="4923"/>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6332220" cy="11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6332220" cy="11430"/>
                    </a:xfrm>
                    <a:prstGeom prst="rect">
                      <a:avLst/>
                    </a:prstGeom>
                    <a:noFill/>
                  </pic:spPr>
                </pic:pic>
              </a:graphicData>
            </a:graphic>
          </wp:anchor>
        </w:drawing>
      </w:r>
    </w:p>
    <w:p>
      <w:pPr>
        <w:sectPr>
          <w:pgSz w:w="11900" w:h="16838" w:orient="portrait"/>
          <w:cols w:equalWidth="0" w:num="1">
            <w:col w:w="10703"/>
          </w:cols>
          <w:pgMar w:left="957" w:top="39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color w:val="auto"/>
        </w:rPr>
        <w:t>Pursuant to the requirements of the Exchange Act of 1934, as amended, the registrant has duly caused this report to be signed on its behalf by the undersigned, thereunto duly authorized.</w:t>
      </w:r>
    </w:p>
    <w:p>
      <w:pPr>
        <w:spacing w:after="0" w:line="155"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2"/>
          <w:szCs w:val="12"/>
          <w:b w:val="1"/>
          <w:bCs w:val="1"/>
          <w:color w:val="auto"/>
        </w:rPr>
        <w:t>Snail, Inc.</w:t>
      </w:r>
    </w:p>
    <w:p>
      <w:pPr>
        <w:spacing w:after="0" w:line="21"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2"/>
          <w:szCs w:val="12"/>
          <w:b w:val="1"/>
          <w:bCs w:val="1"/>
          <w:color w:val="auto"/>
        </w:rPr>
        <w:t>(Registrant)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Date: December 15, 2022</w:t>
            </w:r>
          </w:p>
        </w:tc>
        <w:tc>
          <w:tcPr>
            <w:tcW w:w="232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Jim S. Tsai</w:t>
            </w:r>
          </w:p>
        </w:tc>
      </w:tr>
      <w:tr>
        <w:trPr>
          <w:trHeight w:val="113"/>
        </w:trPr>
        <w:tc>
          <w:tcPr>
            <w:tcW w:w="3080" w:type="dxa"/>
            <w:vAlign w:val="bottom"/>
          </w:tcPr>
          <w:p>
            <w:pPr>
              <w:spacing w:after="0"/>
              <w:rPr>
                <w:sz w:val="9"/>
                <w:szCs w:val="9"/>
                <w:color w:val="auto"/>
              </w:rPr>
            </w:pPr>
          </w:p>
        </w:tc>
        <w:tc>
          <w:tcPr>
            <w:tcW w:w="2320" w:type="dxa"/>
            <w:vAlign w:val="bottom"/>
          </w:tcPr>
          <w:p>
            <w:pPr>
              <w:ind w:left="2000"/>
              <w:spacing w:after="0" w:line="113" w:lineRule="exact"/>
              <w:rPr>
                <w:sz w:val="20"/>
                <w:szCs w:val="20"/>
                <w:color w:val="auto"/>
              </w:rPr>
            </w:pPr>
            <w:r>
              <w:rPr>
                <w:rFonts w:ascii="Times New Roman" w:cs="Times New Roman" w:eastAsia="Times New Roman" w:hAnsi="Times New Roman"/>
                <w:sz w:val="12"/>
                <w:szCs w:val="12"/>
                <w:color w:val="auto"/>
                <w:w w:val="99"/>
              </w:rPr>
              <w:t>Jim S.</w:t>
            </w:r>
          </w:p>
        </w:tc>
        <w:tc>
          <w:tcPr>
            <w:tcW w:w="4560" w:type="dxa"/>
            <w:vAlign w:val="bottom"/>
          </w:tcPr>
          <w:p>
            <w:pPr>
              <w:ind w:left="20"/>
              <w:spacing w:after="0" w:line="113" w:lineRule="exact"/>
              <w:rPr>
                <w:sz w:val="20"/>
                <w:szCs w:val="20"/>
                <w:color w:val="auto"/>
              </w:rPr>
            </w:pPr>
            <w:r>
              <w:rPr>
                <w:rFonts w:ascii="Times New Roman" w:cs="Times New Roman" w:eastAsia="Times New Roman" w:hAnsi="Times New Roman"/>
                <w:sz w:val="12"/>
                <w:szCs w:val="12"/>
                <w:color w:val="auto"/>
              </w:rPr>
              <w:t>Tsai</w:t>
            </w:r>
          </w:p>
        </w:tc>
      </w:tr>
      <w:tr>
        <w:trPr>
          <w:trHeight w:val="144"/>
        </w:trPr>
        <w:tc>
          <w:tcPr>
            <w:tcW w:w="3080" w:type="dxa"/>
            <w:vAlign w:val="bottom"/>
          </w:tcPr>
          <w:p>
            <w:pPr>
              <w:spacing w:after="0"/>
              <w:rPr>
                <w:sz w:val="12"/>
                <w:szCs w:val="12"/>
                <w:color w:val="auto"/>
              </w:rPr>
            </w:pPr>
          </w:p>
        </w:tc>
        <w:tc>
          <w:tcPr>
            <w:tcW w:w="68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3080" w:type="dxa"/>
            <w:vAlign w:val="bottom"/>
          </w:tcPr>
          <w:p>
            <w:pPr>
              <w:spacing w:after="0"/>
              <w:rPr>
                <w:sz w:val="13"/>
                <w:szCs w:val="13"/>
                <w:color w:val="auto"/>
              </w:rPr>
            </w:pPr>
          </w:p>
        </w:tc>
        <w:tc>
          <w:tcPr>
            <w:tcW w:w="68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288"/>
        </w:trPr>
        <w:tc>
          <w:tcPr>
            <w:tcW w:w="3080" w:type="dxa"/>
            <w:vAlign w:val="bottom"/>
          </w:tcPr>
          <w:p>
            <w:pPr>
              <w:spacing w:after="0"/>
              <w:rPr>
                <w:sz w:val="20"/>
                <w:szCs w:val="20"/>
                <w:color w:val="auto"/>
              </w:rPr>
            </w:pPr>
            <w:r>
              <w:rPr>
                <w:rFonts w:ascii="Times New Roman" w:cs="Times New Roman" w:eastAsia="Times New Roman" w:hAnsi="Times New Roman"/>
                <w:sz w:val="12"/>
                <w:szCs w:val="12"/>
                <w:color w:val="auto"/>
              </w:rPr>
              <w:t>Date: December 15, 2022</w:t>
            </w:r>
          </w:p>
        </w:tc>
        <w:tc>
          <w:tcPr>
            <w:tcW w:w="2320" w:type="dxa"/>
            <w:vAlign w:val="bottom"/>
          </w:tcPr>
          <w:p>
            <w:pPr>
              <w:ind w:left="2000"/>
              <w:spacing w:after="0"/>
              <w:rPr>
                <w:sz w:val="20"/>
                <w:szCs w:val="20"/>
                <w:color w:val="auto"/>
              </w:rPr>
            </w:pPr>
            <w:r>
              <w:rPr>
                <w:rFonts w:ascii="Times New Roman" w:cs="Times New Roman" w:eastAsia="Times New Roman" w:hAnsi="Times New Roman"/>
                <w:sz w:val="12"/>
                <w:szCs w:val="12"/>
                <w:color w:val="auto"/>
              </w:rPr>
              <w:t>By:</w:t>
            </w:r>
          </w:p>
        </w:tc>
        <w:tc>
          <w:tcPr>
            <w:tcW w:w="4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Heidy Chow</w:t>
            </w:r>
          </w:p>
        </w:tc>
      </w:tr>
      <w:tr>
        <w:trPr>
          <w:trHeight w:val="113"/>
        </w:trPr>
        <w:tc>
          <w:tcPr>
            <w:tcW w:w="3080" w:type="dxa"/>
            <w:vAlign w:val="bottom"/>
          </w:tcPr>
          <w:p>
            <w:pPr>
              <w:spacing w:after="0"/>
              <w:rPr>
                <w:sz w:val="9"/>
                <w:szCs w:val="9"/>
                <w:color w:val="auto"/>
              </w:rPr>
            </w:pPr>
          </w:p>
        </w:tc>
        <w:tc>
          <w:tcPr>
            <w:tcW w:w="2320" w:type="dxa"/>
            <w:vAlign w:val="bottom"/>
          </w:tcPr>
          <w:p>
            <w:pPr>
              <w:ind w:left="2000"/>
              <w:spacing w:after="0" w:line="113" w:lineRule="exact"/>
              <w:rPr>
                <w:sz w:val="20"/>
                <w:szCs w:val="20"/>
                <w:color w:val="auto"/>
              </w:rPr>
            </w:pPr>
            <w:r>
              <w:rPr>
                <w:rFonts w:ascii="Times New Roman" w:cs="Times New Roman" w:eastAsia="Times New Roman" w:hAnsi="Times New Roman"/>
                <w:sz w:val="12"/>
                <w:szCs w:val="12"/>
                <w:color w:val="auto"/>
              </w:rPr>
              <w:t>Heidy</w:t>
            </w:r>
          </w:p>
        </w:tc>
        <w:tc>
          <w:tcPr>
            <w:tcW w:w="4560" w:type="dxa"/>
            <w:vAlign w:val="bottom"/>
          </w:tcPr>
          <w:p>
            <w:pPr>
              <w:spacing w:after="0" w:line="113" w:lineRule="exact"/>
              <w:rPr>
                <w:sz w:val="20"/>
                <w:szCs w:val="20"/>
                <w:color w:val="auto"/>
              </w:rPr>
            </w:pPr>
            <w:r>
              <w:rPr>
                <w:rFonts w:ascii="Times New Roman" w:cs="Times New Roman" w:eastAsia="Times New Roman" w:hAnsi="Times New Roman"/>
                <w:sz w:val="12"/>
                <w:szCs w:val="12"/>
                <w:color w:val="auto"/>
              </w:rPr>
              <w:t>Chow</w:t>
            </w:r>
          </w:p>
        </w:tc>
      </w:tr>
      <w:tr>
        <w:trPr>
          <w:trHeight w:val="144"/>
        </w:trPr>
        <w:tc>
          <w:tcPr>
            <w:tcW w:w="3080" w:type="dxa"/>
            <w:vAlign w:val="bottom"/>
          </w:tcPr>
          <w:p>
            <w:pPr>
              <w:spacing w:after="0"/>
              <w:rPr>
                <w:sz w:val="12"/>
                <w:szCs w:val="12"/>
                <w:color w:val="auto"/>
              </w:rPr>
            </w:pPr>
          </w:p>
        </w:tc>
        <w:tc>
          <w:tcPr>
            <w:tcW w:w="68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3080" w:type="dxa"/>
            <w:vAlign w:val="bottom"/>
          </w:tcPr>
          <w:p>
            <w:pPr>
              <w:spacing w:after="0"/>
              <w:rPr>
                <w:sz w:val="13"/>
                <w:szCs w:val="13"/>
                <w:color w:val="auto"/>
              </w:rPr>
            </w:pPr>
          </w:p>
        </w:tc>
        <w:tc>
          <w:tcPr>
            <w:tcW w:w="6880" w:type="dxa"/>
            <w:vAlign w:val="bottom"/>
            <w:gridSpan w:val="2"/>
          </w:tcPr>
          <w:p>
            <w:pPr>
              <w:ind w:left="2000"/>
              <w:spacing w:after="0"/>
              <w:rPr>
                <w:sz w:val="20"/>
                <w:szCs w:val="20"/>
                <w:color w:val="auto"/>
              </w:rPr>
            </w:pPr>
            <w:r>
              <w:rPr>
                <w:rFonts w:ascii="Times New Roman" w:cs="Times New Roman" w:eastAsia="Times New Roman" w:hAnsi="Times New Roman"/>
                <w:sz w:val="12"/>
                <w:szCs w:val="12"/>
                <w:color w:val="auto"/>
              </w:rPr>
              <w:t>(Principal Financial Officer)</w:t>
            </w:r>
          </w:p>
        </w:tc>
      </w:tr>
      <w:tr>
        <w:trPr>
          <w:trHeight w:val="873"/>
        </w:trPr>
        <w:tc>
          <w:tcPr>
            <w:tcW w:w="3080" w:type="dxa"/>
            <w:vAlign w:val="bottom"/>
          </w:tcPr>
          <w:p>
            <w:pPr>
              <w:spacing w:after="0"/>
              <w:rPr>
                <w:sz w:val="24"/>
                <w:szCs w:val="24"/>
                <w:color w:val="auto"/>
              </w:rPr>
            </w:pPr>
          </w:p>
        </w:tc>
        <w:tc>
          <w:tcPr>
            <w:tcW w:w="2320" w:type="dxa"/>
            <w:vAlign w:val="bottom"/>
          </w:tcPr>
          <w:p>
            <w:pPr>
              <w:ind w:left="1840"/>
              <w:spacing w:after="0"/>
              <w:rPr>
                <w:sz w:val="20"/>
                <w:szCs w:val="20"/>
                <w:color w:val="auto"/>
              </w:rPr>
            </w:pPr>
            <w:r>
              <w:rPr>
                <w:rFonts w:ascii="Times New Roman" w:cs="Times New Roman" w:eastAsia="Times New Roman" w:hAnsi="Times New Roman"/>
                <w:sz w:val="12"/>
                <w:szCs w:val="12"/>
                <w:color w:val="auto"/>
              </w:rPr>
              <w:t>41</w:t>
            </w:r>
          </w:p>
        </w:tc>
        <w:tc>
          <w:tcPr>
            <w:tcW w:w="4560" w:type="dxa"/>
            <w:vAlign w:val="bottom"/>
          </w:tcPr>
          <w:p>
            <w:pPr>
              <w:spacing w:after="0"/>
              <w:rPr>
                <w:sz w:val="24"/>
                <w:szCs w:val="24"/>
                <w:color w:val="auto"/>
              </w:rPr>
            </w:pPr>
          </w:p>
        </w:tc>
      </w:tr>
      <w:tr>
        <w:trPr>
          <w:trHeight w:val="360"/>
        </w:trPr>
        <w:tc>
          <w:tcPr>
            <w:tcW w:w="30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9960"/>
          </w:cols>
          <w:pgMar w:left="960" w:top="390" w:right="97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4"/>
          <w:szCs w:val="14"/>
          <w:b w:val="1"/>
          <w:bCs w:val="1"/>
          <w:color w:val="auto"/>
        </w:rPr>
        <w:t>Exhibit 10.2</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 1 TO</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AMENDED AND RESTATED EXCLUSIVE SOFTWARE LICENSE AGREEMENT</w:t>
      </w:r>
    </w:p>
    <w:p>
      <w:pPr>
        <w:spacing w:after="0" w:line="145" w:lineRule="exact"/>
        <w:rPr>
          <w:sz w:val="20"/>
          <w:szCs w:val="20"/>
          <w:color w:val="auto"/>
        </w:rPr>
      </w:pPr>
    </w:p>
    <w:p>
      <w:pPr>
        <w:jc w:val="both"/>
        <w:ind w:right="20" w:firstLine="432"/>
        <w:spacing w:after="0" w:line="256" w:lineRule="auto"/>
        <w:rPr>
          <w:sz w:val="20"/>
          <w:szCs w:val="20"/>
          <w:color w:val="auto"/>
        </w:rPr>
      </w:pPr>
      <w:r>
        <w:rPr>
          <w:rFonts w:ascii="Times New Roman" w:cs="Times New Roman" w:eastAsia="Times New Roman" w:hAnsi="Times New Roman"/>
          <w:sz w:val="14"/>
          <w:szCs w:val="14"/>
          <w:color w:val="auto"/>
        </w:rPr>
        <w:t>This Amendment No. 1 to the Amended and Restated Exclusive Software License Agreement (the “</w:t>
      </w:r>
      <w:r>
        <w:rPr>
          <w:rFonts w:ascii="Times New Roman" w:cs="Times New Roman" w:eastAsia="Times New Roman" w:hAnsi="Times New Roman"/>
          <w:sz w:val="14"/>
          <w:szCs w:val="14"/>
          <w:b w:val="1"/>
          <w:bCs w:val="1"/>
          <w:color w:val="auto"/>
        </w:rPr>
        <w:t>First Amendment</w:t>
      </w:r>
      <w:r>
        <w:rPr>
          <w:rFonts w:ascii="Times New Roman" w:cs="Times New Roman" w:eastAsia="Times New Roman" w:hAnsi="Times New Roman"/>
          <w:sz w:val="14"/>
          <w:szCs w:val="14"/>
          <w:color w:val="auto"/>
        </w:rPr>
        <w:t>”) is entered into as of December 13, 2022 by and between SDE Inc., a California corporation (“</w:t>
      </w:r>
      <w:r>
        <w:rPr>
          <w:rFonts w:ascii="Times New Roman" w:cs="Times New Roman" w:eastAsia="Times New Roman" w:hAnsi="Times New Roman"/>
          <w:sz w:val="14"/>
          <w:szCs w:val="14"/>
          <w:b w:val="1"/>
          <w:bCs w:val="1"/>
          <w:color w:val="auto"/>
        </w:rPr>
        <w:t>Licensor</w:t>
      </w:r>
      <w:r>
        <w:rPr>
          <w:rFonts w:ascii="Times New Roman" w:cs="Times New Roman" w:eastAsia="Times New Roman" w:hAnsi="Times New Roman"/>
          <w:sz w:val="14"/>
          <w:szCs w:val="14"/>
          <w:color w:val="auto"/>
        </w:rPr>
        <w:t>”), and SNAIL GAMES USA, INC., a California corporation (“</w:t>
      </w:r>
      <w:r>
        <w:rPr>
          <w:rFonts w:ascii="Times New Roman" w:cs="Times New Roman" w:eastAsia="Times New Roman" w:hAnsi="Times New Roman"/>
          <w:sz w:val="14"/>
          <w:szCs w:val="14"/>
          <w:b w:val="1"/>
          <w:bCs w:val="1"/>
          <w:color w:val="auto"/>
        </w:rPr>
        <w:t>Licensee</w:t>
      </w:r>
      <w:r>
        <w:rPr>
          <w:rFonts w:ascii="Times New Roman" w:cs="Times New Roman" w:eastAsia="Times New Roman" w:hAnsi="Times New Roman"/>
          <w:sz w:val="14"/>
          <w:szCs w:val="14"/>
          <w:color w:val="auto"/>
        </w:rPr>
        <w:t>”). Licensor and together with Licensee, the “</w:t>
      </w:r>
      <w:r>
        <w:rPr>
          <w:rFonts w:ascii="Times New Roman" w:cs="Times New Roman" w:eastAsia="Times New Roman" w:hAnsi="Times New Roman"/>
          <w:sz w:val="14"/>
          <w:szCs w:val="14"/>
          <w:b w:val="1"/>
          <w:bCs w:val="1"/>
          <w:color w:val="auto"/>
        </w:rPr>
        <w:t>Parties,</w:t>
      </w:r>
      <w:r>
        <w:rPr>
          <w:rFonts w:ascii="Times New Roman" w:cs="Times New Roman" w:eastAsia="Times New Roman" w:hAnsi="Times New Roman"/>
          <w:sz w:val="14"/>
          <w:szCs w:val="14"/>
          <w:color w:val="auto"/>
        </w:rPr>
        <w:t>” and each, a “</w:t>
      </w:r>
      <w:r>
        <w:rPr>
          <w:rFonts w:ascii="Times New Roman" w:cs="Times New Roman" w:eastAsia="Times New Roman" w:hAnsi="Times New Roman"/>
          <w:sz w:val="14"/>
          <w:szCs w:val="14"/>
          <w:b w:val="1"/>
          <w:bCs w:val="1"/>
          <w:color w:val="auto"/>
        </w:rPr>
        <w:t>Party</w:t>
      </w:r>
      <w:r>
        <w:rPr>
          <w:rFonts w:ascii="Times New Roman" w:cs="Times New Roman" w:eastAsia="Times New Roman" w:hAnsi="Times New Roman"/>
          <w:sz w:val="14"/>
          <w:szCs w:val="14"/>
          <w:color w:val="auto"/>
        </w:rPr>
        <w:t>”). Capitalized terms used and not defined in this First Amendment have the respective meanings assigned to them in the Existing Agreement (as defined below).</w:t>
      </w:r>
    </w:p>
    <w:p>
      <w:pPr>
        <w:spacing w:after="0" w:line="105" w:lineRule="exact"/>
        <w:rPr>
          <w:sz w:val="20"/>
          <w:szCs w:val="20"/>
          <w:color w:val="auto"/>
        </w:rPr>
      </w:pPr>
    </w:p>
    <w:p>
      <w:pPr>
        <w:ind w:left="420" w:right="60"/>
        <w:spacing w:after="0" w:line="457" w:lineRule="auto"/>
        <w:rPr>
          <w:sz w:val="20"/>
          <w:szCs w:val="20"/>
          <w:color w:val="auto"/>
        </w:rPr>
      </w:pPr>
      <w:r>
        <w:rPr>
          <w:rFonts w:ascii="Times New Roman" w:cs="Times New Roman" w:eastAsia="Times New Roman" w:hAnsi="Times New Roman"/>
          <w:sz w:val="14"/>
          <w:szCs w:val="14"/>
          <w:color w:val="auto"/>
        </w:rPr>
        <w:t>WHEREAS, the Parties entered into that certain Amended and Restated Exclusive Software License Agreement dated January 1, 2022 (the “</w:t>
      </w:r>
      <w:r>
        <w:rPr>
          <w:rFonts w:ascii="Times New Roman" w:cs="Times New Roman" w:eastAsia="Times New Roman" w:hAnsi="Times New Roman"/>
          <w:sz w:val="14"/>
          <w:szCs w:val="14"/>
          <w:b w:val="1"/>
          <w:bCs w:val="1"/>
          <w:color w:val="auto"/>
        </w:rPr>
        <w:t>Existing Agreement</w:t>
      </w:r>
      <w:r>
        <w:rPr>
          <w:rFonts w:ascii="Times New Roman" w:cs="Times New Roman" w:eastAsia="Times New Roman" w:hAnsi="Times New Roman"/>
          <w:sz w:val="14"/>
          <w:szCs w:val="14"/>
          <w:color w:val="auto"/>
        </w:rPr>
        <w:t>”); WHEREAS, the Parties desire to amend certain terms of the Existing Agreement pertaining to the Royalty Payments with respect to the Game; and</w:t>
      </w:r>
    </w:p>
    <w:p>
      <w:pPr>
        <w:spacing w:after="0" w:line="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4"/>
          <w:szCs w:val="14"/>
          <w:color w:val="auto"/>
        </w:rPr>
        <w:t>WHEREAS, for the purposes of reflecting the items described in the foregoing recital, the Parties desire to amend the Existing Agreement on the terms and subject to the conditions set forth herein.</w:t>
      </w:r>
    </w:p>
    <w:p>
      <w:pPr>
        <w:spacing w:after="0" w:line="9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other good and valuable consideration, the receipt and sufficiency of which are hereby acknowledged, the Parties agree as follows:</w:t>
      </w:r>
    </w:p>
    <w:p>
      <w:pPr>
        <w:spacing w:after="0" w:line="90" w:lineRule="exact"/>
        <w:rPr>
          <w:sz w:val="20"/>
          <w:szCs w:val="20"/>
          <w:color w:val="auto"/>
        </w:rPr>
      </w:pPr>
    </w:p>
    <w:p>
      <w:pPr>
        <w:ind w:left="860" w:hanging="431"/>
        <w:spacing w:after="0"/>
        <w:tabs>
          <w:tab w:leader="none" w:pos="8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Amendments to the Existing Agreement</w:t>
      </w:r>
      <w:r>
        <w:rPr>
          <w:rFonts w:ascii="Times New Roman" w:cs="Times New Roman" w:eastAsia="Times New Roman" w:hAnsi="Times New Roman"/>
          <w:sz w:val="14"/>
          <w:szCs w:val="14"/>
          <w:color w:val="auto"/>
        </w:rPr>
        <w:t>. As of the date hereof, the Existing Agreement is hereby amended as follows:</w:t>
      </w:r>
    </w:p>
    <w:p>
      <w:pPr>
        <w:spacing w:after="0" w:line="145" w:lineRule="exact"/>
        <w:rPr>
          <w:rFonts w:ascii="Times New Roman" w:cs="Times New Roman" w:eastAsia="Times New Roman" w:hAnsi="Times New Roman"/>
          <w:sz w:val="14"/>
          <w:szCs w:val="14"/>
          <w:color w:val="auto"/>
        </w:rPr>
      </w:pPr>
    </w:p>
    <w:p>
      <w:pPr>
        <w:ind w:left="1300" w:hanging="439"/>
        <w:spacing w:after="0"/>
        <w:tabs>
          <w:tab w:leader="none" w:pos="13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Monthly License Fee. Section 4.01</w:t>
      </w:r>
      <w:r>
        <w:rPr>
          <w:rFonts w:ascii="Times New Roman" w:cs="Times New Roman" w:eastAsia="Times New Roman" w:hAnsi="Times New Roman"/>
          <w:sz w:val="14"/>
          <w:szCs w:val="14"/>
          <w:color w:val="auto"/>
        </w:rPr>
        <w:t xml:space="preserve"> of the Existing Agreement is hereby amended by deleting it in its entirety and replacing it with the following:</w:t>
      </w:r>
    </w:p>
    <w:p>
      <w:pPr>
        <w:spacing w:after="0" w:line="143" w:lineRule="exact"/>
        <w:rPr>
          <w:rFonts w:ascii="Times New Roman" w:cs="Times New Roman" w:eastAsia="Times New Roman" w:hAnsi="Times New Roman"/>
          <w:sz w:val="14"/>
          <w:szCs w:val="14"/>
          <w:color w:val="auto"/>
        </w:rPr>
      </w:pPr>
    </w:p>
    <w:p>
      <w:pPr>
        <w:jc w:val="both"/>
        <w:ind w:left="1300"/>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i w:val="1"/>
          <w:iCs w:val="1"/>
          <w:color w:val="auto"/>
        </w:rPr>
        <w:t>Monthly License Fee</w:t>
      </w:r>
      <w:r>
        <w:rPr>
          <w:rFonts w:ascii="Times New Roman" w:cs="Times New Roman" w:eastAsia="Times New Roman" w:hAnsi="Times New Roman"/>
          <w:sz w:val="14"/>
          <w:szCs w:val="14"/>
          <w:color w:val="auto"/>
        </w:rPr>
        <w:t xml:space="preserve">. During the Term, Licensee shall pay Licensor a monthly licensing fee of one million five hundred thousand U.S. dollars ($1,500,000), for a total of eighteen million U.S. dollars ($18,000,000) per year; provided, however, Licensee’s obligation to pay the foregoing monthly licensing fee shall be automatically terminated upon the public release of the sequel of the Game being developed by Licensor and currently titled as </w:t>
      </w:r>
      <w:r>
        <w:rPr>
          <w:rFonts w:ascii="Times New Roman" w:cs="Times New Roman" w:eastAsia="Times New Roman" w:hAnsi="Times New Roman"/>
          <w:sz w:val="14"/>
          <w:szCs w:val="14"/>
          <w:b w:val="1"/>
          <w:bCs w:val="1"/>
          <w:color w:val="auto"/>
        </w:rPr>
        <w:t>“ARK 2”</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b w:val="1"/>
          <w:bCs w:val="1"/>
          <w:color w:val="auto"/>
        </w:rPr>
        <w:t>New Game</w:t>
      </w:r>
      <w:r>
        <w:rPr>
          <w:rFonts w:ascii="Times New Roman" w:cs="Times New Roman" w:eastAsia="Times New Roman" w:hAnsi="Times New Roman"/>
          <w:sz w:val="14"/>
          <w:szCs w:val="14"/>
          <w:color w:val="auto"/>
        </w:rPr>
        <w:t>”); provided, further however, Licensee shall remain obligated to pay the unpaid licensing fee attributable to the period ending on the date of the public release of the New Game.”</w:t>
      </w:r>
    </w:p>
    <w:p>
      <w:pPr>
        <w:spacing w:after="0" w:line="110" w:lineRule="exact"/>
        <w:rPr>
          <w:rFonts w:ascii="Times New Roman" w:cs="Times New Roman" w:eastAsia="Times New Roman" w:hAnsi="Times New Roman"/>
          <w:sz w:val="14"/>
          <w:szCs w:val="14"/>
          <w:color w:val="auto"/>
        </w:rPr>
      </w:pPr>
    </w:p>
    <w:p>
      <w:pPr>
        <w:ind w:left="1300" w:hanging="439"/>
        <w:spacing w:after="0"/>
        <w:tabs>
          <w:tab w:leader="none" w:pos="130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Royalty Payments. Section 4.02</w:t>
      </w:r>
      <w:r>
        <w:rPr>
          <w:rFonts w:ascii="Times New Roman" w:cs="Times New Roman" w:eastAsia="Times New Roman" w:hAnsi="Times New Roman"/>
          <w:sz w:val="14"/>
          <w:szCs w:val="14"/>
          <w:color w:val="auto"/>
        </w:rPr>
        <w:t xml:space="preserve"> of the Existing Agreement is hereby amended by deleting it in its entirety and replacing it with the following:</w:t>
      </w:r>
    </w:p>
    <w:p>
      <w:pPr>
        <w:spacing w:after="0" w:line="143" w:lineRule="exact"/>
        <w:rPr>
          <w:rFonts w:ascii="Times New Roman" w:cs="Times New Roman" w:eastAsia="Times New Roman" w:hAnsi="Times New Roman"/>
          <w:sz w:val="14"/>
          <w:szCs w:val="14"/>
          <w:color w:val="auto"/>
        </w:rPr>
      </w:pPr>
    </w:p>
    <w:p>
      <w:pPr>
        <w:jc w:val="both"/>
        <w:ind w:left="1300" w:right="20"/>
        <w:spacing w:after="0" w:line="26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i w:val="1"/>
          <w:iCs w:val="1"/>
          <w:color w:val="auto"/>
        </w:rPr>
        <w:t>Royalty Payments</w:t>
      </w:r>
      <w:r>
        <w:rPr>
          <w:rFonts w:ascii="Times New Roman" w:cs="Times New Roman" w:eastAsia="Times New Roman" w:hAnsi="Times New Roman"/>
          <w:sz w:val="14"/>
          <w:szCs w:val="14"/>
          <w:color w:val="auto"/>
        </w:rPr>
        <w:t>. Licensee shall pay Licensor twenty-five percent (25%) of the Total Revenue of the Game (hereinafter referred to as the “</w:t>
      </w:r>
      <w:r>
        <w:rPr>
          <w:rFonts w:ascii="Times New Roman" w:cs="Times New Roman" w:eastAsia="Times New Roman" w:hAnsi="Times New Roman"/>
          <w:sz w:val="14"/>
          <w:szCs w:val="14"/>
          <w:b w:val="1"/>
          <w:bCs w:val="1"/>
          <w:color w:val="auto"/>
        </w:rPr>
        <w:t>Royalty Payment</w:t>
      </w:r>
      <w:r>
        <w:rPr>
          <w:rFonts w:ascii="Times New Roman" w:cs="Times New Roman" w:eastAsia="Times New Roman" w:hAnsi="Times New Roman"/>
          <w:sz w:val="14"/>
          <w:szCs w:val="14"/>
          <w:color w:val="auto"/>
        </w:rPr>
        <w:t>”). For the avoidance of doubt, Licensee shall retain the remaining seventy-five percent (75%) of the Total Revenue. Upon the public release of the New Game and concurrently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408305</wp:posOffset>
            </wp:positionV>
            <wp:extent cx="63322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0"/>
          </w:cols>
          <w:pgMar w:left="960" w:top="120" w:right="959" w:bottom="1440" w:gutter="0" w:footer="0" w:header="0"/>
        </w:sectPr>
      </w:pPr>
    </w:p>
    <w:bookmarkStart w:id="43" w:name="page44"/>
    <w:bookmarkEnd w:id="43"/>
    <w:p>
      <w:pPr>
        <w:jc w:val="both"/>
        <w:ind w:left="1300"/>
        <w:spacing w:after="0" w:line="254" w:lineRule="auto"/>
        <w:rPr>
          <w:sz w:val="20"/>
          <w:szCs w:val="20"/>
          <w:color w:val="auto"/>
        </w:rPr>
      </w:pPr>
      <w:r>
        <w:rPr>
          <w:rFonts w:ascii="Times New Roman" w:cs="Times New Roman" w:eastAsia="Times New Roman" w:hAnsi="Times New Roman"/>
          <w:sz w:val="14"/>
          <w:szCs w:val="14"/>
          <w:color w:val="auto"/>
        </w:rPr>
        <w:t>termination of Licensee’s obligation to pay the monthly licensing fee under Section 4.01, the amount of the Royalty Payment shall increase from twenty-five percent (25%) of the Total Revenue of the Game to forty-five percent (45%) of the Total Revenue of the Game, and Licensee shall retain the remaining fifty-five percent (55%) of the Total Revenue. For the avoidance of doubt, Licensee shall not owe Licensor any royalty payments based on Retail Revenue.”</w:t>
      </w:r>
    </w:p>
    <w:p>
      <w:pPr>
        <w:spacing w:after="0" w:line="110" w:lineRule="exact"/>
        <w:rPr>
          <w:sz w:val="20"/>
          <w:szCs w:val="20"/>
          <w:color w:val="auto"/>
        </w:rPr>
      </w:pPr>
    </w:p>
    <w:p>
      <w:pPr>
        <w:ind w:firstLine="429"/>
        <w:spacing w:after="0" w:line="282" w:lineRule="auto"/>
        <w:tabs>
          <w:tab w:leader="none" w:pos="86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of Amendment</w:t>
      </w:r>
      <w:r>
        <w:rPr>
          <w:rFonts w:ascii="Times New Roman" w:cs="Times New Roman" w:eastAsia="Times New Roman" w:hAnsi="Times New Roman"/>
          <w:sz w:val="14"/>
          <w:szCs w:val="14"/>
          <w:color w:val="auto"/>
        </w:rPr>
        <w:t>. Except as specifically set forth herein, this First Amendment shall not be deemed to waive, amend or modify any term or condition of the Existing Agreement, which is hereby ratified and reaffirmed and which shall remain in full force and effect according to its terms.</w:t>
      </w:r>
    </w:p>
    <w:p>
      <w:pPr>
        <w:spacing w:after="0" w:line="89" w:lineRule="exact"/>
        <w:rPr>
          <w:rFonts w:ascii="Times New Roman" w:cs="Times New Roman" w:eastAsia="Times New Roman" w:hAnsi="Times New Roman"/>
          <w:sz w:val="14"/>
          <w:szCs w:val="14"/>
          <w:color w:val="auto"/>
        </w:rPr>
      </w:pPr>
    </w:p>
    <w:p>
      <w:pPr>
        <w:jc w:val="both"/>
        <w:ind w:firstLine="429"/>
        <w:spacing w:after="0" w:line="256" w:lineRule="auto"/>
        <w:tabs>
          <w:tab w:leader="none" w:pos="864"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Counterparts; Electronic Signature</w:t>
      </w:r>
      <w:r>
        <w:rPr>
          <w:rFonts w:ascii="Times New Roman" w:cs="Times New Roman" w:eastAsia="Times New Roman" w:hAnsi="Times New Roman"/>
          <w:sz w:val="14"/>
          <w:szCs w:val="14"/>
          <w:color w:val="auto"/>
        </w:rPr>
        <w:t>. This First Amendment may be executed and delivered in two or more counterparts, each of which shall be deemed an original, and all of which shall be deemed to constitute one and the same agreement. An executed counterpart of this First Amendment delivered by fax or other means of electronic communications, including DocuSign, and shall be deemed to be an original and shall be as effective for all purposes as delivery of a manually executed counterpart.</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follows</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436245</wp:posOffset>
            </wp:positionV>
            <wp:extent cx="63322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2" w:right="9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color w:val="auto"/>
        </w:rPr>
        <w:t>IN WITNESS WHEREOF, the Parties have executed this First Amendment as of the date first written above.</w:t>
      </w:r>
    </w:p>
    <w:p>
      <w:pPr>
        <w:spacing w:after="0" w:line="14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2"/>
          <w:szCs w:val="12"/>
          <w:b w:val="1"/>
          <w:bCs w:val="1"/>
          <w:color w:val="auto"/>
        </w:rPr>
        <w:t>SNAIL GAMES USA, INC.</w:t>
      </w:r>
    </w:p>
    <w:p>
      <w:pPr>
        <w:spacing w:after="0" w:line="298" w:lineRule="exact"/>
        <w:rPr>
          <w:sz w:val="20"/>
          <w:szCs w:val="20"/>
          <w:color w:val="auto"/>
        </w:rPr>
      </w:pPr>
    </w:p>
    <w:tbl>
      <w:tblPr>
        <w:tblLayout w:type="fixed"/>
        <w:tblInd w:w="5080" w:type="dxa"/>
        <w:tblCellMar>
          <w:top w:w="0" w:type="dxa"/>
          <w:left w:w="0" w:type="dxa"/>
          <w:bottom w:w="0" w:type="dxa"/>
          <w:right w:w="0" w:type="dxa"/>
        </w:tblCellMar>
      </w:tblPr>
      <w:tr>
        <w:trPr>
          <w:trHeight w:val="155"/>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 Jim Tsai</w:t>
            </w:r>
          </w:p>
        </w:tc>
      </w:tr>
      <w:tr>
        <w:trPr>
          <w:trHeight w:val="113"/>
        </w:trPr>
        <w:tc>
          <w:tcPr>
            <w:tcW w:w="320" w:type="dxa"/>
            <w:vAlign w:val="bottom"/>
            <w:gridSpan w:val="2"/>
          </w:tcPr>
          <w:p>
            <w:pPr>
              <w:spacing w:after="0" w:line="113" w:lineRule="exact"/>
              <w:rPr>
                <w:sz w:val="20"/>
                <w:szCs w:val="20"/>
                <w:color w:val="auto"/>
              </w:rPr>
            </w:pPr>
            <w:r>
              <w:rPr>
                <w:rFonts w:ascii="Times New Roman" w:cs="Times New Roman" w:eastAsia="Times New Roman" w:hAnsi="Times New Roman"/>
                <w:sz w:val="12"/>
                <w:szCs w:val="12"/>
                <w:color w:val="auto"/>
                <w:w w:val="93"/>
              </w:rPr>
              <w:t>Name:</w:t>
            </w:r>
          </w:p>
        </w:tc>
        <w:tc>
          <w:tcPr>
            <w:tcW w:w="4560" w:type="dxa"/>
            <w:vAlign w:val="bottom"/>
            <w:tcBorders>
              <w:top w:val="single" w:sz="8" w:color="auto"/>
            </w:tcBorders>
          </w:tcPr>
          <w:p>
            <w:pPr>
              <w:ind w:left="40"/>
              <w:spacing w:after="0" w:line="113" w:lineRule="exact"/>
              <w:rPr>
                <w:sz w:val="20"/>
                <w:szCs w:val="20"/>
                <w:color w:val="auto"/>
              </w:rPr>
            </w:pPr>
            <w:r>
              <w:rPr>
                <w:rFonts w:ascii="Times New Roman" w:cs="Times New Roman" w:eastAsia="Times New Roman" w:hAnsi="Times New Roman"/>
                <w:sz w:val="12"/>
                <w:szCs w:val="12"/>
                <w:color w:val="auto"/>
              </w:rPr>
              <w:t>Jim Tsai</w:t>
            </w:r>
          </w:p>
        </w:tc>
      </w:tr>
      <w:tr>
        <w:trPr>
          <w:trHeight w:val="155"/>
        </w:trPr>
        <w:tc>
          <w:tcPr>
            <w:tcW w:w="488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Title: Chief Executive Officer</w:t>
            </w:r>
          </w:p>
        </w:tc>
      </w:tr>
      <w:tr>
        <w:trPr>
          <w:trHeight w:val="432"/>
        </w:trPr>
        <w:tc>
          <w:tcPr>
            <w:tcW w:w="488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SDE INC.</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464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/s/ Zhou Ying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3433445</wp:posOffset>
            </wp:positionH>
            <wp:positionV relativeFrom="paragraph">
              <wp:posOffset>0</wp:posOffset>
            </wp:positionV>
            <wp:extent cx="2897505"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2897505" cy="571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2"/>
          <w:szCs w:val="12"/>
          <w:color w:val="auto"/>
        </w:rPr>
        <w:t>Name: Zhou Ying</w:t>
      </w:r>
    </w:p>
    <w:p>
      <w:pPr>
        <w:spacing w:after="0" w:line="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2"/>
          <w:szCs w:val="12"/>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60"/>
          </w:cols>
          <w:pgMar w:left="960" w:top="122" w:right="97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CERTIFICATION OF THE CHIEF EXECUTIVE OFFICER</w:t>
      </w:r>
    </w:p>
    <w:p>
      <w:pPr>
        <w:spacing w:after="0" w:line="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PURSUANT TO RULE 13a-14(a)</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Jim S. Tsai, certify that:</w:t>
      </w:r>
    </w:p>
    <w:p>
      <w:pPr>
        <w:spacing w:after="0" w:line="150" w:lineRule="exact"/>
        <w:rPr>
          <w:sz w:val="20"/>
          <w:szCs w:val="20"/>
          <w:color w:val="auto"/>
        </w:rPr>
      </w:pPr>
    </w:p>
    <w:p>
      <w:pPr>
        <w:ind w:left="123" w:hanging="123"/>
        <w:spacing w:after="0"/>
        <w:tabs>
          <w:tab w:leader="none" w:pos="12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Snail, Inc. (the “Company”);</w:t>
      </w:r>
    </w:p>
    <w:p>
      <w:pPr>
        <w:spacing w:after="0" w:line="150" w:lineRule="exact"/>
        <w:rPr>
          <w:rFonts w:ascii="Times New Roman" w:cs="Times New Roman" w:eastAsia="Times New Roman" w:hAnsi="Times New Roman"/>
          <w:sz w:val="12"/>
          <w:szCs w:val="12"/>
          <w:color w:val="auto"/>
        </w:rPr>
      </w:pPr>
    </w:p>
    <w:p>
      <w:pPr>
        <w:ind w:left="3" w:right="20" w:hanging="3"/>
        <w:spacing w:after="0" w:line="279" w:lineRule="auto"/>
        <w:tabs>
          <w:tab w:leader="none" w:pos="12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3" w:right="20" w:hanging="3"/>
        <w:spacing w:after="0" w:line="279" w:lineRule="auto"/>
        <w:tabs>
          <w:tab w:leader="none" w:pos="12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 w:right="20" w:hanging="3"/>
        <w:spacing w:after="0" w:line="279" w:lineRule="auto"/>
        <w:tabs>
          <w:tab w:leader="none" w:pos="13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are responsible for establishing and maintaining disclosure controls and procedures (as defined in Exchange Act Rules 13a-15(e) and 15d-15(e)) for the Company and have:</w:t>
      </w:r>
    </w:p>
    <w:p>
      <w:pPr>
        <w:spacing w:after="0" w:line="111"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50"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43" w:hanging="112"/>
        <w:spacing w:after="0"/>
        <w:tabs>
          <w:tab w:leader="none" w:pos="543"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intentionally omitted in accordance with SEC Release Nos. 34-47986 and 34-54942];</w:t>
      </w:r>
    </w:p>
    <w:p>
      <w:pPr>
        <w:spacing w:after="0" w:line="150"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37"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44"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3" w:right="20" w:hanging="3"/>
        <w:spacing w:after="0" w:line="279" w:lineRule="auto"/>
        <w:tabs>
          <w:tab w:leader="none" w:pos="133"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41"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543" w:hanging="112"/>
        <w:spacing w:after="0"/>
        <w:tabs>
          <w:tab w:leader="none" w:pos="543" w:val="left"/>
        </w:tabs>
        <w:numPr>
          <w:ilvl w:val="1"/>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ind w:left="3"/>
        <w:spacing w:after="0"/>
        <w:tabs>
          <w:tab w:leader="none" w:pos="403" w:val="left"/>
        </w:tabs>
        <w:rPr>
          <w:sz w:val="20"/>
          <w:szCs w:val="20"/>
          <w:color w:val="auto"/>
        </w:rPr>
      </w:pPr>
      <w:r>
        <w:rPr>
          <w:rFonts w:ascii="Times New Roman" w:cs="Times New Roman" w:eastAsia="Times New Roman" w:hAnsi="Times New Roman"/>
          <w:sz w:val="12"/>
          <w:szCs w:val="12"/>
          <w:color w:val="auto"/>
        </w:rPr>
        <w:t>Date:</w:t>
        <w:tab/>
        <w:t>December 15, 2022</w:t>
      </w:r>
    </w:p>
    <w:p>
      <w:pPr>
        <w:spacing w:after="0" w:line="1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22897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3"/>
        <w:spacing w:after="0"/>
        <w:rPr>
          <w:sz w:val="20"/>
          <w:szCs w:val="20"/>
          <w:color w:val="auto"/>
        </w:rPr>
      </w:pPr>
      <w:r>
        <w:rPr>
          <w:rFonts w:ascii="Times New Roman" w:cs="Times New Roman" w:eastAsia="Times New Roman" w:hAnsi="Times New Roman"/>
          <w:sz w:val="12"/>
          <w:szCs w:val="12"/>
          <w:color w:val="auto"/>
        </w:rPr>
        <w:t>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329565</wp:posOffset>
            </wp:positionV>
            <wp:extent cx="63322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CERTIFICATION OF THE CHIEF FINANCIAL OFFICER</w:t>
      </w:r>
    </w:p>
    <w:p>
      <w:pPr>
        <w:spacing w:after="0" w:line="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PURSUANT TO RULE 13a-14(a)</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SECTION 302 OF THE SARBANES-OXLEY ACT OF 2002</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Heidy Chow, certify that:</w:t>
      </w:r>
    </w:p>
    <w:p>
      <w:pPr>
        <w:spacing w:after="0" w:line="150" w:lineRule="exact"/>
        <w:rPr>
          <w:sz w:val="20"/>
          <w:szCs w:val="20"/>
          <w:color w:val="auto"/>
        </w:rPr>
      </w:pPr>
    </w:p>
    <w:p>
      <w:pPr>
        <w:ind w:left="123" w:hanging="123"/>
        <w:spacing w:after="0"/>
        <w:tabs>
          <w:tab w:leader="none" w:pos="12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Snail, Inc. (the “Company”);</w:t>
      </w:r>
    </w:p>
    <w:p>
      <w:pPr>
        <w:spacing w:after="0" w:line="150" w:lineRule="exact"/>
        <w:rPr>
          <w:rFonts w:ascii="Times New Roman" w:cs="Times New Roman" w:eastAsia="Times New Roman" w:hAnsi="Times New Roman"/>
          <w:sz w:val="12"/>
          <w:szCs w:val="12"/>
          <w:color w:val="auto"/>
        </w:rPr>
      </w:pPr>
    </w:p>
    <w:p>
      <w:pPr>
        <w:ind w:left="3" w:right="20" w:hanging="3"/>
        <w:spacing w:after="0" w:line="279" w:lineRule="auto"/>
        <w:tabs>
          <w:tab w:leader="none" w:pos="12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3" w:right="20" w:hanging="3"/>
        <w:spacing w:after="0" w:line="279" w:lineRule="auto"/>
        <w:tabs>
          <w:tab w:leader="none" w:pos="124"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 w:right="20" w:hanging="3"/>
        <w:spacing w:after="0" w:line="279" w:lineRule="auto"/>
        <w:tabs>
          <w:tab w:leader="none" w:pos="137"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are responsible for establishing and maintaining disclosure controls and procedures (as defined in Exchange Act Rules 13a-15(e) and 15d-15(e)) for the Company and have:</w:t>
      </w:r>
    </w:p>
    <w:p>
      <w:pPr>
        <w:spacing w:after="0" w:line="111"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50"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43" w:hanging="112"/>
        <w:spacing w:after="0"/>
        <w:tabs>
          <w:tab w:leader="none" w:pos="543"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intentionally omitted in accordance with SEC Release Nos. 34-47986 and 34-54942];</w:t>
      </w:r>
    </w:p>
    <w:p>
      <w:pPr>
        <w:spacing w:after="0" w:line="150"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37"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44"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3" w:right="20" w:hanging="3"/>
        <w:spacing w:after="0" w:line="279" w:lineRule="auto"/>
        <w:tabs>
          <w:tab w:leader="none" w:pos="13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423" w:right="20" w:firstLine="8"/>
        <w:spacing w:after="0" w:line="279" w:lineRule="auto"/>
        <w:tabs>
          <w:tab w:leader="none" w:pos="541"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543" w:hanging="112"/>
        <w:spacing w:after="0"/>
        <w:tabs>
          <w:tab w:leader="none" w:pos="543" w:val="left"/>
        </w:tabs>
        <w:numPr>
          <w:ilvl w:val="1"/>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150" w:lineRule="exact"/>
        <w:rPr>
          <w:sz w:val="20"/>
          <w:szCs w:val="20"/>
          <w:color w:val="auto"/>
        </w:rPr>
      </w:pPr>
    </w:p>
    <w:p>
      <w:pPr>
        <w:ind w:left="3"/>
        <w:spacing w:after="0"/>
        <w:tabs>
          <w:tab w:leader="none" w:pos="403" w:val="left"/>
        </w:tabs>
        <w:rPr>
          <w:sz w:val="20"/>
          <w:szCs w:val="20"/>
          <w:color w:val="auto"/>
        </w:rPr>
      </w:pPr>
      <w:r>
        <w:rPr>
          <w:rFonts w:ascii="Times New Roman" w:cs="Times New Roman" w:eastAsia="Times New Roman" w:hAnsi="Times New Roman"/>
          <w:sz w:val="12"/>
          <w:szCs w:val="12"/>
          <w:color w:val="auto"/>
        </w:rPr>
        <w:t>Date:</w:t>
        <w:tab/>
        <w:t>December 15, 2022</w:t>
      </w:r>
    </w:p>
    <w:p>
      <w:pPr>
        <w:spacing w:after="0" w:line="1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22897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3"/>
        <w:spacing w:after="0"/>
        <w:rPr>
          <w:sz w:val="20"/>
          <w:szCs w:val="20"/>
          <w:color w:val="auto"/>
        </w:rPr>
      </w:pPr>
      <w:r>
        <w:rPr>
          <w:rFonts w:ascii="Times New Roman" w:cs="Times New Roman" w:eastAsia="Times New Roman" w:hAnsi="Times New Roman"/>
          <w:sz w:val="12"/>
          <w:szCs w:val="12"/>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329565</wp:posOffset>
            </wp:positionV>
            <wp:extent cx="63322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CERTIFICATION OF THE CHIEF EXECUTIVE OFFICER</w:t>
      </w:r>
    </w:p>
    <w:p>
      <w:pPr>
        <w:spacing w:after="0" w:line="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PURSUANT TO 18 U.S.C. § 1350</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Jim S. Tsai, Chief Executive Officer of Snail, Inc. (the “Company”), certify, pursuant to 18 U.S.C. § 1350, as adopted pursuant to Section 906 of the Sarbanes-Oxley Act of 2002, that, to my knowledge:</w:t>
      </w:r>
    </w:p>
    <w:p>
      <w:pPr>
        <w:spacing w:after="0" w:line="150" w:lineRule="exact"/>
        <w:rPr>
          <w:sz w:val="20"/>
          <w:szCs w:val="20"/>
          <w:color w:val="auto"/>
        </w:rPr>
      </w:pPr>
    </w:p>
    <w:p>
      <w:pPr>
        <w:ind w:left="3" w:right="20" w:hanging="3"/>
        <w:spacing w:after="0" w:line="279" w:lineRule="auto"/>
        <w:tabs>
          <w:tab w:leader="none" w:pos="124"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 ended September 30, 2022 (the “Report”) of the Company fully complies with the requirements of Section 13(a) or Section 15(d) of the Securities Exchange Act of 1934; and</w:t>
      </w:r>
    </w:p>
    <w:p>
      <w:pPr>
        <w:spacing w:after="0" w:line="111" w:lineRule="exact"/>
        <w:rPr>
          <w:rFonts w:ascii="Times New Roman" w:cs="Times New Roman" w:eastAsia="Times New Roman" w:hAnsi="Times New Roman"/>
          <w:sz w:val="12"/>
          <w:szCs w:val="12"/>
          <w:color w:val="auto"/>
        </w:rPr>
      </w:pPr>
    </w:p>
    <w:p>
      <w:pPr>
        <w:ind w:left="123" w:hanging="123"/>
        <w:spacing w:after="0"/>
        <w:tabs>
          <w:tab w:leader="none" w:pos="123"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3"/>
        <w:spacing w:after="0"/>
        <w:tabs>
          <w:tab w:leader="none" w:pos="403" w:val="left"/>
        </w:tabs>
        <w:rPr>
          <w:sz w:val="20"/>
          <w:szCs w:val="20"/>
          <w:color w:val="auto"/>
        </w:rPr>
      </w:pPr>
      <w:r>
        <w:rPr>
          <w:rFonts w:ascii="Times New Roman" w:cs="Times New Roman" w:eastAsia="Times New Roman" w:hAnsi="Times New Roman"/>
          <w:sz w:val="12"/>
          <w:szCs w:val="12"/>
          <w:color w:val="auto"/>
        </w:rPr>
        <w:t>Date:</w:t>
        <w:tab/>
        <w:t>December 15, 2022</w:t>
      </w:r>
    </w:p>
    <w:p>
      <w:pPr>
        <w:spacing w:after="0" w:line="14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Jim S. Tsai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22897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3"/>
        <w:spacing w:after="0"/>
        <w:rPr>
          <w:sz w:val="20"/>
          <w:szCs w:val="20"/>
          <w:color w:val="auto"/>
        </w:rPr>
      </w:pPr>
      <w:r>
        <w:rPr>
          <w:rFonts w:ascii="Times New Roman" w:cs="Times New Roman" w:eastAsia="Times New Roman" w:hAnsi="Times New Roman"/>
          <w:sz w:val="12"/>
          <w:szCs w:val="12"/>
          <w:color w:val="auto"/>
        </w:rPr>
        <w:t>Jim S. Tsai</w:t>
      </w:r>
    </w:p>
    <w:p>
      <w:pPr>
        <w:spacing w:after="0" w:line="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p>
      <w:pPr>
        <w:sectPr>
          <w:pgSz w:w="11900" w:h="16838" w:orient="portrait"/>
          <w:cols w:equalWidth="0" w:num="1">
            <w:col w:w="9983"/>
          </w:cols>
          <w:pgMar w:left="957" w:top="125" w:right="9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CERTIFICATION OF THE CHIEF FINANCIAL OFFICER</w:t>
      </w:r>
    </w:p>
    <w:p>
      <w:pPr>
        <w:spacing w:after="0" w:line="21"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PURSUANT TO 18 U.S.C. § 1350</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3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I, Heidy Chow, Chief Financial Officer of Snail, Inc. (the “Company”), certify, pursuant to 18 U.S.C. § 1350, as adopted pursuant to Section 906 of the Sarbanes-Oxley Act of 2002, that, to my knowledge:</w:t>
      </w:r>
    </w:p>
    <w:p>
      <w:pPr>
        <w:spacing w:after="0" w:line="150" w:lineRule="exact"/>
        <w:rPr>
          <w:sz w:val="20"/>
          <w:szCs w:val="20"/>
          <w:color w:val="auto"/>
        </w:rPr>
      </w:pPr>
    </w:p>
    <w:p>
      <w:pPr>
        <w:ind w:left="3" w:right="20" w:hanging="3"/>
        <w:spacing w:after="0" w:line="279" w:lineRule="auto"/>
        <w:tabs>
          <w:tab w:leader="none" w:pos="124"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 ended September 30, 2022 (the “Report”) of the Company fully complies with the requirements of Section 13(a) or Section 15(d) of the Securities Exchange Act of 1934; and</w:t>
      </w:r>
    </w:p>
    <w:p>
      <w:pPr>
        <w:spacing w:after="0" w:line="111" w:lineRule="exact"/>
        <w:rPr>
          <w:rFonts w:ascii="Times New Roman" w:cs="Times New Roman" w:eastAsia="Times New Roman" w:hAnsi="Times New Roman"/>
          <w:sz w:val="12"/>
          <w:szCs w:val="12"/>
          <w:color w:val="auto"/>
        </w:rPr>
      </w:pPr>
    </w:p>
    <w:p>
      <w:pPr>
        <w:ind w:left="123" w:hanging="123"/>
        <w:spacing w:after="0"/>
        <w:tabs>
          <w:tab w:leader="none" w:pos="123"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50" w:lineRule="exact"/>
        <w:rPr>
          <w:sz w:val="20"/>
          <w:szCs w:val="20"/>
          <w:color w:val="auto"/>
        </w:rPr>
      </w:pPr>
    </w:p>
    <w:p>
      <w:pPr>
        <w:ind w:left="3"/>
        <w:spacing w:after="0"/>
        <w:tabs>
          <w:tab w:leader="none" w:pos="403" w:val="left"/>
        </w:tabs>
        <w:rPr>
          <w:sz w:val="20"/>
          <w:szCs w:val="20"/>
          <w:color w:val="auto"/>
        </w:rPr>
      </w:pPr>
      <w:r>
        <w:rPr>
          <w:rFonts w:ascii="Times New Roman" w:cs="Times New Roman" w:eastAsia="Times New Roman" w:hAnsi="Times New Roman"/>
          <w:sz w:val="12"/>
          <w:szCs w:val="12"/>
          <w:color w:val="auto"/>
        </w:rPr>
        <w:t>Date:</w:t>
        <w:tab/>
        <w:t>December 15, 2022</w:t>
      </w:r>
    </w:p>
    <w:p>
      <w:pPr>
        <w:spacing w:after="0" w:line="14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i w:val="1"/>
          <w:iCs w:val="1"/>
          <w:color w:val="auto"/>
        </w:rPr>
        <w:t xml:space="preserve">/s/ </w:t>
      </w:r>
      <w:r>
        <w:rPr>
          <w:rFonts w:ascii="Times New Roman" w:cs="Times New Roman" w:eastAsia="Times New Roman" w:hAnsi="Times New Roman"/>
          <w:sz w:val="12"/>
          <w:szCs w:val="12"/>
          <w:color w:val="auto"/>
        </w:rPr>
        <w:t>Heidy Chow</w:t>
      </w:r>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-86995</wp:posOffset>
            </wp:positionV>
            <wp:extent cx="320040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3200400" cy="5715"/>
                    </a:xfrm>
                    <a:prstGeom prst="rect">
                      <a:avLst/>
                    </a:prstGeom>
                    <a:noFill/>
                  </pic:spPr>
                </pic:pic>
              </a:graphicData>
            </a:graphic>
          </wp:anchor>
        </w:drawing>
      </w:r>
    </w:p>
    <w:p>
      <w:pPr>
        <w:ind w:left="3"/>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323850</wp:posOffset>
            </wp:positionV>
            <wp:extent cx="63322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6332220" cy="17145"/>
                    </a:xfrm>
                    <a:prstGeom prst="rect">
                      <a:avLst/>
                    </a:prstGeom>
                    <a:noFill/>
                  </pic:spPr>
                </pic:pic>
              </a:graphicData>
            </a:graphic>
          </wp:anchor>
        </w:drawing>
      </w:r>
    </w:p>
    <w:sectPr>
      <w:pgSz w:w="11900" w:h="16838" w:orient="portrait"/>
      <w:cols w:equalWidth="0" w:num="1">
        <w:col w:w="9983"/>
      </w:cols>
      <w:pgMar w:left="957" w:top="125"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lvl w:ilvl="1">
      <w:lvlJc w:val="left"/>
      <w:lvlText w:val="(%2)"/>
      <w:numFmt w:val="lowerLetter"/>
      <w:start w:val="1"/>
    </w:lvl>
  </w:abstractNum>
  <w:abstractNum w:abstractNumId="7">
    <w:nsid w:val="4DB127F8"/>
    <w:multiLevelType w:val="hybridMultilevel"/>
    <w:lvl w:ilvl="0">
      <w:lvlJc w:val="left"/>
      <w:lvlText w:val="%1."/>
      <w:numFmt w:val="decimal"/>
      <w:start w:val="2"/>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47" Type="http://schemas.openxmlformats.org/officeDocument/2006/relationships/hyperlink" Target="https://www.sec.gov/Archives/edgar/data/1886894/000110465922118795/tm2128835d28_ex3-1.htm" TargetMode="External"/><Relationship Id="rId48" Type="http://schemas.openxmlformats.org/officeDocument/2006/relationships/hyperlink" Target="https://www.sec.gov/Archives/edgar/data/1886894/000110465922118795/tm2128835d28_ex3-2.htm" TargetMode="External"/><Relationship Id="rId49" Type="http://schemas.openxmlformats.org/officeDocument/2006/relationships/hyperlink" Target="https://www.sec.gov/Archives/edgar/data/1886894/000110465922109030/tm2128835d14_ex10-12.htm" TargetMode="External"/><Relationship Id="rId50" Type="http://schemas.openxmlformats.org/officeDocument/2006/relationships/hyperlink" Target="https://www.sec.gov/Archives/edgar/data/1886894/000110465922109030/tm2128835d14_ex10-5.htm" TargetMode="External"/><Relationship Id="rId51" Type="http://schemas.openxmlformats.org/officeDocument/2006/relationships/hyperlink" Target="https://www.sec.gov/Archives/edgar/data/1886894/000110465922111604/tm2128835d17_ex10-11.htm" TargetMode="External"/><Relationship Id="rId52" Type="http://schemas.openxmlformats.org/officeDocument/2006/relationships/hyperlink" Target="https://www.sec.gov/Archives/edgar/data/1886894/000110465922109030/tm2128835d14_ex10-15.htm" TargetMode="External"/><Relationship Id="rId53" Type="http://schemas.openxmlformats.org/officeDocument/2006/relationships/hyperlink" Target="https://www.sec.gov/Archives/edgar/data/1886894/000110465922109030/tm2128835d14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2022-12-15T16:44:52Z</dcterms:created>
  <dcterms:modified xsi:type="dcterms:W3CDTF">2022-12-15T16:44:52Z</dcterms:modified>
</cp:coreProperties>
</file>