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198120</wp:posOffset>
            </wp:positionH>
            <wp:positionV relativeFrom="page">
              <wp:posOffset>264795</wp:posOffset>
            </wp:positionV>
            <wp:extent cx="71526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36830"/>
                    </a:xfrm>
                    <a:prstGeom prst="rect">
                      <a:avLst/>
                    </a:prstGeom>
                    <a:noFill/>
                  </pic:spPr>
                </pic:pic>
              </a:graphicData>
            </a:graphic>
          </wp:anchor>
        </w:drawing>
        <w:drawing>
          <wp:anchor simplePos="0" relativeHeight="251657728" behindDoc="1" locked="0" layoutInCell="0" allowOverlap="1">
            <wp:simplePos x="0" y="0"/>
            <wp:positionH relativeFrom="page">
              <wp:posOffset>198120</wp:posOffset>
            </wp:positionH>
            <wp:positionV relativeFrom="page">
              <wp:posOffset>315595</wp:posOffset>
            </wp:positionV>
            <wp:extent cx="71526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640" cy="7620"/>
                    </a:xfrm>
                    <a:prstGeom prst="rect">
                      <a:avLst/>
                    </a:prstGeom>
                    <a:noFill/>
                  </pic:spPr>
                </pic:pic>
              </a:graphicData>
            </a:graphic>
          </wp:anchor>
        </w:drawing>
        <w:t>UNITED STATES</w:t>
      </w:r>
    </w:p>
    <w:p>
      <w:pPr>
        <w:spacing w:after="0" w:line="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526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3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526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38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96" w:lineRule="exact"/>
        <w:rPr>
          <w:sz w:val="24"/>
          <w:szCs w:val="24"/>
          <w:color w:val="auto"/>
        </w:rPr>
      </w:pPr>
    </w:p>
    <w:p>
      <w:pPr>
        <w:ind w:left="3948" w:right="2900" w:hanging="3948"/>
        <w:spacing w:after="0" w:line="513" w:lineRule="auto"/>
        <w:tabs>
          <w:tab w:leader="none" w:pos="551"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 For the quarterly period ended September 30, 2024</w:t>
      </w: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96" w:lineRule="exact"/>
        <w:rPr>
          <w:sz w:val="24"/>
          <w:szCs w:val="24"/>
          <w:color w:val="auto"/>
        </w:rPr>
      </w:pPr>
    </w:p>
    <w:p>
      <w:pPr>
        <w:ind w:left="548" w:right="20" w:hanging="548"/>
        <w:spacing w:after="0" w:line="298" w:lineRule="auto"/>
        <w:tabs>
          <w:tab w:leader="none" w:pos="548"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TO</w:t>
      </w:r>
    </w:p>
    <w:p>
      <w:pPr>
        <w:spacing w:after="0" w:line="125" w:lineRule="exact"/>
        <w:rPr>
          <w:sz w:val="24"/>
          <w:szCs w:val="24"/>
          <w:color w:val="auto"/>
        </w:rPr>
      </w:pPr>
    </w:p>
    <w:tbl>
      <w:tblPr>
        <w:tblLayout w:type="fixed"/>
        <w:tblInd w:w="8" w:type="dxa"/>
        <w:tblCellMar>
          <w:top w:w="0" w:type="dxa"/>
          <w:left w:w="0" w:type="dxa"/>
          <w:bottom w:w="0" w:type="dxa"/>
          <w:right w:w="0" w:type="dxa"/>
        </w:tblCellMar>
      </w:tblPr>
      <w:tr>
        <w:trPr>
          <w:trHeight w:val="203"/>
        </w:trPr>
        <w:tc>
          <w:tcPr>
            <w:tcW w:w="7640" w:type="dxa"/>
            <w:vAlign w:val="bottom"/>
          </w:tcPr>
          <w:p>
            <w:pPr>
              <w:jc w:val="center"/>
              <w:ind w:left="3536"/>
              <w:spacing w:after="0"/>
              <w:rPr>
                <w:sz w:val="20"/>
                <w:szCs w:val="20"/>
                <w:color w:val="auto"/>
              </w:rPr>
            </w:pPr>
            <w:r>
              <w:rPr>
                <w:rFonts w:ascii="Times New Roman" w:cs="Times New Roman" w:eastAsia="Times New Roman" w:hAnsi="Times New Roman"/>
                <w:sz w:val="15"/>
                <w:szCs w:val="15"/>
                <w:b w:val="1"/>
                <w:bCs w:val="1"/>
                <w:color w:val="auto"/>
              </w:rPr>
              <w:t>Commission File Number 001-41556</w:t>
            </w:r>
          </w:p>
        </w:tc>
        <w:tc>
          <w:tcPr>
            <w:tcW w:w="3620" w:type="dxa"/>
            <w:vAlign w:val="bottom"/>
          </w:tcPr>
          <w:p>
            <w:pPr>
              <w:spacing w:after="0"/>
              <w:rPr>
                <w:sz w:val="17"/>
                <w:szCs w:val="17"/>
                <w:color w:val="auto"/>
              </w:rPr>
            </w:pPr>
          </w:p>
        </w:tc>
      </w:tr>
      <w:tr>
        <w:trPr>
          <w:trHeight w:val="185"/>
        </w:trPr>
        <w:tc>
          <w:tcPr>
            <w:tcW w:w="76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r>
      <w:tr>
        <w:trPr>
          <w:trHeight w:val="492"/>
        </w:trPr>
        <w:tc>
          <w:tcPr>
            <w:tcW w:w="7640" w:type="dxa"/>
            <w:vAlign w:val="bottom"/>
          </w:tcPr>
          <w:p>
            <w:pPr>
              <w:jc w:val="center"/>
              <w:ind w:left="3516"/>
              <w:spacing w:after="0"/>
              <w:rPr>
                <w:sz w:val="20"/>
                <w:szCs w:val="20"/>
                <w:color w:val="auto"/>
              </w:rPr>
            </w:pPr>
            <w:r>
              <w:rPr>
                <w:rFonts w:ascii="Times New Roman" w:cs="Times New Roman" w:eastAsia="Times New Roman" w:hAnsi="Times New Roman"/>
                <w:sz w:val="28"/>
                <w:szCs w:val="28"/>
                <w:b w:val="1"/>
                <w:bCs w:val="1"/>
                <w:color w:val="auto"/>
                <w:w w:val="98"/>
              </w:rPr>
              <w:t>SNAIL, INC.</w:t>
            </w:r>
          </w:p>
        </w:tc>
        <w:tc>
          <w:tcPr>
            <w:tcW w:w="3620" w:type="dxa"/>
            <w:vAlign w:val="bottom"/>
          </w:tcPr>
          <w:p>
            <w:pPr>
              <w:spacing w:after="0"/>
              <w:rPr>
                <w:sz w:val="24"/>
                <w:szCs w:val="24"/>
                <w:color w:val="auto"/>
              </w:rPr>
            </w:pPr>
          </w:p>
        </w:tc>
      </w:tr>
      <w:tr>
        <w:trPr>
          <w:trHeight w:val="203"/>
        </w:trPr>
        <w:tc>
          <w:tcPr>
            <w:tcW w:w="7640" w:type="dxa"/>
            <w:vAlign w:val="bottom"/>
          </w:tcPr>
          <w:p>
            <w:pPr>
              <w:jc w:val="center"/>
              <w:ind w:left="351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3620" w:type="dxa"/>
            <w:vAlign w:val="bottom"/>
          </w:tcPr>
          <w:p>
            <w:pPr>
              <w:spacing w:after="0"/>
              <w:rPr>
                <w:sz w:val="17"/>
                <w:szCs w:val="17"/>
                <w:color w:val="auto"/>
              </w:rPr>
            </w:pPr>
          </w:p>
        </w:tc>
      </w:tr>
      <w:tr>
        <w:trPr>
          <w:trHeight w:val="185"/>
        </w:trPr>
        <w:tc>
          <w:tcPr>
            <w:tcW w:w="76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r>
      <w:tr>
        <w:trPr>
          <w:trHeight w:val="353"/>
        </w:trPr>
        <w:tc>
          <w:tcPr>
            <w:tcW w:w="7640" w:type="dxa"/>
            <w:vAlign w:val="bottom"/>
          </w:tcPr>
          <w:p>
            <w:pPr>
              <w:jc w:val="center"/>
              <w:ind w:right="205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620" w:type="dxa"/>
            <w:vAlign w:val="bottom"/>
          </w:tcPr>
          <w:p>
            <w:pPr>
              <w:jc w:val="right"/>
              <w:ind w:right="2303"/>
              <w:spacing w:after="0"/>
              <w:rPr>
                <w:sz w:val="20"/>
                <w:szCs w:val="20"/>
                <w:color w:val="auto"/>
              </w:rPr>
            </w:pPr>
            <w:r>
              <w:rPr>
                <w:rFonts w:ascii="Times New Roman" w:cs="Times New Roman" w:eastAsia="Times New Roman" w:hAnsi="Times New Roman"/>
                <w:sz w:val="15"/>
                <w:szCs w:val="15"/>
                <w:b w:val="1"/>
                <w:bCs w:val="1"/>
                <w:color w:val="auto"/>
              </w:rPr>
              <w:t>88-4146991</w:t>
            </w:r>
          </w:p>
        </w:tc>
      </w:tr>
      <w:tr>
        <w:trPr>
          <w:trHeight w:val="184"/>
        </w:trPr>
        <w:tc>
          <w:tcPr>
            <w:tcW w:w="7640" w:type="dxa"/>
            <w:vAlign w:val="bottom"/>
          </w:tcPr>
          <w:p>
            <w:pPr>
              <w:jc w:val="center"/>
              <w:ind w:right="2036"/>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3620" w:type="dxa"/>
            <w:vAlign w:val="bottom"/>
          </w:tcPr>
          <w:p>
            <w:pPr>
              <w:jc w:val="center"/>
              <w:ind w:right="1823"/>
              <w:spacing w:after="0"/>
              <w:rPr>
                <w:sz w:val="20"/>
                <w:szCs w:val="20"/>
                <w:color w:val="auto"/>
              </w:rPr>
            </w:pPr>
            <w:r>
              <w:rPr>
                <w:rFonts w:ascii="Times New Roman" w:cs="Times New Roman" w:eastAsia="Times New Roman" w:hAnsi="Times New Roman"/>
                <w:sz w:val="15"/>
                <w:szCs w:val="15"/>
                <w:b w:val="1"/>
                <w:bCs w:val="1"/>
                <w:color w:val="auto"/>
              </w:rPr>
              <w:t>(I.R.S. Employer</w:t>
            </w:r>
          </w:p>
        </w:tc>
      </w:tr>
      <w:tr>
        <w:trPr>
          <w:trHeight w:val="203"/>
        </w:trPr>
        <w:tc>
          <w:tcPr>
            <w:tcW w:w="7640" w:type="dxa"/>
            <w:vAlign w:val="bottom"/>
          </w:tcPr>
          <w:p>
            <w:pPr>
              <w:jc w:val="center"/>
              <w:ind w:right="2036"/>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620" w:type="dxa"/>
            <w:vAlign w:val="bottom"/>
          </w:tcPr>
          <w:p>
            <w:pPr>
              <w:jc w:val="center"/>
              <w:ind w:right="1823"/>
              <w:spacing w:after="0"/>
              <w:rPr>
                <w:sz w:val="20"/>
                <w:szCs w:val="20"/>
                <w:color w:val="auto"/>
              </w:rPr>
            </w:pPr>
            <w:r>
              <w:rPr>
                <w:rFonts w:ascii="Times New Roman" w:cs="Times New Roman" w:eastAsia="Times New Roman" w:hAnsi="Times New Roman"/>
                <w:sz w:val="15"/>
                <w:szCs w:val="15"/>
                <w:b w:val="1"/>
                <w:bCs w:val="1"/>
                <w:color w:val="auto"/>
              </w:rPr>
              <w:t>Identification No.)</w:t>
            </w:r>
          </w:p>
        </w:tc>
      </w:tr>
      <w:tr>
        <w:trPr>
          <w:trHeight w:val="350"/>
        </w:trPr>
        <w:tc>
          <w:tcPr>
            <w:tcW w:w="7640" w:type="dxa"/>
            <w:vAlign w:val="bottom"/>
          </w:tcPr>
          <w:p>
            <w:pPr>
              <w:jc w:val="center"/>
              <w:ind w:right="2056"/>
              <w:spacing w:after="0"/>
              <w:rPr>
                <w:sz w:val="20"/>
                <w:szCs w:val="20"/>
                <w:color w:val="auto"/>
              </w:rPr>
            </w:pPr>
            <w:r>
              <w:rPr>
                <w:rFonts w:ascii="Times New Roman" w:cs="Times New Roman" w:eastAsia="Times New Roman" w:hAnsi="Times New Roman"/>
                <w:sz w:val="15"/>
                <w:szCs w:val="15"/>
                <w:b w:val="1"/>
                <w:bCs w:val="1"/>
                <w:color w:val="auto"/>
              </w:rPr>
              <w:t>12049 Jefferson Blvd</w:t>
            </w:r>
          </w:p>
        </w:tc>
        <w:tc>
          <w:tcPr>
            <w:tcW w:w="3620" w:type="dxa"/>
            <w:vAlign w:val="bottom"/>
          </w:tcPr>
          <w:p>
            <w:pPr>
              <w:spacing w:after="0"/>
              <w:rPr>
                <w:sz w:val="24"/>
                <w:szCs w:val="24"/>
                <w:color w:val="auto"/>
              </w:rPr>
            </w:pPr>
          </w:p>
        </w:tc>
      </w:tr>
      <w:tr>
        <w:trPr>
          <w:trHeight w:val="184"/>
        </w:trPr>
        <w:tc>
          <w:tcPr>
            <w:tcW w:w="7640" w:type="dxa"/>
            <w:vAlign w:val="bottom"/>
          </w:tcPr>
          <w:p>
            <w:pPr>
              <w:jc w:val="center"/>
              <w:ind w:right="2056"/>
              <w:spacing w:after="0"/>
              <w:rPr>
                <w:sz w:val="20"/>
                <w:szCs w:val="20"/>
                <w:color w:val="auto"/>
              </w:rPr>
            </w:pPr>
            <w:r>
              <w:rPr>
                <w:rFonts w:ascii="Times New Roman" w:cs="Times New Roman" w:eastAsia="Times New Roman" w:hAnsi="Times New Roman"/>
                <w:sz w:val="15"/>
                <w:szCs w:val="15"/>
                <w:b w:val="1"/>
                <w:bCs w:val="1"/>
                <w:color w:val="auto"/>
              </w:rPr>
              <w:t>Culver City, CA</w:t>
            </w:r>
          </w:p>
        </w:tc>
        <w:tc>
          <w:tcPr>
            <w:tcW w:w="3620" w:type="dxa"/>
            <w:vAlign w:val="bottom"/>
          </w:tcPr>
          <w:p>
            <w:pPr>
              <w:jc w:val="right"/>
              <w:ind w:right="2483"/>
              <w:spacing w:after="0"/>
              <w:rPr>
                <w:sz w:val="20"/>
                <w:szCs w:val="20"/>
                <w:color w:val="auto"/>
              </w:rPr>
            </w:pPr>
            <w:r>
              <w:rPr>
                <w:rFonts w:ascii="Times New Roman" w:cs="Times New Roman" w:eastAsia="Times New Roman" w:hAnsi="Times New Roman"/>
                <w:sz w:val="15"/>
                <w:szCs w:val="15"/>
                <w:b w:val="1"/>
                <w:bCs w:val="1"/>
                <w:color w:val="auto"/>
              </w:rPr>
              <w:t>90230</w:t>
            </w:r>
          </w:p>
        </w:tc>
      </w:tr>
      <w:tr>
        <w:trPr>
          <w:trHeight w:val="203"/>
        </w:trPr>
        <w:tc>
          <w:tcPr>
            <w:tcW w:w="7640" w:type="dxa"/>
            <w:vAlign w:val="bottom"/>
          </w:tcPr>
          <w:p>
            <w:pPr>
              <w:jc w:val="center"/>
              <w:ind w:right="2056"/>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3620" w:type="dxa"/>
            <w:vAlign w:val="bottom"/>
          </w:tcPr>
          <w:p>
            <w:pPr>
              <w:jc w:val="center"/>
              <w:ind w:right="1823"/>
              <w:spacing w:after="0"/>
              <w:rPr>
                <w:sz w:val="20"/>
                <w:szCs w:val="20"/>
                <w:color w:val="auto"/>
              </w:rPr>
            </w:pPr>
            <w:r>
              <w:rPr>
                <w:rFonts w:ascii="Times New Roman" w:cs="Times New Roman" w:eastAsia="Times New Roman" w:hAnsi="Times New Roman"/>
                <w:sz w:val="15"/>
                <w:szCs w:val="15"/>
                <w:b w:val="1"/>
                <w:bCs w:val="1"/>
                <w:color w:val="auto"/>
              </w:rPr>
              <w:t>(Zip code)</w:t>
            </w:r>
          </w:p>
        </w:tc>
      </w:tr>
    </w:tbl>
    <w:p>
      <w:pPr>
        <w:spacing w:after="0" w:line="1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+1 (310) 988-0643</w:t>
      </w:r>
    </w:p>
    <w:p>
      <w:pPr>
        <w:spacing w:after="0" w:line="200" w:lineRule="exact"/>
        <w:rPr>
          <w:sz w:val="24"/>
          <w:szCs w:val="24"/>
          <w:color w:val="auto"/>
        </w:rPr>
      </w:pPr>
    </w:p>
    <w:tbl>
      <w:tblPr>
        <w:tblLayout w:type="fixed"/>
        <w:tblInd w:w="8" w:type="dxa"/>
        <w:tblCellMar>
          <w:top w:w="0" w:type="dxa"/>
          <w:left w:w="0" w:type="dxa"/>
          <w:bottom w:w="0" w:type="dxa"/>
          <w:right w:w="0" w:type="dxa"/>
        </w:tblCellMar>
      </w:tblPr>
      <w:tr>
        <w:trPr>
          <w:trHeight w:val="199"/>
        </w:trPr>
        <w:tc>
          <w:tcPr>
            <w:tcW w:w="4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46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Trading Symbol (s)</w:t>
            </w:r>
          </w:p>
        </w:tc>
        <w:tc>
          <w:tcPr>
            <w:tcW w:w="4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70"/>
        </w:trPr>
        <w:tc>
          <w:tcPr>
            <w:tcW w:w="20" w:type="dxa"/>
            <w:vAlign w:val="bottom"/>
          </w:tcPr>
          <w:p>
            <w:pPr>
              <w:spacing w:after="0"/>
              <w:rPr>
                <w:sz w:val="14"/>
                <w:szCs w:val="14"/>
                <w:color w:val="auto"/>
              </w:rPr>
            </w:pPr>
          </w:p>
        </w:tc>
        <w:tc>
          <w:tcPr>
            <w:tcW w:w="438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5"/>
                <w:szCs w:val="15"/>
                <w:color w:val="auto"/>
              </w:rPr>
              <w:t>Class A common stock, par value $0.0001 per share</w:t>
            </w:r>
          </w:p>
        </w:tc>
        <w:tc>
          <w:tcPr>
            <w:tcW w:w="220" w:type="dxa"/>
            <w:vAlign w:val="bottom"/>
          </w:tcPr>
          <w:p>
            <w:pPr>
              <w:spacing w:after="0"/>
              <w:rPr>
                <w:sz w:val="14"/>
                <w:szCs w:val="14"/>
                <w:color w:val="auto"/>
              </w:rPr>
            </w:pPr>
          </w:p>
        </w:tc>
        <w:tc>
          <w:tcPr>
            <w:tcW w:w="20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5"/>
                <w:szCs w:val="15"/>
                <w:color w:val="auto"/>
              </w:rPr>
              <w:t>SNAL</w:t>
            </w:r>
          </w:p>
        </w:tc>
        <w:tc>
          <w:tcPr>
            <w:tcW w:w="220" w:type="dxa"/>
            <w:vAlign w:val="bottom"/>
          </w:tcPr>
          <w:p>
            <w:pPr>
              <w:spacing w:after="0"/>
              <w:rPr>
                <w:sz w:val="14"/>
                <w:szCs w:val="14"/>
                <w:color w:val="auto"/>
              </w:rPr>
            </w:pPr>
          </w:p>
        </w:tc>
        <w:tc>
          <w:tcPr>
            <w:tcW w:w="44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5"/>
                <w:szCs w:val="15"/>
                <w:color w:val="auto"/>
              </w:rPr>
              <w:t>The Nasdaq Stock Market LLC</w:t>
            </w:r>
          </w:p>
        </w:tc>
      </w:tr>
      <w:tr>
        <w:trPr>
          <w:trHeight w:val="199"/>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Capital Market)</w:t>
            </w:r>
          </w:p>
        </w:tc>
      </w:tr>
      <w:tr>
        <w:trPr>
          <w:trHeight w:val="369"/>
        </w:trPr>
        <w:tc>
          <w:tcPr>
            <w:tcW w:w="4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pacing w:after="0" w:line="134" w:lineRule="exact"/>
        <w:rPr>
          <w:sz w:val="24"/>
          <w:szCs w:val="24"/>
          <w:color w:val="auto"/>
        </w:rPr>
      </w:pPr>
    </w:p>
    <w:p>
      <w:pPr>
        <w:ind w:left="8"/>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32" w:lineRule="exact"/>
        <w:rPr>
          <w:sz w:val="24"/>
          <w:szCs w:val="24"/>
          <w:color w:val="auto"/>
        </w:rPr>
      </w:pPr>
    </w:p>
    <w:p>
      <w:pPr>
        <w:jc w:val="both"/>
        <w:ind w:left="8"/>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7" w:lineRule="exact"/>
        <w:rPr>
          <w:sz w:val="24"/>
          <w:szCs w:val="24"/>
          <w:color w:val="auto"/>
        </w:rPr>
      </w:pPr>
    </w:p>
    <w:p>
      <w:pPr>
        <w:jc w:val="both"/>
        <w:ind w:left="8"/>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7" w:lineRule="exact"/>
        <w:rPr>
          <w:sz w:val="24"/>
          <w:szCs w:val="24"/>
          <w:color w:val="auto"/>
        </w:rPr>
      </w:pPr>
    </w:p>
    <w:p>
      <w:pPr>
        <w:jc w:val="both"/>
        <w:ind w:left="8"/>
        <w:spacing w:after="0" w:line="29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8" w:type="dxa"/>
        <w:tblCellMar>
          <w:top w:w="0" w:type="dxa"/>
          <w:left w:w="0" w:type="dxa"/>
          <w:bottom w:w="0" w:type="dxa"/>
          <w:right w:w="0" w:type="dxa"/>
        </w:tblCellMar>
      </w:tblPr>
      <w:tr>
        <w:trPr>
          <w:trHeight w:val="189"/>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06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Accelerated filer</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4"/>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06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06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spacing w:after="0"/>
              <w:rPr>
                <w:sz w:val="22"/>
                <w:szCs w:val="22"/>
                <w:color w:val="auto"/>
              </w:rPr>
            </w:pPr>
          </w:p>
        </w:tc>
        <w:tc>
          <w:tcPr>
            <w:tcW w:w="1940" w:type="dxa"/>
            <w:vAlign w:val="bottom"/>
          </w:tcPr>
          <w:p>
            <w:pPr>
              <w:spacing w:after="0"/>
              <w:rPr>
                <w:sz w:val="22"/>
                <w:szCs w:val="22"/>
                <w:color w:val="auto"/>
              </w:rPr>
            </w:pPr>
          </w:p>
        </w:tc>
      </w:tr>
    </w:tbl>
    <w:p>
      <w:pPr>
        <w:spacing w:after="0" w:line="142" w:lineRule="exact"/>
        <w:rPr>
          <w:sz w:val="24"/>
          <w:szCs w:val="24"/>
          <w:color w:val="auto"/>
        </w:rPr>
      </w:pPr>
    </w:p>
    <w:p>
      <w:pPr>
        <w:ind w:left="8" w:right="20"/>
        <w:spacing w:after="0" w:line="204"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47" w:lineRule="exact"/>
        <w:rPr>
          <w:sz w:val="24"/>
          <w:szCs w:val="24"/>
          <w:color w:val="auto"/>
        </w:rPr>
      </w:pPr>
    </w:p>
    <w:p>
      <w:pPr>
        <w:ind w:left="8" w:right="20"/>
        <w:spacing w:after="0" w:line="204"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47" w:lineRule="exact"/>
        <w:rPr>
          <w:sz w:val="24"/>
          <w:szCs w:val="24"/>
          <w:color w:val="auto"/>
        </w:rPr>
      </w:pPr>
    </w:p>
    <w:p>
      <w:pPr>
        <w:ind w:left="8" w:right="20"/>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11" w:lineRule="exact"/>
        <w:rPr>
          <w:sz w:val="24"/>
          <w:szCs w:val="24"/>
          <w:color w:val="auto"/>
        </w:rPr>
      </w:pPr>
    </w:p>
    <w:p>
      <w:pPr>
        <w:ind w:left="8"/>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3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the latest practicable date.</w:t>
      </w:r>
    </w:p>
    <w:p>
      <w:pPr>
        <w:spacing w:after="0" w:line="192" w:lineRule="exact"/>
        <w:rPr>
          <w:sz w:val="24"/>
          <w:szCs w:val="24"/>
          <w:color w:val="auto"/>
        </w:rPr>
      </w:pPr>
    </w:p>
    <w:tbl>
      <w:tblPr>
        <w:tblLayout w:type="fixed"/>
        <w:tblInd w:w="8" w:type="dxa"/>
        <w:tblCellMar>
          <w:top w:w="0" w:type="dxa"/>
          <w:left w:w="0" w:type="dxa"/>
          <w:bottom w:w="0" w:type="dxa"/>
          <w:right w:w="0" w:type="dxa"/>
        </w:tblCellMar>
      </w:tblPr>
      <w:tr>
        <w:trPr>
          <w:trHeight w:val="20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Class of Common Stock</w:t>
            </w:r>
          </w:p>
        </w:tc>
        <w:tc>
          <w:tcPr>
            <w:tcW w:w="5520" w:type="dxa"/>
            <w:vAlign w:val="bottom"/>
          </w:tcPr>
          <w:p>
            <w:pPr>
              <w:ind w:left="1300"/>
              <w:spacing w:after="0"/>
              <w:rPr>
                <w:sz w:val="20"/>
                <w:szCs w:val="20"/>
                <w:color w:val="auto"/>
              </w:rPr>
            </w:pPr>
            <w:r>
              <w:rPr>
                <w:rFonts w:ascii="Times New Roman" w:cs="Times New Roman" w:eastAsia="Times New Roman" w:hAnsi="Times New Roman"/>
                <w:sz w:val="15"/>
                <w:szCs w:val="15"/>
                <w:b w:val="1"/>
                <w:bCs w:val="1"/>
                <w:color w:val="auto"/>
              </w:rPr>
              <w:t>Outstanding Shares as of November 08, 2024</w:t>
            </w:r>
          </w:p>
        </w:tc>
      </w:tr>
      <w:tr>
        <w:trPr>
          <w:trHeight w:val="182"/>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Class A Common Stock, par value $0.0001 per share</w:t>
            </w:r>
          </w:p>
        </w:tc>
        <w:tc>
          <w:tcPr>
            <w:tcW w:w="220" w:type="dxa"/>
            <w:vAlign w:val="bottom"/>
            <w:tcBorders>
              <w:top w:val="single" w:sz="8" w:color="CCEEFF"/>
            </w:tcBorders>
            <w:shd w:val="clear" w:color="auto" w:fill="CCEEFF"/>
          </w:tcPr>
          <w:p>
            <w:pPr>
              <w:spacing w:after="0"/>
              <w:rPr>
                <w:sz w:val="15"/>
                <w:szCs w:val="15"/>
                <w:color w:val="auto"/>
              </w:rPr>
            </w:pPr>
          </w:p>
        </w:tc>
        <w:tc>
          <w:tcPr>
            <w:tcW w:w="5520" w:type="dxa"/>
            <w:vAlign w:val="bottom"/>
            <w:tcBorders>
              <w:top w:val="single" w:sz="8" w:color="auto"/>
            </w:tcBorders>
            <w:shd w:val="clear" w:color="auto" w:fill="CCEEFF"/>
          </w:tcPr>
          <w:p>
            <w:pPr>
              <w:jc w:val="right"/>
              <w:ind w:right="2383"/>
              <w:spacing w:after="0"/>
              <w:rPr>
                <w:sz w:val="20"/>
                <w:szCs w:val="20"/>
                <w:color w:val="auto"/>
              </w:rPr>
            </w:pPr>
            <w:r>
              <w:rPr>
                <w:rFonts w:ascii="Times New Roman" w:cs="Times New Roman" w:eastAsia="Times New Roman" w:hAnsi="Times New Roman"/>
                <w:sz w:val="15"/>
                <w:szCs w:val="15"/>
                <w:b w:val="1"/>
                <w:bCs w:val="1"/>
                <w:color w:val="auto"/>
              </w:rPr>
              <w:t>8,205,402</w:t>
            </w:r>
          </w:p>
        </w:tc>
      </w:tr>
      <w:tr>
        <w:trPr>
          <w:trHeight w:val="203"/>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Class B Common Stock, par value $0.0001 per share</w:t>
            </w:r>
          </w:p>
        </w:tc>
        <w:tc>
          <w:tcPr>
            <w:tcW w:w="5520" w:type="dxa"/>
            <w:vAlign w:val="bottom"/>
          </w:tcPr>
          <w:p>
            <w:pPr>
              <w:jc w:val="right"/>
              <w:ind w:right="2343"/>
              <w:spacing w:after="0"/>
              <w:rPr>
                <w:sz w:val="20"/>
                <w:szCs w:val="20"/>
                <w:color w:val="auto"/>
              </w:rPr>
            </w:pPr>
            <w:r>
              <w:rPr>
                <w:rFonts w:ascii="Times New Roman" w:cs="Times New Roman" w:eastAsia="Times New Roman" w:hAnsi="Times New Roman"/>
                <w:sz w:val="15"/>
                <w:szCs w:val="15"/>
                <w:b w:val="1"/>
                <w:bCs w:val="1"/>
                <w:color w:val="auto"/>
              </w:rPr>
              <w:t>28,748,580</w:t>
            </w:r>
          </w:p>
        </w:tc>
      </w:tr>
      <w:tr>
        <w:trPr>
          <w:trHeight w:val="166"/>
        </w:trPr>
        <w:tc>
          <w:tcPr>
            <w:tcW w:w="5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tcPr>
          <w:p>
            <w:pPr>
              <w:spacing w:after="0"/>
              <w:rPr>
                <w:sz w:val="14"/>
                <w:szCs w:val="14"/>
                <w:color w:val="auto"/>
              </w:rPr>
            </w:pPr>
          </w:p>
        </w:tc>
      </w:tr>
      <w:tr>
        <w:trPr>
          <w:trHeight w:val="52"/>
        </w:trPr>
        <w:tc>
          <w:tcPr>
            <w:tcW w:w="5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520" w:type="dxa"/>
            <w:vAlign w:val="bottom"/>
            <w:tcBorders>
              <w:bottom w:val="single" w:sz="8" w:color="auto"/>
            </w:tcBorders>
          </w:tcPr>
          <w:p>
            <w:pPr>
              <w:spacing w:after="0"/>
              <w:rPr>
                <w:sz w:val="4"/>
                <w:szCs w:val="4"/>
                <w:color w:val="auto"/>
              </w:rPr>
            </w:pPr>
          </w:p>
        </w:tc>
      </w:tr>
      <w:tr>
        <w:trPr>
          <w:trHeight w:val="36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652" w:right="319" w:bottom="409"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Form 10-Q</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For the Quarter Ended September 30, 2024</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80" w:type="dxa"/>
            <w:vAlign w:val="bottom"/>
            <w:gridSpan w:val="17"/>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0000EE"/>
              </w:rPr>
              <w:t>Cautionary Statement</w:t>
            </w:r>
          </w:p>
        </w:tc>
        <w:tc>
          <w:tcPr>
            <w:tcW w:w="5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ii</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right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2600" w:type="dxa"/>
            <w:vAlign w:val="bottom"/>
            <w:tcBorders>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5"/>
                <w:szCs w:val="15"/>
                <w:b w:val="1"/>
                <w:bCs w:val="1"/>
                <w:color w:val="0000EE"/>
                <w:w w:val="99"/>
              </w:rPr>
              <w:t>PART I. FINANCIAL INFORMATION</w:t>
            </w:r>
          </w:p>
        </w:tc>
        <w:tc>
          <w:tcPr>
            <w:tcW w:w="8080" w:type="dxa"/>
            <w:vAlign w:val="bottom"/>
            <w:gridSpan w:val="9"/>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Item 1.</w:t>
            </w:r>
          </w:p>
        </w:tc>
        <w:tc>
          <w:tcPr>
            <w:tcW w:w="1008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Condensed Consolidated Financial Statements (Unaudited)</w:t>
            </w:r>
          </w:p>
        </w:tc>
        <w:tc>
          <w:tcPr>
            <w:tcW w:w="5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F-1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4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340" w:type="dxa"/>
            <w:vAlign w:val="bottom"/>
            <w:tcBorders>
              <w:bottom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5"/>
                <w:szCs w:val="15"/>
                <w:color w:val="0000EE"/>
              </w:rPr>
              <w:t>Snail, Inc. and Subsidiaries Condensed Consolidated Balance Sheets as of September 30, 2024 and December 31, 2023</w:t>
            </w:r>
          </w:p>
        </w:tc>
        <w:tc>
          <w:tcPr>
            <w:tcW w:w="2740" w:type="dxa"/>
            <w:vAlign w:val="bottom"/>
            <w:gridSpan w:val="4"/>
          </w:tcPr>
          <w:p>
            <w:pPr>
              <w:spacing w:after="0"/>
              <w:rPr>
                <w:sz w:val="13"/>
                <w:szCs w:val="13"/>
                <w:color w:val="auto"/>
              </w:rPr>
            </w:pP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F-1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80" w:type="dxa"/>
            <w:vAlign w:val="bottom"/>
            <w:gridSpan w:val="17"/>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Snail, Inc. and Subsidiaries Condensed Consolidated Statements of Operations and Comprehensive Income (Loss) for the three and nine months ended September</w:t>
            </w: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9980" w:type="dxa"/>
            <w:vAlign w:val="bottom"/>
            <w:tcBorders>
              <w:top w:val="single" w:sz="8" w:color="0000EE"/>
            </w:tcBorders>
            <w:gridSpan w:val="16"/>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30, 2024 and 2023</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F-2</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80" w:type="dxa"/>
            <w:vAlign w:val="bottom"/>
            <w:gridSpan w:val="17"/>
          </w:tcPr>
          <w:p>
            <w:pPr>
              <w:spacing w:after="0" w:line="150" w:lineRule="exact"/>
              <w:rPr>
                <w:sz w:val="20"/>
                <w:szCs w:val="20"/>
                <w:color w:val="auto"/>
              </w:rPr>
            </w:pPr>
            <w:r>
              <w:rPr>
                <w:rFonts w:ascii="Times New Roman" w:cs="Times New Roman" w:eastAsia="Times New Roman" w:hAnsi="Times New Roman"/>
                <w:sz w:val="15"/>
                <w:szCs w:val="15"/>
                <w:color w:val="0000EE"/>
              </w:rPr>
              <w:t>Snail, Inc. and Subsidiaries Condensed Consolidated Statements of Equity for the three and nine months ended September 30, 2024 and 2023</w:t>
            </w: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F-3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420" w:type="dxa"/>
            <w:vAlign w:val="bottom"/>
            <w:tcBorders>
              <w:top w:val="single" w:sz="8" w:color="0000EE"/>
              <w:bottom w:val="single" w:sz="8" w:color="0000EE"/>
            </w:tcBorders>
            <w:gridSpan w:val="14"/>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Snail, Inc. and Subsidiaries Condensed Consolidated Statements of Cash Flows for the nine months ended September 30, 2024 and 2023</w:t>
            </w:r>
          </w:p>
        </w:tc>
        <w:tc>
          <w:tcPr>
            <w:tcW w:w="280" w:type="dxa"/>
            <w:vAlign w:val="bottom"/>
            <w:tcBorders>
              <w:top w:val="single" w:sz="8" w:color="0000EE"/>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F-4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Borders>
              <w:bottom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5"/>
                <w:szCs w:val="15"/>
                <w:color w:val="0000EE"/>
              </w:rPr>
              <w:t>Snail, Inc. and Subsidiaries Notes to Condensed Consolidated Financial Statements</w:t>
            </w:r>
          </w:p>
        </w:tc>
        <w:tc>
          <w:tcPr>
            <w:tcW w:w="4940" w:type="dxa"/>
            <w:vAlign w:val="bottom"/>
            <w:gridSpan w:val="6"/>
          </w:tcPr>
          <w:p>
            <w:pPr>
              <w:spacing w:after="0"/>
              <w:rPr>
                <w:sz w:val="13"/>
                <w:szCs w:val="13"/>
                <w:color w:val="auto"/>
              </w:rPr>
            </w:pP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F-5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Item 2.</w:t>
            </w:r>
          </w:p>
        </w:tc>
        <w:tc>
          <w:tcPr>
            <w:tcW w:w="1008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5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00" w:type="dxa"/>
            <w:vAlign w:val="bottom"/>
            <w:tcBorders>
              <w:top w:val="single" w:sz="8" w:color="CCEEFF"/>
            </w:tcBorders>
          </w:tcPr>
          <w:p>
            <w:pPr>
              <w:spacing w:after="0" w:line="150" w:lineRule="exact"/>
              <w:rPr>
                <w:sz w:val="20"/>
                <w:szCs w:val="20"/>
                <w:color w:val="auto"/>
              </w:rPr>
            </w:pPr>
            <w:r>
              <w:rPr>
                <w:rFonts w:ascii="Times New Roman" w:cs="Times New Roman" w:eastAsia="Times New Roman" w:hAnsi="Times New Roman"/>
                <w:sz w:val="15"/>
                <w:szCs w:val="15"/>
                <w:color w:val="auto"/>
              </w:rPr>
              <w:t>Item 3.</w:t>
            </w:r>
          </w:p>
        </w:tc>
        <w:tc>
          <w:tcPr>
            <w:tcW w:w="5520" w:type="dxa"/>
            <w:vAlign w:val="bottom"/>
            <w:tcBorders>
              <w:top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5"/>
                <w:szCs w:val="15"/>
                <w:color w:val="0000EE"/>
              </w:rPr>
              <w:t>Quantitative and Qualitative Disclosures About Market Risk</w:t>
            </w:r>
          </w:p>
        </w:tc>
        <w:tc>
          <w:tcPr>
            <w:tcW w:w="4560" w:type="dxa"/>
            <w:vAlign w:val="bottom"/>
            <w:tcBorders>
              <w:top w:val="single" w:sz="8" w:color="CCEEFF"/>
            </w:tcBorders>
            <w:gridSpan w:val="5"/>
          </w:tcPr>
          <w:p>
            <w:pPr>
              <w:spacing w:after="0"/>
              <w:rPr>
                <w:sz w:val="13"/>
                <w:szCs w:val="13"/>
                <w:color w:val="auto"/>
              </w:rPr>
            </w:pPr>
          </w:p>
        </w:tc>
        <w:tc>
          <w:tcPr>
            <w:tcW w:w="560" w:type="dxa"/>
            <w:vAlign w:val="bottom"/>
            <w:tcBorders>
              <w:top w:val="single" w:sz="8" w:color="CCEEFF"/>
            </w:tcBorders>
          </w:tcPr>
          <w:p>
            <w:pPr>
              <w:jc w:val="right"/>
              <w:spacing w:after="0" w:line="150" w:lineRule="exact"/>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Item 4.</w:t>
            </w:r>
          </w:p>
        </w:tc>
        <w:tc>
          <w:tcPr>
            <w:tcW w:w="1520" w:type="dxa"/>
            <w:vAlign w:val="bottom"/>
            <w:tcBorders>
              <w:top w:val="single" w:sz="8" w:color="0000EE"/>
              <w:bottom w:val="single" w:sz="8" w:color="0000EE"/>
            </w:tcBorders>
            <w:gridSpan w:val="6"/>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Controls and Procedures</w:t>
            </w:r>
          </w:p>
        </w:tc>
        <w:tc>
          <w:tcPr>
            <w:tcW w:w="2200" w:type="dxa"/>
            <w:vAlign w:val="bottom"/>
            <w:tcBorders>
              <w:top w:val="single" w:sz="8" w:color="0000EE"/>
              <w:bottom w:val="single" w:sz="8" w:color="CCEEFF"/>
            </w:tcBorders>
            <w:gridSpan w:val="4"/>
            <w:shd w:val="clear" w:color="auto" w:fill="CCEEFF"/>
          </w:tcPr>
          <w:p>
            <w:pPr>
              <w:spacing w:after="0"/>
              <w:rPr>
                <w:sz w:val="15"/>
                <w:szCs w:val="15"/>
                <w:color w:val="auto"/>
              </w:rPr>
            </w:pPr>
          </w:p>
        </w:tc>
        <w:tc>
          <w:tcPr>
            <w:tcW w:w="6360" w:type="dxa"/>
            <w:vAlign w:val="bottom"/>
            <w:tcBorders>
              <w:bottom w:val="single" w:sz="8" w:color="CCEEFF"/>
            </w:tcBorders>
            <w:gridSpan w:val="7"/>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340" w:type="dxa"/>
            <w:vAlign w:val="bottom"/>
            <w:tcBorders>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5"/>
                <w:szCs w:val="15"/>
                <w:b w:val="1"/>
                <w:bCs w:val="1"/>
                <w:color w:val="0000EE"/>
                <w:w w:val="99"/>
              </w:rPr>
              <w:t>PART II. OTHER INFORMATION</w:t>
            </w:r>
          </w:p>
        </w:tc>
        <w:tc>
          <w:tcPr>
            <w:tcW w:w="8340" w:type="dxa"/>
            <w:vAlign w:val="bottom"/>
            <w:gridSpan w:val="10"/>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Item 1.</w:t>
            </w:r>
          </w:p>
        </w:tc>
        <w:tc>
          <w:tcPr>
            <w:tcW w:w="1008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Legal Proceedings</w:t>
            </w:r>
          </w:p>
        </w:tc>
        <w:tc>
          <w:tcPr>
            <w:tcW w:w="5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00" w:type="dxa"/>
            <w:vAlign w:val="bottom"/>
            <w:tcBorders>
              <w:top w:val="single" w:sz="8" w:color="CCEEFF"/>
            </w:tcBorders>
          </w:tcPr>
          <w:p>
            <w:pPr>
              <w:spacing w:after="0" w:line="150" w:lineRule="exact"/>
              <w:rPr>
                <w:sz w:val="20"/>
                <w:szCs w:val="20"/>
                <w:color w:val="auto"/>
              </w:rPr>
            </w:pPr>
            <w:r>
              <w:rPr>
                <w:rFonts w:ascii="Times New Roman" w:cs="Times New Roman" w:eastAsia="Times New Roman" w:hAnsi="Times New Roman"/>
                <w:sz w:val="15"/>
                <w:szCs w:val="15"/>
                <w:color w:val="auto"/>
              </w:rPr>
              <w:t>Item 1A.</w:t>
            </w:r>
          </w:p>
        </w:tc>
        <w:tc>
          <w:tcPr>
            <w:tcW w:w="780" w:type="dxa"/>
            <w:vAlign w:val="bottom"/>
            <w:tcBorders>
              <w:top w:val="single" w:sz="8" w:color="0000EE"/>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5"/>
                <w:szCs w:val="15"/>
                <w:color w:val="0000EE"/>
              </w:rPr>
              <w:t>Risk Factors</w:t>
            </w:r>
          </w:p>
        </w:tc>
        <w:tc>
          <w:tcPr>
            <w:tcW w:w="360" w:type="dxa"/>
            <w:vAlign w:val="bottom"/>
            <w:tcBorders>
              <w:top w:val="single" w:sz="8" w:color="0000EE"/>
            </w:tcBorders>
          </w:tcPr>
          <w:p>
            <w:pPr>
              <w:spacing w:after="0"/>
              <w:rPr>
                <w:sz w:val="13"/>
                <w:szCs w:val="13"/>
                <w:color w:val="auto"/>
              </w:rPr>
            </w:pPr>
          </w:p>
        </w:tc>
        <w:tc>
          <w:tcPr>
            <w:tcW w:w="8940" w:type="dxa"/>
            <w:vAlign w:val="bottom"/>
            <w:tcBorders>
              <w:top w:val="single" w:sz="8" w:color="CCEEFF"/>
            </w:tcBorders>
            <w:gridSpan w:val="13"/>
          </w:tcPr>
          <w:p>
            <w:pPr>
              <w:spacing w:after="0"/>
              <w:rPr>
                <w:sz w:val="13"/>
                <w:szCs w:val="13"/>
                <w:color w:val="auto"/>
              </w:rPr>
            </w:pPr>
          </w:p>
        </w:tc>
        <w:tc>
          <w:tcPr>
            <w:tcW w:w="560" w:type="dxa"/>
            <w:vAlign w:val="bottom"/>
            <w:tcBorders>
              <w:top w:val="single" w:sz="8" w:color="CCEEFF"/>
            </w:tcBorders>
          </w:tcPr>
          <w:p>
            <w:pPr>
              <w:jc w:val="right"/>
              <w:spacing w:after="0" w:line="150" w:lineRule="exact"/>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Item 2.</w:t>
            </w:r>
          </w:p>
        </w:tc>
        <w:tc>
          <w:tcPr>
            <w:tcW w:w="3720" w:type="dxa"/>
            <w:vAlign w:val="bottom"/>
            <w:tcBorders>
              <w:bottom w:val="single" w:sz="8" w:color="0000EE"/>
            </w:tcBorders>
            <w:gridSpan w:val="10"/>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Unregistered Sales of Equity Securities and Use of Proceeds</w:t>
            </w:r>
          </w:p>
        </w:tc>
        <w:tc>
          <w:tcPr>
            <w:tcW w:w="6360" w:type="dxa"/>
            <w:vAlign w:val="bottom"/>
            <w:tcBorders>
              <w:bottom w:val="single" w:sz="8" w:color="CCEEFF"/>
            </w:tcBorders>
            <w:gridSpan w:val="7"/>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00" w:type="dxa"/>
            <w:vAlign w:val="bottom"/>
          </w:tcPr>
          <w:p>
            <w:pPr>
              <w:spacing w:after="0" w:line="150" w:lineRule="exact"/>
              <w:rPr>
                <w:sz w:val="20"/>
                <w:szCs w:val="20"/>
                <w:color w:val="auto"/>
              </w:rPr>
            </w:pPr>
            <w:r>
              <w:rPr>
                <w:rFonts w:ascii="Times New Roman" w:cs="Times New Roman" w:eastAsia="Times New Roman" w:hAnsi="Times New Roman"/>
                <w:sz w:val="15"/>
                <w:szCs w:val="15"/>
                <w:color w:val="auto"/>
              </w:rPr>
              <w:t>Item 3.</w:t>
            </w:r>
          </w:p>
        </w:tc>
        <w:tc>
          <w:tcPr>
            <w:tcW w:w="2000" w:type="dxa"/>
            <w:vAlign w:val="bottom"/>
            <w:tcBorders>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5"/>
                <w:szCs w:val="15"/>
                <w:color w:val="0000EE"/>
              </w:rPr>
              <w:t>Defaults Upon Senior Securities</w:t>
            </w:r>
          </w:p>
        </w:tc>
        <w:tc>
          <w:tcPr>
            <w:tcW w:w="8080" w:type="dxa"/>
            <w:vAlign w:val="bottom"/>
            <w:gridSpan w:val="9"/>
          </w:tcPr>
          <w:p>
            <w:pPr>
              <w:spacing w:after="0"/>
              <w:rPr>
                <w:sz w:val="13"/>
                <w:szCs w:val="13"/>
                <w:color w:val="auto"/>
              </w:rPr>
            </w:pP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Item 4.</w:t>
            </w:r>
          </w:p>
        </w:tc>
        <w:tc>
          <w:tcPr>
            <w:tcW w:w="1520" w:type="dxa"/>
            <w:vAlign w:val="bottom"/>
            <w:tcBorders>
              <w:bottom w:val="single" w:sz="8" w:color="0000EE"/>
            </w:tcBorders>
            <w:gridSpan w:val="6"/>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Mine Safety Disclosures</w:t>
            </w:r>
          </w:p>
        </w:tc>
        <w:tc>
          <w:tcPr>
            <w:tcW w:w="8560" w:type="dxa"/>
            <w:vAlign w:val="bottom"/>
            <w:tcBorders>
              <w:bottom w:val="single" w:sz="8" w:color="CCEEFF"/>
            </w:tcBorders>
            <w:gridSpan w:val="11"/>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00" w:type="dxa"/>
            <w:vAlign w:val="bottom"/>
          </w:tcPr>
          <w:p>
            <w:pPr>
              <w:spacing w:after="0" w:line="150" w:lineRule="exact"/>
              <w:rPr>
                <w:sz w:val="20"/>
                <w:szCs w:val="20"/>
                <w:color w:val="auto"/>
              </w:rPr>
            </w:pPr>
            <w:r>
              <w:rPr>
                <w:rFonts w:ascii="Times New Roman" w:cs="Times New Roman" w:eastAsia="Times New Roman" w:hAnsi="Times New Roman"/>
                <w:sz w:val="15"/>
                <w:szCs w:val="15"/>
                <w:color w:val="auto"/>
              </w:rPr>
              <w:t>Item 5.</w:t>
            </w:r>
          </w:p>
        </w:tc>
        <w:tc>
          <w:tcPr>
            <w:tcW w:w="10080" w:type="dxa"/>
            <w:vAlign w:val="bottom"/>
            <w:gridSpan w:val="17"/>
          </w:tcPr>
          <w:p>
            <w:pPr>
              <w:spacing w:after="0" w:line="150" w:lineRule="exact"/>
              <w:rPr>
                <w:sz w:val="20"/>
                <w:szCs w:val="20"/>
                <w:color w:val="auto"/>
              </w:rPr>
            </w:pPr>
            <w:r>
              <w:rPr>
                <w:rFonts w:ascii="Times New Roman" w:cs="Times New Roman" w:eastAsia="Times New Roman" w:hAnsi="Times New Roman"/>
                <w:sz w:val="15"/>
                <w:szCs w:val="15"/>
                <w:color w:val="0000EE"/>
              </w:rPr>
              <w:t>Other Information</w:t>
            </w: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Item 6.</w:t>
            </w:r>
          </w:p>
        </w:tc>
        <w:tc>
          <w:tcPr>
            <w:tcW w:w="520" w:type="dxa"/>
            <w:vAlign w:val="bottom"/>
            <w:tcBorders>
              <w:top w:val="single" w:sz="8" w:color="0000EE"/>
              <w:bottom w:val="single" w:sz="8" w:color="0000EE"/>
            </w:tcBorders>
            <w:gridSpan w:val="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w w:val="99"/>
              </w:rPr>
              <w:t>Exhibits</w:t>
            </w:r>
          </w:p>
        </w:tc>
        <w:tc>
          <w:tcPr>
            <w:tcW w:w="620" w:type="dxa"/>
            <w:vAlign w:val="bottom"/>
            <w:tcBorders>
              <w:top w:val="single" w:sz="8" w:color="0000EE"/>
              <w:bottom w:val="single" w:sz="8" w:color="CCEEFF"/>
              <w:right w:val="single" w:sz="8" w:color="CCEEFF"/>
            </w:tcBorders>
            <w:gridSpan w:val="2"/>
            <w:shd w:val="clear" w:color="auto" w:fill="CCEEFF"/>
          </w:tcPr>
          <w:p>
            <w:pPr>
              <w:spacing w:after="0"/>
              <w:rPr>
                <w:sz w:val="15"/>
                <w:szCs w:val="15"/>
                <w:color w:val="auto"/>
              </w:rPr>
            </w:pPr>
          </w:p>
        </w:tc>
        <w:tc>
          <w:tcPr>
            <w:tcW w:w="8940" w:type="dxa"/>
            <w:vAlign w:val="bottom"/>
            <w:tcBorders>
              <w:bottom w:val="single" w:sz="8" w:color="CCEEFF"/>
            </w:tcBorders>
            <w:gridSpan w:val="13"/>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50"/>
        </w:trPr>
        <w:tc>
          <w:tcPr>
            <w:tcW w:w="20" w:type="dxa"/>
            <w:vAlign w:val="bottom"/>
            <w:tcBorders>
              <w:bottom w:val="single" w:sz="8" w:color="0000EE"/>
            </w:tcBorders>
          </w:tcPr>
          <w:p>
            <w:pPr>
              <w:spacing w:after="0"/>
              <w:rPr>
                <w:sz w:val="13"/>
                <w:szCs w:val="13"/>
                <w:color w:val="auto"/>
              </w:rPr>
            </w:pPr>
          </w:p>
        </w:tc>
        <w:tc>
          <w:tcPr>
            <w:tcW w:w="92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w w:val="96"/>
              </w:rPr>
              <w:t>SIGNATURES</w:t>
            </w:r>
          </w:p>
        </w:tc>
        <w:tc>
          <w:tcPr>
            <w:tcW w:w="9760" w:type="dxa"/>
            <w:vAlign w:val="bottom"/>
            <w:gridSpan w:val="16"/>
          </w:tcPr>
          <w:p>
            <w:pPr>
              <w:spacing w:after="0"/>
              <w:rPr>
                <w:sz w:val="13"/>
                <w:szCs w:val="13"/>
                <w:color w:val="auto"/>
              </w:rPr>
            </w:pP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spacing w:after="0" w:line="145"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spacing w:after="0" w:line="339" w:lineRule="exact"/>
        <w:rPr>
          <w:sz w:val="20"/>
          <w:szCs w:val="20"/>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re-establish profitable operations, raise additional capital or renegotiate our debt arrangements;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growth prospects and strategies;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launching new games and additional functionality to games that are commercially successful;</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significant drivers of our future growth;</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or regain compliance with the continued listing requirements of the Nasdaq Capital Market;</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and increase our player base and develop new video games and enhance our existing games;</w:t>
      </w:r>
    </w:p>
    <w:p>
      <w:pPr>
        <w:spacing w:after="0" w:line="196" w:lineRule="exact"/>
        <w:rPr>
          <w:rFonts w:ascii="Times New Roman" w:cs="Times New Roman" w:eastAsia="Times New Roman" w:hAnsi="Times New Roman"/>
          <w:sz w:val="15"/>
          <w:szCs w:val="15"/>
          <w:color w:val="auto"/>
        </w:rPr>
      </w:pPr>
    </w:p>
    <w:p>
      <w:pPr>
        <w:ind w:left="540" w:right="20" w:hanging="271"/>
        <w:spacing w:after="0" w:line="293"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from companies in a number of industries, including other casual game developers and publishers and both large and small, public and private multimedia companies;</w:t>
      </w:r>
    </w:p>
    <w:p>
      <w:pPr>
        <w:spacing w:after="0" w:line="132"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a qualified management team and other team members while controlling our labor costs;</w:t>
      </w:r>
    </w:p>
    <w:p>
      <w:pPr>
        <w:spacing w:after="0" w:line="196" w:lineRule="exact"/>
        <w:rPr>
          <w:rFonts w:ascii="Times New Roman" w:cs="Times New Roman" w:eastAsia="Times New Roman" w:hAnsi="Times New Roman"/>
          <w:sz w:val="15"/>
          <w:szCs w:val="15"/>
          <w:color w:val="auto"/>
        </w:rPr>
      </w:pPr>
    </w:p>
    <w:p>
      <w:pPr>
        <w:ind w:left="540" w:hanging="271"/>
        <w:spacing w:after="0" w:line="293"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relationships with third-party platforms such as Xbox Live and Game Pass, PlayStation Network, Steam, Epic Games Store, the Apple App Store, the Google Play Store, My Nintendo Store and the Amazon Appstore;</w:t>
      </w:r>
    </w:p>
    <w:p>
      <w:pPr>
        <w:spacing w:after="0" w:line="132"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enter new markets and manage our international expansion;</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protecting and developing our brand and intellectual property portfolio;</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defending intellectual property infringement and other claims;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business development, results of operations and financial condition;</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rulings by courts or other governmental authorities;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Share Repurchase Program (as defined below), including expectations regarding the timing and manner of repurchases made under the Share Repurchase Program;</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pursue and successfully integrate strategic acquisitions;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described in this Quarterly Report, including those described in Item 1A of Part II, “Risk Factors”; and</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assumptions underlying any of the foregoing.</w:t>
      </w:r>
    </w:p>
    <w:p>
      <w:pPr>
        <w:spacing w:after="0" w:line="196"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Further information on risks, uncertainties and other factors that could affect our financial results are included in our filings with the United States Securities and Exchange Commission (the “SEC”) from time to time, including in Item 1A of Part II,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Condensed Consolidated Financial Statement (Unaudited)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 as of September 30, 2024 and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b w:val="1"/>
                <w:bCs w:val="1"/>
                <w:i w:val="1"/>
                <w:iCs w:val="1"/>
                <w:color w:val="auto"/>
              </w:rPr>
              <w:t>September 30, 2024</w:t>
            </w:r>
          </w:p>
        </w:tc>
        <w:tc>
          <w:tcPr>
            <w:tcW w:w="220" w:type="dxa"/>
            <w:vAlign w:val="bottom"/>
          </w:tcPr>
          <w:p>
            <w:pPr>
              <w:spacing w:after="0"/>
              <w:rPr>
                <w:sz w:val="17"/>
                <w:szCs w:val="17"/>
                <w:color w:val="auto"/>
              </w:rPr>
            </w:pPr>
          </w:p>
        </w:tc>
        <w:tc>
          <w:tcPr>
            <w:tcW w:w="18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i w:val="1"/>
                <w:iCs w:val="1"/>
                <w:color w:val="auto"/>
              </w:rPr>
              <w:t>December 31, 2023</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10,566,294</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15,198,123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8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5"/>
                <w:szCs w:val="15"/>
                <w:color w:val="auto"/>
              </w:rPr>
              <w:t>Accounts receivable, net of allowances for credit losses of $523,500 as of September 30, 2024 and</w:t>
            </w: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December 31, 2023</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6,804,338</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25,134,808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3,035,555</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Loan and interest receivable - related party</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105,255</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Prepaid expenses - related party</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4,952,002</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6,044,404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1,336,744</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639,693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Prepaid taxes</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9,713,430</w:t>
            </w:r>
          </w:p>
        </w:tc>
        <w:tc>
          <w:tcPr>
            <w:tcW w:w="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9,529,755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36,513,618</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56,650,536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 and cash equivalents</w:t>
            </w:r>
          </w:p>
        </w:tc>
        <w:tc>
          <w:tcPr>
            <w:tcW w:w="2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1,119,565</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1,116,196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 related party, net of current portion</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3,000,592</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7,500,592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 related party, net of current portion</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8,994,630</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7,784,062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4,446,772</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4,682,066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 - other</w:t>
            </w:r>
          </w:p>
        </w:tc>
        <w:tc>
          <w:tcPr>
            <w:tcW w:w="2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271,115</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271,717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tcPr>
          <w:p>
            <w:pPr>
              <w:spacing w:after="0"/>
              <w:rPr>
                <w:sz w:val="16"/>
                <w:szCs w:val="16"/>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10,260,441</w:t>
            </w:r>
          </w:p>
        </w:tc>
        <w:tc>
          <w:tcPr>
            <w:tcW w:w="220" w:type="dxa"/>
            <w:vAlign w:val="bottom"/>
          </w:tcPr>
          <w:p>
            <w:pPr>
              <w:spacing w:after="0"/>
              <w:rPr>
                <w:sz w:val="16"/>
                <w:szCs w:val="16"/>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10,247,500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2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571,711</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164,170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1,600,520</w:t>
            </w:r>
          </w:p>
        </w:tc>
        <w:tc>
          <w:tcPr>
            <w:tcW w:w="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2,440,690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66,778,964</w:t>
            </w:r>
          </w:p>
        </w:tc>
        <w:tc>
          <w:tcPr>
            <w:tcW w:w="3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90,857,529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restart"/>
          </w:tcPr>
          <w:p>
            <w:pPr>
              <w:spacing w:after="0"/>
              <w:rPr>
                <w:sz w:val="13"/>
                <w:szCs w:val="13"/>
                <w:color w:val="auto"/>
              </w:rPr>
            </w:pPr>
          </w:p>
        </w:tc>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NONCONTROLLING INTERESTS AND STOCKHOLDERS’ EQUITY</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3,948,039</w:t>
            </w:r>
          </w:p>
        </w:tc>
        <w:tc>
          <w:tcPr>
            <w:tcW w:w="32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12,102,929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payable - related parties</w:t>
            </w:r>
          </w:p>
        </w:tc>
        <w:tc>
          <w:tcPr>
            <w:tcW w:w="2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15,689,072</w:t>
            </w: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23,094,436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2,734,535</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2,887,193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payable - related parties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527,770</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527,770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Revolving loan</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Notes payable</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2,333,333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Convertible notes, net of discount</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797,361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Current portion of long-term promissory note</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2,743,378</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2,811,923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Current portion of deferred revenue</w:t>
            </w:r>
          </w:p>
        </w:tc>
        <w:tc>
          <w:tcPr>
            <w:tcW w:w="200" w:type="dxa"/>
            <w:vAlign w:val="bottom"/>
          </w:tcPr>
          <w:p>
            <w:pPr>
              <w:spacing w:after="0"/>
              <w:rPr>
                <w:sz w:val="16"/>
                <w:szCs w:val="16"/>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13,349,641</w:t>
            </w:r>
          </w:p>
        </w:tc>
        <w:tc>
          <w:tcPr>
            <w:tcW w:w="220" w:type="dxa"/>
            <w:vAlign w:val="bottom"/>
          </w:tcPr>
          <w:p>
            <w:pPr>
              <w:spacing w:after="0"/>
              <w:rPr>
                <w:sz w:val="16"/>
                <w:szCs w:val="16"/>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19,252,628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1,629,835</w:t>
            </w:r>
          </w:p>
        </w:tc>
        <w:tc>
          <w:tcPr>
            <w:tcW w:w="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1,505,034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43,622,270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71,312,607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254,731</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254,731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 net of current portion</w:t>
            </w:r>
          </w:p>
        </w:tc>
        <w:tc>
          <w:tcPr>
            <w:tcW w:w="2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19,940,995</w:t>
            </w: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15,064,078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266,397</w:t>
            </w:r>
          </w:p>
        </w:tc>
        <w:tc>
          <w:tcPr>
            <w:tcW w:w="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1,425,494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64,084,393</w:t>
            </w:r>
          </w:p>
        </w:tc>
        <w:tc>
          <w:tcPr>
            <w:tcW w:w="3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88,056,910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8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Class A common stock, $0.0001 par value, 500,000,000 shares authorized; 9,379,488 shares issued and</w:t>
            </w: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8,029,213 shares outstanding as of September 30, 2024, and 9,275,420 shares issued and 7,925,145 shares</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as of December 31, 2023</w:t>
            </w:r>
          </w:p>
        </w:tc>
        <w:tc>
          <w:tcPr>
            <w:tcW w:w="200" w:type="dxa"/>
            <w:vAlign w:val="bottom"/>
          </w:tcPr>
          <w:p>
            <w:pPr>
              <w:spacing w:after="0"/>
              <w:rPr>
                <w:sz w:val="17"/>
                <w:szCs w:val="17"/>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937</w:t>
            </w:r>
          </w:p>
        </w:tc>
        <w:tc>
          <w:tcPr>
            <w:tcW w:w="22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927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Class B common stock, $0.0001 par value, 100,000,000 shares authorized; 28,748,580 shares issued and</w:t>
            </w: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September 30, 2024 and December 31, 2023</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0" w:type="dxa"/>
            <w:vAlign w:val="bottom"/>
          </w:tcPr>
          <w:p>
            <w:pPr>
              <w:spacing w:after="0"/>
              <w:rPr>
                <w:sz w:val="16"/>
                <w:szCs w:val="16"/>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25,334,672</w:t>
            </w:r>
          </w:p>
        </w:tc>
        <w:tc>
          <w:tcPr>
            <w:tcW w:w="220" w:type="dxa"/>
            <w:vAlign w:val="bottom"/>
          </w:tcPr>
          <w:p>
            <w:pPr>
              <w:spacing w:after="0"/>
              <w:rPr>
                <w:sz w:val="16"/>
                <w:szCs w:val="16"/>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26,171,575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(230,857)</w:t>
            </w: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(254,383)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200" w:type="dxa"/>
            <w:vAlign w:val="bottom"/>
          </w:tcPr>
          <w:p>
            <w:pPr>
              <w:spacing w:after="0"/>
              <w:rPr>
                <w:sz w:val="16"/>
                <w:szCs w:val="16"/>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(13,237,356)</w:t>
            </w:r>
          </w:p>
        </w:tc>
        <w:tc>
          <w:tcPr>
            <w:tcW w:w="220" w:type="dxa"/>
            <w:vAlign w:val="bottom"/>
          </w:tcPr>
          <w:p>
            <w:pPr>
              <w:spacing w:after="0"/>
              <w:rPr>
                <w:sz w:val="16"/>
                <w:szCs w:val="16"/>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(13,949,325)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 stock at cost (1,350,275 shares as of September 30, 2024 and December 31, 2023)</w:t>
            </w:r>
          </w:p>
        </w:tc>
        <w:tc>
          <w:tcPr>
            <w:tcW w:w="2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(3,671,806)</w:t>
            </w: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(3,671,806)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Total Snail, Inc. equity</w:t>
            </w:r>
          </w:p>
        </w:tc>
        <w:tc>
          <w:tcPr>
            <w:tcW w:w="2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8,198,465</w:t>
            </w:r>
          </w:p>
        </w:tc>
        <w:tc>
          <w:tcPr>
            <w:tcW w:w="3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8,299,863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2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(5,503,894)</w:t>
            </w: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(5,499,244)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0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2,694,571</w:t>
            </w:r>
          </w:p>
        </w:tc>
        <w:tc>
          <w:tcPr>
            <w:tcW w:w="3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2,800,619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 noncontrolling interests and stockholders’ equity</w:t>
            </w: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66,778,964</w:t>
            </w:r>
          </w:p>
        </w:tc>
        <w:tc>
          <w:tcPr>
            <w:tcW w:w="3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90,857,529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and Comprehensive Income (Loss) for the Three and Nine months Ended September 30, 2024 and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5"/>
          </w:tcPr>
          <w:p>
            <w:pPr>
              <w:jc w:val="right"/>
              <w:ind w:right="422"/>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right"/>
              <w:ind w:right="342"/>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i w:val="1"/>
                <w:iCs w:val="1"/>
                <w:color w:val="auto"/>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3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i w:val="1"/>
                <w:i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22,530,372</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8,981,135</w:t>
            </w:r>
          </w:p>
        </w:tc>
        <w:tc>
          <w:tcPr>
            <w:tcW w:w="2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58,252,751</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32,331,876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60" w:type="dxa"/>
            <w:vAlign w:val="bottom"/>
          </w:tcPr>
          <w:p>
            <w:pPr>
              <w:spacing w:after="0"/>
              <w:rPr>
                <w:sz w:val="17"/>
                <w:szCs w:val="17"/>
                <w:color w:val="auto"/>
              </w:rPr>
            </w:pPr>
          </w:p>
        </w:tc>
        <w:tc>
          <w:tcPr>
            <w:tcW w:w="1440" w:type="dxa"/>
            <w:vAlign w:val="bottom"/>
            <w:gridSpan w:val="2"/>
          </w:tcPr>
          <w:p>
            <w:pPr>
              <w:jc w:val="right"/>
              <w:ind w:right="283"/>
              <w:spacing w:after="0"/>
              <w:rPr>
                <w:sz w:val="20"/>
                <w:szCs w:val="20"/>
                <w:color w:val="auto"/>
              </w:rPr>
            </w:pPr>
            <w:r>
              <w:rPr>
                <w:rFonts w:ascii="Times New Roman" w:cs="Times New Roman" w:eastAsia="Times New Roman" w:hAnsi="Times New Roman"/>
                <w:sz w:val="15"/>
                <w:szCs w:val="15"/>
                <w:color w:val="auto"/>
              </w:rPr>
              <w:t>13,823,944</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9,463,086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39,369,816</w:t>
            </w:r>
          </w:p>
        </w:tc>
        <w:tc>
          <w:tcPr>
            <w:tcW w:w="280" w:type="dxa"/>
            <w:vAlign w:val="bottom"/>
          </w:tcPr>
          <w:p>
            <w:pPr>
              <w:spacing w:after="0"/>
              <w:rPr>
                <w:sz w:val="17"/>
                <w:szCs w:val="17"/>
                <w:color w:val="auto"/>
              </w:rPr>
            </w:pPr>
          </w:p>
        </w:tc>
        <w:tc>
          <w:tcPr>
            <w:tcW w:w="10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29,659,788</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Gross profit (loss)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8,706,428</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(481,951)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18,882,935</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2,672,088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3,845,301</w:t>
            </w: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3,452,141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8,923,225</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11,915,126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3,885,926</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1,317,400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7,523,329</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3,892,039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495,938</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215,477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1,331,163</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488,318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Pr>
          <w:p>
            <w:pPr>
              <w:spacing w:after="0"/>
              <w:rPr>
                <w:sz w:val="17"/>
                <w:szCs w:val="17"/>
                <w:color w:val="auto"/>
              </w:rPr>
            </w:pPr>
          </w:p>
        </w:tc>
        <w:tc>
          <w:tcPr>
            <w:tcW w:w="1440" w:type="dxa"/>
            <w:vAlign w:val="bottom"/>
            <w:gridSpan w:val="2"/>
          </w:tcPr>
          <w:p>
            <w:pPr>
              <w:jc w:val="right"/>
              <w:ind w:right="283"/>
              <w:spacing w:after="0"/>
              <w:rPr>
                <w:sz w:val="20"/>
                <w:szCs w:val="20"/>
                <w:color w:val="auto"/>
              </w:rPr>
            </w:pPr>
            <w:r>
              <w:rPr>
                <w:rFonts w:ascii="Times New Roman" w:cs="Times New Roman" w:eastAsia="Times New Roman" w:hAnsi="Times New Roman"/>
                <w:sz w:val="15"/>
                <w:szCs w:val="15"/>
                <w:color w:val="auto"/>
              </w:rPr>
              <w:t>72,402</w:t>
            </w:r>
          </w:p>
        </w:tc>
        <w:tc>
          <w:tcPr>
            <w:tcW w:w="260" w:type="dxa"/>
            <w:vAlign w:val="bottom"/>
          </w:tcPr>
          <w:p>
            <w:pPr>
              <w:spacing w:after="0"/>
              <w:rPr>
                <w:sz w:val="17"/>
                <w:szCs w:val="17"/>
                <w:color w:val="auto"/>
              </w:rPr>
            </w:pPr>
          </w:p>
        </w:tc>
        <w:tc>
          <w:tcPr>
            <w:tcW w:w="118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112,914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235,294</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346,084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8,299,567</w:t>
            </w: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5,097,932</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18,013,011</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16,641,567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406,861</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(5,579,883)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869,924</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(13,969,479)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 income</w:t>
            </w:r>
          </w:p>
        </w:tc>
        <w:tc>
          <w:tcPr>
            <w:tcW w:w="160" w:type="dxa"/>
            <w:vAlign w:val="bottom"/>
          </w:tcPr>
          <w:p>
            <w:pPr>
              <w:spacing w:after="0"/>
              <w:rPr>
                <w:sz w:val="16"/>
                <w:szCs w:val="16"/>
                <w:color w:val="auto"/>
              </w:rPr>
            </w:pPr>
          </w:p>
        </w:tc>
        <w:tc>
          <w:tcPr>
            <w:tcW w:w="1440" w:type="dxa"/>
            <w:vAlign w:val="bottom"/>
            <w:gridSpan w:val="2"/>
          </w:tcPr>
          <w:p>
            <w:pPr>
              <w:jc w:val="right"/>
              <w:ind w:right="283"/>
              <w:spacing w:after="0"/>
              <w:rPr>
                <w:sz w:val="20"/>
                <w:szCs w:val="20"/>
                <w:color w:val="auto"/>
              </w:rPr>
            </w:pPr>
            <w:r>
              <w:rPr>
                <w:rFonts w:ascii="Times New Roman" w:cs="Times New Roman" w:eastAsia="Times New Roman" w:hAnsi="Times New Roman"/>
                <w:sz w:val="15"/>
                <w:szCs w:val="15"/>
                <w:color w:val="auto"/>
              </w:rPr>
              <w:t>60,675</w:t>
            </w:r>
          </w:p>
        </w:tc>
        <w:tc>
          <w:tcPr>
            <w:tcW w:w="260" w:type="dxa"/>
            <w:vAlign w:val="bottom"/>
          </w:tcPr>
          <w:p>
            <w:pPr>
              <w:spacing w:after="0"/>
              <w:rPr>
                <w:sz w:val="16"/>
                <w:szCs w:val="16"/>
                <w:color w:val="auto"/>
              </w:rPr>
            </w:pPr>
          </w:p>
        </w:tc>
        <w:tc>
          <w:tcPr>
            <w:tcW w:w="118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47,147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225,227</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98,411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income - related parties</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504</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504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1,501</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 expense</w:t>
            </w:r>
          </w:p>
        </w:tc>
        <w:tc>
          <w:tcPr>
            <w:tcW w:w="160" w:type="dxa"/>
            <w:vAlign w:val="bottom"/>
          </w:tcPr>
          <w:p>
            <w:pPr>
              <w:spacing w:after="0"/>
              <w:rPr>
                <w:sz w:val="16"/>
                <w:szCs w:val="16"/>
                <w:color w:val="auto"/>
              </w:rPr>
            </w:pPr>
          </w:p>
        </w:tc>
        <w:tc>
          <w:tcPr>
            <w:tcW w:w="1440" w:type="dxa"/>
            <w:vAlign w:val="bottom"/>
            <w:gridSpan w:val="2"/>
          </w:tcPr>
          <w:p>
            <w:pPr>
              <w:jc w:val="right"/>
              <w:ind w:right="223"/>
              <w:spacing w:after="0"/>
              <w:rPr>
                <w:sz w:val="20"/>
                <w:szCs w:val="20"/>
                <w:color w:val="auto"/>
              </w:rPr>
            </w:pPr>
            <w:r>
              <w:rPr>
                <w:rFonts w:ascii="Times New Roman" w:cs="Times New Roman" w:eastAsia="Times New Roman" w:hAnsi="Times New Roman"/>
                <w:sz w:val="15"/>
                <w:szCs w:val="15"/>
                <w:color w:val="auto"/>
              </w:rPr>
              <w:t>(95,997)</w:t>
            </w:r>
          </w:p>
        </w:tc>
        <w:tc>
          <w:tcPr>
            <w:tcW w:w="260" w:type="dxa"/>
            <w:vAlign w:val="bottom"/>
          </w:tcPr>
          <w:p>
            <w:pPr>
              <w:spacing w:after="0"/>
              <w:rPr>
                <w:sz w:val="16"/>
                <w:szCs w:val="16"/>
                <w:color w:val="auto"/>
              </w:rPr>
            </w:pP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(370,376)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(634,262)</w:t>
            </w:r>
          </w:p>
        </w:tc>
        <w:tc>
          <w:tcPr>
            <w:tcW w:w="280" w:type="dxa"/>
            <w:vAlign w:val="bottom"/>
          </w:tcPr>
          <w:p>
            <w:pPr>
              <w:spacing w:after="0"/>
              <w:rPr>
                <w:sz w:val="16"/>
                <w:szCs w:val="16"/>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(961,196)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income</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74,891</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313,156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546,484</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321,331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Foreign currency transaction loss</w:t>
            </w:r>
          </w:p>
        </w:tc>
        <w:tc>
          <w:tcPr>
            <w:tcW w:w="160" w:type="dxa"/>
            <w:vAlign w:val="bottom"/>
          </w:tcPr>
          <w:p>
            <w:pPr>
              <w:spacing w:after="0"/>
              <w:rPr>
                <w:sz w:val="17"/>
                <w:szCs w:val="17"/>
                <w:color w:val="auto"/>
              </w:rPr>
            </w:pPr>
          </w:p>
        </w:tc>
        <w:tc>
          <w:tcPr>
            <w:tcW w:w="1440" w:type="dxa"/>
            <w:vAlign w:val="bottom"/>
            <w:gridSpan w:val="2"/>
          </w:tcPr>
          <w:p>
            <w:pPr>
              <w:jc w:val="right"/>
              <w:ind w:right="223"/>
              <w:spacing w:after="0"/>
              <w:rPr>
                <w:sz w:val="20"/>
                <w:szCs w:val="20"/>
                <w:color w:val="auto"/>
              </w:rPr>
            </w:pPr>
            <w:r>
              <w:rPr>
                <w:rFonts w:ascii="Times New Roman" w:cs="Times New Roman" w:eastAsia="Times New Roman" w:hAnsi="Times New Roman"/>
                <w:sz w:val="15"/>
                <w:szCs w:val="15"/>
                <w:color w:val="auto"/>
              </w:rPr>
              <w:t>(55,835)</w:t>
            </w:r>
          </w:p>
        </w:tc>
        <w:tc>
          <w:tcPr>
            <w:tcW w:w="260" w:type="dxa"/>
            <w:vAlign w:val="bottom"/>
          </w:tcPr>
          <w:p>
            <w:pPr>
              <w:spacing w:after="0"/>
              <w:rPr>
                <w:sz w:val="17"/>
                <w:szCs w:val="17"/>
                <w:color w:val="auto"/>
              </w:rPr>
            </w:pP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(1,394)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(32,055)</w:t>
            </w:r>
          </w:p>
        </w:tc>
        <w:tc>
          <w:tcPr>
            <w:tcW w:w="280" w:type="dxa"/>
            <w:vAlign w:val="bottom"/>
          </w:tcPr>
          <w:p>
            <w:pPr>
              <w:spacing w:after="0"/>
              <w:rPr>
                <w:sz w:val="17"/>
                <w:szCs w:val="17"/>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(25,606)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(15,762</w:t>
            </w:r>
          </w:p>
        </w:tc>
        <w:tc>
          <w:tcPr>
            <w:tcW w:w="360" w:type="dxa"/>
            <w:vAlign w:val="bottom"/>
            <w:tcBorders>
              <w:top w:val="single" w:sz="8" w:color="CCEEFF"/>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(10,963</w:t>
            </w:r>
          </w:p>
        </w:tc>
        <w:tc>
          <w:tcPr>
            <w:tcW w:w="20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106,895</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(565,564</w:t>
            </w:r>
          </w:p>
        </w:tc>
        <w:tc>
          <w:tcPr>
            <w:tcW w:w="10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(loss) before provision for (benefit from) income taxes</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391,099</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(5,590,846)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976,819</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(14,535,043)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(benefit from) income taxes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157,938</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(1,156,675)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269,501</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(3,044,380)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233,161</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(4,434,171)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707,318</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(11,490,663)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non-controlling interests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(1,986)</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(1,539)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(4,650)</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(7,222)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 attributable to Snail, Inc.</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235,147</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(4,432,632)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711,968</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(11,483,441)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Comprehensive income (loss) statement: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233,161</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(4,434,171)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707,318</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(11,490,663)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1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Other comprehensive income (loss) related to foreign currency translation</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net of tax</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52,116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(1,512)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23,526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19,515</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comprehensive income (loss)</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285,277</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(4,435,683)</w:t>
            </w:r>
          </w:p>
        </w:tc>
        <w:tc>
          <w:tcPr>
            <w:tcW w:w="3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730,844</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(11,471,148)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restart"/>
          </w:tcPr>
          <w:p>
            <w:pPr>
              <w:spacing w:after="0"/>
              <w:rPr>
                <w:sz w:val="13"/>
                <w:szCs w:val="13"/>
                <w:color w:val="auto"/>
              </w:rPr>
            </w:pPr>
          </w:p>
        </w:tc>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(loss) attributable to Class A common stockholders:</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Basic</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40" w:type="dxa"/>
            <w:vAlign w:val="bottom"/>
            <w:gridSpan w:val="2"/>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51,312</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b w:val="1"/>
                <w:bCs w:val="1"/>
                <w:color w:val="auto"/>
              </w:rPr>
              <w:t>(955,763)</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154,972</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b w:val="1"/>
                <w:bCs w:val="1"/>
                <w:color w:val="auto"/>
              </w:rPr>
              <w:t>(2,477,768)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Diluted</w:t>
            </w:r>
          </w:p>
        </w:tc>
        <w:tc>
          <w:tcPr>
            <w:tcW w:w="160" w:type="dxa"/>
            <w:vAlign w:val="bottom"/>
            <w:tcBorders>
              <w:top w:val="single" w:sz="8" w:color="auto"/>
              <w:bottom w:val="single" w:sz="8" w:color="auto"/>
            </w:tcBorders>
            <w:shd w:val="clear" w:color="auto" w:fill="CCEEFF"/>
          </w:tcPr>
          <w:p>
            <w:pPr>
              <w:jc w:val="right"/>
              <w:ind w:right="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51,312</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(955,763</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127,440</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(2,477,768</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restart"/>
          </w:tcPr>
          <w:p>
            <w:pPr>
              <w:spacing w:after="0"/>
              <w:rPr>
                <w:sz w:val="13"/>
                <w:szCs w:val="13"/>
                <w:color w:val="auto"/>
              </w:rPr>
            </w:pPr>
          </w:p>
        </w:tc>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(loss) attributable to Class B common stockholders:</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Basic</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40" w:type="dxa"/>
            <w:vAlign w:val="bottom"/>
            <w:gridSpan w:val="2"/>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183,835</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b w:val="1"/>
                <w:bCs w:val="1"/>
                <w:color w:val="auto"/>
              </w:rPr>
              <w:t>(3,476,869)</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556,996</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b w:val="1"/>
                <w:bCs w:val="1"/>
                <w:color w:val="auto"/>
              </w:rPr>
              <w:t>(9,005,673)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Diluted</w:t>
            </w:r>
          </w:p>
        </w:tc>
        <w:tc>
          <w:tcPr>
            <w:tcW w:w="160" w:type="dxa"/>
            <w:vAlign w:val="bottom"/>
            <w:tcBorders>
              <w:top w:val="single" w:sz="8" w:color="auto"/>
              <w:bottom w:val="single" w:sz="8" w:color="auto"/>
            </w:tcBorders>
            <w:shd w:val="clear" w:color="auto" w:fill="CCEEFF"/>
          </w:tcPr>
          <w:p>
            <w:pPr>
              <w:jc w:val="right"/>
              <w:ind w:right="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183,835</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(3,476,869</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458,041</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(9,005,673</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restart"/>
          </w:tcPr>
          <w:p>
            <w:pPr>
              <w:spacing w:after="0"/>
              <w:rPr>
                <w:sz w:val="13"/>
                <w:szCs w:val="13"/>
                <w:color w:val="auto"/>
              </w:rPr>
            </w:pPr>
          </w:p>
        </w:tc>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1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Income (loss) per share attributable to Class A and B common</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Basic</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40" w:type="dxa"/>
            <w:vAlign w:val="bottom"/>
            <w:gridSpan w:val="2"/>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0.01</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b w:val="1"/>
                <w:bCs w:val="1"/>
                <w:color w:val="auto"/>
              </w:rPr>
              <w:t>(0.12)</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0.02</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b w:val="1"/>
                <w:bCs w:val="1"/>
                <w:color w:val="auto"/>
              </w:rPr>
              <w:t>(0.31)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Diluted</w:t>
            </w:r>
          </w:p>
        </w:tc>
        <w:tc>
          <w:tcPr>
            <w:tcW w:w="160" w:type="dxa"/>
            <w:vAlign w:val="bottom"/>
            <w:tcBorders>
              <w:top w:val="single" w:sz="8" w:color="auto"/>
              <w:bottom w:val="single" w:sz="8" w:color="auto"/>
            </w:tcBorders>
            <w:shd w:val="clear" w:color="auto" w:fill="CCEEFF"/>
          </w:tcPr>
          <w:p>
            <w:pPr>
              <w:jc w:val="right"/>
              <w:ind w:right="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0.01</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(0.12</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0.02</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(0.31</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11260"/>
          </w:cols>
          <w:pgMar w:left="320" w:top="605" w:right="319" w:bottom="1440" w:gutter="0" w:footer="0" w:header="0"/>
        </w:sectPr>
      </w:pPr>
    </w:p>
    <w:p>
      <w:pPr>
        <w:ind w:right="180"/>
        <w:spacing w:after="0" w:line="269" w:lineRule="auto"/>
        <w:rPr>
          <w:sz w:val="20"/>
          <w:szCs w:val="20"/>
          <w:color w:val="auto"/>
        </w:rPr>
      </w:pPr>
      <w:r>
        <w:rPr>
          <w:rFonts w:ascii="Times New Roman" w:cs="Times New Roman" w:eastAsia="Times New Roman" w:hAnsi="Times New Roman"/>
          <w:sz w:val="15"/>
          <w:szCs w:val="15"/>
          <w:b w:val="1"/>
          <w:bCs w:val="1"/>
          <w:color w:val="auto"/>
        </w:rPr>
        <w:t>Weighted-average shares used to compute income (loss) per share attributable to Class A common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Diluted</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8,024,369</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7,901,145</w:t>
            </w:r>
          </w:p>
        </w:tc>
        <w:tc>
          <w:tcPr>
            <w:tcW w:w="340" w:type="dxa"/>
            <w:vAlign w:val="bottom"/>
          </w:tcPr>
          <w:p>
            <w:pPr>
              <w:spacing w:after="0"/>
              <w:rPr>
                <w:sz w:val="17"/>
                <w:szCs w:val="17"/>
                <w:color w:val="auto"/>
              </w:rPr>
            </w:pP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5"/>
                <w:szCs w:val="15"/>
                <w:b w:val="1"/>
                <w:bCs w:val="1"/>
                <w:color w:val="auto"/>
              </w:rPr>
              <w:t>7,998,686</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7,909,715</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2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8,024,369</w:t>
            </w:r>
          </w:p>
        </w:tc>
        <w:tc>
          <w:tcPr>
            <w:tcW w:w="360" w:type="dxa"/>
            <w:vAlign w:val="bottom"/>
          </w:tcPr>
          <w:p>
            <w:pPr>
              <w:spacing w:after="0"/>
              <w:rPr>
                <w:sz w:val="13"/>
                <w:szCs w:val="13"/>
                <w:color w:val="auto"/>
              </w:rPr>
            </w:pPr>
          </w:p>
        </w:tc>
        <w:tc>
          <w:tcPr>
            <w:tcW w:w="12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7,901,145</w:t>
            </w:r>
          </w:p>
        </w:tc>
        <w:tc>
          <w:tcPr>
            <w:tcW w:w="340" w:type="dxa"/>
            <w:vAlign w:val="bottom"/>
          </w:tcPr>
          <w:p>
            <w:pPr>
              <w:spacing w:after="0"/>
              <w:rPr>
                <w:sz w:val="13"/>
                <w:szCs w:val="13"/>
                <w:color w:val="auto"/>
              </w:rPr>
            </w:pPr>
          </w:p>
        </w:tc>
        <w:tc>
          <w:tcPr>
            <w:tcW w:w="1240" w:type="dxa"/>
            <w:vAlign w:val="bottom"/>
            <w:tcBorders>
              <w:bottom w:val="single" w:sz="8" w:color="auto"/>
            </w:tcBorders>
          </w:tcPr>
          <w:p>
            <w:pPr>
              <w:ind w:left="640"/>
              <w:spacing w:after="0" w:line="159" w:lineRule="exact"/>
              <w:rPr>
                <w:sz w:val="20"/>
                <w:szCs w:val="20"/>
                <w:color w:val="auto"/>
              </w:rPr>
            </w:pPr>
            <w:r>
              <w:rPr>
                <w:rFonts w:ascii="Times New Roman" w:cs="Times New Roman" w:eastAsia="Times New Roman" w:hAnsi="Times New Roman"/>
                <w:sz w:val="15"/>
                <w:szCs w:val="15"/>
                <w:b w:val="1"/>
                <w:bCs w:val="1"/>
                <w:color w:val="auto"/>
                <w:w w:val="96"/>
              </w:rPr>
              <w:t>8,148,133</w:t>
            </w:r>
          </w:p>
        </w:tc>
        <w:tc>
          <w:tcPr>
            <w:tcW w:w="320" w:type="dxa"/>
            <w:vAlign w:val="bottom"/>
            <w:vMerge w:val="continue"/>
          </w:tcPr>
          <w:p>
            <w:pPr>
              <w:spacing w:after="0"/>
              <w:rPr>
                <w:sz w:val="13"/>
                <w:szCs w:val="13"/>
                <w:color w:val="auto"/>
              </w:rPr>
            </w:pPr>
          </w:p>
        </w:tc>
        <w:tc>
          <w:tcPr>
            <w:tcW w:w="12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7,909,715</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-526415</wp:posOffset>
            </wp:positionV>
            <wp:extent cx="7152640" cy="234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640" cy="234315"/>
                    </a:xfrm>
                    <a:prstGeom prst="rect">
                      <a:avLst/>
                    </a:prstGeom>
                    <a:noFill/>
                  </pic:spPr>
                </pic:pic>
              </a:graphicData>
            </a:graphic>
          </wp:anchor>
        </w:drawing>
        <w:drawing>
          <wp:anchor simplePos="0" relativeHeight="251657728" behindDoc="1" locked="0" layoutInCell="0" allowOverlap="1">
            <wp:simplePos x="0" y="0"/>
            <wp:positionH relativeFrom="column">
              <wp:posOffset>-3293745</wp:posOffset>
            </wp:positionH>
            <wp:positionV relativeFrom="paragraph">
              <wp:posOffset>-153035</wp:posOffset>
            </wp:positionV>
            <wp:extent cx="7152640" cy="139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640" cy="13906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4460" w:space="720"/>
            <w:col w:w="6080"/>
          </w:cols>
          <w:pgMar w:left="320" w:top="605" w:right="319" w:bottom="1440" w:gutter="0" w:footer="0" w:header="0"/>
          <w:type w:val="continuous"/>
        </w:sectPr>
      </w:pPr>
    </w:p>
    <w:p>
      <w:pPr>
        <w:ind w:right="180"/>
        <w:spacing w:after="0" w:line="269" w:lineRule="auto"/>
        <w:rPr>
          <w:sz w:val="20"/>
          <w:szCs w:val="20"/>
          <w:color w:val="auto"/>
        </w:rPr>
      </w:pPr>
      <w:r>
        <w:rPr>
          <w:rFonts w:ascii="Times New Roman" w:cs="Times New Roman" w:eastAsia="Times New Roman" w:hAnsi="Times New Roman"/>
          <w:sz w:val="15"/>
          <w:szCs w:val="15"/>
          <w:b w:val="1"/>
          <w:bCs w:val="1"/>
          <w:color w:val="auto"/>
        </w:rPr>
        <w:t>Weighted-average shares used to compute income (loss) per share attributable to Class B common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Diluted</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2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360" w:type="dxa"/>
            <w:vAlign w:val="bottom"/>
            <w:vMerge w:val="continue"/>
          </w:tcPr>
          <w:p>
            <w:pPr>
              <w:spacing w:after="0"/>
              <w:rPr>
                <w:sz w:val="13"/>
                <w:szCs w:val="13"/>
                <w:color w:val="auto"/>
              </w:rPr>
            </w:pPr>
          </w:p>
        </w:tc>
        <w:tc>
          <w:tcPr>
            <w:tcW w:w="12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340" w:type="dxa"/>
            <w:vAlign w:val="bottom"/>
            <w:vMerge w:val="continue"/>
          </w:tcPr>
          <w:p>
            <w:pPr>
              <w:spacing w:after="0"/>
              <w:rPr>
                <w:sz w:val="13"/>
                <w:szCs w:val="13"/>
                <w:color w:val="auto"/>
              </w:rPr>
            </w:pPr>
          </w:p>
        </w:tc>
        <w:tc>
          <w:tcPr>
            <w:tcW w:w="1240" w:type="dxa"/>
            <w:vAlign w:val="bottom"/>
            <w:tcBorders>
              <w:bottom w:val="single" w:sz="8" w:color="auto"/>
            </w:tcBorders>
          </w:tcPr>
          <w:p>
            <w:pPr>
              <w:ind w:left="560"/>
              <w:spacing w:after="0" w:line="159" w:lineRule="exact"/>
              <w:rPr>
                <w:sz w:val="20"/>
                <w:szCs w:val="20"/>
                <w:color w:val="auto"/>
              </w:rPr>
            </w:pPr>
            <w:r>
              <w:rPr>
                <w:rFonts w:ascii="Times New Roman" w:cs="Times New Roman" w:eastAsia="Times New Roman" w:hAnsi="Times New Roman"/>
                <w:sz w:val="15"/>
                <w:szCs w:val="15"/>
                <w:b w:val="1"/>
                <w:bCs w:val="1"/>
                <w:color w:val="auto"/>
                <w:w w:val="97"/>
              </w:rPr>
              <w:t>28,748,580</w:t>
            </w:r>
          </w:p>
        </w:tc>
        <w:tc>
          <w:tcPr>
            <w:tcW w:w="320" w:type="dxa"/>
            <w:vAlign w:val="bottom"/>
            <w:vMerge w:val="continue"/>
          </w:tcPr>
          <w:p>
            <w:pPr>
              <w:spacing w:after="0"/>
              <w:rPr>
                <w:sz w:val="13"/>
                <w:szCs w:val="13"/>
                <w:color w:val="auto"/>
              </w:rPr>
            </w:pPr>
          </w:p>
        </w:tc>
        <w:tc>
          <w:tcPr>
            <w:tcW w:w="12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-526415</wp:posOffset>
            </wp:positionV>
            <wp:extent cx="7152640" cy="234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640" cy="234315"/>
                    </a:xfrm>
                    <a:prstGeom prst="rect">
                      <a:avLst/>
                    </a:prstGeom>
                    <a:noFill/>
                  </pic:spPr>
                </pic:pic>
              </a:graphicData>
            </a:graphic>
          </wp:anchor>
        </w:drawing>
        <w:drawing>
          <wp:anchor simplePos="0" relativeHeight="251657728" behindDoc="1" locked="0" layoutInCell="0" allowOverlap="1">
            <wp:simplePos x="0" y="0"/>
            <wp:positionH relativeFrom="column">
              <wp:posOffset>-3293745</wp:posOffset>
            </wp:positionH>
            <wp:positionV relativeFrom="paragraph">
              <wp:posOffset>-153035</wp:posOffset>
            </wp:positionV>
            <wp:extent cx="7152640" cy="139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640" cy="13906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4460" w:space="720"/>
            <w:col w:w="6080"/>
          </w:cols>
          <w:pgMar w:left="320" w:top="605"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type w:val="continuous"/>
        </w:sectPr>
      </w:pPr>
    </w:p>
    <w:bookmarkStart w:id="5" w:name="page6"/>
    <w:bookmarkEnd w:id="5"/>
    <w:p>
      <w:pPr>
        <w:spacing w:after="0" w:line="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Equity for the Three and Nine months Ended September 30, 2024 and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gridSpan w:val="4"/>
          </w:tcPr>
          <w:p>
            <w:pPr>
              <w:jc w:val="center"/>
              <w:ind w:left="243"/>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left="343"/>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Snail, Inc.</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Non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gridSpan w:val="6"/>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54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8"/>
                <w:szCs w:val="18"/>
                <w:color w:val="auto"/>
              </w:rPr>
            </w:pPr>
          </w:p>
        </w:tc>
        <w:tc>
          <w:tcPr>
            <w:tcW w:w="1640" w:type="dxa"/>
            <w:vAlign w:val="bottom"/>
            <w:gridSpan w:val="6"/>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6"/>
                <w:szCs w:val="16"/>
                <w:color w:val="auto"/>
              </w:rPr>
            </w:pPr>
          </w:p>
        </w:tc>
        <w:tc>
          <w:tcPr>
            <w:tcW w:w="84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9,251,420</w:t>
            </w: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$23,436,942</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(307,200)</w:t>
            </w: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(4,863,250)</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(1,197,649)</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$(3,414,713)</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$14,855,579</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$(5,490,895)</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9,364,684</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Stock based</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to</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152,595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152,595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152,595</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Repurchase</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 common</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(152,626)</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(257,093)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(257,093)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(257,093)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2,320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2,320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2,320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(2,971,378)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(2,971,378)</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(1,219)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(2,972,597)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9,251,420</w:t>
            </w: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$23,589,537</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(304,880)</w:t>
            </w: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(7,834,628)</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(1,350,275)</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$(3,671,806)</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$11,782,023</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$(5,492,114)</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6,289,909</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Return of</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withholding</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1,886,600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1,886,600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1,886,600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Stock based</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to</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232,770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232,770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232,770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18,707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18,707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18,707</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(4,079,431)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(4,079,431)</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(4,464)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(4,083,895)</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9,251,420</w:t>
            </w: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$25,708,907</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(286,173)</w:t>
            </w: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(11,914,059)</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(1,350,275)</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$(3,671,806)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9,840,669</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$(5,496,578)</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4,344,091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Stock based</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to</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236,642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236,642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236,642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(1,512)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(1,512)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(1,512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(4,432,632)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(4,432,632)</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(1,539)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(4,434,171)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9,251,420</w:t>
            </w: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25,945,549</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(287,685) $</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(16,346,691)</w:t>
            </w:r>
          </w:p>
        </w:tc>
        <w:tc>
          <w:tcPr>
            <w:tcW w:w="176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(1,350,275)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(3,671,806)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5,643,167</w:t>
            </w:r>
          </w:p>
        </w:tc>
        <w:tc>
          <w:tcPr>
            <w:tcW w:w="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(5,498,117) $</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gridSpan w:val="4"/>
          </w:tcPr>
          <w:p>
            <w:pPr>
              <w:jc w:val="center"/>
              <w:ind w:left="243"/>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left="343"/>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Snail, Inc.</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Non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gridSpan w:val="6"/>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54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8"/>
                <w:szCs w:val="18"/>
                <w:color w:val="auto"/>
              </w:rPr>
            </w:pPr>
          </w:p>
        </w:tc>
        <w:tc>
          <w:tcPr>
            <w:tcW w:w="1640" w:type="dxa"/>
            <w:vAlign w:val="bottom"/>
            <w:gridSpan w:val="6"/>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6"/>
                <w:szCs w:val="16"/>
                <w:color w:val="auto"/>
              </w:rPr>
            </w:pPr>
          </w:p>
        </w:tc>
        <w:tc>
          <w:tcPr>
            <w:tcW w:w="84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 w:type="dxa"/>
            <w:vAlign w:val="bottom"/>
          </w:tcPr>
          <w:p>
            <w:pPr>
              <w:spacing w:after="0"/>
              <w:rPr>
                <w:sz w:val="16"/>
                <w:szCs w:val="16"/>
                <w:color w:val="auto"/>
              </w:rPr>
            </w:pPr>
          </w:p>
        </w:tc>
        <w:tc>
          <w:tcPr>
            <w:tcW w:w="8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interests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9,275,420</w:t>
            </w: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$26,171,575</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(254,383)</w:t>
            </w: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(13,949,325)</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(1,350,275)</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$(3,671,806)</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$ 8,299,863</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$(5,499,244)</w:t>
            </w:r>
          </w:p>
        </w:tc>
        <w:tc>
          <w:tcPr>
            <w:tcW w:w="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2,800,619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Conversion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 notes</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payable</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71,460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59,993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8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Stock based</w:t>
            </w:r>
          </w:p>
        </w:tc>
        <w:tc>
          <w:tcPr>
            <w:tcW w:w="6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line="170"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
              <w:spacing w:after="0" w:line="170" w:lineRule="exact"/>
              <w:rPr>
                <w:sz w:val="20"/>
                <w:szCs w:val="20"/>
                <w:color w:val="auto"/>
              </w:rPr>
            </w:pPr>
            <w:r>
              <w:rPr>
                <w:rFonts w:ascii="Times New Roman" w:cs="Times New Roman" w:eastAsia="Times New Roman" w:hAnsi="Times New Roman"/>
                <w:sz w:val="15"/>
                <w:szCs w:val="15"/>
                <w:color w:val="auto"/>
              </w:rPr>
              <w:t>(926,875)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60"/>
              <w:spacing w:after="0" w:line="170"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line="170"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100"/>
              <w:spacing w:after="0" w:line="170"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70" w:lineRule="exact"/>
              <w:rPr>
                <w:sz w:val="20"/>
                <w:szCs w:val="20"/>
                <w:color w:val="auto"/>
              </w:rPr>
            </w:pPr>
            <w:r>
              <w:rPr>
                <w:rFonts w:ascii="Times New Roman" w:cs="Times New Roman" w:eastAsia="Times New Roman" w:hAnsi="Times New Roman"/>
                <w:sz w:val="15"/>
                <w:szCs w:val="15"/>
                <w:color w:val="auto"/>
              </w:rPr>
              <w:t>(926,875)</w:t>
            </w:r>
          </w:p>
        </w:tc>
        <w:tc>
          <w:tcPr>
            <w:tcW w:w="760" w:type="dxa"/>
            <w:vAlign w:val="bottom"/>
            <w:gridSpan w:val="2"/>
            <w:shd w:val="clear" w:color="auto" w:fill="CCEEFF"/>
          </w:tcPr>
          <w:p>
            <w:pPr>
              <w:jc w:val="right"/>
              <w:ind w:right="20"/>
              <w:spacing w:after="0" w:line="170"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rPr>
              <w:t>(926,875)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320" w:top="605" w:right="2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color w:val="auto"/>
        </w:rPr>
        <w:t>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20344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511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restricted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stock units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w:t>
            </w: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issued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service</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10,869</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(19,297)</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(19,297)</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(19,297)</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(1,779,329)</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(1,779,329)</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(1,780,458)</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9,357,749</w:t>
            </w: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935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$25,304,692</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(273,680)</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(15,728,654)</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(1,350,275)</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$(3,671,806)</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$ 5,634,362</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$(5,500,373)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133,989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Stock based</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to</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14,982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14,982</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14,982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Common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issued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service</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10,870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(9,293)</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(9,293)</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2,256,151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2,256,151</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2,254,616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9,368,619</w:t>
            </w: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936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$25,319,673</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(282,973)</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(13,472,503)</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(1,350,275)</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$(3,671,806)</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$ 7,896,202</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$(5,501,908)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2,394,294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Stock based</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to</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15,000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15,000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15,000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Common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issued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service</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10,869</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52,116</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52,116</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235,147</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235,147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9,379,488</w:t>
            </w: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937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25,334,672</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gridSpan w:val="3"/>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(230,857) $</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(13,237,356)</w:t>
            </w:r>
          </w:p>
        </w:tc>
        <w:tc>
          <w:tcPr>
            <w:tcW w:w="2520" w:type="dxa"/>
            <w:vAlign w:val="bottom"/>
            <w:gridSpan w:val="8"/>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xml:space="preserve">(1,350,275)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(3,671,806) $ 8,198,465</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(5,503,894)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2,694,571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2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for the Nine months Ended September 30, 2024 and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7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i w:val="1"/>
                <w:i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160" w:type="dxa"/>
            <w:vAlign w:val="bottom"/>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707,318</w:t>
            </w:r>
          </w:p>
        </w:tc>
        <w:tc>
          <w:tcPr>
            <w:tcW w:w="320" w:type="dxa"/>
            <w:vAlign w:val="bottom"/>
          </w:tcPr>
          <w:p>
            <w:pPr>
              <w:spacing w:after="0"/>
              <w:rPr>
                <w:sz w:val="16"/>
                <w:szCs w:val="16"/>
                <w:color w:val="auto"/>
              </w:rPr>
            </w:pPr>
          </w:p>
        </w:tc>
        <w:tc>
          <w:tcPr>
            <w:tcW w:w="44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(11,490,663)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(used in) operating activities:</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Amortization - intangible assets - license, related parties</w:t>
            </w:r>
          </w:p>
        </w:tc>
        <w:tc>
          <w:tcPr>
            <w:tcW w:w="1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1,253,623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Amortization - intangible assets - other</w:t>
            </w:r>
          </w:p>
        </w:tc>
        <w:tc>
          <w:tcPr>
            <w:tcW w:w="1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5"/>
                <w:szCs w:val="15"/>
                <w:color w:val="auto"/>
              </w:rPr>
              <w:t>603</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603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Amortization - loan origination fees and debt discounts</w:t>
            </w:r>
          </w:p>
        </w:tc>
        <w:tc>
          <w:tcPr>
            <w:tcW w:w="1160" w:type="dxa"/>
            <w:vAlign w:val="bottom"/>
          </w:tcPr>
          <w:p>
            <w:pPr>
              <w:spacing w:after="0"/>
              <w:rPr>
                <w:sz w:val="16"/>
                <w:szCs w:val="16"/>
                <w:color w:val="auto"/>
              </w:rPr>
            </w:pPr>
          </w:p>
        </w:tc>
        <w:tc>
          <w:tcPr>
            <w:tcW w:w="1080" w:type="dxa"/>
            <w:vAlign w:val="bottom"/>
            <w:gridSpan w:val="2"/>
          </w:tcPr>
          <w:p>
            <w:pPr>
              <w:jc w:val="right"/>
              <w:ind w:right="282"/>
              <w:spacing w:after="0"/>
              <w:rPr>
                <w:sz w:val="20"/>
                <w:szCs w:val="20"/>
                <w:color w:val="auto"/>
              </w:rPr>
            </w:pPr>
            <w:r>
              <w:rPr>
                <w:rFonts w:ascii="Times New Roman" w:cs="Times New Roman" w:eastAsia="Times New Roman" w:hAnsi="Times New Roman"/>
                <w:sz w:val="15"/>
                <w:szCs w:val="15"/>
                <w:color w:val="auto"/>
              </w:rPr>
              <w:t>60,242</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142,656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Accretion – convertible notes</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222,628</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 - property and equipment</w:t>
            </w:r>
          </w:p>
        </w:tc>
        <w:tc>
          <w:tcPr>
            <w:tcW w:w="1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235,294</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346,084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 expense (income)</w:t>
            </w:r>
          </w:p>
        </w:tc>
        <w:tc>
          <w:tcPr>
            <w:tcW w:w="1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(896,893)</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622,007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 income from restricted escrow deposit</w:t>
            </w:r>
          </w:p>
        </w:tc>
        <w:tc>
          <w:tcPr>
            <w:tcW w:w="1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(33,935)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taxes, net</w:t>
            </w:r>
          </w:p>
        </w:tc>
        <w:tc>
          <w:tcPr>
            <w:tcW w:w="1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(12,884)</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(3,058,738)</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1160" w:type="dxa"/>
            <w:vAlign w:val="bottom"/>
          </w:tcPr>
          <w:p>
            <w:pPr>
              <w:spacing w:after="0"/>
              <w:rPr>
                <w:sz w:val="16"/>
                <w:szCs w:val="16"/>
                <w:color w:val="auto"/>
              </w:rPr>
            </w:pPr>
          </w:p>
        </w:tc>
        <w:tc>
          <w:tcPr>
            <w:tcW w:w="1080" w:type="dxa"/>
            <w:vAlign w:val="bottom"/>
            <w:gridSpan w:val="2"/>
          </w:tcPr>
          <w:p>
            <w:pPr>
              <w:jc w:val="right"/>
              <w:ind w:right="282"/>
              <w:spacing w:after="0"/>
              <w:rPr>
                <w:sz w:val="20"/>
                <w:szCs w:val="20"/>
                <w:color w:val="auto"/>
              </w:rPr>
            </w:pPr>
            <w:r>
              <w:rPr>
                <w:rFonts w:ascii="Times New Roman" w:cs="Times New Roman" w:eastAsia="Times New Roman" w:hAnsi="Times New Roman"/>
                <w:sz w:val="15"/>
                <w:szCs w:val="15"/>
                <w:color w:val="auto"/>
              </w:rPr>
              <w:t>18,330,470</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2,674,655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1,464,445</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(255,045)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Prepaid expenses - related party</w:t>
            </w:r>
          </w:p>
        </w:tc>
        <w:tc>
          <w:tcPr>
            <w:tcW w:w="1160" w:type="dxa"/>
            <w:vAlign w:val="bottom"/>
          </w:tcPr>
          <w:p>
            <w:pPr>
              <w:spacing w:after="0"/>
              <w:rPr>
                <w:sz w:val="16"/>
                <w:szCs w:val="16"/>
                <w:color w:val="auto"/>
              </w:rPr>
            </w:pP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(118,167)</w:t>
            </w: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(2,500,000)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(697,051)</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156,450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Prepaid taxes</w:t>
            </w:r>
          </w:p>
        </w:tc>
        <w:tc>
          <w:tcPr>
            <w:tcW w:w="1160" w:type="dxa"/>
            <w:vAlign w:val="bottom"/>
          </w:tcPr>
          <w:p>
            <w:pPr>
              <w:spacing w:after="0"/>
              <w:rPr>
                <w:sz w:val="16"/>
                <w:szCs w:val="16"/>
                <w:color w:val="auto"/>
              </w:rPr>
            </w:pP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(183,675)</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(407,441)</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(2,903)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1160" w:type="dxa"/>
            <w:vAlign w:val="bottom"/>
          </w:tcPr>
          <w:p>
            <w:pPr>
              <w:spacing w:after="0"/>
              <w:rPr>
                <w:sz w:val="16"/>
                <w:szCs w:val="16"/>
                <w:color w:val="auto"/>
              </w:rPr>
            </w:pP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(7,891,975)</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846,553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payable - related parties</w:t>
            </w:r>
          </w:p>
        </w:tc>
        <w:tc>
          <w:tcPr>
            <w:tcW w:w="1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(7,405,363)</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(248,391)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160" w:type="dxa"/>
            <w:vAlign w:val="bottom"/>
          </w:tcPr>
          <w:p>
            <w:pPr>
              <w:spacing w:after="0"/>
              <w:rPr>
                <w:sz w:val="16"/>
                <w:szCs w:val="16"/>
                <w:color w:val="auto"/>
              </w:rPr>
            </w:pP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(152,658)</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134,131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receivable - related party</w:t>
            </w:r>
          </w:p>
        </w:tc>
        <w:tc>
          <w:tcPr>
            <w:tcW w:w="1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(1,501)</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(1,496)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Lease liabilities</w:t>
            </w:r>
          </w:p>
        </w:tc>
        <w:tc>
          <w:tcPr>
            <w:tcW w:w="1160" w:type="dxa"/>
            <w:vAlign w:val="bottom"/>
          </w:tcPr>
          <w:p>
            <w:pPr>
              <w:spacing w:after="0"/>
              <w:rPr>
                <w:sz w:val="16"/>
                <w:szCs w:val="16"/>
                <w:color w:val="auto"/>
              </w:rPr>
            </w:pP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(194,125)</w:t>
            </w: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(148,233)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revenue</w:t>
            </w:r>
          </w:p>
        </w:tc>
        <w:tc>
          <w:tcPr>
            <w:tcW w:w="1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(1,026,070)</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767,883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1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2,033,197</w:t>
            </w:r>
          </w:p>
        </w:tc>
        <w:tc>
          <w:tcPr>
            <w:tcW w:w="32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(10,794,759</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Repayments on promissory note</w:t>
            </w:r>
          </w:p>
        </w:tc>
        <w:tc>
          <w:tcPr>
            <w:tcW w:w="1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(68,545)</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(59,589)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Repayments on notes payable</w:t>
            </w:r>
          </w:p>
        </w:tc>
        <w:tc>
          <w:tcPr>
            <w:tcW w:w="1160" w:type="dxa"/>
            <w:vAlign w:val="bottom"/>
          </w:tcPr>
          <w:p>
            <w:pPr>
              <w:spacing w:after="0"/>
              <w:rPr>
                <w:sz w:val="16"/>
                <w:szCs w:val="16"/>
                <w:color w:val="auto"/>
              </w:rPr>
            </w:pP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(2,333,333)</w:t>
            </w: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(3,750,000)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Repayments on convertible notes</w:t>
            </w:r>
          </w:p>
        </w:tc>
        <w:tc>
          <w:tcPr>
            <w:tcW w:w="1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(1,020,000)</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Repayments on revolving loan</w:t>
            </w:r>
          </w:p>
        </w:tc>
        <w:tc>
          <w:tcPr>
            <w:tcW w:w="1160" w:type="dxa"/>
            <w:vAlign w:val="bottom"/>
          </w:tcPr>
          <w:p>
            <w:pPr>
              <w:spacing w:after="0"/>
              <w:rPr>
                <w:sz w:val="16"/>
                <w:szCs w:val="16"/>
                <w:color w:val="auto"/>
              </w:rPr>
            </w:pP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(3,000,000)</w:t>
            </w: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(3,000,000)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Borrowings on notes payable</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2,275,000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issuance of convertible notes</w:t>
            </w:r>
          </w:p>
        </w:tc>
        <w:tc>
          <w:tcPr>
            <w:tcW w:w="1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847,500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Refund of dividend withholding tax overpayment</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1,886,600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1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(257,093)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Payments of capitalized offering costs</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(342,318)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Payments of offering costs in accounts payable</w:t>
            </w:r>
          </w:p>
        </w:tc>
        <w:tc>
          <w:tcPr>
            <w:tcW w:w="1160" w:type="dxa"/>
            <w:vAlign w:val="bottom"/>
          </w:tcPr>
          <w:p>
            <w:pPr>
              <w:spacing w:after="0"/>
              <w:rPr>
                <w:sz w:val="17"/>
                <w:szCs w:val="17"/>
                <w:color w:val="auto"/>
              </w:rPr>
            </w:pP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(262,914)</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(6,684,792</w:t>
            </w:r>
          </w:p>
        </w:tc>
        <w:tc>
          <w:tcPr>
            <w:tcW w:w="320" w:type="dxa"/>
            <w:vAlign w:val="bottom"/>
            <w:tcBorders>
              <w:top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(2,399,900</w:t>
            </w:r>
          </w:p>
        </w:tc>
        <w:tc>
          <w:tcPr>
            <w:tcW w:w="10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foreign currency translation on cash and cash equivalents</w:t>
            </w:r>
          </w:p>
        </w:tc>
        <w:tc>
          <w:tcPr>
            <w:tcW w:w="1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5"/>
                <w:szCs w:val="15"/>
                <w:color w:val="auto"/>
              </w:rPr>
              <w:t>23,135</w:t>
            </w: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20,390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decrease in cash and cash equivalents, and restricted cash and cash equivalents</w:t>
            </w:r>
          </w:p>
        </w:tc>
        <w:tc>
          <w:tcPr>
            <w:tcW w:w="1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(4,628,460)</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(13,174,269)</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and restricted cash and cash equivalents - beginning of the period</w:t>
            </w:r>
          </w:p>
        </w:tc>
        <w:tc>
          <w:tcPr>
            <w:tcW w:w="1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5"/>
                <w:szCs w:val="15"/>
                <w:color w:val="auto"/>
              </w:rPr>
              <w:t>16,314,319</w:t>
            </w: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19,238,185</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and restricted cash and cash equivalents – end of the period</w:t>
            </w:r>
          </w:p>
        </w:tc>
        <w:tc>
          <w:tcPr>
            <w:tcW w:w="116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5"/>
                <w:szCs w:val="15"/>
                <w:b w:val="1"/>
                <w:bCs w:val="1"/>
                <w:color w:val="auto"/>
              </w:rPr>
              <w:t>11,685,859</w:t>
            </w: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6,063,916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restart"/>
          </w:tcPr>
          <w:p>
            <w:pPr>
              <w:spacing w:after="0"/>
              <w:rPr>
                <w:sz w:val="13"/>
                <w:szCs w:val="13"/>
                <w:color w:val="auto"/>
              </w:rPr>
            </w:pPr>
          </w:p>
        </w:tc>
        <w:tc>
          <w:tcPr>
            <w:tcW w:w="6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paid during the period for:</w:t>
            </w: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w:t>
            </w:r>
          </w:p>
        </w:tc>
        <w:tc>
          <w:tcPr>
            <w:tcW w:w="1160" w:type="dxa"/>
            <w:vAlign w:val="bottom"/>
            <w:tcBorders>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421,986</w:t>
            </w:r>
          </w:p>
        </w:tc>
        <w:tc>
          <w:tcPr>
            <w:tcW w:w="3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725,885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Income taxes</w:t>
            </w: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98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401,671</w:t>
            </w: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8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504,581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Noncash transactions during the period for:</w:t>
            </w:r>
          </w:p>
        </w:tc>
        <w:tc>
          <w:tcPr>
            <w:tcW w:w="1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Issuance of warrants in connection with the equity line of credit</w:t>
            </w:r>
          </w:p>
        </w:tc>
        <w:tc>
          <w:tcPr>
            <w:tcW w:w="1160" w:type="dxa"/>
            <w:vAlign w:val="bottom"/>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1"/>
                <w:szCs w:val="21"/>
                <w:color w:val="auto"/>
              </w:rPr>
            </w:pPr>
          </w:p>
        </w:tc>
        <w:tc>
          <w:tcPr>
            <w:tcW w:w="44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(105,411)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80" w:type="dxa"/>
            <w:vAlign w:val="bottom"/>
            <w:tcBorders>
              <w:top w:val="single" w:sz="8" w:color="CCEEFF"/>
              <w:bottom w:val="single" w:sz="8" w:color="CCEEFF"/>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Debt converted to equity</w:t>
            </w:r>
          </w:p>
        </w:tc>
        <w:tc>
          <w:tcPr>
            <w:tcW w:w="1160" w:type="dxa"/>
            <w:vAlign w:val="bottom"/>
            <w:tcBorders>
              <w:top w:val="single" w:sz="8" w:color="auto"/>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(60,000</w:t>
            </w:r>
          </w:p>
        </w:tc>
        <w:tc>
          <w:tcPr>
            <w:tcW w:w="320" w:type="dxa"/>
            <w:vAlign w:val="bottom"/>
            <w:tcBorders>
              <w:top w:val="single" w:sz="8" w:color="CCEEFF"/>
              <w:bottom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Borders>
              <w:top w:val="single" w:sz="8" w:color="auto"/>
              <w:bottom w:val="single" w:sz="8" w:color="auto"/>
            </w:tcBorders>
            <w:shd w:val="clear" w:color="auto" w:fill="CCEEFF"/>
          </w:tcPr>
          <w:p>
            <w:pPr>
              <w:jc w:val="right"/>
              <w:ind w:right="28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Right-of-use assets obtained in exchange for a lease liability</w:t>
            </w: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980" w:type="dxa"/>
            <w:vAlign w:val="bottom"/>
            <w:vMerge w:val="continue"/>
          </w:tcPr>
          <w:p>
            <w:pPr>
              <w:spacing w:after="0"/>
              <w:rPr>
                <w:sz w:val="13"/>
                <w:szCs w:val="13"/>
                <w:color w:val="auto"/>
              </w:rPr>
            </w:pPr>
          </w:p>
        </w:tc>
        <w:tc>
          <w:tcPr>
            <w:tcW w:w="116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(85,588</w:t>
            </w:r>
          </w:p>
        </w:tc>
        <w:tc>
          <w:tcPr>
            <w:tcW w:w="320" w:type="dxa"/>
            <w:vAlign w:val="bottom"/>
            <w:vMerge w:val="continue"/>
          </w:tcPr>
          <w:p>
            <w:pPr>
              <w:spacing w:after="0"/>
              <w:rPr>
                <w:sz w:val="13"/>
                <w:szCs w:val="13"/>
                <w:color w:val="auto"/>
              </w:rPr>
            </w:pPr>
          </w:p>
        </w:tc>
        <w:tc>
          <w:tcPr>
            <w:tcW w:w="440" w:type="dxa"/>
            <w:vAlign w:val="bottom"/>
            <w:tcBorders>
              <w:bottom w:val="single" w:sz="8" w:color="auto"/>
            </w:tcBorders>
          </w:tcPr>
          <w:p>
            <w:pPr>
              <w:jc w:val="right"/>
              <w:ind w:right="28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 PRESENTATION AND NATURE OF OPERATIONS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Consolidation</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accompanying condensed consolidated financial statements have been prepared in accordance with the rules and regulations of the SEC and generally accepted accounting principles as promulgated in the United States of America (“U.S. GAAP”) for interim reporting. Accordingly, certain notes or other information that are normally required by U.S. GAAP have been condensed or omitted if they substantially duplicate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2023 included in the Company’s Annual Report on Form 10-K for the fiscal year ended December 31, 2023, filed with the SEC on April 1, 2024. The condensed consolidated results of operations for any interim period are not necessarily indicative of the results to be expected for the full year or for any other future annual or interim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opinion of management, all adjustments considered necessary for the fair presentation of the Company’s financial position and its results of operations in accordance with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GAAP (consisting of normal recurring adjustments) have been included in the accompanying unaudited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condensed consolidated financial statements include the accounts of Snail, Inc. and the following subsidiaries:</w:t>
            </w: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62"/>
        </w:trPr>
        <w:tc>
          <w:tcPr>
            <w:tcW w:w="5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Equity %</w:t>
            </w:r>
          </w:p>
        </w:tc>
      </w:tr>
      <w:tr>
        <w:trPr>
          <w:trHeight w:val="203"/>
        </w:trPr>
        <w:tc>
          <w:tcPr>
            <w:tcW w:w="560" w:type="dxa"/>
            <w:vAlign w:val="bottom"/>
          </w:tcPr>
          <w:p>
            <w:pPr>
              <w:spacing w:after="0"/>
              <w:rPr>
                <w:sz w:val="17"/>
                <w:szCs w:val="17"/>
                <w:color w:val="auto"/>
              </w:rPr>
            </w:pPr>
          </w:p>
        </w:tc>
        <w:tc>
          <w:tcPr>
            <w:tcW w:w="788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5"/>
                <w:szCs w:val="15"/>
                <w:b w:val="1"/>
                <w:bCs w:val="1"/>
                <w:color w:val="auto"/>
              </w:rPr>
              <w:t>Subsidiary Name</w:t>
            </w:r>
          </w:p>
        </w:tc>
        <w:tc>
          <w:tcPr>
            <w:tcW w:w="20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Owned</w:t>
            </w:r>
          </w:p>
        </w:tc>
        <w:tc>
          <w:tcPr>
            <w:tcW w:w="140" w:type="dxa"/>
            <w:vAlign w:val="bottom"/>
            <w:tcBorders>
              <w:bottom w:val="single" w:sz="8" w:color="CCEEFF"/>
            </w:tcBorders>
          </w:tcPr>
          <w:p>
            <w:pPr>
              <w:spacing w:after="0"/>
              <w:rPr>
                <w:sz w:val="17"/>
                <w:szCs w:val="17"/>
                <w:color w:val="auto"/>
              </w:rPr>
            </w:pPr>
          </w:p>
        </w:tc>
      </w:tr>
      <w:tr>
        <w:trPr>
          <w:trHeight w:val="176"/>
        </w:trPr>
        <w:tc>
          <w:tcPr>
            <w:tcW w:w="560" w:type="dxa"/>
            <w:vAlign w:val="bottom"/>
          </w:tcPr>
          <w:p>
            <w:pPr>
              <w:spacing w:after="0"/>
              <w:rPr>
                <w:sz w:val="15"/>
                <w:szCs w:val="15"/>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Snail Games USA Inc.</w:t>
            </w:r>
          </w:p>
        </w:tc>
        <w:tc>
          <w:tcPr>
            <w:tcW w:w="2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Snail Innovation Institute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70%</w:t>
            </w:r>
          </w:p>
        </w:tc>
      </w:tr>
      <w:tr>
        <w:trPr>
          <w:trHeight w:val="184"/>
        </w:trPr>
        <w:tc>
          <w:tcPr>
            <w:tcW w:w="560" w:type="dxa"/>
            <w:vAlign w:val="bottom"/>
          </w:tcPr>
          <w:p>
            <w:pPr>
              <w:spacing w:after="0"/>
              <w:rPr>
                <w:sz w:val="16"/>
                <w:szCs w:val="16"/>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Frostkeep Studios, Inc.</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Eminence Corp</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Wandering Wizard, LLC</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Donkey Crew, LLC</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99%</w:t>
            </w:r>
          </w:p>
        </w:tc>
      </w:tr>
      <w:tr>
        <w:trPr>
          <w:trHeight w:val="184"/>
        </w:trPr>
        <w:tc>
          <w:tcPr>
            <w:tcW w:w="560" w:type="dxa"/>
            <w:vAlign w:val="bottom"/>
          </w:tcPr>
          <w:p>
            <w:pPr>
              <w:spacing w:after="0"/>
              <w:rPr>
                <w:sz w:val="16"/>
                <w:szCs w:val="16"/>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Interactive Films, LLC</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Project AWK Productions, LLC</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BTBX.IO, LLC</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intercompany accounts, transactions, and profits have been eliminated upon consolidation.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 xml:space="preserve">The preparation of condensed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 w:cs="Times New Roman" w:eastAsia="Times New Roman" w:hAnsi="Times New Roman"/>
          <w:sz w:val="15"/>
          <w:szCs w:val="15"/>
          <w:i w:val="1"/>
          <w:iCs w:val="1"/>
          <w:color w:val="auto"/>
        </w:rPr>
        <w:t>Revenue Recognition</w:t>
      </w:r>
      <w:r>
        <w:rPr>
          <w:rFonts w:ascii="Times New Roman" w:cs="Times New Roman" w:eastAsia="Times New Roman" w:hAnsi="Times New Roman"/>
          <w:sz w:val="15"/>
          <w:szCs w:val="15"/>
          <w:color w:val="auto"/>
        </w:rPr>
        <w:t>, provisions for credit losses, deferred income tax assets and associated valuation allowances, deferred revenue, stock-based compensation and fair value of warrants.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Segment Reporting</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 xml:space="preserve">The Company has one operating and reportable segment. Our operations involve similar products and customers worldwide. Revenue earned is primarily derived from the sale of software titles, which are developed internally or licensed from related parties. Financial information about our segment and geographic regions is included in Note 3 – </w:t>
      </w:r>
      <w:r>
        <w:rPr>
          <w:rFonts w:ascii="Times New Roman" w:cs="Times New Roman" w:eastAsia="Times New Roman" w:hAnsi="Times New Roman"/>
          <w:sz w:val="15"/>
          <w:szCs w:val="15"/>
          <w:i w:val="1"/>
          <w:iCs w:val="1"/>
          <w:color w:val="auto"/>
        </w:rPr>
        <w:t>Revenue from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Contracts with Customers</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 – SUMMARY OF SIGNIFICANT ACCOUNTING POLICIES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Company’s revenue is generated from the publishing of software games sold digitally and through physical discs (e.g., packaged goods), the publishing of separate downloadable content that are new feature releases to existing digital full-game downloads that are sold digitally, and in-app purchases of virtual goods used by players of its free-to-play mobile games. When control of the promised products and services is transferred to the end users, the Company recognizes revenue in the amount that reflects the consideration it expects to receive in exchange for these products and services. Revenue from delivery of products is recognized at a point in time when the end consumers purchase the games, and the control of the license is transferred to them.</w:t>
      </w:r>
    </w:p>
    <w:p>
      <w:pPr>
        <w:spacing w:after="0" w:line="15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The virtual goods that the Company sells to players of our free-to-play mobile-games, include virtual currency or in-game purchases of additional game play functionality. For virtual goods, the satisfaction of our performance obligation is dependent on the nature of the virtual good purchased and as a result, the Company categorizes its virtual goods as follows:</w:t>
      </w:r>
    </w:p>
    <w:p>
      <w:pPr>
        <w:spacing w:after="0" w:line="132" w:lineRule="exact"/>
        <w:rPr>
          <w:sz w:val="20"/>
          <w:szCs w:val="20"/>
          <w:color w:val="auto"/>
        </w:rPr>
      </w:pPr>
    </w:p>
    <w:p>
      <w:pPr>
        <w:jc w:val="both"/>
        <w:ind w:left="540" w:right="20" w:hanging="271"/>
        <w:spacing w:after="0" w:line="275"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Consumable: consumable </w:t>
      </w:r>
      <w:r>
        <w:rPr>
          <w:rFonts w:ascii="Times New Roman" w:cs="Times New Roman" w:eastAsia="Times New Roman" w:hAnsi="Times New Roman"/>
          <w:sz w:val="15"/>
          <w:szCs w:val="15"/>
          <w:color w:val="auto"/>
          <w:highlight w:val="white"/>
        </w:rPr>
        <w:t>virtual items represent items that can be consumed by a specific player action. Consumable virtual items do not result in a direct benefit that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highlight w:val="white"/>
        </w:rPr>
        <w:t>player keeps or provide the player any continuing benefit following consumption, and they often enable a player to perform an in-game action immediately. For the sale of consumable virtual items, the Company recognizes revenue as the items are consumed (i.e., over time)</w:t>
      </w:r>
      <w:r>
        <w:rPr>
          <w:rFonts w:ascii="Times New Roman" w:cs="Times New Roman" w:eastAsia="Times New Roman" w:hAnsi="Times New Roman"/>
          <w:sz w:val="15"/>
          <w:szCs w:val="15"/>
          <w:color w:val="auto"/>
        </w:rPr>
        <w:t>.</w:t>
      </w:r>
    </w:p>
    <w:p>
      <w:pPr>
        <w:spacing w:after="0" w:line="144" w:lineRule="exact"/>
        <w:rPr>
          <w:rFonts w:ascii="Times New Roman" w:cs="Times New Roman" w:eastAsia="Times New Roman" w:hAnsi="Times New Roman"/>
          <w:sz w:val="15"/>
          <w:szCs w:val="15"/>
          <w:color w:val="auto"/>
        </w:rPr>
      </w:pPr>
    </w:p>
    <w:p>
      <w:pPr>
        <w:jc w:val="both"/>
        <w:ind w:left="540" w:right="20" w:hanging="271"/>
        <w:spacing w:after="0" w:line="286"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Durable: durable </w:t>
      </w:r>
      <w:r>
        <w:rPr>
          <w:rFonts w:ascii="Times New Roman" w:cs="Times New Roman" w:eastAsia="Times New Roman" w:hAnsi="Times New Roman"/>
          <w:sz w:val="15"/>
          <w:szCs w:val="15"/>
          <w:color w:val="auto"/>
          <w:highlight w:val="white"/>
        </w:rPr>
        <w:t>virtual items represent items that are accessible to the player over an extended period of time. The Company recognizes revenue from the sale of durable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highlight w:val="white"/>
        </w:rPr>
        <w:t>virtual items ratably over the estimated service period for the applicable game (i.e., over time), which represents our best estimate of the average life of the durable virtual item.</w:t>
      </w:r>
    </w:p>
    <w:p>
      <w:pPr>
        <w:spacing w:after="0" w:line="3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 xml:space="preserve">For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games that were sold in a bundle with downloadable content (“DLC”) that have not yet been launched and been reported in deferred revenue in the condensed consolidated balance sheets, the Company has used the adjusted market assessment approach per ASC 606-10-32-34 to assign a value for the Company’s remaining performance obligation. The Company uses the following reasonably available information in developing the standalone selling prices of the performance obligations:</w:t>
      </w:r>
    </w:p>
    <w:p>
      <w:pPr>
        <w:spacing w:after="0" w:line="336" w:lineRule="exact"/>
        <w:rPr>
          <w:sz w:val="20"/>
          <w:szCs w:val="20"/>
          <w:color w:val="auto"/>
        </w:rPr>
      </w:pPr>
    </w:p>
    <w:p>
      <w:pPr>
        <w:ind w:left="540" w:hanging="271"/>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available data points, including third party or industry pricing, and contractually stated prices.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such as market demand, competition, market constraints, awareness of the product and market trends.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Entity-specific factors including pricing strategies and objectives, market share and pricing practices for bundled arrangements.</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The Company recognizes revenue using the following five steps as provided by Accounting Standards Codification (“ASC”) Topic 606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30 to 75 days.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Principal vs. Agent Consideration</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the Company determines whether or not it is acting as the principal in the sale to the end user, which the Company considers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the Company uses in evaluating these sales transactions include, but are not limited to, the following:</w:t>
      </w:r>
    </w:p>
    <w:p>
      <w:pPr>
        <w:spacing w:after="0" w:line="154" w:lineRule="exact"/>
        <w:rPr>
          <w:sz w:val="20"/>
          <w:szCs w:val="20"/>
          <w:color w:val="auto"/>
        </w:rPr>
      </w:pPr>
    </w:p>
    <w:p>
      <w:pPr>
        <w:ind w:left="540" w:hanging="271"/>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underlying contract terms and conditions between the various parties to the transaction;</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party is primarily responsible for fulfilling the promise to provide the specified good or service; and</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party has discretion in establishing the price for the specified good or service.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Based on our evaluation of the above indicators, for sales arrangements via Microsoft’s Xbox Live, Sony’s PlayStation Network, Valve’s Steam, Epic Games Store, My Nintendo Store, and our retail distributor, the digital platforms and distributors have discretion in establishing the price for the specified good or service and the Company has determined it is the agent in the sales transaction to the end user and therefore the Company reports revenue on a net basis based on the consideration received from the digital storefront. For sales arrangements via Apple’s App Store and the Google Play Store, the Company has discretion in establishing the price for the specified good or service and it has determined that the Company is the principal to the end user and thus reports revenue on a gross basis and mobile platform fees charged by these digital storefronts are expensed as incurred and reported within cost of revenues.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Balance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records deferred revenue when cash payments are received or due in advance of its performance, even if amounts are refundable.</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ratably over their estimated service period. The Company’s estimated service period for players of our current software games is generally 30 to 100 days from the date of purchase.</w:t>
      </w:r>
    </w:p>
    <w:p>
      <w:pPr>
        <w:spacing w:after="0" w:line="14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color w:val="auto"/>
        </w:rPr>
        <w:t xml:space="preserve">The Company has a long-term title license agreement with a platform which makes </w:t>
      </w:r>
      <w:r>
        <w:rPr>
          <w:rFonts w:ascii="Times New Roman" w:cs="Times New Roman" w:eastAsia="Times New Roman" w:hAnsi="Times New Roman"/>
          <w:sz w:val="15"/>
          <w:szCs w:val="15"/>
          <w:i w:val="1"/>
          <w:iCs w:val="1"/>
          <w:color w:val="auto"/>
        </w:rPr>
        <w:t>ARK 1</w:t>
      </w:r>
      <w:r>
        <w:rPr>
          <w:rFonts w:ascii="Times New Roman" w:cs="Times New Roman" w:eastAsia="Times New Roman" w:hAnsi="Times New Roman"/>
          <w:sz w:val="15"/>
          <w:szCs w:val="15"/>
          <w:color w:val="auto"/>
        </w:rPr>
        <w:t xml:space="preserve"> available on the platform in perpetuity, and puts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on the platform for three years upon release. The Company recognized $2.5 million in revenue related to </w:t>
      </w:r>
      <w:r>
        <w:rPr>
          <w:rFonts w:ascii="Times New Roman" w:cs="Times New Roman" w:eastAsia="Times New Roman" w:hAnsi="Times New Roman"/>
          <w:sz w:val="15"/>
          <w:szCs w:val="15"/>
          <w:i w:val="1"/>
          <w:iCs w:val="1"/>
          <w:color w:val="auto"/>
        </w:rPr>
        <w:t>ARK 1’s</w:t>
      </w:r>
      <w:r>
        <w:rPr>
          <w:rFonts w:ascii="Times New Roman" w:cs="Times New Roman" w:eastAsia="Times New Roman" w:hAnsi="Times New Roman"/>
          <w:sz w:val="15"/>
          <w:szCs w:val="15"/>
          <w:color w:val="auto"/>
        </w:rPr>
        <w:t xml:space="preserve"> perpetual license during the year ended December 31, 2022 and deferred $2.3 million related to </w:t>
      </w:r>
      <w:r>
        <w:rPr>
          <w:rFonts w:ascii="Times New Roman" w:cs="Times New Roman" w:eastAsia="Times New Roman" w:hAnsi="Times New Roman"/>
          <w:sz w:val="15"/>
          <w:szCs w:val="15"/>
          <w:i w:val="1"/>
          <w:iCs w:val="1"/>
          <w:color w:val="auto"/>
        </w:rPr>
        <w:t xml:space="preserve">ARK II </w:t>
      </w:r>
      <w:r>
        <w:rPr>
          <w:rFonts w:ascii="Times New Roman" w:cs="Times New Roman" w:eastAsia="Times New Roman" w:hAnsi="Times New Roman"/>
          <w:sz w:val="15"/>
          <w:szCs w:val="15"/>
          <w:color w:val="auto"/>
        </w:rPr>
        <w:t>that is included in the long-term portion of deferred revenue and will be recognized upon the release of</w:t>
      </w:r>
      <w:r>
        <w:rPr>
          <w:rFonts w:ascii="Times New Roman" w:cs="Times New Roman" w:eastAsia="Times New Roman" w:hAnsi="Times New Roman"/>
          <w:sz w:val="15"/>
          <w:szCs w:val="15"/>
          <w:i w:val="1"/>
          <w:iCs w:val="1"/>
          <w:color w:val="auto"/>
        </w:rPr>
        <w:t xml:space="preserve"> ARK II </w:t>
      </w:r>
      <w:r>
        <w:rPr>
          <w:rFonts w:ascii="Times New Roman" w:cs="Times New Roman" w:eastAsia="Times New Roman" w:hAnsi="Times New Roman"/>
          <w:sz w:val="15"/>
          <w:szCs w:val="15"/>
          <w:color w:val="auto"/>
        </w:rPr>
        <w:t>on the platform.</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In July 2023, the Company entered into a distribution agreement with its retail distribution partner for the distribution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The initial term is two years and will renew each subsequent year unless it is cancelled. Upon executing the distribution agreement, the Company received $1.8 million as prepaid royalties. During the nine months ended September 30, 2024, the Company recognized $0.7 million of the revenue related to the retail release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As of September 30, 2024, the Company reported the remaining $1.1 million related to </w:t>
      </w:r>
      <w:r>
        <w:rPr>
          <w:rFonts w:ascii="Times New Roman" w:cs="Times New Roman" w:eastAsia="Times New Roman" w:hAnsi="Times New Roman"/>
          <w:sz w:val="15"/>
          <w:szCs w:val="15"/>
          <w:i w:val="1"/>
          <w:iCs w:val="1"/>
          <w:color w:val="auto"/>
        </w:rPr>
        <w:t>ARK II as</w:t>
      </w:r>
      <w:r>
        <w:rPr>
          <w:rFonts w:ascii="Times New Roman" w:cs="Times New Roman" w:eastAsia="Times New Roman" w:hAnsi="Times New Roman"/>
          <w:sz w:val="15"/>
          <w:szCs w:val="15"/>
          <w:color w:val="auto"/>
        </w:rPr>
        <w:t xml:space="preserve"> long-term deferred revenue until the disc releases occur.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Estimated Service Period</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For certain performance obligations satisfied over time, the Company has determined that the estimated service period is the time period in which an average user plays our software games (“user life”) which most faithfully depicts the timing of satisfying our performance obligation. The Company considers a variety of data points when determining and subsequently reassessing the estimated service period for players of our software games. Primarily, the Company reviews the weighted average number of days between players’ first and last day playing online or the subscription trend. The Company also considers publicly available online trends.</w:t>
      </w:r>
    </w:p>
    <w:p>
      <w:pPr>
        <w:spacing w:after="0" w:line="15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The Company believes this provides a reasonable depiction of the transfer of our game related services to our players, as it is the best representation of the period during which our players play our software games. Future usage patterns may differ from historical usage patterns, and therefore the estimated service period may change in the future. The estimated service periods for players of our current software games are generally between 30 and 100 days depending on the software games.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Shipping, Handling and Value Added Taxes (“VAT”)</w:t>
      </w:r>
    </w:p>
    <w:p>
      <w:pPr>
        <w:spacing w:after="0" w:line="200"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distributor, as the principal, is responsible for the shipping of the game discs to retail stores and incurring the shipping and VAT costs. The Company is paid the net sales amount after deducting shipping costs, VAT and other related expenses by the distributor.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 of revenues include software license royalty fees, merchant fees, server and database center costs, game localization costs, game licenses, engine fees and amortization costs.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 of revenues for the three and nine months ended September 30, 2024 and 2023 were comprised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80" w:type="dxa"/>
            <w:vAlign w:val="bottom"/>
          </w:tcPr>
          <w:p>
            <w:pPr>
              <w:spacing w:after="0"/>
              <w:rPr>
                <w:sz w:val="17"/>
                <w:szCs w:val="17"/>
                <w:color w:val="auto"/>
              </w:rPr>
            </w:pPr>
          </w:p>
        </w:tc>
        <w:tc>
          <w:tcPr>
            <w:tcW w:w="3060" w:type="dxa"/>
            <w:vAlign w:val="bottom"/>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8"/>
        </w:trPr>
        <w:tc>
          <w:tcPr>
            <w:tcW w:w="42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license royalties – related parties</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5,324,889</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2,108,764</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13,257,181</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6,878,563</w:t>
            </w:r>
          </w:p>
        </w:tc>
        <w:tc>
          <w:tcPr>
            <w:tcW w:w="100" w:type="dxa"/>
            <w:vAlign w:val="bottom"/>
            <w:shd w:val="clear" w:color="auto" w:fill="CCEEFF"/>
          </w:tcPr>
          <w:p>
            <w:pPr>
              <w:spacing w:after="0"/>
              <w:rPr>
                <w:sz w:val="15"/>
                <w:szCs w:val="15"/>
                <w:color w:val="auto"/>
              </w:rPr>
            </w:pP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Software license royalties</w:t>
            </w:r>
          </w:p>
        </w:tc>
        <w:tc>
          <w:tcPr>
            <w:tcW w:w="280" w:type="dxa"/>
            <w:vAlign w:val="bottom"/>
          </w:tcPr>
          <w:p>
            <w:pPr>
              <w:spacing w:after="0"/>
              <w:rPr>
                <w:sz w:val="16"/>
                <w:szCs w:val="16"/>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269,235</w:t>
            </w:r>
          </w:p>
        </w:tc>
        <w:tc>
          <w:tcPr>
            <w:tcW w:w="34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372,666</w:t>
            </w:r>
          </w:p>
        </w:tc>
        <w:tc>
          <w:tcPr>
            <w:tcW w:w="280" w:type="dxa"/>
            <w:vAlign w:val="bottom"/>
          </w:tcPr>
          <w:p>
            <w:pPr>
              <w:spacing w:after="0"/>
              <w:rPr>
                <w:sz w:val="16"/>
                <w:szCs w:val="16"/>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495,418</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979,505</w:t>
            </w:r>
          </w:p>
        </w:tc>
        <w:tc>
          <w:tcPr>
            <w:tcW w:w="100" w:type="dxa"/>
            <w:vAlign w:val="bottom"/>
          </w:tcPr>
          <w:p>
            <w:pPr>
              <w:spacing w:after="0"/>
              <w:rPr>
                <w:sz w:val="16"/>
                <w:szCs w:val="16"/>
                <w:color w:val="auto"/>
              </w:rPr>
            </w:pP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License and amortization – related parties</w:t>
            </w:r>
          </w:p>
        </w:tc>
        <w:tc>
          <w:tcPr>
            <w:tcW w:w="2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6,000,000</w:t>
            </w:r>
          </w:p>
        </w:tc>
        <w:tc>
          <w:tcPr>
            <w:tcW w:w="3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4,695,652</w:t>
            </w:r>
          </w:p>
        </w:tc>
        <w:tc>
          <w:tcPr>
            <w:tcW w:w="2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18,000,000</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14,753,623</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License and amortization</w:t>
            </w:r>
          </w:p>
        </w:tc>
        <w:tc>
          <w:tcPr>
            <w:tcW w:w="280" w:type="dxa"/>
            <w:vAlign w:val="bottom"/>
          </w:tcPr>
          <w:p>
            <w:pPr>
              <w:spacing w:after="0"/>
              <w:rPr>
                <w:sz w:val="16"/>
                <w:szCs w:val="16"/>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201</w:t>
            </w:r>
          </w:p>
        </w:tc>
        <w:tc>
          <w:tcPr>
            <w:tcW w:w="34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201</w:t>
            </w:r>
          </w:p>
        </w:tc>
        <w:tc>
          <w:tcPr>
            <w:tcW w:w="280" w:type="dxa"/>
            <w:vAlign w:val="bottom"/>
          </w:tcPr>
          <w:p>
            <w:pPr>
              <w:spacing w:after="0"/>
              <w:rPr>
                <w:sz w:val="16"/>
                <w:szCs w:val="16"/>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603</w:t>
            </w:r>
          </w:p>
        </w:tc>
        <w:tc>
          <w:tcPr>
            <w:tcW w:w="3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603</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Merchant fees</w:t>
            </w:r>
          </w:p>
        </w:tc>
        <w:tc>
          <w:tcPr>
            <w:tcW w:w="2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225,555</w:t>
            </w:r>
          </w:p>
        </w:tc>
        <w:tc>
          <w:tcPr>
            <w:tcW w:w="3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215,635</w:t>
            </w:r>
          </w:p>
        </w:tc>
        <w:tc>
          <w:tcPr>
            <w:tcW w:w="2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667,055</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1,023,911</w:t>
            </w:r>
          </w:p>
        </w:tc>
        <w:tc>
          <w:tcPr>
            <w:tcW w:w="100" w:type="dxa"/>
            <w:vAlign w:val="bottom"/>
            <w:shd w:val="clear" w:color="auto" w:fill="CCEEFF"/>
          </w:tcPr>
          <w:p>
            <w:pPr>
              <w:spacing w:after="0"/>
              <w:rPr>
                <w:sz w:val="16"/>
                <w:szCs w:val="16"/>
                <w:color w:val="auto"/>
              </w:rPr>
            </w:pP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Engine fees</w:t>
            </w:r>
          </w:p>
        </w:tc>
        <w:tc>
          <w:tcPr>
            <w:tcW w:w="280" w:type="dxa"/>
            <w:vAlign w:val="bottom"/>
          </w:tcPr>
          <w:p>
            <w:pPr>
              <w:spacing w:after="0"/>
              <w:rPr>
                <w:sz w:val="16"/>
                <w:szCs w:val="16"/>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852,508</w:t>
            </w:r>
          </w:p>
        </w:tc>
        <w:tc>
          <w:tcPr>
            <w:tcW w:w="34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292,127</w:t>
            </w:r>
          </w:p>
        </w:tc>
        <w:tc>
          <w:tcPr>
            <w:tcW w:w="280" w:type="dxa"/>
            <w:vAlign w:val="bottom"/>
          </w:tcPr>
          <w:p>
            <w:pPr>
              <w:spacing w:after="0"/>
              <w:rPr>
                <w:sz w:val="16"/>
                <w:szCs w:val="16"/>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3,154,846</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1,009,252</w:t>
            </w:r>
          </w:p>
        </w:tc>
        <w:tc>
          <w:tcPr>
            <w:tcW w:w="100" w:type="dxa"/>
            <w:vAlign w:val="bottom"/>
          </w:tcPr>
          <w:p>
            <w:pPr>
              <w:spacing w:after="0"/>
              <w:rPr>
                <w:sz w:val="16"/>
                <w:szCs w:val="16"/>
                <w:color w:val="auto"/>
              </w:rPr>
            </w:pP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Internet, server and data center</w:t>
            </w:r>
          </w:p>
        </w:tc>
        <w:tc>
          <w:tcPr>
            <w:tcW w:w="2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1,115,682</w:t>
            </w:r>
          </w:p>
        </w:tc>
        <w:tc>
          <w:tcPr>
            <w:tcW w:w="3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1,777,894</w:t>
            </w:r>
          </w:p>
        </w:tc>
        <w:tc>
          <w:tcPr>
            <w:tcW w:w="2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3,737,007</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4,929,631</w:t>
            </w:r>
          </w:p>
        </w:tc>
        <w:tc>
          <w:tcPr>
            <w:tcW w:w="100" w:type="dxa"/>
            <w:vAlign w:val="bottom"/>
            <w:shd w:val="clear" w:color="auto" w:fill="CCEEFF"/>
          </w:tcPr>
          <w:p>
            <w:pPr>
              <w:spacing w:after="0"/>
              <w:rPr>
                <w:sz w:val="16"/>
                <w:szCs w:val="16"/>
                <w:color w:val="auto"/>
              </w:rPr>
            </w:pP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Costs related to advertising revenue</w:t>
            </w:r>
          </w:p>
        </w:tc>
        <w:tc>
          <w:tcPr>
            <w:tcW w:w="280" w:type="dxa"/>
            <w:vAlign w:val="bottom"/>
          </w:tcPr>
          <w:p>
            <w:pPr>
              <w:spacing w:after="0"/>
              <w:rPr>
                <w:sz w:val="17"/>
                <w:szCs w:val="17"/>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35,874</w:t>
            </w:r>
          </w:p>
        </w:tc>
        <w:tc>
          <w:tcPr>
            <w:tcW w:w="34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147</w:t>
            </w:r>
          </w:p>
        </w:tc>
        <w:tc>
          <w:tcPr>
            <w:tcW w:w="28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57,706</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84,700</w:t>
            </w:r>
          </w:p>
        </w:tc>
      </w:tr>
      <w:tr>
        <w:trPr>
          <w:trHeight w:val="18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13,823,944</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9,463,086</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39,369,816</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29,659,788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Costs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General and administrative costs include rent, salaries, stock-based compensation, legal and professional expenses, expenses related to being a publicly traded company, administrative internet and server, contractor costs, insurance expense, licenses and permits, other taxes and travel expenses. These costs are expensed as they are incurred. Stock-based compensation of $13,966 and $220,231 was incurred during the three months ended September 30, 2024 and 2023, respectively. Stock-based compensation of ($834,719) and $589,532 was incurred during the nine months ended September 30, 2024 and 2023,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expenses advertising and marketing costs as incurred.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Research and development costs are expensed as incurred. Research and development costs include travel, payroll, and other general expenses specific to research and development activities. Stock-based compensation of $1,034 and $16,411 was incurred during the three months ended September 30, 2024 and 2023, respectively. Stock-based compensation of ($62,174) and $32,475 was incurred during the nine months ended September 30, 2024 and 2023,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Non-controlling Interests</w:t>
      </w:r>
    </w:p>
    <w:p>
      <w:pPr>
        <w:spacing w:after="0" w:line="2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Non-controlling interests on the condensed consolidated balance sheets and condensed consolidated statements of operations and comprehensive income (loss) include the equity allocated to non-controlling interest holders. As of September 30, 2024 and December 31, 2023, there were non-controlling interests with the following subsidiaries: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Subsidiary Name</w:t>
            </w:r>
          </w:p>
        </w:tc>
        <w:tc>
          <w:tcPr>
            <w:tcW w:w="32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Equity % Owned</w:t>
            </w:r>
          </w:p>
        </w:tc>
        <w:tc>
          <w:tcPr>
            <w:tcW w:w="36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Non-Controlling %</w:t>
            </w:r>
          </w:p>
        </w:tc>
        <w:tc>
          <w:tcPr>
            <w:tcW w:w="140" w:type="dxa"/>
            <w:vAlign w:val="bottom"/>
            <w:tcBorders>
              <w:bottom w:val="single" w:sz="8" w:color="CCEEFF"/>
            </w:tcBorders>
          </w:tcPr>
          <w:p>
            <w:pPr>
              <w:spacing w:after="0"/>
              <w:rPr>
                <w:sz w:val="17"/>
                <w:szCs w:val="17"/>
                <w:color w:val="auto"/>
              </w:rPr>
            </w:pPr>
          </w:p>
        </w:tc>
      </w:tr>
      <w:tr>
        <w:trPr>
          <w:trHeight w:val="17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Snail Innovative Institute</w:t>
            </w:r>
          </w:p>
        </w:tc>
        <w:tc>
          <w:tcPr>
            <w:tcW w:w="3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70%</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r>
      <w:tr>
        <w:trPr>
          <w:trHeight w:val="184"/>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BTBX.IO, LLC</w:t>
            </w:r>
          </w:p>
        </w:tc>
        <w:tc>
          <w:tcPr>
            <w:tcW w:w="568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70%</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r>
      <w:tr>
        <w:trPr>
          <w:trHeight w:val="18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Donkey Crew, LLC</w:t>
            </w:r>
          </w:p>
        </w:tc>
        <w:tc>
          <w:tcPr>
            <w:tcW w:w="56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99%</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r>
      <w:tr>
        <w:trPr>
          <w:trHeight w:val="369"/>
        </w:trPr>
        <w:tc>
          <w:tcPr>
            <w:tcW w:w="35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4"/>
          </w:tcPr>
          <w:p>
            <w:pPr>
              <w:jc w:val="right"/>
              <w:ind w:right="3480"/>
              <w:spacing w:after="0"/>
              <w:rPr>
                <w:sz w:val="20"/>
                <w:szCs w:val="20"/>
                <w:color w:val="auto"/>
              </w:rPr>
            </w:pPr>
            <w:r>
              <w:rPr>
                <w:rFonts w:ascii="Times New Roman" w:cs="Times New Roman" w:eastAsia="Times New Roman" w:hAnsi="Times New Roman"/>
                <w:sz w:val="15"/>
                <w:szCs w:val="15"/>
                <w:color w:val="auto"/>
              </w:rPr>
              <w:t>F-9</w:t>
            </w:r>
          </w:p>
        </w:tc>
        <w:tc>
          <w:tcPr>
            <w:tcW w:w="1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 and Restricted Cash and Cash Equivalents</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Cash is available for use in current operations or other activities such as capital expenditures and business combinations. Restricted cash and cash equivalents are time deposits, that are currently provided as a standby letter of credit to landlords. The Company’s policy for determining whether an item is treated as cash, or a cash equivalent, is based on its original maturity, liquidity, and risk profile. Investments with maturities of three months or less, are highly liquid and have insignificant risk are considered to be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Escrow Deposits</w:t>
      </w:r>
    </w:p>
    <w:p>
      <w:pPr>
        <w:spacing w:after="0" w:line="2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Our restricted deposits held in escrow are to provide a source of funding for certain indemnification obligations of Snail, Inc. to our underwriters in connection with our IPO. The deposit and related interest earnings were restricted for one year from the IPO date and were released from restrictions in November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risk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 There were no credit losses recognized during the three and nine months ended September 30, 2024 and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Film Costs, net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capitalizes costs to produce short videos in accordance with Financial Accounting Standards Board (“FASB”) ASC Topic 926, including direct production costs, production overhead, interest, acquisition costs and development costs. The Company will account for each episodic series as a unit for which capitalized film costs will be amortized by the Company using the individual-film forecast-computation method. Each reporting period the Company will reassess its estimate of ultimate revenues used to determine the amortization rate for each episodic series. If the estimate is revised, the Company will account for the change prospectively. The Company will then remeasure the amortization based on the portion of ultimate revenues that have been recognized and that are yet to be recognized. Unamortized film costs shall be tested for impairment whenever events or changes in circumstances indicate that fair value of the film may be less than its unamortized film costs. If the fair value of an episodic series is less than its unamortized film costs, the Company will write off the excess amount. The Company groups its film and content rights by monetization strategy. As of September 30, 2024 and December 31, 2023, $401,051 and $0 of film costs are capitalized and included in other noncurrent assets in the accompanying condensed consolidated balance sheets. For the nine months ended September 30, 2024 and 2023 the Company capitalized $401,051 and $0 of film costs,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Measurements</w:t>
      </w:r>
    </w:p>
    <w:p>
      <w:pPr>
        <w:spacing w:after="0" w:line="20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spacing w:after="0" w:line="3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following describes the hierarchy of inputs used to measure fair value and the primary valuation methodologies used by the Company for financial instruments measured at fair value.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three levels of inputs are as follows:</w:t>
      </w:r>
    </w:p>
    <w:p>
      <w:pPr>
        <w:spacing w:after="0" w:line="192" w:lineRule="exact"/>
        <w:rPr>
          <w:sz w:val="20"/>
          <w:szCs w:val="20"/>
          <w:color w:val="auto"/>
        </w:rPr>
      </w:pPr>
    </w:p>
    <w:p>
      <w:pPr>
        <w:ind w:left="540" w:hanging="271"/>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1</w:t>
      </w:r>
      <w:r>
        <w:rPr>
          <w:rFonts w:ascii="Times New Roman" w:cs="Times New Roman" w:eastAsia="Times New Roman" w:hAnsi="Times New Roman"/>
          <w:sz w:val="15"/>
          <w:szCs w:val="15"/>
          <w:color w:val="auto"/>
        </w:rPr>
        <w:t>: Quoted prices in active markets for identical assets or liabilities that the Company has an ability to access as of the measurement date.</w:t>
      </w:r>
    </w:p>
    <w:p>
      <w:pPr>
        <w:spacing w:after="0" w:line="196" w:lineRule="exact"/>
        <w:rPr>
          <w:rFonts w:ascii="Times New Roman" w:cs="Times New Roman" w:eastAsia="Times New Roman" w:hAnsi="Times New Roman"/>
          <w:sz w:val="15"/>
          <w:szCs w:val="15"/>
          <w:color w:val="auto"/>
        </w:rPr>
      </w:pPr>
    </w:p>
    <w:p>
      <w:pPr>
        <w:ind w:left="540" w:hanging="271"/>
        <w:spacing w:after="0" w:line="298"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2</w:t>
      </w:r>
      <w:r>
        <w:rPr>
          <w:rFonts w:ascii="Times New Roman" w:cs="Times New Roman" w:eastAsia="Times New Roman" w:hAnsi="Times New Roman"/>
          <w:sz w:val="15"/>
          <w:szCs w:val="15"/>
          <w:color w:val="auto"/>
        </w:rPr>
        <w:t>: Inputs that are observable, either directly or indirectly, such as quoted prices for similar assets or liabilities, quoted prices in markets that are not active, or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inputs that are observable or can be corroborated by observable market data for substantially the same term of the assets or liabilities.</w:t>
      </w:r>
    </w:p>
    <w:p>
      <w:pPr>
        <w:spacing w:after="0" w:line="125"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3</w:t>
      </w:r>
      <w:r>
        <w:rPr>
          <w:rFonts w:ascii="Times New Roman" w:cs="Times New Roman" w:eastAsia="Times New Roman" w:hAnsi="Times New Roman"/>
          <w:sz w:val="15"/>
          <w:szCs w:val="15"/>
          <w:color w:val="auto"/>
        </w:rPr>
        <w:t>: Unobservable inputs that are supported by little or no market activity and that are significant to the fair value of the assets or liabilities.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and accounts payable. The carrying values of these financial instruments approximate their fair value due to their short maturities or economic substance. The carrying amount of our revolving loan and notes payable approximates fair value because the interest rates on these instruments approximate the interest rate on debt with similar terms available to us for a similar duration. The fair value of the Company’s promissory note which has a fixed rate for 5 years, then a floating rate that approximates the Wall Street Journal Prime Rate plus 0.50%. The Company considers the carrying amount of the loan to approximate fair value as the discounted cost in comparison to market rates would not be materially different than the cost to acquire a loan with similar terms. See Note 16 – </w:t>
      </w:r>
      <w:r>
        <w:rPr>
          <w:rFonts w:ascii="Times New Roman" w:cs="Times New Roman" w:eastAsia="Times New Roman" w:hAnsi="Times New Roman"/>
          <w:sz w:val="15"/>
          <w:szCs w:val="15"/>
          <w:i w:val="1"/>
          <w:iCs w:val="1"/>
          <w:color w:val="auto"/>
        </w:rPr>
        <w:t>Equity</w:t>
      </w:r>
      <w:r>
        <w:rPr>
          <w:rFonts w:ascii="Times New Roman" w:cs="Times New Roman" w:eastAsia="Times New Roman" w:hAnsi="Times New Roman"/>
          <w:sz w:val="15"/>
          <w:szCs w:val="15"/>
          <w:color w:val="auto"/>
        </w:rPr>
        <w:t xml:space="preserve"> for the fair value disclosures related to the Company’s convertible notes, and the Company’s warrant liability and derivative instruments. The Company does not have any other assets or liabilities measured at fair value on a recurring or non-recurring basis as of September 30, 2024 and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Amortizable Intangibles and Other Long-lived Assets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Company’s long-lived assets and other assets consisting of property and equipment and purchased intangible assets, are reviewed for impairment in accordance with the guidance of FASB Topic ASC 360, Property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Income taxes are provided for the tax effects of transactions reported in the condensed consolidated financial statements and consisted of taxes currently due and deferred taxes.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Deferred taxes are recognized for the differences between the basis of assets and liabilities for financial statement and income tax purposes.</w:t>
      </w:r>
    </w:p>
    <w:p>
      <w:pPr>
        <w:spacing w:after="0" w:line="182"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Company follows FASB Topic ASC 740, Income Taxes, which requires the recognition of deferred tax assets and liabilities for the expected future tax consequences of events that have been included in the consolidated financial statements or tax returns.</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4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long-term accrued expenses on the accompanying condensed consolidated balance sheets in the amount of $254,731 as of September 30, 2024 and December 31, 2023. The Company accrues and recognizes interest and penalties related to unrecognized tax benefits in operating expenses.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 and Significant Customers</w:t>
      </w:r>
    </w:p>
    <w:p>
      <w:pPr>
        <w:spacing w:after="0" w:line="20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Company maintains cash balances at several major financial institutions. While the Company attempts to limit credit exposure with any single institution, balances often exceed insurable amounts. As of September 30, 2024 and December 31, 2023, the Company had deposits of $9,876,427 and $14,716,652, respectively, that were not insured by the Federal Deposit Insurance Corporation and are included in the cash and cash equivalents, and restricted cash and cash equivalents, in the accompanying condensed consolidated balance sheets.</w:t>
      </w: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extends credit to various digital resellers and partners. Collection of trade receivables may be affected by changes in economic or other industry conditions and may, accordingly, impact our overall credit risk. The Company does not require collateral or other security to support financial instruments subject to credit risk. The Company performs ongoing credit evaluations of customers and maintains reserves for potentially uncollectible accounts. The Company has four customers as of September 30, 2024 and December 31, 2023, who accounted for approximately 88% and 95% of consolidated gross receivables, respectively. Among four customers as of September 30, 2024 and December 31, 2023, each customer accounted for 43%, 23%, 12% and 10% as of September 30, 2024, and 43%, 20%, 16% and 16% as of December 31, 2023 of the consolidated gross receivables outstanding. The Company had four customers in the three months ended September 30, 2024, and two customers in the three months ended September 30, 2023, that accounted for 44%, 15%, 14% and 11%, and 40% and 20% of the Company’s net revenue, respectively. The Company had four customers in the nine months ended September 30, 2024, and two customers in the nine months ended September 30, 2023, that accounted for 46%, 14%, 13% and 11%, and 36% and 17% of the Company’s net revenue, respectively. The loss of these customers or declines in the forecasts of their accounts receivable collectability would have a significant impact on the Company’s financial performance.</w:t>
      </w:r>
    </w:p>
    <w:p>
      <w:pPr>
        <w:spacing w:after="0" w:line="1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As of September 30, 2024, the Company had two vendors who accounted for approximately 37% and 11% of consolidated gross payables, respectively, and as of December 31, 2023 the Company had one vendor who accounted for approximately 69% of consolidated gross payables. The loss of these vendors could have a significant impact on the Company’s financial performance.</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Company had one vendor, SDE, a related party, that accounted for 61% and 45% of the Company’s combined cost of revenues and operating expenses during the three months ended September 30, 2024 and 2023, respectively. Amounts payable to SDE are included in accounts receivable – related party and accounts payable - related parties in the condensed consolidated balance sheets as of September 30, 2024 and December 31, 2023, respectively. SDE accounted for 55% and 49% of the Company’s combined cost of revenues and operating expenses during the nine months ended September 30, 2024 and 2023, respectively. The loss of SDE as a vendor would significantly and adversely affect the Company’s core business.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Adopted Accounting Pronouncements</w:t>
      </w:r>
    </w:p>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 xml:space="preserve">In August 2020, the FASB issued ASU 2020-06, </w:t>
      </w:r>
      <w:r>
        <w:rPr>
          <w:rFonts w:ascii="Times New Roman" w:cs="Times New Roman" w:eastAsia="Times New Roman" w:hAnsi="Times New Roman"/>
          <w:sz w:val="15"/>
          <w:szCs w:val="15"/>
          <w:i w:val="1"/>
          <w:iCs w:val="1"/>
          <w:color w:val="auto"/>
        </w:rPr>
        <w:t>Contracts in Entity’s Own Equity (Subtopic 815-40) – Accounting for Convertible Instruments and Contracts in an Entity’s Own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Equity</w:t>
      </w:r>
      <w:r>
        <w:rPr>
          <w:rFonts w:ascii="Times New Roman" w:cs="Times New Roman" w:eastAsia="Times New Roman" w:hAnsi="Times New Roman"/>
          <w:sz w:val="15"/>
          <w:szCs w:val="15"/>
          <w:color w:val="auto"/>
        </w:rPr>
        <w:t>, to simplify the application of GAAP for certain financial instruments with characteristics of liabilities and equity. The FASB decided to eliminate certain accounting models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simplify the accounting for convertible instruments, reduce complexity for preparers and practitioners, and improve the decision usefulness and relevance of the information provided to financial statement users. The FASB also amended the guidance for derivatives scope exception for contracts in an entity’s own equity to reduce form-over-substance-based accounting conclusion and amended the related earnings per share guidance. The Company has adopted this standard on January 1, 2024 and it did not have a material impact on the Company’s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 xml:space="preserve">In October 2023, the FASB issued ASU 2023-06, </w:t>
      </w:r>
      <w:r>
        <w:rPr>
          <w:rFonts w:ascii="Times New Roman" w:cs="Times New Roman" w:eastAsia="Times New Roman" w:hAnsi="Times New Roman"/>
          <w:sz w:val="15"/>
          <w:szCs w:val="15"/>
          <w:i w:val="1"/>
          <w:iCs w:val="1"/>
          <w:color w:val="auto"/>
        </w:rPr>
        <w:t>Codification Amendments in Response to the SEC’s Disclosure Update and Simplification Initiative,</w:t>
      </w:r>
      <w:r>
        <w:rPr>
          <w:rFonts w:ascii="Times New Roman" w:cs="Times New Roman" w:eastAsia="Times New Roman" w:hAnsi="Times New Roman"/>
          <w:sz w:val="15"/>
          <w:szCs w:val="15"/>
          <w:color w:val="auto"/>
        </w:rPr>
        <w:t xml:space="preserve"> to clarify or improve disclosure and presentation requirements of a variety of topics. Certain of the amendments represent clarifications to or technical corrections of the current requirements. Many of the amendments allow users to more easily compare entities subject to the SEC’s existing disclosures with those entities that were not previously subject to the SEC’s requirements. ASU 2023-06 is effective for companies subject to the SEC’s disclosure requirements. The effective date for each amendment will be the date on which the SEC’s removal of that related disclosure from Regulation S-X or Regulation S-K becomes effected. For all other entities the amendments will be effective two years. The Company expects the implementation of this standard to require modification of certain disclosures and we do not expect the standard to have a material impact on the Company’s financial statements.</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In November 2023, the FASB issued ASU 2023-07, </w:t>
      </w:r>
      <w:r>
        <w:rPr>
          <w:rFonts w:ascii="Times New Roman" w:cs="Times New Roman" w:eastAsia="Times New Roman" w:hAnsi="Times New Roman"/>
          <w:sz w:val="15"/>
          <w:szCs w:val="15"/>
          <w:i w:val="1"/>
          <w:iCs w:val="1"/>
          <w:color w:val="auto"/>
        </w:rPr>
        <w:t>Improvements to Reportable Segment Disclosure (Topic 280),</w:t>
      </w:r>
      <w:r>
        <w:rPr>
          <w:rFonts w:ascii="Times New Roman" w:cs="Times New Roman" w:eastAsia="Times New Roman" w:hAnsi="Times New Roman"/>
          <w:sz w:val="15"/>
          <w:szCs w:val="15"/>
          <w:color w:val="auto"/>
        </w:rPr>
        <w:t xml:space="preserve"> to improve financial reporting by requiring disclosure of incremental segment information on an annual and interim basis for all public entities. The update does not change how a public entity identifies its operating segments, aggregates those operating segments, or applied the quantitative thresholds to determine its reportable segments. The amendments in this update are effective for fiscal years beginning after December 15, 2023, and interim periods beginning after December 15, 2024. The Company is evaluating the impact of adopting the new standard.</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In December 2023, the FASB issued ASU 2023-09, </w:t>
      </w:r>
      <w:r>
        <w:rPr>
          <w:rFonts w:ascii="Times New Roman" w:cs="Times New Roman" w:eastAsia="Times New Roman" w:hAnsi="Times New Roman"/>
          <w:sz w:val="15"/>
          <w:szCs w:val="15"/>
          <w:i w:val="1"/>
          <w:iCs w:val="1"/>
          <w:color w:val="auto"/>
        </w:rPr>
        <w:t>Income Taxes (Topic 740): Improvements to Income Tax Disclosures,</w:t>
      </w:r>
      <w:r>
        <w:rPr>
          <w:rFonts w:ascii="Times New Roman" w:cs="Times New Roman" w:eastAsia="Times New Roman" w:hAnsi="Times New Roman"/>
          <w:sz w:val="15"/>
          <w:szCs w:val="15"/>
          <w:color w:val="auto"/>
        </w:rPr>
        <w:t xml:space="preserve"> to improve the transparency of income tax disclosures requiring consistent categories and greater disaggregation of information in the rate reconciliation and income taxes paid disaggregated by jurisdiction. The amendments in the update requires that public business entities, on an annual basis, disclose specific categories in the rate reconciliation and provide additional information for reconciling items that meet a quantitative threshold. The amendments in this update are effective for annual periods beginning after December 15, 2024. The Company is evaluating the impact of adopting the new standard.</w:t>
      </w:r>
    </w:p>
    <w:p>
      <w:pPr>
        <w:spacing w:after="0" w:line="3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color w:val="auto"/>
        </w:rPr>
        <w:t xml:space="preserve">In March 2024, the FASB issued ASU 2024-02, </w:t>
      </w:r>
      <w:r>
        <w:rPr>
          <w:rFonts w:ascii="Times New Roman" w:cs="Times New Roman" w:eastAsia="Times New Roman" w:hAnsi="Times New Roman"/>
          <w:sz w:val="15"/>
          <w:szCs w:val="15"/>
          <w:i w:val="1"/>
          <w:iCs w:val="1"/>
          <w:color w:val="auto"/>
        </w:rPr>
        <w:t>Codification Improvements</w:t>
      </w:r>
      <w:r>
        <w:rPr>
          <w:rFonts w:ascii="Times New Roman" w:cs="Times New Roman" w:eastAsia="Times New Roman" w:hAnsi="Times New Roman"/>
          <w:sz w:val="15"/>
          <w:szCs w:val="15"/>
          <w:color w:val="auto"/>
        </w:rPr>
        <w:t xml:space="preserve"> to amend a variety of topics in the accounting codification by removing references to various FASB concept statements. This accounting standard is effective for fiscal years beginning after December 15, 2024, and early adoption is permitted. The Company is evaluating the impact of adopting the new standard.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Employee Savings Plans</w:t>
      </w:r>
    </w:p>
    <w:p>
      <w:pPr>
        <w:spacing w:after="0" w:line="20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The Company maintains a 401(k) for its United States based employees. The plan is offered to all eligible employees to make voluntary contributions. Employer contributions to the plan are reported under general and administrative costs in the amounts of $25,650 and $26,003 for the three months ended September 30, 2024 and 2023, respectively and $74,907 and $77,391 for the nine months ended September 30, 2024 and 2023,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did not issue any restricted stock units (“Restricted Stock Units” or “restricted stock units”) during the three and nine months ended September 30, 2024, and 2023. The fair value of Restricted Stock Units is determined based on the quoted market price of our common stock on the date of grant.</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5,718,000 shares, (b) 1% of the shares of the Company’s Class B common stock outstanding (on a fully diluted basis) on the final day of the immediately preceding calendar year or (c) such smaller number of shares as determined by the Company’s board of directors. As of September 30, 2024 there were 4,506,022 shares reserved for issuance under the 2022 Plan.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Units</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The Company granted restricted stock units under our 2022 Omnibus Incentive Plan to employees and directors.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Class A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On November 10, 2022, the Company’s board of directors authorized a share repurchase program under which the Company may repurchase up to $5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No treasury stock was sold during the three or nine months ended September 30, 2024 and 2023. As of September 30, 2024 and December 31,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Earnings (loss) Per Share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Earnings (loss) per share (“EPS”) is calculated by dividing the net income (loss) that is applicable to the common stockholders for the period by the weighted average number of shares of common stock during that period. The diluted EPS for the period is calculated by dividing the net earnings (loss) applicable to common stockholders for the period by the weighted average number of shares of common stock and common stock equivalents outstanding during the period. The Company’s common stock equivalents are measured using the treasury stock method and represent unvested restricted stock units and warrants. The Company issues two classes of common stock with differing voting rights, and as such, reports EPS using the dual class method. For more information see Note 15 –</w:t>
      </w:r>
      <w:r>
        <w:rPr>
          <w:rFonts w:ascii="Times New Roman" w:cs="Times New Roman" w:eastAsia="Times New Roman" w:hAnsi="Times New Roman"/>
          <w:sz w:val="15"/>
          <w:szCs w:val="15"/>
          <w:i w:val="1"/>
          <w:iCs w:val="1"/>
          <w:color w:val="auto"/>
        </w:rPr>
        <w:t>Earnings (Loss) Per Share.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 Restrictions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ability to pay cash dividends is currently restricted by the terms of our credit facilities.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 REVENUE FROM CONTRACTS WITH CUSTOMERS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Disaggregation of revenue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Timing of recognition</w:t>
      </w:r>
    </w:p>
    <w:p>
      <w:pPr>
        <w:spacing w:after="0" w:line="20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The Company recognizes revenue at a point in time for performance obligations that are met at the time of sale or at the time of a release. The Company recognizes revenue over a period based on the estimated service period of the product and additional performance obligations met over time for technical support. Net revenue by timing of recognition during the three and nine months ended September 30, 2024 and 2023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80" w:type="dxa"/>
            <w:vAlign w:val="bottom"/>
          </w:tcPr>
          <w:p>
            <w:pPr>
              <w:spacing w:after="0"/>
              <w:rPr>
                <w:sz w:val="17"/>
                <w:szCs w:val="17"/>
                <w:color w:val="auto"/>
              </w:rPr>
            </w:pPr>
          </w:p>
        </w:tc>
        <w:tc>
          <w:tcPr>
            <w:tcW w:w="3060" w:type="dxa"/>
            <w:vAlign w:val="bottom"/>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8"/>
        </w:trPr>
        <w:tc>
          <w:tcPr>
            <w:tcW w:w="42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Over time</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1,206,362</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1,348,547</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3,428,021</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4,807,415</w:t>
            </w:r>
          </w:p>
        </w:tc>
        <w:tc>
          <w:tcPr>
            <w:tcW w:w="100" w:type="dxa"/>
            <w:vAlign w:val="bottom"/>
            <w:shd w:val="clear" w:color="auto" w:fill="CCEEFF"/>
          </w:tcPr>
          <w:p>
            <w:pPr>
              <w:spacing w:after="0"/>
              <w:rPr>
                <w:sz w:val="15"/>
                <w:szCs w:val="15"/>
                <w:color w:val="auto"/>
              </w:rPr>
            </w:pP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Point in time</w:t>
            </w:r>
          </w:p>
        </w:tc>
        <w:tc>
          <w:tcPr>
            <w:tcW w:w="280" w:type="dxa"/>
            <w:vAlign w:val="bottom"/>
          </w:tcPr>
          <w:p>
            <w:pPr>
              <w:spacing w:after="0"/>
              <w:rPr>
                <w:sz w:val="17"/>
                <w:szCs w:val="17"/>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21,324,010</w:t>
            </w:r>
          </w:p>
        </w:tc>
        <w:tc>
          <w:tcPr>
            <w:tcW w:w="34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7,632,588</w:t>
            </w:r>
          </w:p>
        </w:tc>
        <w:tc>
          <w:tcPr>
            <w:tcW w:w="28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54,824,730</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27,524,461</w:t>
            </w:r>
          </w:p>
        </w:tc>
      </w:tr>
      <w:tr>
        <w:trPr>
          <w:trHeight w:val="18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22,530,372</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8,981,135</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58,252,751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32,331,876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Geography</w:t>
      </w:r>
    </w:p>
    <w:p>
      <w:pPr>
        <w:spacing w:after="0" w:line="2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The Company attributes net revenue to geographic regions based on customer location. Net revenue by geographic region for the three and nine months ended September 30, 2024 and 2023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80" w:type="dxa"/>
            <w:vAlign w:val="bottom"/>
          </w:tcPr>
          <w:p>
            <w:pPr>
              <w:spacing w:after="0"/>
              <w:rPr>
                <w:sz w:val="17"/>
                <w:szCs w:val="17"/>
                <w:color w:val="auto"/>
              </w:rPr>
            </w:pPr>
          </w:p>
        </w:tc>
        <w:tc>
          <w:tcPr>
            <w:tcW w:w="3060" w:type="dxa"/>
            <w:vAlign w:val="bottom"/>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8"/>
        </w:trPr>
        <w:tc>
          <w:tcPr>
            <w:tcW w:w="42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19,677,713</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8,615,877</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50,489,170</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28,757,507</w:t>
            </w:r>
          </w:p>
        </w:tc>
        <w:tc>
          <w:tcPr>
            <w:tcW w:w="100" w:type="dxa"/>
            <w:vAlign w:val="bottom"/>
            <w:shd w:val="clear" w:color="auto" w:fill="CCEEFF"/>
          </w:tcPr>
          <w:p>
            <w:pPr>
              <w:spacing w:after="0"/>
              <w:rPr>
                <w:sz w:val="15"/>
                <w:szCs w:val="15"/>
                <w:color w:val="auto"/>
              </w:rPr>
            </w:pP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280" w:type="dxa"/>
            <w:vAlign w:val="bottom"/>
          </w:tcPr>
          <w:p>
            <w:pPr>
              <w:spacing w:after="0"/>
              <w:rPr>
                <w:sz w:val="17"/>
                <w:szCs w:val="17"/>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2,852,659</w:t>
            </w:r>
          </w:p>
        </w:tc>
        <w:tc>
          <w:tcPr>
            <w:tcW w:w="34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365,258</w:t>
            </w:r>
          </w:p>
        </w:tc>
        <w:tc>
          <w:tcPr>
            <w:tcW w:w="28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7,763,581</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3,574,369</w:t>
            </w:r>
          </w:p>
        </w:tc>
        <w:tc>
          <w:tcPr>
            <w:tcW w:w="100" w:type="dxa"/>
            <w:vAlign w:val="bottom"/>
          </w:tcPr>
          <w:p>
            <w:pPr>
              <w:spacing w:after="0"/>
              <w:rPr>
                <w:sz w:val="17"/>
                <w:szCs w:val="17"/>
                <w:color w:val="auto"/>
              </w:rPr>
            </w:pPr>
          </w:p>
        </w:tc>
      </w:tr>
      <w:tr>
        <w:trPr>
          <w:trHeight w:val="18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22,530,372</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8,981,135</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58,252,751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32,331,876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Platform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revenue by platform for the three and nine months ended September 30, 2024 and 2023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80" w:type="dxa"/>
            <w:vAlign w:val="bottom"/>
          </w:tcPr>
          <w:p>
            <w:pPr>
              <w:spacing w:after="0"/>
              <w:rPr>
                <w:sz w:val="17"/>
                <w:szCs w:val="17"/>
                <w:color w:val="auto"/>
              </w:rPr>
            </w:pPr>
          </w:p>
        </w:tc>
        <w:tc>
          <w:tcPr>
            <w:tcW w:w="3060" w:type="dxa"/>
            <w:vAlign w:val="bottom"/>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8"/>
        </w:trPr>
        <w:tc>
          <w:tcPr>
            <w:tcW w:w="42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Console</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9,866,331</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3,862,923</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24,204,453</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13,262,988</w:t>
            </w:r>
          </w:p>
        </w:tc>
        <w:tc>
          <w:tcPr>
            <w:tcW w:w="100" w:type="dxa"/>
            <w:vAlign w:val="bottom"/>
            <w:shd w:val="clear" w:color="auto" w:fill="CCEEFF"/>
          </w:tcPr>
          <w:p>
            <w:pPr>
              <w:spacing w:after="0"/>
              <w:rPr>
                <w:sz w:val="15"/>
                <w:szCs w:val="15"/>
                <w:color w:val="auto"/>
              </w:rPr>
            </w:pP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PC</w:t>
            </w:r>
          </w:p>
        </w:tc>
        <w:tc>
          <w:tcPr>
            <w:tcW w:w="280" w:type="dxa"/>
            <w:vAlign w:val="bottom"/>
          </w:tcPr>
          <w:p>
            <w:pPr>
              <w:spacing w:after="0"/>
              <w:rPr>
                <w:sz w:val="16"/>
                <w:szCs w:val="16"/>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10,722,203</w:t>
            </w:r>
          </w:p>
        </w:tc>
        <w:tc>
          <w:tcPr>
            <w:tcW w:w="34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3,717,627</w:t>
            </w:r>
          </w:p>
        </w:tc>
        <w:tc>
          <w:tcPr>
            <w:tcW w:w="280" w:type="dxa"/>
            <w:vAlign w:val="bottom"/>
          </w:tcPr>
          <w:p>
            <w:pPr>
              <w:spacing w:after="0"/>
              <w:rPr>
                <w:sz w:val="16"/>
                <w:szCs w:val="16"/>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27,644,669</w:t>
            </w:r>
          </w:p>
        </w:tc>
        <w:tc>
          <w:tcPr>
            <w:tcW w:w="3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12,097,176</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Mobile</w:t>
            </w:r>
          </w:p>
        </w:tc>
        <w:tc>
          <w:tcPr>
            <w:tcW w:w="2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1,036,746</w:t>
            </w:r>
          </w:p>
        </w:tc>
        <w:tc>
          <w:tcPr>
            <w:tcW w:w="3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1,400,585</w:t>
            </w:r>
          </w:p>
        </w:tc>
        <w:tc>
          <w:tcPr>
            <w:tcW w:w="2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3,132,152</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4,626,820</w:t>
            </w:r>
          </w:p>
        </w:tc>
        <w:tc>
          <w:tcPr>
            <w:tcW w:w="100" w:type="dxa"/>
            <w:vAlign w:val="bottom"/>
            <w:shd w:val="clear" w:color="auto" w:fill="CCEEFF"/>
          </w:tcPr>
          <w:p>
            <w:pPr>
              <w:spacing w:after="0"/>
              <w:rPr>
                <w:sz w:val="16"/>
                <w:szCs w:val="16"/>
                <w:color w:val="auto"/>
              </w:rPr>
            </w:pP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tcPr>
          <w:p>
            <w:pPr>
              <w:spacing w:after="0"/>
              <w:rPr>
                <w:sz w:val="17"/>
                <w:szCs w:val="17"/>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905,092</w:t>
            </w:r>
          </w:p>
        </w:tc>
        <w:tc>
          <w:tcPr>
            <w:tcW w:w="34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3,271,477</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2,344,892</w:t>
            </w:r>
          </w:p>
        </w:tc>
        <w:tc>
          <w:tcPr>
            <w:tcW w:w="100" w:type="dxa"/>
            <w:vAlign w:val="bottom"/>
          </w:tcPr>
          <w:p>
            <w:pPr>
              <w:spacing w:after="0"/>
              <w:rPr>
                <w:sz w:val="17"/>
                <w:szCs w:val="17"/>
                <w:color w:val="auto"/>
              </w:rPr>
            </w:pPr>
          </w:p>
        </w:tc>
      </w:tr>
      <w:tr>
        <w:trPr>
          <w:trHeight w:val="18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22,530,372</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8,981,135</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58,252,751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32,331,876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Distribution channel</w:t>
      </w:r>
    </w:p>
    <w:p>
      <w:pPr>
        <w:spacing w:after="0" w:line="2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Our products are delivered through digital online services (digital download, online platforms, and cloud streaming), mobile, and retail distribution and other. Net revenue by distribution channel for the three and nine months ended September 30, 2024 and 2023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80" w:type="dxa"/>
            <w:vAlign w:val="bottom"/>
          </w:tcPr>
          <w:p>
            <w:pPr>
              <w:spacing w:after="0"/>
              <w:rPr>
                <w:sz w:val="17"/>
                <w:szCs w:val="17"/>
                <w:color w:val="auto"/>
              </w:rPr>
            </w:pPr>
          </w:p>
        </w:tc>
        <w:tc>
          <w:tcPr>
            <w:tcW w:w="3060" w:type="dxa"/>
            <w:vAlign w:val="bottom"/>
            <w:gridSpan w:val="6"/>
          </w:tcPr>
          <w:p>
            <w:pPr>
              <w:ind w:left="2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8"/>
        </w:trPr>
        <w:tc>
          <w:tcPr>
            <w:tcW w:w="42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Digital</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20,588,534</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7,580,550</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51,849,122</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25,360,164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Mobile</w:t>
            </w:r>
          </w:p>
        </w:tc>
        <w:tc>
          <w:tcPr>
            <w:tcW w:w="280" w:type="dxa"/>
            <w:vAlign w:val="bottom"/>
          </w:tcPr>
          <w:p>
            <w:pPr>
              <w:spacing w:after="0"/>
              <w:rPr>
                <w:sz w:val="16"/>
                <w:szCs w:val="16"/>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1,036,746</w:t>
            </w:r>
          </w:p>
        </w:tc>
        <w:tc>
          <w:tcPr>
            <w:tcW w:w="34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1,400,585</w:t>
            </w:r>
          </w:p>
        </w:tc>
        <w:tc>
          <w:tcPr>
            <w:tcW w:w="280" w:type="dxa"/>
            <w:vAlign w:val="bottom"/>
          </w:tcPr>
          <w:p>
            <w:pPr>
              <w:spacing w:after="0"/>
              <w:rPr>
                <w:sz w:val="16"/>
                <w:szCs w:val="16"/>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3,132,152</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4,626,820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Physical retail and other</w:t>
            </w:r>
          </w:p>
        </w:tc>
        <w:tc>
          <w:tcPr>
            <w:tcW w:w="2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905,092</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3,271,477</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2,344,892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22,530,372</w:t>
            </w:r>
          </w:p>
        </w:tc>
        <w:tc>
          <w:tcPr>
            <w:tcW w:w="34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8,981,135</w:t>
            </w:r>
          </w:p>
        </w:tc>
        <w:tc>
          <w:tcPr>
            <w:tcW w:w="3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58,252,751</w:t>
            </w:r>
          </w:p>
        </w:tc>
        <w:tc>
          <w:tcPr>
            <w:tcW w:w="3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32,331,876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Revenues</w:t>
      </w:r>
    </w:p>
    <w:p>
      <w:pPr>
        <w:spacing w:after="0" w:line="200"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As discussed in Note 14, the Company recognized the $1.2 million payment related to the Angela Games settlement upon satisfaction of performance obligations included in the contract. This amount is included in other revenues for the nine months ended September 30, 2024.</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Deferred Revenue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The Company records deferred revenue when payments are due or received in advance of the fulfillment of our associated performance obligations; reductions to deferred revenue balance were primarily due to the recognition of revenue upon fulfillment of its performance obligations, which were in the ordinary course of business. As of September 30, 2024, the balance of deferred revenue was $33.3 million, of which $32.2 million is due to non-refundable payments. The Company is expecting to recognize $9.6 million of the non-refundable payments in the next 12 months through the platform releases of certain DLCs, $16.2 million of non-refundable payments in the next 12 to 60 months through the release of DLC’s and additional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titles. The remaining $3.8 million of current non-refundable deferred revenues and $2.6 million of long term non-refundable deferred revenue will be recognized as revenue primarily on a straight-line basis over the next 60 months, based on our estimates of technical support obligations, the usage of consumable virtual goods and estimated period of time an end user will play the game. The Company’s refundable deferred revenue consists of $1.1 million in advance payments received in accordance with the agreement the Company has made with its retail distributor. Activities in the Company’s deferred revenue as of September 30, 2024 and 2023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7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 beginning balance in advance of revenue recognition billing</w:t>
            </w:r>
          </w:p>
        </w:tc>
        <w:tc>
          <w:tcPr>
            <w:tcW w:w="114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34,316,706</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9,551,446</w:t>
            </w:r>
          </w:p>
        </w:tc>
        <w:tc>
          <w:tcPr>
            <w:tcW w:w="100" w:type="dxa"/>
            <w:vAlign w:val="bottom"/>
            <w:shd w:val="clear" w:color="auto" w:fill="CCEEFF"/>
          </w:tcPr>
          <w:p>
            <w:pPr>
              <w:spacing w:after="0"/>
              <w:rPr>
                <w:sz w:val="15"/>
                <w:szCs w:val="15"/>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Revenue recognized</w:t>
            </w:r>
          </w:p>
        </w:tc>
        <w:tc>
          <w:tcPr>
            <w:tcW w:w="114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(20,222,086)</w:t>
            </w:r>
          </w:p>
        </w:tc>
        <w:tc>
          <w:tcPr>
            <w:tcW w:w="44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(5,223,331)</w:t>
            </w:r>
          </w:p>
        </w:tc>
      </w:tr>
      <w:tr>
        <w:trPr>
          <w:trHeight w:val="19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deferred</w:t>
            </w:r>
          </w:p>
        </w:tc>
        <w:tc>
          <w:tcPr>
            <w:tcW w:w="1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19,196,016</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7,200,644</w:t>
            </w:r>
          </w:p>
        </w:tc>
        <w:tc>
          <w:tcPr>
            <w:tcW w:w="100" w:type="dxa"/>
            <w:vAlign w:val="bottom"/>
            <w:shd w:val="clear" w:color="auto" w:fill="CCEEFF"/>
          </w:tcPr>
          <w:p>
            <w:pPr>
              <w:spacing w:after="0"/>
              <w:rPr>
                <w:sz w:val="17"/>
                <w:szCs w:val="17"/>
                <w:color w:val="auto"/>
              </w:rPr>
            </w:pPr>
          </w:p>
        </w:tc>
      </w:tr>
      <w:tr>
        <w:trPr>
          <w:trHeight w:val="17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ending balance</w:t>
            </w:r>
          </w:p>
        </w:tc>
        <w:tc>
          <w:tcPr>
            <w:tcW w:w="1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33,290,636</w:t>
            </w:r>
          </w:p>
        </w:tc>
        <w:tc>
          <w:tcPr>
            <w:tcW w:w="3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11,528,759</w:t>
            </w:r>
          </w:p>
        </w:tc>
        <w:tc>
          <w:tcPr>
            <w:tcW w:w="100" w:type="dxa"/>
            <w:vAlign w:val="bottom"/>
          </w:tcPr>
          <w:p>
            <w:pPr>
              <w:spacing w:after="0"/>
              <w:rPr>
                <w:sz w:val="15"/>
                <w:szCs w:val="15"/>
                <w:color w:val="auto"/>
              </w:rPr>
            </w:pPr>
          </w:p>
        </w:tc>
      </w:tr>
      <w:tr>
        <w:trPr>
          <w:trHeight w:val="19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current portion</w:t>
            </w:r>
          </w:p>
        </w:tc>
        <w:tc>
          <w:tcPr>
            <w:tcW w:w="1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(13,349,641)</w:t>
            </w: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(5,848,320)</w:t>
            </w: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long term</w:t>
            </w:r>
          </w:p>
        </w:tc>
        <w:tc>
          <w:tcPr>
            <w:tcW w:w="1140" w:type="dxa"/>
            <w:vAlign w:val="bottom"/>
            <w:tcBorders>
              <w:top w:val="single" w:sz="8" w:color="auto"/>
              <w:bottom w:val="single" w:sz="8" w:color="auto"/>
            </w:tcBorders>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19,940,995</w:t>
            </w:r>
          </w:p>
        </w:tc>
        <w:tc>
          <w:tcPr>
            <w:tcW w:w="3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5,680,439</w:t>
            </w:r>
          </w:p>
        </w:tc>
        <w:tc>
          <w:tcPr>
            <w:tcW w:w="100" w:type="dxa"/>
            <w:vAlign w:val="bottom"/>
          </w:tcPr>
          <w:p>
            <w:pPr>
              <w:spacing w:after="0"/>
              <w:rPr>
                <w:sz w:val="16"/>
                <w:szCs w:val="16"/>
                <w:color w:val="auto"/>
              </w:rPr>
            </w:pPr>
          </w:p>
        </w:tc>
      </w:tr>
      <w:tr>
        <w:trPr>
          <w:trHeight w:val="20"/>
        </w:trPr>
        <w:tc>
          <w:tcPr>
            <w:tcW w:w="7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 – CASH AND CASH EQUIVALENTS, AND RESTRICTED CASH AND CASH EQUIVALENTS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Cash equivalents are valued using quoted market prices or other readily available market information. The Company has restricted cash and cash equivalents of $1,119,565 and $1,116,196 as of September 30, 2024 and December 31, 2023, respectively. The amounts of restricted cash and cash equivalents held as of September 30, 2024, are to secure the standby letter of credit with landlords and the amounts of restricted cash and cash equivalents as of September 30, 2023, were held as security for the debt with a financial institution (see Note 11 — </w:t>
      </w:r>
      <w:r>
        <w:rPr>
          <w:rFonts w:ascii="Times New Roman" w:cs="Times New Roman" w:eastAsia="Times New Roman" w:hAnsi="Times New Roman"/>
          <w:sz w:val="15"/>
          <w:szCs w:val="15"/>
          <w:i w:val="1"/>
          <w:iCs w:val="1"/>
          <w:color w:val="auto"/>
        </w:rPr>
        <w:t>Revolving Loan, Short Term Note, and Long-Term Debt</w:t>
      </w:r>
      <w:r>
        <w:rPr>
          <w:rFonts w:ascii="Times New Roman" w:cs="Times New Roman" w:eastAsia="Times New Roman" w:hAnsi="Times New Roman"/>
          <w:sz w:val="15"/>
          <w:szCs w:val="15"/>
          <w:color w:val="auto"/>
        </w:rPr>
        <w:t>) and to secure standby letters of credit with landlords. On June 21, 2023, the Company amended its revolving loan and $5,273,391 of restricted cash and cash equivalents was released. The following table summarizes the components of the Company’s cash and cash equivalents, and restricted cash and cash equivalents as of September 30, 2024 and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7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16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10,566,294</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4,948,832</w:t>
            </w:r>
          </w:p>
        </w:tc>
        <w:tc>
          <w:tcPr>
            <w:tcW w:w="100" w:type="dxa"/>
            <w:vAlign w:val="bottom"/>
            <w:shd w:val="clear" w:color="auto" w:fill="CCEEFF"/>
          </w:tcPr>
          <w:p>
            <w:pPr>
              <w:spacing w:after="0"/>
              <w:rPr>
                <w:sz w:val="15"/>
                <w:szCs w:val="15"/>
                <w:color w:val="auto"/>
              </w:rPr>
            </w:pPr>
          </w:p>
        </w:tc>
      </w:tr>
      <w:tr>
        <w:trPr>
          <w:trHeight w:val="19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 and cash equivalents</w:t>
            </w:r>
          </w:p>
        </w:tc>
        <w:tc>
          <w:tcPr>
            <w:tcW w:w="116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1,119,565</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1,115,084</w:t>
            </w:r>
          </w:p>
        </w:tc>
        <w:tc>
          <w:tcPr>
            <w:tcW w:w="100" w:type="dxa"/>
            <w:vAlign w:val="bottom"/>
          </w:tcPr>
          <w:p>
            <w:pPr>
              <w:spacing w:after="0"/>
              <w:rPr>
                <w:sz w:val="17"/>
                <w:szCs w:val="17"/>
                <w:color w:val="auto"/>
              </w:rPr>
            </w:pPr>
          </w:p>
        </w:tc>
      </w:tr>
      <w:tr>
        <w:trPr>
          <w:trHeight w:val="188"/>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and restricted cash and cash equivalents</w:t>
            </w:r>
          </w:p>
        </w:tc>
        <w:tc>
          <w:tcPr>
            <w:tcW w:w="1160" w:type="dxa"/>
            <w:vAlign w:val="bottom"/>
            <w:tcBorders>
              <w:top w:val="single" w:sz="8" w:color="auto"/>
              <w:bottom w:val="single" w:sz="8" w:color="auto"/>
            </w:tcBorders>
            <w:shd w:val="clear" w:color="auto" w:fill="CCEEFF"/>
          </w:tcPr>
          <w:p>
            <w:pPr>
              <w:jc w:val="right"/>
              <w:ind w:right="103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11,685,859</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6,063,916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7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 – ACCOUNTS RECEIVABLE (PAYABLE) – RELATED PARTY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100% owned and controlled by the wife of the Founder, Co-Chief Executive Officer, Chief Strategy Officer and Chairman of the Company. In January 2024, the Company entered into an offset agreement with SDE. The Company has the right to offset payables due to the related party for royalties, internet, server, and datacenter costs (“IDC”) and marketing costs as they are determinable, mutual, and the right is enforceable by law. The Company will offset $0.5 million per month, or $6.0 million annually, beginning in January 2024, until the receivable has been collected or offset in full. To reflect the timing of the offset agreement, a portion of the SDE receivable is presented as a long-term asset. During the nine months ended September 30, 2024, the Company made cash payments to SDE in the amount of $35.1 million and anticipates continuing to make cash payment to SDE in future years. As of September 30, 2024 and December 31, 2023, the outstanding balance of net accounts receivable from related party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35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7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23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9,000,592</w:t>
            </w:r>
          </w:p>
        </w:tc>
        <w:tc>
          <w:tcPr>
            <w:tcW w:w="3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13,500,592</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payable – related party – SDE</w:t>
            </w:r>
          </w:p>
        </w:tc>
        <w:tc>
          <w:tcPr>
            <w:tcW w:w="2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(2,964,445)</w:t>
            </w:r>
          </w:p>
        </w:tc>
        <w:tc>
          <w:tcPr>
            <w:tcW w:w="440" w:type="dxa"/>
            <w:vAlign w:val="bottom"/>
          </w:tcPr>
          <w:p>
            <w:pPr>
              <w:spacing w:after="0"/>
              <w:rPr>
                <w:sz w:val="17"/>
                <w:szCs w:val="17"/>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(10,946,478)</w:t>
            </w:r>
          </w:p>
        </w:tc>
      </w:tr>
      <w:tr>
        <w:trPr>
          <w:trHeight w:val="17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accounts receivable, related party - SDE</w:t>
            </w:r>
          </w:p>
        </w:tc>
        <w:tc>
          <w:tcPr>
            <w:tcW w:w="23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6,036,147</w:t>
            </w:r>
          </w:p>
        </w:tc>
        <w:tc>
          <w:tcPr>
            <w:tcW w:w="3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2,554,114</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accounts receivable – related party, net of current portion</w:t>
            </w:r>
          </w:p>
        </w:tc>
        <w:tc>
          <w:tcPr>
            <w:tcW w:w="23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3,000,592</w:t>
            </w: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7,500,592</w:t>
            </w:r>
          </w:p>
        </w:tc>
        <w:tc>
          <w:tcPr>
            <w:tcW w:w="100" w:type="dxa"/>
            <w:vAlign w:val="bottom"/>
            <w:tcBorders>
              <w:bottom w:val="single" w:sz="8" w:color="CCEEFF"/>
            </w:tcBorders>
          </w:tcPr>
          <w:p>
            <w:pPr>
              <w:spacing w:after="0"/>
              <w:rPr>
                <w:sz w:val="17"/>
                <w:szCs w:val="17"/>
                <w:color w:val="auto"/>
              </w:rPr>
            </w:pPr>
          </w:p>
        </w:tc>
      </w:tr>
      <w:tr>
        <w:trPr>
          <w:trHeight w:val="188"/>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accounts receivable (payable), related party, current - SDE</w:t>
            </w:r>
          </w:p>
        </w:tc>
        <w:tc>
          <w:tcPr>
            <w:tcW w:w="2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3,035,555</w:t>
            </w:r>
          </w:p>
        </w:tc>
        <w:tc>
          <w:tcPr>
            <w:tcW w:w="3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(4,946,478</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3"/>
        </w:trPr>
        <w:tc>
          <w:tcPr>
            <w:tcW w:w="46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2365"/>
              <w:spacing w:after="0"/>
              <w:rPr>
                <w:sz w:val="20"/>
                <w:szCs w:val="20"/>
                <w:color w:val="auto"/>
              </w:rPr>
            </w:pPr>
            <w:r>
              <w:rPr>
                <w:rFonts w:ascii="Times New Roman" w:cs="Times New Roman" w:eastAsia="Times New Roman" w:hAnsi="Times New Roman"/>
                <w:sz w:val="15"/>
                <w:szCs w:val="15"/>
                <w:color w:val="auto"/>
              </w:rPr>
              <w:t>F-15</w:t>
            </w: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 – PREPAID EXPENSES - RELATED PARTY</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color w:val="auto"/>
        </w:rPr>
        <w:t xml:space="preserve">On March 10, 2023, the Company amended its exclusive software license agreement with SDE relating to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For DLC’s, the Company plans to release during the term of the agreement, the Company has the option to pay the $5.0 million DLC payment in whole or in part, when paid in advance; or in full, upon the DLC release. No payment for any DLC under this agreement will exceed $5.0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During the nine months ended September 30, 2024, the Company made $0.3 million in prepaid royalty payments related to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have not yet been</w:t>
      </w:r>
    </w:p>
    <w:p>
      <w:pPr>
        <w:spacing w:after="0" w:line="3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 xml:space="preserve">released. During the year ended December 31, 2023, the Company prepaid $2.5 million for exclusive license rights for an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 to SDE and $5.5 million in prepaid royalties related to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had not yet been released. Prepaid expenses — related party consisted of the following as of September 30, 2024 and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7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royalties</w:t>
            </w:r>
          </w:p>
        </w:tc>
        <w:tc>
          <w:tcPr>
            <w:tcW w:w="116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6,368,786</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6,086,406</w:t>
            </w:r>
          </w:p>
        </w:tc>
        <w:tc>
          <w:tcPr>
            <w:tcW w:w="100" w:type="dxa"/>
            <w:vAlign w:val="bottom"/>
            <w:shd w:val="clear" w:color="auto" w:fill="CCEEFF"/>
          </w:tcPr>
          <w:p>
            <w:pPr>
              <w:spacing w:after="0"/>
              <w:rPr>
                <w:sz w:val="15"/>
                <w:szCs w:val="15"/>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Prepaid licenses</w:t>
            </w:r>
          </w:p>
        </w:tc>
        <w:tc>
          <w:tcPr>
            <w:tcW w:w="1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7,500,000</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7,500,000</w:t>
            </w:r>
          </w:p>
        </w:tc>
        <w:tc>
          <w:tcPr>
            <w:tcW w:w="100" w:type="dxa"/>
            <w:vAlign w:val="bottom"/>
          </w:tcPr>
          <w:p>
            <w:pPr>
              <w:spacing w:after="0"/>
              <w:rPr>
                <w:sz w:val="16"/>
                <w:szCs w:val="16"/>
                <w:color w:val="auto"/>
              </w:rPr>
            </w:pPr>
          </w:p>
        </w:tc>
      </w:tr>
      <w:tr>
        <w:trPr>
          <w:trHeight w:val="19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prepaids</w:t>
            </w:r>
          </w:p>
        </w:tc>
        <w:tc>
          <w:tcPr>
            <w:tcW w:w="1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77,846</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242,060</w:t>
            </w:r>
          </w:p>
        </w:tc>
        <w:tc>
          <w:tcPr>
            <w:tcW w:w="100" w:type="dxa"/>
            <w:vAlign w:val="bottom"/>
            <w:shd w:val="clear" w:color="auto" w:fill="CCEEFF"/>
          </w:tcPr>
          <w:p>
            <w:pPr>
              <w:spacing w:after="0"/>
              <w:rPr>
                <w:sz w:val="17"/>
                <w:szCs w:val="17"/>
                <w:color w:val="auto"/>
              </w:rPr>
            </w:pPr>
          </w:p>
        </w:tc>
      </w:tr>
      <w:tr>
        <w:trPr>
          <w:trHeight w:val="17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 - related party, ending balance</w:t>
            </w: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13,946,632</w:t>
            </w:r>
          </w:p>
        </w:tc>
        <w:tc>
          <w:tcPr>
            <w:tcW w:w="3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13,828,466</w:t>
            </w:r>
          </w:p>
        </w:tc>
        <w:tc>
          <w:tcPr>
            <w:tcW w:w="100" w:type="dxa"/>
            <w:vAlign w:val="bottom"/>
          </w:tcPr>
          <w:p>
            <w:pPr>
              <w:spacing w:after="0"/>
              <w:rPr>
                <w:sz w:val="15"/>
                <w:szCs w:val="15"/>
                <w:color w:val="auto"/>
              </w:rPr>
            </w:pPr>
          </w:p>
        </w:tc>
      </w:tr>
      <w:tr>
        <w:trPr>
          <w:trHeight w:val="19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short-term portion</w:t>
            </w:r>
          </w:p>
        </w:tc>
        <w:tc>
          <w:tcPr>
            <w:tcW w:w="1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(4,952,002)</w:t>
            </w: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(6,044,404)</w:t>
            </w: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Total prepaid expenses - related party, long-term</w:t>
            </w:r>
          </w:p>
        </w:tc>
        <w:tc>
          <w:tcPr>
            <w:tcW w:w="1160" w:type="dxa"/>
            <w:vAlign w:val="bottom"/>
            <w:tcBorders>
              <w:top w:val="single" w:sz="8" w:color="auto"/>
              <w:bottom w:val="single" w:sz="8" w:color="auto"/>
            </w:tcBorders>
          </w:tcPr>
          <w:p>
            <w:pPr>
              <w:jc w:val="right"/>
              <w:ind w:right="103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8,994,630</w:t>
            </w:r>
          </w:p>
        </w:tc>
        <w:tc>
          <w:tcPr>
            <w:tcW w:w="3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7,784,062</w:t>
            </w:r>
          </w:p>
        </w:tc>
        <w:tc>
          <w:tcPr>
            <w:tcW w:w="100" w:type="dxa"/>
            <w:vAlign w:val="bottom"/>
          </w:tcPr>
          <w:p>
            <w:pPr>
              <w:spacing w:after="0"/>
              <w:rPr>
                <w:sz w:val="16"/>
                <w:szCs w:val="16"/>
                <w:color w:val="auto"/>
              </w:rPr>
            </w:pPr>
          </w:p>
        </w:tc>
      </w:tr>
      <w:tr>
        <w:trPr>
          <w:trHeight w:val="20"/>
        </w:trPr>
        <w:tc>
          <w:tcPr>
            <w:tcW w:w="7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color w:val="auto"/>
        </w:rPr>
        <w:t xml:space="preserve">The amount classified as short-term, as of September 30, 2024, and December 31, 2023, includes prepaid royalties for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have not yet been released and various operational software licenses obtained through SDE.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 – PREPAID EXPENSES AND OTHER CURRENT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Prepaid expenses and other current assets consisted of the following as of September 30, 2024 and December 31,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7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receivables</w:t>
            </w:r>
          </w:p>
        </w:tc>
        <w:tc>
          <w:tcPr>
            <w:tcW w:w="1200" w:type="dxa"/>
            <w:vAlign w:val="bottom"/>
            <w:shd w:val="clear" w:color="auto" w:fill="CCEEFF"/>
          </w:tcPr>
          <w:p>
            <w:pPr>
              <w:jc w:val="right"/>
              <w:ind w:right="107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887,121</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12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105,411</w:t>
            </w:r>
          </w:p>
        </w:tc>
        <w:tc>
          <w:tcPr>
            <w:tcW w:w="44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105,411</w:t>
            </w: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prepaids</w:t>
            </w:r>
          </w:p>
        </w:tc>
        <w:tc>
          <w:tcPr>
            <w:tcW w:w="1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124,066</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70,967</w:t>
            </w:r>
          </w:p>
        </w:tc>
      </w:tr>
      <w:tr>
        <w:trPr>
          <w:trHeight w:val="19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220,146</w:t>
            </w: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463,315</w:t>
            </w:r>
          </w:p>
        </w:tc>
        <w:tc>
          <w:tcPr>
            <w:tcW w:w="100" w:type="dxa"/>
            <w:vAlign w:val="bottom"/>
            <w:tcBorders>
              <w:bottom w:val="single" w:sz="8" w:color="CCEEFF"/>
            </w:tcBorders>
          </w:tcPr>
          <w:p>
            <w:pPr>
              <w:spacing w:after="0"/>
              <w:rPr>
                <w:sz w:val="17"/>
                <w:szCs w:val="17"/>
                <w:color w:val="auto"/>
              </w:rPr>
            </w:pPr>
          </w:p>
        </w:tc>
      </w:tr>
      <w:tr>
        <w:trPr>
          <w:trHeight w:val="18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prepaid expenses and other current assets</w:t>
            </w:r>
          </w:p>
        </w:tc>
        <w:tc>
          <w:tcPr>
            <w:tcW w:w="1200" w:type="dxa"/>
            <w:vAlign w:val="bottom"/>
            <w:tcBorders>
              <w:bottom w:val="single" w:sz="8" w:color="auto"/>
            </w:tcBorders>
            <w:shd w:val="clear" w:color="auto" w:fill="CCEEFF"/>
          </w:tcPr>
          <w:p>
            <w:pPr>
              <w:jc w:val="right"/>
              <w:ind w:right="107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1,336,744</w:t>
            </w:r>
          </w:p>
        </w:tc>
        <w:tc>
          <w:tcPr>
            <w:tcW w:w="3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639,693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7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Other receivables consist of receivables related to </w:t>
      </w:r>
      <w:r>
        <w:rPr>
          <w:rFonts w:ascii="Times New Roman" w:cs="Times New Roman" w:eastAsia="Times New Roman" w:hAnsi="Times New Roman"/>
          <w:sz w:val="15"/>
          <w:szCs w:val="15"/>
          <w:i w:val="1"/>
          <w:iCs w:val="1"/>
          <w:color w:val="auto"/>
        </w:rPr>
        <w:t>Myth of Empires</w:t>
      </w:r>
      <w:r>
        <w:rPr>
          <w:rFonts w:ascii="Times New Roman" w:cs="Times New Roman" w:eastAsia="Times New Roman" w:hAnsi="Times New Roman"/>
          <w:sz w:val="15"/>
          <w:szCs w:val="15"/>
          <w:color w:val="auto"/>
        </w:rPr>
        <w:t xml:space="preserve"> and our </w:t>
      </w:r>
      <w:r>
        <w:rPr>
          <w:rFonts w:ascii="Times New Roman" w:cs="Times New Roman" w:eastAsia="Times New Roman" w:hAnsi="Times New Roman"/>
          <w:sz w:val="15"/>
          <w:szCs w:val="15"/>
          <w:i w:val="1"/>
          <w:iCs w:val="1"/>
          <w:color w:val="auto"/>
        </w:rPr>
        <w:t>ARK animated series.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8 – PROPERTY AND EQUIPMENT, NET</w:t>
            </w: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9"/>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 consisted of the following as of September 30, 2024 and December 31, 2023:</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70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24"/>
                <w:szCs w:val="24"/>
                <w:color w:val="auto"/>
              </w:rPr>
            </w:pPr>
          </w:p>
        </w:tc>
      </w:tr>
      <w:tr>
        <w:trPr>
          <w:trHeight w:val="17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w:t>
            </w:r>
          </w:p>
        </w:tc>
        <w:tc>
          <w:tcPr>
            <w:tcW w:w="118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1,874,049</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1,874,049</w:t>
            </w:r>
          </w:p>
        </w:tc>
        <w:tc>
          <w:tcPr>
            <w:tcW w:w="100" w:type="dxa"/>
            <w:vAlign w:val="bottom"/>
            <w:shd w:val="clear" w:color="auto" w:fill="CCEEFF"/>
          </w:tcPr>
          <w:p>
            <w:pPr>
              <w:spacing w:after="0"/>
              <w:rPr>
                <w:sz w:val="15"/>
                <w:szCs w:val="15"/>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Land</w:t>
            </w:r>
          </w:p>
        </w:tc>
        <w:tc>
          <w:tcPr>
            <w:tcW w:w="1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2,700,000</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2,700,000</w:t>
            </w:r>
          </w:p>
        </w:tc>
        <w:tc>
          <w:tcPr>
            <w:tcW w:w="100" w:type="dxa"/>
            <w:vAlign w:val="bottom"/>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 improvements</w:t>
            </w: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1,010,218</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1,010,218</w:t>
            </w:r>
          </w:p>
        </w:tc>
        <w:tc>
          <w:tcPr>
            <w:tcW w:w="100" w:type="dxa"/>
            <w:vAlign w:val="bottom"/>
            <w:shd w:val="clear" w:color="auto" w:fill="CCEEFF"/>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1,537,775</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1,537,775</w:t>
            </w:r>
          </w:p>
        </w:tc>
        <w:tc>
          <w:tcPr>
            <w:tcW w:w="100" w:type="dxa"/>
            <w:vAlign w:val="bottom"/>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Autos and trucks</w:t>
            </w: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178,695</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178,695</w:t>
            </w:r>
          </w:p>
        </w:tc>
        <w:tc>
          <w:tcPr>
            <w:tcW w:w="100" w:type="dxa"/>
            <w:vAlign w:val="bottom"/>
            <w:shd w:val="clear" w:color="auto" w:fill="CCEEFF"/>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Computer and equipment</w:t>
            </w:r>
          </w:p>
        </w:tc>
        <w:tc>
          <w:tcPr>
            <w:tcW w:w="1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1,809,214</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1,809,214</w:t>
            </w:r>
          </w:p>
        </w:tc>
        <w:tc>
          <w:tcPr>
            <w:tcW w:w="100" w:type="dxa"/>
            <w:vAlign w:val="bottom"/>
          </w:tcPr>
          <w:p>
            <w:pPr>
              <w:spacing w:after="0"/>
              <w:rPr>
                <w:sz w:val="16"/>
                <w:szCs w:val="16"/>
                <w:color w:val="auto"/>
              </w:rPr>
            </w:pPr>
          </w:p>
        </w:tc>
      </w:tr>
      <w:tr>
        <w:trPr>
          <w:trHeight w:val="19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1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411,801</w:t>
            </w: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411,801</w:t>
            </w:r>
          </w:p>
        </w:tc>
      </w:tr>
      <w:tr>
        <w:trPr>
          <w:trHeight w:val="17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w:t>
            </w:r>
          </w:p>
        </w:tc>
        <w:tc>
          <w:tcPr>
            <w:tcW w:w="1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9,521,752</w:t>
            </w:r>
          </w:p>
        </w:tc>
        <w:tc>
          <w:tcPr>
            <w:tcW w:w="3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9,521,752</w:t>
            </w:r>
          </w:p>
        </w:tc>
        <w:tc>
          <w:tcPr>
            <w:tcW w:w="100" w:type="dxa"/>
            <w:vAlign w:val="bottom"/>
          </w:tcPr>
          <w:p>
            <w:pPr>
              <w:spacing w:after="0"/>
              <w:rPr>
                <w:sz w:val="15"/>
                <w:szCs w:val="15"/>
                <w:color w:val="auto"/>
              </w:rPr>
            </w:pPr>
          </w:p>
        </w:tc>
      </w:tr>
      <w:tr>
        <w:trPr>
          <w:trHeight w:val="19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depreciation</w:t>
            </w:r>
          </w:p>
        </w:tc>
        <w:tc>
          <w:tcPr>
            <w:tcW w:w="1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(5,074,980)</w:t>
            </w: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(4,839,686)</w:t>
            </w: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180" w:type="dxa"/>
            <w:vAlign w:val="bottom"/>
            <w:tcBorders>
              <w:top w:val="single" w:sz="8" w:color="auto"/>
              <w:bottom w:val="single" w:sz="8" w:color="auto"/>
            </w:tcBorders>
          </w:tcPr>
          <w:p>
            <w:pPr>
              <w:jc w:val="right"/>
              <w:ind w:right="105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4,446,772</w:t>
            </w:r>
          </w:p>
        </w:tc>
        <w:tc>
          <w:tcPr>
            <w:tcW w:w="3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4,682,066</w:t>
            </w:r>
          </w:p>
        </w:tc>
        <w:tc>
          <w:tcPr>
            <w:tcW w:w="100" w:type="dxa"/>
            <w:vAlign w:val="bottom"/>
          </w:tcPr>
          <w:p>
            <w:pPr>
              <w:spacing w:after="0"/>
              <w:rPr>
                <w:sz w:val="16"/>
                <w:szCs w:val="16"/>
                <w:color w:val="auto"/>
              </w:rPr>
            </w:pPr>
          </w:p>
        </w:tc>
      </w:tr>
      <w:tr>
        <w:trPr>
          <w:trHeight w:val="20"/>
        </w:trPr>
        <w:tc>
          <w:tcPr>
            <w:tcW w:w="7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Depreciation and amortization expense was $72,402 and $112,914 for the three months ended September 30, 2024 and 2023, respectively. Depreciation and amortization expense was $235,294 and $346,084 for the nine months ended September 30, 2024 and 2023, respectively. The Company did not have any disposals in the three or nine months ended September 30, 2024 or 2023.</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 – ACCOUNTS PAYABLE — RELATED PARTIES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Accounts payable due to related parties represents payables in the ordinary course of business primarily for purchases of game distribution licenses, research and development costs and also the royalties due to Suzhou Snail and SDE. As of September 30, 2024 and December 31, 2023, the Company had $15,689,072 and $18,147,958, respectively, as accounts payable due to Suzhou Snail; and $4,946,478, as net accounts payable due to SDE as of December 31, 2023, see Note 5 — </w:t>
      </w:r>
      <w:r>
        <w:rPr>
          <w:rFonts w:ascii="Times New Roman" w:cs="Times New Roman" w:eastAsia="Times New Roman" w:hAnsi="Times New Roman"/>
          <w:sz w:val="15"/>
          <w:szCs w:val="15"/>
          <w:i w:val="1"/>
          <w:iCs w:val="1"/>
          <w:color w:val="auto"/>
        </w:rPr>
        <w:t>Accounts Receivable (Payable) — Related Party</w:t>
      </w:r>
      <w:r>
        <w:rPr>
          <w:rFonts w:ascii="Times New Roman" w:cs="Times New Roman" w:eastAsia="Times New Roman" w:hAnsi="Times New Roman"/>
          <w:sz w:val="15"/>
          <w:szCs w:val="15"/>
          <w:color w:val="auto"/>
        </w:rPr>
        <w:t>. During the three months ended September 30, 2024 and 2023, the Company incurred $46,714 and $58,661, respectively as license costs due to Suzhou Snail and included in cost of revenues. During the nine months ended September 30, 2024 and 2023, the Company incurred $138,115 and $201,609, respectively as license costs due to Suzhou Snail and included in cost of revenues. In March 2024, the Company entered into an outsource agreement with Suzhou Snail for the research and development of a new title. In consideration, the Company will pay Suzhou Snail twelve equal monthly payments of $253,000, beginning on January 1, 2024. In July 2024, the Company entered into another software development, publishing and distribution agreement with Suzhou Snail. Under the terms of the agreements Suzhou Snail will develop a game for distribution by the Company and the Company will make $4.5 million in milestone payments during the development of the game and an ongoing royalty on sales of the game. During the three and nine months ended September 30, 2024 the Company incurred $759,000 and $2,277,000, respectively, of research and development costs passed through Suzhou Snail, there were no such costs passed through Suzhou Snail during the three and nine months ended September 30, 2023. During the three and nine months ended September 30, 2024, respectively, there were $2,796,500 and $5,811,500 in payments to Suzhou Snail for royalties and research and development costs. Accounts payable – related parties consisted of the following as of September 30, 2024 and December 31, 2023:</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7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 - Suzhou</w:t>
            </w:r>
          </w:p>
        </w:tc>
        <w:tc>
          <w:tcPr>
            <w:tcW w:w="114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53,303,985</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55,762,870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receivable - Suzhou</w:t>
            </w:r>
          </w:p>
        </w:tc>
        <w:tc>
          <w:tcPr>
            <w:tcW w:w="114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(37,614,913)</w:t>
            </w:r>
          </w:p>
        </w:tc>
        <w:tc>
          <w:tcPr>
            <w:tcW w:w="440" w:type="dxa"/>
            <w:vAlign w:val="bottom"/>
          </w:tcPr>
          <w:p>
            <w:pPr>
              <w:spacing w:after="0"/>
              <w:rPr>
                <w:sz w:val="16"/>
                <w:szCs w:val="16"/>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(37,614,912)</w:t>
            </w:r>
          </w:p>
        </w:tc>
      </w:tr>
      <w:tr>
        <w:trPr>
          <w:trHeight w:val="19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 - SDE</w:t>
            </w:r>
          </w:p>
        </w:tc>
        <w:tc>
          <w:tcPr>
            <w:tcW w:w="1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4,946,478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Total accounts payable – related parties</w:t>
            </w:r>
          </w:p>
        </w:tc>
        <w:tc>
          <w:tcPr>
            <w:tcW w:w="1140" w:type="dxa"/>
            <w:vAlign w:val="bottom"/>
            <w:tcBorders>
              <w:bottom w:val="single" w:sz="8" w:color="auto"/>
            </w:tcBorders>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15,689,072</w:t>
            </w:r>
          </w:p>
        </w:tc>
        <w:tc>
          <w:tcPr>
            <w:tcW w:w="320" w:type="dxa"/>
            <w:vAlign w:val="bottom"/>
          </w:tcPr>
          <w:p>
            <w:pPr>
              <w:spacing w:after="0"/>
              <w:rPr>
                <w:sz w:val="16"/>
                <w:szCs w:val="16"/>
                <w:color w:val="auto"/>
              </w:rPr>
            </w:pPr>
          </w:p>
        </w:tc>
        <w:tc>
          <w:tcPr>
            <w:tcW w:w="4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23,094,436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 – LOAN AND INTEREST RECEIVABLE — RELATED PARTY</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In February 2021, the Company loaned $200,000 to a wholly owned subsidiary of Suzhou Snail. The loan bears 2.0% per annum interest, interest and principal were due in February 2022. In February 2022, Suzhou Snail signed an agreement with this subsidiary and assumed the loan and related interest for a total of $203,890. Subsequently, $103,890 was offset against the loan and interest payable owed to Suzhou Snail on a separate note. The total amount of loan and interest receivable — related party was $105,255 and $103,753, as of September 30, 2024 and December 31, 2023, respectively. The Company earned $504 and $504 in interest on the related party loans receivable during the three months ended September 30, 2024 and 2023, respectively. The Company earned $1,501 and $1,496 in interest on the related party loans receivable during the nine months ended September 30, 2024 and 2023, respectively.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11 – REVOLVING LOAN, SHORT TERM NOTES AND LONG - TERM DEBT</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0"/>
        </w:trPr>
        <w:tc>
          <w:tcPr>
            <w:tcW w:w="7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22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50"/>
        </w:trPr>
        <w:tc>
          <w:tcPr>
            <w:tcW w:w="700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b w:val="1"/>
                <w:bCs w:val="1"/>
                <w:color w:val="auto"/>
              </w:rPr>
              <w:t xml:space="preserve">2021 Revolving Loan </w:t>
            </w:r>
            <w:r>
              <w:rPr>
                <w:rFonts w:ascii="Times New Roman" w:cs="Times New Roman" w:eastAsia="Times New Roman" w:hAnsi="Times New Roman"/>
                <w:sz w:val="15"/>
                <w:szCs w:val="15"/>
                <w:color w:val="auto"/>
              </w:rPr>
              <w:t>- On June 21, 2023, the Company amended its revolving loan agreement (“amended</w:t>
            </w:r>
          </w:p>
        </w:tc>
        <w:tc>
          <w:tcPr>
            <w:tcW w:w="180" w:type="dxa"/>
            <w:vAlign w:val="bottom"/>
            <w:tcBorders>
              <w:top w:val="single" w:sz="8" w:color="auto"/>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revolver”) and decreased the maximum balance from $9,000,000 to $6,000,000. The amended revolver</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matures on December 31, 2024 and has an annual interest rate equal to the prime rate less 0.25%. At</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 the interest rate on this loan was 7.75%. Debt covenants of this loan require the</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Company to maintain a minimum debt service coverage ratio of at least 1.5 to 1. The Company was in</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compliance with the debt covenants of this loan for the trailing twelve month period ended September 30,</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6,000,000</w:t>
            </w:r>
          </w:p>
        </w:tc>
        <w:tc>
          <w:tcPr>
            <w:tcW w:w="100" w:type="dxa"/>
            <w:vAlign w:val="bottom"/>
            <w:shd w:val="clear" w:color="auto" w:fill="CCEEFF"/>
          </w:tcPr>
          <w:p>
            <w:pPr>
              <w:spacing w:after="0"/>
              <w:rPr>
                <w:sz w:val="17"/>
                <w:szCs w:val="17"/>
                <w:color w:val="auto"/>
              </w:rPr>
            </w:pPr>
          </w:p>
        </w:tc>
      </w:tr>
      <w:tr>
        <w:trPr>
          <w:trHeight w:val="170"/>
        </w:trPr>
        <w:tc>
          <w:tcPr>
            <w:tcW w:w="7000" w:type="dxa"/>
            <w:vAlign w:val="bottom"/>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 xml:space="preserve">2021 Promissory Note </w:t>
            </w:r>
            <w:r>
              <w:rPr>
                <w:rFonts w:ascii="Times New Roman" w:cs="Times New Roman" w:eastAsia="Times New Roman" w:hAnsi="Times New Roman"/>
                <w:sz w:val="15"/>
                <w:szCs w:val="15"/>
                <w:color w:val="auto"/>
              </w:rPr>
              <w:t>– On June 17, 2021, the Company amended its loan agreement to reduce the principal</w:t>
            </w: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amount with financial institution for 10 years, annual interest rate of 3.5% for the first 5 years, and then</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floating at Wall Street Journal rate from years 6 to 10. The loan is secured by the Company’s building, with a</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carrying value of $4.2 million, and matures on June 30, 2031. The note is subject to a prepayment penalty.</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Debt covenants of this loan require the Company to maintain a minimum debt service coverage ratio of at</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least 1.5 to 1. The Company was in compliance with the debt covenants of this loan for the trailing twelve</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month period ended September 30, 2024.</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2,743,378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2,811,923</w:t>
            </w:r>
          </w:p>
        </w:tc>
        <w:tc>
          <w:tcPr>
            <w:tcW w:w="100" w:type="dxa"/>
            <w:vAlign w:val="bottom"/>
          </w:tcPr>
          <w:p>
            <w:pPr>
              <w:spacing w:after="0"/>
              <w:rPr>
                <w:sz w:val="17"/>
                <w:szCs w:val="17"/>
                <w:color w:val="auto"/>
              </w:rPr>
            </w:pPr>
          </w:p>
        </w:tc>
      </w:tr>
      <w:tr>
        <w:trPr>
          <w:trHeight w:val="170"/>
        </w:trPr>
        <w:tc>
          <w:tcPr>
            <w:tcW w:w="70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 xml:space="preserve">2022 Short Term Note </w:t>
            </w:r>
            <w:r>
              <w:rPr>
                <w:rFonts w:ascii="Times New Roman" w:cs="Times New Roman" w:eastAsia="Times New Roman" w:hAnsi="Times New Roman"/>
                <w:sz w:val="15"/>
                <w:szCs w:val="15"/>
                <w:color w:val="auto"/>
              </w:rPr>
              <w:t>- On January 26, 2022, the Company amended its revolving loan and long-term debt</w:t>
            </w:r>
          </w:p>
        </w:tc>
        <w:tc>
          <w:tcPr>
            <w:tcW w:w="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agreements to obtain an additional note with a principal balance of $10,000,000 which was originally set to</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mature on January 26, 2023. Interest was equal to the higher of 3.75% or the Wall Street Journal Prime Rate</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plus 0.50%. The loan was secured by the Company’s assets. In the event of a default, all outstanding amounts</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under the note would bear interest at a default rate equal to 5% over the note rate. Debt covenants of this loan</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required the Company to maintain a minimum debt service coverage ratio of at least 1.5 to 1 and would be</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measured quarterly. In November 2022, the maturity was extended to January 26, 2024 and at December 31,</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2023, the interest rate on this loan was 8.25%. The Company repaid the balance of $833,333 during the nine</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month period ended September 30, 2024.</w:t>
            </w: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833,333</w:t>
            </w:r>
          </w:p>
        </w:tc>
        <w:tc>
          <w:tcPr>
            <w:tcW w:w="100" w:type="dxa"/>
            <w:vAlign w:val="bottom"/>
            <w:shd w:val="clear" w:color="auto" w:fill="CCEEFF"/>
          </w:tcPr>
          <w:p>
            <w:pPr>
              <w:spacing w:after="0"/>
              <w:rPr>
                <w:sz w:val="17"/>
                <w:szCs w:val="17"/>
                <w:color w:val="auto"/>
              </w:rPr>
            </w:pPr>
          </w:p>
        </w:tc>
      </w:tr>
      <w:tr>
        <w:trPr>
          <w:trHeight w:val="170"/>
        </w:trPr>
        <w:tc>
          <w:tcPr>
            <w:tcW w:w="7000" w:type="dxa"/>
            <w:vAlign w:val="bottom"/>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 xml:space="preserve">2023 Convertible Notes </w:t>
            </w:r>
            <w:r>
              <w:rPr>
                <w:rFonts w:ascii="Times New Roman" w:cs="Times New Roman" w:eastAsia="Times New Roman" w:hAnsi="Times New Roman"/>
                <w:sz w:val="15"/>
                <w:szCs w:val="15"/>
                <w:color w:val="auto"/>
              </w:rPr>
              <w:t>– On August 24, 2023, the Company issued convertible notes at a 7.4% discount</w:t>
            </w: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and a principal balance of $1,080,000. The notes had an interest rate of 7.5%, were paid in consecutive</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monthly installments beginning February 24, 2024 and matured on May 24, 2024. In the event of a default</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the interest rate was to be increased to the lower of 16% per annum or the highest amount permitted by</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applicable law. The Company had the option to prepay the notes at any time and the note holders had the</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option to convert the notes, in whole or in part, at any time. The Company recognized a discount of $678,254</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on the notes to account for the stated discount, the fair value of the warrants issued in connection with the</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notes and the costs of issuance. The discount was amortized using the effective interest rate of 103.4%. The</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Company repaid $1,020,000 of the balance, and the investors converted $60,000 of the debt into class A</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during the nine month period ended September 30, 2024.</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1,080,000</w:t>
            </w:r>
          </w:p>
        </w:tc>
        <w:tc>
          <w:tcPr>
            <w:tcW w:w="100" w:type="dxa"/>
            <w:vAlign w:val="bottom"/>
          </w:tcPr>
          <w:p>
            <w:pPr>
              <w:spacing w:after="0"/>
              <w:rPr>
                <w:sz w:val="17"/>
                <w:szCs w:val="17"/>
                <w:color w:val="auto"/>
              </w:rPr>
            </w:pPr>
          </w:p>
        </w:tc>
      </w:tr>
      <w:tr>
        <w:trPr>
          <w:trHeight w:val="170"/>
        </w:trPr>
        <w:tc>
          <w:tcPr>
            <w:tcW w:w="70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 xml:space="preserve">2023 Note Payable </w:t>
            </w:r>
            <w:r>
              <w:rPr>
                <w:rFonts w:ascii="Times New Roman" w:cs="Times New Roman" w:eastAsia="Times New Roman" w:hAnsi="Times New Roman"/>
                <w:sz w:val="15"/>
                <w:szCs w:val="15"/>
                <w:color w:val="auto"/>
              </w:rPr>
              <w:t>– In July 2023, the Company entered into a cooperation agreement with its internet,</w:t>
            </w:r>
          </w:p>
        </w:tc>
        <w:tc>
          <w:tcPr>
            <w:tcW w:w="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server and datacenter vendor. The Company agreed to make the vendor the official server host of Ark:</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Survival Evolved and future iterations and sequels of the game for a period of 7 years. In return the vendor</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has agreed to provide the Company with funds in cash of up to $3.0 million without discount and free of</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charges and costs to the Company. The funds are repaid based on 20% of the gross monthly ARK: Survival</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Ascended revenues. The Company has imputed interest at 8.0% on draws made. If in default, the interest rate</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 levied on the outstanding balances at a rate of 12.0% per annum. The Company repaid the balance of $1.5</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million during the nine month period ended September 30, 2024.</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1,500,000</w:t>
            </w:r>
          </w:p>
        </w:tc>
        <w:tc>
          <w:tcPr>
            <w:tcW w:w="100" w:type="dxa"/>
            <w:vAlign w:val="bottom"/>
            <w:shd w:val="clear" w:color="auto" w:fill="CCEEFF"/>
          </w:tcPr>
          <w:p>
            <w:pPr>
              <w:spacing w:after="0"/>
              <w:rPr>
                <w:sz w:val="18"/>
                <w:szCs w:val="18"/>
                <w:color w:val="auto"/>
              </w:rPr>
            </w:pPr>
          </w:p>
        </w:tc>
      </w:tr>
      <w:tr>
        <w:trPr>
          <w:trHeight w:val="176"/>
        </w:trPr>
        <w:tc>
          <w:tcPr>
            <w:tcW w:w="7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debt</w:t>
            </w:r>
          </w:p>
        </w:tc>
        <w:tc>
          <w:tcPr>
            <w:tcW w:w="1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5,743,378</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12,225,256</w:t>
            </w:r>
          </w:p>
        </w:tc>
        <w:tc>
          <w:tcPr>
            <w:tcW w:w="100" w:type="dxa"/>
            <w:vAlign w:val="bottom"/>
          </w:tcPr>
          <w:p>
            <w:pPr>
              <w:spacing w:after="0"/>
              <w:rPr>
                <w:sz w:val="15"/>
                <w:szCs w:val="15"/>
                <w:color w:val="auto"/>
              </w:rPr>
            </w:pPr>
          </w:p>
        </w:tc>
      </w:tr>
      <w:tr>
        <w:trPr>
          <w:trHeight w:val="184"/>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discount on convertible notes</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282,639</w:t>
            </w:r>
          </w:p>
        </w:tc>
        <w:tc>
          <w:tcPr>
            <w:tcW w:w="100" w:type="dxa"/>
            <w:vAlign w:val="bottom"/>
            <w:shd w:val="clear" w:color="auto" w:fill="CCEEFF"/>
          </w:tcPr>
          <w:p>
            <w:pPr>
              <w:spacing w:after="0"/>
              <w:rPr>
                <w:sz w:val="16"/>
                <w:szCs w:val="16"/>
                <w:color w:val="auto"/>
              </w:rPr>
            </w:pPr>
          </w:p>
        </w:tc>
      </w:tr>
      <w:tr>
        <w:trPr>
          <w:trHeight w:val="184"/>
        </w:trPr>
        <w:tc>
          <w:tcPr>
            <w:tcW w:w="7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Less: current portion of promissory note</w:t>
            </w:r>
          </w:p>
        </w:tc>
        <w:tc>
          <w:tcPr>
            <w:tcW w:w="1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2,743,378</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2,811,923</w:t>
            </w:r>
          </w:p>
        </w:tc>
        <w:tc>
          <w:tcPr>
            <w:tcW w:w="100" w:type="dxa"/>
            <w:vAlign w:val="bottom"/>
          </w:tcPr>
          <w:p>
            <w:pPr>
              <w:spacing w:after="0"/>
              <w:rPr>
                <w:sz w:val="16"/>
                <w:szCs w:val="16"/>
                <w:color w:val="auto"/>
              </w:rPr>
            </w:pPr>
          </w:p>
        </w:tc>
      </w:tr>
      <w:tr>
        <w:trPr>
          <w:trHeight w:val="184"/>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revolving loan</w:t>
            </w: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6,000,000</w:t>
            </w:r>
          </w:p>
        </w:tc>
        <w:tc>
          <w:tcPr>
            <w:tcW w:w="100" w:type="dxa"/>
            <w:vAlign w:val="bottom"/>
            <w:shd w:val="clear" w:color="auto" w:fill="CCEEFF"/>
          </w:tcPr>
          <w:p>
            <w:pPr>
              <w:spacing w:after="0"/>
              <w:rPr>
                <w:sz w:val="16"/>
                <w:szCs w:val="16"/>
                <w:color w:val="auto"/>
              </w:rPr>
            </w:pPr>
          </w:p>
        </w:tc>
      </w:tr>
      <w:tr>
        <w:trPr>
          <w:trHeight w:val="184"/>
        </w:trPr>
        <w:tc>
          <w:tcPr>
            <w:tcW w:w="7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Less: notes payable</w:t>
            </w:r>
          </w:p>
        </w:tc>
        <w:tc>
          <w:tcPr>
            <w:tcW w:w="1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2,333,333</w:t>
            </w:r>
          </w:p>
        </w:tc>
        <w:tc>
          <w:tcPr>
            <w:tcW w:w="100" w:type="dxa"/>
            <w:vAlign w:val="bottom"/>
          </w:tcPr>
          <w:p>
            <w:pPr>
              <w:spacing w:after="0"/>
              <w:rPr>
                <w:sz w:val="16"/>
                <w:szCs w:val="16"/>
                <w:color w:val="auto"/>
              </w:rPr>
            </w:pPr>
          </w:p>
        </w:tc>
      </w:tr>
      <w:tr>
        <w:trPr>
          <w:trHeight w:val="19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convertible notes, net of discount</w:t>
            </w:r>
          </w:p>
        </w:tc>
        <w:tc>
          <w:tcPr>
            <w:tcW w:w="1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797,361</w:t>
            </w:r>
          </w:p>
        </w:tc>
        <w:tc>
          <w:tcPr>
            <w:tcW w:w="100" w:type="dxa"/>
            <w:vAlign w:val="bottom"/>
            <w:shd w:val="clear" w:color="auto" w:fill="CCEEFF"/>
          </w:tcPr>
          <w:p>
            <w:pPr>
              <w:spacing w:after="0"/>
              <w:rPr>
                <w:sz w:val="17"/>
                <w:szCs w:val="17"/>
                <w:color w:val="auto"/>
              </w:rPr>
            </w:pPr>
          </w:p>
        </w:tc>
      </w:tr>
      <w:tr>
        <w:trPr>
          <w:trHeight w:val="188"/>
        </w:trPr>
        <w:tc>
          <w:tcPr>
            <w:tcW w:w="7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long-term debt</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Total interest expense for the above debt and revolver loan amounted to $73,707 and $348,898 for the three months ended September 30, 2024 and 2023, respectively. Accretion of the convertible notes and amortization of loan origination expenses and loan discounts of $2,611 and $121,930 are included as part of interest expense for the three months ended September 30, 2024 and 2023, respectively. Total interest expense for the above debt and revolver loan amounted to $611,972 and $937,893 for the nine months ended September 30, 2024 and 2023, respectively. Accretion of the convertible notes and amortization of loan origination expenses and loan discounts of $343,226 and $142,656 are included as part of interest expense for the nine months ended September 30, 2024 and 2023, respectively. The Company has a weighted average interest rate of 5.7% and 8.1% on its short-term obligations as of September 30, 2024 and December 31, 2023, respectively. The Company was in compliance with its debt covenants related to the 2021 Revolving Note and 2021 Promissory note for the trailing twelve months ended September 30, 2024, however it is probable that the Company will fail the covenants within the next 12 months. As such, the Company has classified the long-term portion of its promissory note as current.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8120" w:type="dxa"/>
            <w:vAlign w:val="bottom"/>
            <w:gridSpan w:val="2"/>
          </w:tcPr>
          <w:p>
            <w:pPr>
              <w:ind w:left="418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60" w:type="dxa"/>
            <w:vAlign w:val="bottom"/>
          </w:tcPr>
          <w:p>
            <w:pPr>
              <w:spacing w:after="0"/>
              <w:rPr>
                <w:sz w:val="17"/>
                <w:szCs w:val="17"/>
                <w:color w:val="auto"/>
              </w:rPr>
            </w:pPr>
          </w:p>
        </w:tc>
        <w:tc>
          <w:tcPr>
            <w:tcW w:w="8120" w:type="dxa"/>
            <w:vAlign w:val="bottom"/>
            <w:gridSpan w:val="2"/>
          </w:tcPr>
          <w:p>
            <w:pPr>
              <w:ind w:left="326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9"/>
        </w:trPr>
        <w:tc>
          <w:tcPr>
            <w:tcW w:w="8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following table provides future minimum payments of its long-term debt based on contractual payments, as of September 30, 2024:</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1"/>
        </w:trPr>
        <w:tc>
          <w:tcPr>
            <w:tcW w:w="56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380" w:type="dxa"/>
            <w:vAlign w:val="bottom"/>
          </w:tcPr>
          <w:p>
            <w:pPr>
              <w:spacing w:after="0"/>
              <w:rPr>
                <w:sz w:val="24"/>
                <w:szCs w:val="24"/>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76"/>
        </w:trPr>
        <w:tc>
          <w:tcPr>
            <w:tcW w:w="560" w:type="dxa"/>
            <w:vAlign w:val="bottom"/>
          </w:tcPr>
          <w:p>
            <w:pPr>
              <w:spacing w:after="0"/>
              <w:rPr>
                <w:sz w:val="15"/>
                <w:szCs w:val="15"/>
                <w:color w:val="auto"/>
              </w:rPr>
            </w:pPr>
          </w:p>
        </w:tc>
        <w:tc>
          <w:tcPr>
            <w:tcW w:w="7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2024</w:t>
            </w: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3,020,829</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56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86,013</w:t>
            </w:r>
          </w:p>
        </w:tc>
      </w:tr>
      <w:tr>
        <w:trPr>
          <w:trHeight w:val="184"/>
        </w:trPr>
        <w:tc>
          <w:tcPr>
            <w:tcW w:w="56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89,115</w:t>
            </w:r>
          </w:p>
        </w:tc>
        <w:tc>
          <w:tcPr>
            <w:tcW w:w="100" w:type="dxa"/>
            <w:vAlign w:val="bottom"/>
            <w:shd w:val="clear" w:color="auto" w:fill="CCEEFF"/>
          </w:tcPr>
          <w:p>
            <w:pPr>
              <w:spacing w:after="0"/>
              <w:rPr>
                <w:sz w:val="16"/>
                <w:szCs w:val="16"/>
                <w:color w:val="auto"/>
              </w:rPr>
            </w:pPr>
          </w:p>
        </w:tc>
      </w:tr>
      <w:tr>
        <w:trPr>
          <w:trHeight w:val="184"/>
        </w:trPr>
        <w:tc>
          <w:tcPr>
            <w:tcW w:w="56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92,329</w:t>
            </w:r>
          </w:p>
        </w:tc>
      </w:tr>
      <w:tr>
        <w:trPr>
          <w:trHeight w:val="184"/>
        </w:trPr>
        <w:tc>
          <w:tcPr>
            <w:tcW w:w="56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95,414</w:t>
            </w:r>
          </w:p>
        </w:tc>
      </w:tr>
      <w:tr>
        <w:trPr>
          <w:trHeight w:val="196"/>
        </w:trPr>
        <w:tc>
          <w:tcPr>
            <w:tcW w:w="560" w:type="dxa"/>
            <w:vAlign w:val="bottom"/>
          </w:tcPr>
          <w:p>
            <w:pPr>
              <w:spacing w:after="0"/>
              <w:rPr>
                <w:sz w:val="17"/>
                <w:szCs w:val="17"/>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2,359,678</w:t>
            </w:r>
          </w:p>
        </w:tc>
        <w:tc>
          <w:tcPr>
            <w:tcW w:w="100" w:type="dxa"/>
            <w:vAlign w:val="bottom"/>
            <w:tcBorders>
              <w:bottom w:val="single" w:sz="8" w:color="CCEEFF"/>
            </w:tcBorders>
          </w:tcPr>
          <w:p>
            <w:pPr>
              <w:spacing w:after="0"/>
              <w:rPr>
                <w:sz w:val="17"/>
                <w:szCs w:val="17"/>
                <w:color w:val="auto"/>
              </w:rPr>
            </w:pPr>
          </w:p>
        </w:tc>
      </w:tr>
      <w:tr>
        <w:trPr>
          <w:trHeight w:val="188"/>
        </w:trPr>
        <w:tc>
          <w:tcPr>
            <w:tcW w:w="560" w:type="dxa"/>
            <w:vAlign w:val="bottom"/>
          </w:tcPr>
          <w:p>
            <w:pPr>
              <w:spacing w:after="0"/>
              <w:rPr>
                <w:sz w:val="16"/>
                <w:szCs w:val="16"/>
                <w:color w:val="auto"/>
              </w:rPr>
            </w:pPr>
          </w:p>
        </w:tc>
        <w:tc>
          <w:tcPr>
            <w:tcW w:w="79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5,743,378</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12 – INCOME TAXES</w:t>
      </w:r>
    </w:p>
    <w:p>
      <w:pPr>
        <w:spacing w:after="0" w:line="20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The Company recognized an income tax expense of $157,938 and income tax benefit of $1,156,675 for the three months ended September 30, 2024 and 2023, respectively. The income tax expense of $269,501 and income tax benefit of $3,044,380 for the nine months ended September 30, 2024 and 2023, respectively, reflects a tax rate of 28% and 21%, respectively. As of September 30, 2024, the Company’s effective tax rate differed from the federal statutory rate of 21% primarily due to state taxes, foreign withholding tax, and permanent differences.</w:t>
      </w:r>
    </w:p>
    <w:p>
      <w:pPr>
        <w:spacing w:after="0" w:line="33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The Company has assessed all available positive and negative evidence of whether sufficient future taxable income will be generated to realize the deferred tax assets, including the results of recent operations, continued release of games and DLC’s, and projections of future taxable income. After evaluating the positive and negative evidence, management believes it is more likely than not that the Company will realize the benefits of these deductible differences. In the event that negative evidence outweighs positive evidence in future periods, the Company may need to record additional valuation allowance, which could have a material impact on our financial position. The Company continues to maintain a valuation allowance against certain deferred tax assets that are not more likely than not to be realized.</w:t>
      </w:r>
    </w:p>
    <w:p>
      <w:pPr>
        <w:spacing w:after="0" w:line="1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In the Company’s ordinary course of business the Internal Revenue Service (“IRS”) and other taxing authorities may examine various years of the Company’s tax filings. The Company’s 2022 fiscal year is currently under examination by the IRS. During the examination the Company may receive proposed adjustments that could be material. There are currently no settlements that the Company believes will be more likely than not to require settlement and thus no liability has been accrued.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13 – OPERATING LEASE RIGHT-OF-USE ASSETS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$1,075,000 to lease office space. The standby letter of credit was valid for a one-year term and was amended in January 2021 to extend to January 31, 2026. As of September 30, 2024 and December 31, 2023, the Company’s net operating lease right-of-use assets amounted to $1,600,520 and $2,440,690, respectively. The Company had variable lease payments of approximately $33,791 and $58,071 during the three months ended September 30, 2024 and 2023, respectively, and approximately $95,962 and $97,875 during the nine months ended September 30, 2024 and 2023, which consisted primarily of common area maintenance charges and administrative fees.</w:t>
      </w:r>
    </w:p>
    <w:p>
      <w:pPr>
        <w:spacing w:after="0" w:line="15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Operating lease costs included in the general and administrative expenses in our condensed consolidated statements of operations and comprehensive income (loss) for the three and nine months ended September 30, 2024 and 2023,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460" w:type="dxa"/>
            <w:vAlign w:val="bottom"/>
            <w:gridSpan w:val="4"/>
          </w:tcPr>
          <w:p>
            <w:pPr>
              <w:ind w:left="780"/>
              <w:spacing w:after="0"/>
              <w:rPr>
                <w:sz w:val="20"/>
                <w:szCs w:val="20"/>
                <w:color w:val="auto"/>
              </w:rPr>
            </w:pPr>
            <w:r>
              <w:rPr>
                <w:rFonts w:ascii="Times New Roman" w:cs="Times New Roman" w:eastAsia="Times New Roman" w:hAnsi="Times New Roman"/>
                <w:sz w:val="15"/>
                <w:szCs w:val="15"/>
                <w:b w:val="1"/>
                <w:bCs w:val="1"/>
                <w:color w:val="auto"/>
              </w:rPr>
              <w:t>For the three months</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ind w:left="480"/>
              <w:spacing w:after="0"/>
              <w:rPr>
                <w:sz w:val="20"/>
                <w:szCs w:val="20"/>
                <w:color w:val="auto"/>
              </w:rPr>
            </w:pPr>
            <w:r>
              <w:rPr>
                <w:rFonts w:ascii="Times New Roman" w:cs="Times New Roman" w:eastAsia="Times New Roman" w:hAnsi="Times New Roman"/>
                <w:sz w:val="15"/>
                <w:szCs w:val="15"/>
                <w:b w:val="1"/>
                <w:bCs w:val="1"/>
                <w:color w:val="auto"/>
              </w:rPr>
              <w:t>For the nine months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860" w:type="dxa"/>
            <w:vAlign w:val="bottom"/>
          </w:tcPr>
          <w:p>
            <w:pPr>
              <w:spacing w:after="0"/>
              <w:rPr>
                <w:sz w:val="17"/>
                <w:szCs w:val="17"/>
                <w:color w:val="auto"/>
              </w:rPr>
            </w:pPr>
          </w:p>
        </w:tc>
        <w:tc>
          <w:tcPr>
            <w:tcW w:w="2460" w:type="dxa"/>
            <w:vAlign w:val="bottom"/>
            <w:gridSpan w:val="4"/>
          </w:tcPr>
          <w:p>
            <w:pPr>
              <w:ind w:left="800"/>
              <w:spacing w:after="0"/>
              <w:rPr>
                <w:sz w:val="20"/>
                <w:szCs w:val="20"/>
                <w:color w:val="auto"/>
              </w:rPr>
            </w:pPr>
            <w:r>
              <w:rPr>
                <w:rFonts w:ascii="Times New Roman" w:cs="Times New Roman" w:eastAsia="Times New Roman" w:hAnsi="Times New Roman"/>
                <w:sz w:val="15"/>
                <w:szCs w:val="15"/>
                <w:b w:val="1"/>
                <w:bCs w:val="1"/>
                <w:color w:val="auto"/>
              </w:rPr>
              <w:t>ended September 30,</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ended September 30,</w:t>
            </w:r>
          </w:p>
        </w:tc>
      </w:tr>
      <w:tr>
        <w:trPr>
          <w:trHeight w:val="188"/>
        </w:trPr>
        <w:tc>
          <w:tcPr>
            <w:tcW w:w="386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80" w:type="dxa"/>
            <w:vAlign w:val="bottom"/>
          </w:tcPr>
          <w:p>
            <w:pPr>
              <w:spacing w:after="0"/>
              <w:rPr>
                <w:sz w:val="16"/>
                <w:szCs w:val="16"/>
                <w:color w:val="auto"/>
              </w:rPr>
            </w:pPr>
          </w:p>
        </w:tc>
      </w:tr>
      <w:tr>
        <w:trPr>
          <w:trHeight w:val="176"/>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costs</w:t>
            </w:r>
          </w:p>
        </w:tc>
        <w:tc>
          <w:tcPr>
            <w:tcW w:w="820" w:type="dxa"/>
            <w:vAlign w:val="bottom"/>
            <w:tcBorders>
              <w:top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417,492</w:t>
            </w:r>
          </w:p>
        </w:tc>
        <w:tc>
          <w:tcPr>
            <w:tcW w:w="3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419,605</w:t>
            </w: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1,214,004</w:t>
            </w: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1,198,467</w:t>
            </w:r>
          </w:p>
        </w:tc>
        <w:tc>
          <w:tcPr>
            <w:tcW w:w="80" w:type="dxa"/>
            <w:vAlign w:val="bottom"/>
            <w:tcBorders>
              <w:top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Supplemental information related to operating leases for lease liabilities as of September 30, 2024 and September 30, 2023,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r>
      <w:tr>
        <w:trPr>
          <w:trHeight w:val="17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20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1,207,837</w:t>
            </w: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1,155,759</w:t>
            </w:r>
          </w:p>
        </w:tc>
        <w:tc>
          <w:tcPr>
            <w:tcW w:w="140" w:type="dxa"/>
            <w:vAlign w:val="bottom"/>
            <w:shd w:val="clear" w:color="auto" w:fill="CCEEFF"/>
          </w:tcPr>
          <w:p>
            <w:pPr>
              <w:spacing w:after="0"/>
              <w:rPr>
                <w:sz w:val="15"/>
                <w:szCs w:val="15"/>
                <w:color w:val="auto"/>
              </w:rPr>
            </w:pPr>
          </w:p>
        </w:tc>
      </w:tr>
      <w:tr>
        <w:trPr>
          <w:trHeight w:val="184"/>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remaining lease term</w:t>
            </w:r>
          </w:p>
        </w:tc>
        <w:tc>
          <w:tcPr>
            <w:tcW w:w="120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1.3 years</w:t>
            </w:r>
          </w:p>
        </w:tc>
        <w:tc>
          <w:tcPr>
            <w:tcW w:w="44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2.2 years</w:t>
            </w:r>
          </w:p>
        </w:tc>
      </w:tr>
      <w:tr>
        <w:trPr>
          <w:trHeight w:val="18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1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5.12%</w:t>
            </w:r>
          </w:p>
        </w:tc>
        <w:tc>
          <w:tcPr>
            <w:tcW w:w="4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Future undiscounted lease payments for operating leases and a reconciliation of these payments to our operating lease liabilities as of September 30, 2024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5"/>
                <w:szCs w:val="15"/>
                <w:b w:val="1"/>
                <w:bCs w:val="1"/>
                <w:color w:val="auto"/>
              </w:rPr>
              <w:t>Imputed</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Future lease</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30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Lease</w:t>
            </w:r>
          </w:p>
        </w:tc>
      </w:tr>
      <w:tr>
        <w:trPr>
          <w:trHeight w:val="203"/>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260" w:type="dxa"/>
            <w:vAlign w:val="bottom"/>
          </w:tcPr>
          <w:p>
            <w:pPr>
              <w:spacing w:after="0"/>
              <w:rPr>
                <w:sz w:val="17"/>
                <w:szCs w:val="17"/>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payments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center"/>
              <w:ind w:right="6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300" w:type="dxa"/>
            <w:vAlign w:val="bottom"/>
          </w:tcPr>
          <w:p>
            <w:pPr>
              <w:spacing w:after="0"/>
              <w:rPr>
                <w:sz w:val="17"/>
                <w:szCs w:val="17"/>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Liabilities</w:t>
            </w:r>
          </w:p>
        </w:tc>
      </w:tr>
      <w:tr>
        <w:trPr>
          <w:trHeight w:val="176"/>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2024</w:t>
            </w: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414,701</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20,836</w:t>
            </w: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393,865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1,477,621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33,237</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1,444,384</w:t>
            </w:r>
          </w:p>
        </w:tc>
        <w:tc>
          <w:tcPr>
            <w:tcW w:w="100" w:type="dxa"/>
            <w:vAlign w:val="bottom"/>
          </w:tcPr>
          <w:p>
            <w:pPr>
              <w:spacing w:after="0"/>
              <w:rPr>
                <w:sz w:val="16"/>
                <w:szCs w:val="16"/>
                <w:color w:val="auto"/>
              </w:rPr>
            </w:pPr>
          </w:p>
        </w:tc>
      </w:tr>
      <w:tr>
        <w:trPr>
          <w:trHeight w:val="18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24,737</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3,455</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21,282</w:t>
            </w:r>
          </w:p>
        </w:tc>
      </w:tr>
      <w:tr>
        <w:trPr>
          <w:trHeight w:val="184"/>
        </w:trPr>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25,636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1,778</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23,858</w:t>
            </w:r>
          </w:p>
        </w:tc>
      </w:tr>
      <w:tr>
        <w:trPr>
          <w:trHeight w:val="18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13,042</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199</w:t>
            </w:r>
          </w:p>
        </w:tc>
        <w:tc>
          <w:tcPr>
            <w:tcW w:w="3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12,843</w:t>
            </w:r>
          </w:p>
        </w:tc>
      </w:tr>
      <w:tr>
        <w:trPr>
          <w:trHeight w:val="196"/>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26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5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future lease payments</w:t>
            </w:r>
          </w:p>
        </w:tc>
        <w:tc>
          <w:tcPr>
            <w:tcW w:w="26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1,955,737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59,505</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1,896,232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14 – COMMITMENTS AND CONTINGENCIES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Litigation</w:t>
      </w:r>
    </w:p>
    <w:p>
      <w:pPr>
        <w:spacing w:after="0" w:line="200"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concerned a videogame titled </w:t>
      </w:r>
      <w:r>
        <w:rPr>
          <w:rFonts w:ascii="Times New Roman" w:cs="Times New Roman" w:eastAsia="Times New Roman" w:hAnsi="Times New Roman"/>
          <w:sz w:val="15"/>
          <w:szCs w:val="15"/>
          <w:i w:val="1"/>
          <w:iCs w:val="1"/>
          <w:color w:val="auto"/>
        </w:rPr>
        <w:t>Myth of Empires</w:t>
      </w:r>
      <w:r>
        <w:rPr>
          <w:rFonts w:ascii="Times New Roman" w:cs="Times New Roman" w:eastAsia="Times New Roman" w:hAnsi="Times New Roman"/>
          <w:sz w:val="15"/>
          <w:szCs w:val="15"/>
          <w:color w:val="auto"/>
        </w:rPr>
        <w:t>, which was developed by Suzhou Angela Online Game Technology Co., Ltd. (“Angela Game”) and published by Imperium Interactive Entertainment Limited (“Imperium”).</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 xml:space="preserve">On December 9, 2021, Angela Game and Imperium sued the Company and Studio Wildcard in the United States District Court for the Central District of California (the “District Court”) in response to the DCMA Takedown Notice. The lawsuit sought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reinstate Myth of Empires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 w:cs="Times New Roman" w:eastAsia="Times New Roman" w:hAnsi="Times New Roman"/>
          <w:sz w:val="15"/>
          <w:szCs w:val="15"/>
          <w:i w:val="1"/>
          <w:iCs w:val="1"/>
          <w:color w:val="auto"/>
        </w:rPr>
        <w:t>ARK: Survival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Evolved </w:t>
      </w:r>
      <w:r>
        <w:rPr>
          <w:rFonts w:ascii="Times New Roman" w:cs="Times New Roman" w:eastAsia="Times New Roman" w:hAnsi="Times New Roman"/>
          <w:sz w:val="15"/>
          <w:szCs w:val="15"/>
          <w:color w:val="auto"/>
        </w:rPr>
        <w:t>source code.</w:t>
      </w:r>
    </w:p>
    <w:p>
      <w:pPr>
        <w:spacing w:after="0" w:line="34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On September 8, 2023, the Company entered into a settlement agreement with Angela Game. The settlement agreement includes an upfront payment from Angela Game to the Company plus ongoing payments. The upfront payment of $1.2 million was recorded as deferred revenue as of December 31, 2023, and recognized upon the satisfaction of performance obligations during the nine months ended September 30, 2024.</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On March 14, 2023, Bel Air Soto, LLC (“Plaintiff”) filed suit in the Superior Court of California, County of Los Angeles, against Snail Games USA Inc. and INDIEV, an affiliate company that is owned by Mr. Hai Shi, the Company’s Founder, Co-Chief Executive Officer,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$3 million. Snail Games USA Inc. disputes the allegations and the amount of damages. The Company has responded to the complaint with an answer and cross-complaint. The cross-complaint seeks return for the $130,000 security deposit. The landlord has answered and denied the allegations of the cross-complaint. The Company intends to vigorously defend against the claims asserted. Trial is presently scheduled to commence in May 2025.</w:t>
      </w:r>
    </w:p>
    <w:p>
      <w:pPr>
        <w:spacing w:after="0" w:line="34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spacing w:after="0" w:line="1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In October 2023, INDIEV has filed for bankruptcy and the Company does not expect to recover its costs from INDIEV. Accordingly, it is uncertain whether INDIEV would be able to indemnify the Company due to its bankruptcy. At this time, the Company is unable to quantify the magnitude of the potential loss should the plaintiffs’ lawsuit succeed and accordingly no accrual for loss has been recorded in the accompanying financial statements.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15 –EARNINGS (LOSS) PER SHARE</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 uses the two class method to compute its basic earnings (loss) per share (“Basic EPS”) and diluted earnings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income (loss) divided by the weighted-average number of common shares outstanding for the period. Diluted EPS reflects the potential dilution that could occur using the treasury stock and if-converted methods. The following table provides a reconciliation of the weighted average number of shares used in the calculation of Basic and Diluted EPS.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jc w:val="right"/>
              <w:ind w:right="682"/>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jc w:val="right"/>
              <w:ind w:right="582"/>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Basic Earnings (Loss) Per Share: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 (loss) attributable to Class A common stockholders</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51,312</w:t>
            </w:r>
          </w:p>
        </w:tc>
        <w:tc>
          <w:tcPr>
            <w:tcW w:w="3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(955,763)</w:t>
            </w:r>
          </w:p>
        </w:tc>
        <w:tc>
          <w:tcPr>
            <w:tcW w:w="42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154,972</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(2,477,768)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 (loss) attributable to Class B common stockholders</w:t>
            </w:r>
          </w:p>
        </w:tc>
        <w:tc>
          <w:tcPr>
            <w:tcW w:w="2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183,835</w:t>
            </w:r>
          </w:p>
        </w:tc>
        <w:tc>
          <w:tcPr>
            <w:tcW w:w="3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(3,476,869)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556,996</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(9,005,673)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Total net income (loss) attributable to Snail Inc.</w:t>
            </w: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235,147</w:t>
            </w:r>
          </w:p>
        </w:tc>
        <w:tc>
          <w:tcPr>
            <w:tcW w:w="3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(4,432,632</w:t>
            </w:r>
          </w:p>
        </w:tc>
        <w:tc>
          <w:tcPr>
            <w:tcW w:w="200" w:type="dxa"/>
            <w:vAlign w:val="bottom"/>
            <w:tcBorders>
              <w:bottom w:val="single" w:sz="8" w:color="CCEEFF"/>
            </w:tcBorders>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711,968</w:t>
            </w:r>
          </w:p>
        </w:tc>
        <w:tc>
          <w:tcPr>
            <w:tcW w:w="3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(11,483,441</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Class A weighted average shares outstanding - basic</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8,024,369</w:t>
            </w: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7,901,145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7,998,686</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7,909,715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Class B weighted average shares outstanding - basic</w:t>
            </w:r>
          </w:p>
        </w:tc>
        <w:tc>
          <w:tcPr>
            <w:tcW w:w="28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28,748,580</w:t>
            </w:r>
          </w:p>
        </w:tc>
        <w:tc>
          <w:tcPr>
            <w:tcW w:w="380" w:type="dxa"/>
            <w:vAlign w:val="bottom"/>
          </w:tcPr>
          <w:p>
            <w:pPr>
              <w:spacing w:after="0"/>
              <w:rPr>
                <w:sz w:val="17"/>
                <w:szCs w:val="17"/>
                <w:color w:val="auto"/>
              </w:rPr>
            </w:pPr>
          </w:p>
        </w:tc>
        <w:tc>
          <w:tcPr>
            <w:tcW w:w="106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28,748,580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28,748,580</w:t>
            </w:r>
          </w:p>
        </w:tc>
        <w:tc>
          <w:tcPr>
            <w:tcW w:w="380" w:type="dxa"/>
            <w:vAlign w:val="bottom"/>
          </w:tcPr>
          <w:p>
            <w:pPr>
              <w:spacing w:after="0"/>
              <w:rPr>
                <w:sz w:val="17"/>
                <w:szCs w:val="17"/>
                <w:color w:val="auto"/>
              </w:rPr>
            </w:pP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28,748,580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Class A and B basic earnings (loss) per share</w:t>
            </w: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restart"/>
          </w:tcPr>
          <w:p>
            <w:pPr>
              <w:spacing w:after="0"/>
              <w:rPr>
                <w:sz w:val="13"/>
                <w:szCs w:val="13"/>
                <w:color w:val="auto"/>
              </w:rPr>
            </w:pPr>
          </w:p>
        </w:tc>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Diluted Earnings (Loss) Per Share: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 (loss) attributable to Class A common stockholders</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51,312</w:t>
            </w:r>
          </w:p>
        </w:tc>
        <w:tc>
          <w:tcPr>
            <w:tcW w:w="3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(955,763)</w:t>
            </w:r>
          </w:p>
        </w:tc>
        <w:tc>
          <w:tcPr>
            <w:tcW w:w="42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127,440</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(2,477,768)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Borders>
              <w:top w:val="single" w:sz="8" w:color="CCEEFF"/>
              <w:bottom w:val="single" w:sz="8" w:color="CCEEFF"/>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Net income (loss) attributable to Class B common stockholders</w:t>
            </w:r>
          </w:p>
        </w:tc>
        <w:tc>
          <w:tcPr>
            <w:tcW w:w="280" w:type="dxa"/>
            <w:vAlign w:val="bottom"/>
            <w:tcBorders>
              <w:top w:val="single" w:sz="8" w:color="auto"/>
              <w:bottom w:val="single" w:sz="8" w:color="auto"/>
            </w:tcBorders>
            <w:shd w:val="clear" w:color="auto" w:fill="CCEEFF"/>
          </w:tcPr>
          <w:p>
            <w:pPr>
              <w:jc w:val="right"/>
              <w:ind w:right="1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183,835</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(3,476,869</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458,041</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(9,005,673</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Class A weighted average shares outstanding - basic</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8,024,369</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7,901,145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7,998,686</w:t>
            </w:r>
          </w:p>
        </w:tc>
        <w:tc>
          <w:tcPr>
            <w:tcW w:w="3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7,909,715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Dilutive effects of common stock equivalents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149,447</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Class A weighted average shares outstanding - diluted</w:t>
            </w: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8,024,369</w:t>
            </w:r>
          </w:p>
        </w:tc>
        <w:tc>
          <w:tcPr>
            <w:tcW w:w="36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7,901,145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8,148,133</w:t>
            </w:r>
          </w:p>
        </w:tc>
        <w:tc>
          <w:tcPr>
            <w:tcW w:w="32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7,909,715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Class B weighted average shares outstanding - basic</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Dilutive effects of common stock equivalents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Class B weighted average shares outstanding - diluted</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3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Diluted earnings (loss) per Class A share</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200" w:type="dxa"/>
            <w:vAlign w:val="bottom"/>
            <w:tcBorders>
              <w:bottom w:val="single" w:sz="8" w:color="CCEEFF"/>
            </w:tcBorders>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Borders>
              <w:bottom w:val="single" w:sz="8" w:color="CCEEFF"/>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Diluted earnings (loss) per Class B share</w:t>
            </w:r>
          </w:p>
        </w:tc>
        <w:tc>
          <w:tcPr>
            <w:tcW w:w="280" w:type="dxa"/>
            <w:vAlign w:val="bottom"/>
            <w:tcBorders>
              <w:bottom w:val="single" w:sz="8" w:color="auto"/>
            </w:tcBorders>
            <w:shd w:val="clear" w:color="auto" w:fill="CCEEFF"/>
          </w:tcPr>
          <w:p>
            <w:pPr>
              <w:jc w:val="right"/>
              <w:ind w:right="1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0.01</w:t>
            </w:r>
          </w:p>
        </w:tc>
        <w:tc>
          <w:tcPr>
            <w:tcW w:w="3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(0.12</w:t>
            </w:r>
          </w:p>
        </w:tc>
        <w:tc>
          <w:tcPr>
            <w:tcW w:w="2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0.02</w:t>
            </w:r>
          </w:p>
        </w:tc>
        <w:tc>
          <w:tcPr>
            <w:tcW w:w="3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(0.31</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a listing of shares excluded from the calculation of Diluted EPS due to their anti-dilutive effects: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960" w:type="dxa"/>
            <w:vAlign w:val="bottom"/>
            <w:gridSpan w:val="5"/>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2580" w:type="dxa"/>
            <w:vAlign w:val="bottom"/>
            <w:gridSpan w:val="4"/>
          </w:tcPr>
          <w:p>
            <w:pPr>
              <w:ind w:left="42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280" w:type="dxa"/>
            <w:vAlign w:val="bottom"/>
          </w:tcPr>
          <w:p>
            <w:pPr>
              <w:spacing w:after="0"/>
              <w:rPr>
                <w:sz w:val="17"/>
                <w:szCs w:val="17"/>
                <w:color w:val="auto"/>
              </w:rPr>
            </w:pPr>
          </w:p>
        </w:tc>
        <w:tc>
          <w:tcPr>
            <w:tcW w:w="1840" w:type="dxa"/>
            <w:vAlign w:val="bottom"/>
            <w:tcBorders>
              <w:bottom w:val="single" w:sz="8" w:color="auto"/>
            </w:tcBorders>
            <w:gridSpan w:val="3"/>
          </w:tcPr>
          <w:p>
            <w:pPr>
              <w:jc w:val="center"/>
              <w:ind w:left="70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114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60" w:type="dxa"/>
            <w:vAlign w:val="bottom"/>
          </w:tcPr>
          <w:p>
            <w:pPr>
              <w:spacing w:after="0"/>
              <w:rPr>
                <w:sz w:val="16"/>
                <w:szCs w:val="16"/>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Method</w:t>
            </w:r>
          </w:p>
        </w:tc>
      </w:tr>
      <w:tr>
        <w:trPr>
          <w:trHeight w:val="17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Excluded Shares:</w:t>
            </w:r>
          </w:p>
        </w:tc>
        <w:tc>
          <w:tcPr>
            <w:tcW w:w="1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Restricted stock units outstanding</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1,155,371</w:t>
            </w:r>
          </w:p>
        </w:tc>
        <w:tc>
          <w:tcPr>
            <w:tcW w:w="36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1,194,763</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1,155,371</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1,194,763</w:t>
            </w:r>
          </w:p>
        </w:tc>
        <w:tc>
          <w:tcPr>
            <w:tcW w:w="144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Treasury</w:t>
            </w:r>
          </w:p>
        </w:tc>
      </w:tr>
      <w:tr>
        <w:trPr>
          <w:trHeight w:val="184"/>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line of credit warrants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367,647</w:t>
            </w:r>
          </w:p>
        </w:tc>
        <w:tc>
          <w:tcPr>
            <w:tcW w:w="3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367,647</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367,647</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367,647</w:t>
            </w:r>
          </w:p>
        </w:tc>
        <w:tc>
          <w:tcPr>
            <w:tcW w:w="14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Treasury</w:t>
            </w:r>
          </w:p>
        </w:tc>
      </w:tr>
      <w:tr>
        <w:trPr>
          <w:trHeight w:val="184"/>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Underwriters warrants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120,000</w:t>
            </w:r>
          </w:p>
        </w:tc>
        <w:tc>
          <w:tcPr>
            <w:tcW w:w="36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120,000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120,000</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120,000</w:t>
            </w:r>
          </w:p>
        </w:tc>
        <w:tc>
          <w:tcPr>
            <w:tcW w:w="144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Treasury</w:t>
            </w:r>
          </w:p>
        </w:tc>
      </w:tr>
      <w:tr>
        <w:trPr>
          <w:trHeight w:val="184"/>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Convertible notes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767,863</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637,736</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873,574</w:t>
            </w:r>
          </w:p>
        </w:tc>
        <w:tc>
          <w:tcPr>
            <w:tcW w:w="14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If-Converted</w:t>
            </w:r>
          </w:p>
        </w:tc>
      </w:tr>
      <w:tr>
        <w:trPr>
          <w:trHeight w:val="199"/>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Convertible notes warrants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1,607,849</w:t>
            </w:r>
          </w:p>
        </w:tc>
        <w:tc>
          <w:tcPr>
            <w:tcW w:w="36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714,285</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714,285</w:t>
            </w:r>
          </w:p>
        </w:tc>
        <w:tc>
          <w:tcPr>
            <w:tcW w:w="144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Treasury</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16 – EQUITY</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Company has authorized 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one vote. Each share of Class B common stock will be entitled to ten votes and will be convertible into one share of Class A common stock automatically upon transfer, subject to certain exceptions. Holders of Class A common stock and Class B common stock will vote together as a single class on all matters unless otherwise required by law.</w:t>
      </w:r>
    </w:p>
    <w:p>
      <w:pPr>
        <w:spacing w:after="0" w:line="1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In connection with our IPO, on November 9, 2022, the Company issued to the Underwriters warrants to purchase 120,000 shares of Class A common stock (the “Underwriters Warrants”). The Underwriters Warrants may be exercised at a price per share equal to 125% of the IPO price, or $6.25 per share. The Underwriters Warrants are exercisable, in whole or in part, commencing on November 9, 2022, and expiring on the three-year anniversary thereof. The Underwriters Warrants have not been exercised as of the filing of this Quarterly Report.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The Underwriters Warrants are legally detachable and separately exercisable from the Class A common stock; therefore, they meet the definition of freestanding and are not considered embedded in the Firm Shares.</w:t>
      </w:r>
    </w:p>
    <w:p>
      <w:pPr>
        <w:spacing w:after="0" w:line="1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Underwriters Warrants are considered indexed to the Company’s own stock. Additionally, the Company concludes that the Underwriters Warrants meet all requirements for equity classification. Because the Underwriters Warrants were issued to the Underwriters for their services and can be exercised immediately (subject to certain transfer conditions) they were measured at their fair value on their date of issuance and recorded within stockholders’ equity. As long as the Underwriters Warrants remain classified as equity, they shall not be revalued.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Convertible Debt</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In August 2023, pursuant to a securities purchase agreement (the “SPA”), the Company issued to two accredited investors (the convertible debt “Investors”) convertible notes with an aggregate principal amount of $1,080,000 (the “Convertible Notes”) and warrants to purchase up to an aggregate of 714,285 shares of the Company’s Class A common stock for gross proceeds of $1,000,000 (the “Convertible Notes Financing”).</w:t>
      </w:r>
    </w:p>
    <w:p>
      <w:pPr>
        <w:spacing w:after="0" w:line="1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In connection with the Convertible Notes Financing, the Company also entered into a registration rights agreement with the Investors. So long as the Company complies with certain conditions set forth in the SPA and the registration rights agreement, the Company will sell and the Investors will purchase, an additional $1,080,000 of aggregate principal amount of notes and warrants in the second tranche of the Convertible Note Financing. The second tranche closing has not yet taken place.</w:t>
      </w:r>
    </w:p>
    <w:p>
      <w:pPr>
        <w:spacing w:after="0" w:line="14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Convertible Notes carry an original issue discount of approximately 7.4%, bear interest at a rate of 7.5% per annum (16% per annum in case of an event of default), are repayable in equal consecutive monthly installments that began in February 2024 and matured on May 24, 2024 (the “Maturity Date”).</w:t>
      </w:r>
    </w:p>
    <w:p>
      <w:pPr>
        <w:spacing w:after="0" w:line="1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Convertible Notes may be prepaid by the Company upon giving the Investors a fifteen-trading day notice by paying an amount equal to the then outstanding balance. If the Company enters into a qualifying financing it may be required by the Investors to repay part or all of the Convertible Notes at a 112.5% premium (limited to 10% of the proceeds of the qualified financing, if such financing results in gross proceeds to the Company at least $5,000,000). In event of default or change of control, the Investors may require the Company to prepay the Convertible Notes at a 120% premium.</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Subject to certain ownership limitations, starting three months after their issuance, the Convertible Notes could be converted at the option of the holder at any time into shares of the Company’s Class A common, at a conversion price equal to 90% (85% in case of an event of default) of the average of the three the lowest daily volume weighted average price (“VWAP”) of the Class A common stock during the ten (10) trading days period prior the receipt of the notice of conversion. The conversion price may be adjusted if the Company issues a qualifying security at a lower price than the then conversion price.</w:t>
      </w:r>
    </w:p>
    <w:p>
      <w:pPr>
        <w:spacing w:after="0" w:line="15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If, upon receipt of conversion notice, the Company cannot issue shares of Class A common stock for any reason, then it is required to issue as many shares of Class A common stock as it is able to issue and, with respect to the unconverted principle portion, the Noteholder may elect for the Company to pay for each shares of Class A common stock that could not be issued at a price equal to the higher of the then conversion price or the VWAP as of the date of the conversion notice.</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Company determined that the Convertible Notes included features that required bifurcation from the debt host and met the criteria to be accounted for as a derivative liability that is accounted for at fair value. On the date of issuance, the compound derivative had an estimated fair value that was not significant due to the remoteness of the events that would trigger the redemption features. The derivative liability uses level 3 inputs, is to be measured at fair value each reporting date with change in fair value being reported in other income. The change in fair value during the nine months ended September 30, 2024, was not significant and as such, was not recorded.</w:t>
      </w:r>
    </w:p>
    <w:p>
      <w:pPr>
        <w:spacing w:after="0" w:line="152"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On the date of issuance, the Company allocated the proceeds between the instruments issued using fair value for the derivative liability with the residual amounts allocated to the convertible notes and warrants using relative fair value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5040" w:type="dxa"/>
            <w:vAlign w:val="bottom"/>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554,246</w:t>
            </w:r>
          </w:p>
        </w:tc>
        <w:tc>
          <w:tcPr>
            <w:tcW w:w="1140" w:type="dxa"/>
            <w:vAlign w:val="bottom"/>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Derivative liability</w:t>
            </w:r>
          </w:p>
        </w:tc>
        <w:tc>
          <w:tcPr>
            <w:tcW w:w="4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1120" w:type="dxa"/>
            <w:vAlign w:val="bottom"/>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w:t>
            </w:r>
          </w:p>
        </w:tc>
        <w:tc>
          <w:tcPr>
            <w:tcW w:w="4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445,754</w:t>
            </w:r>
          </w:p>
        </w:tc>
        <w:tc>
          <w:tcPr>
            <w:tcW w:w="1140" w:type="dxa"/>
            <w:vAlign w:val="bottom"/>
          </w:tcPr>
          <w:p>
            <w:pPr>
              <w:spacing w:after="0"/>
              <w:rPr>
                <w:sz w:val="17"/>
                <w:szCs w:val="17"/>
                <w:color w:val="auto"/>
              </w:rPr>
            </w:pPr>
          </w:p>
        </w:tc>
      </w:tr>
      <w:tr>
        <w:trPr>
          <w:trHeight w:val="188"/>
        </w:trPr>
        <w:tc>
          <w:tcPr>
            <w:tcW w:w="11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Total proceeds</w:t>
            </w:r>
          </w:p>
        </w:tc>
        <w:tc>
          <w:tcPr>
            <w:tcW w:w="446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3"/>
        </w:trPr>
        <w:tc>
          <w:tcPr>
            <w:tcW w:w="1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2"/>
          </w:tcPr>
          <w:p>
            <w:pPr>
              <w:jc w:val="right"/>
              <w:ind w:right="3083"/>
              <w:spacing w:after="0"/>
              <w:rPr>
                <w:sz w:val="20"/>
                <w:szCs w:val="20"/>
                <w:color w:val="auto"/>
              </w:rPr>
            </w:pPr>
            <w:r>
              <w:rPr>
                <w:rFonts w:ascii="Times New Roman" w:cs="Times New Roman" w:eastAsia="Times New Roman" w:hAnsi="Times New Roman"/>
                <w:sz w:val="15"/>
                <w:szCs w:val="15"/>
                <w:color w:val="auto"/>
              </w:rPr>
              <w:t>F-24</w:t>
            </w: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The difference of $525,754 between the allocated proceeds to the Convertible Notes and the aggregate principal amount will be accreted during the life of the notes. Additionally, $152,500 of transaction costs incurred by the Company were recorded as debt discount. As of September 30, 2024 the Company has repaid the balance of the convertible notes.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 summary of the Convertible Notes as of December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color w:val="auto"/>
              </w:rPr>
              <w:t>Unamortized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color w:val="auto"/>
              </w:rPr>
              <w:t>debt discount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color w:val="auto"/>
              </w:rPr>
              <w:t>Principal</w:t>
            </w:r>
          </w:p>
        </w:tc>
        <w:tc>
          <w:tcPr>
            <w:tcW w:w="2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color w:val="auto"/>
              </w:rPr>
              <w:t>and issuance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color w:val="auto"/>
              </w:rPr>
              <w:t>Net carrying</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5"/>
                <w:szCs w:val="15"/>
                <w:color w:val="auto"/>
              </w:rPr>
              <w:t>Fair value</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color w:val="auto"/>
              </w:rPr>
              <w:t>Amount</w:t>
            </w:r>
          </w:p>
        </w:tc>
        <w:tc>
          <w:tcPr>
            <w:tcW w:w="20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color w:val="auto"/>
                <w:w w:val="99"/>
              </w:rPr>
              <w:t>costs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color w:val="auto"/>
              </w:rPr>
              <w:t>amount</w:t>
            </w:r>
          </w:p>
        </w:tc>
        <w:tc>
          <w:tcPr>
            <w:tcW w:w="200" w:type="dxa"/>
            <w:vAlign w:val="bottom"/>
          </w:tcPr>
          <w:p>
            <w:pPr>
              <w:spacing w:after="0"/>
              <w:rPr>
                <w:sz w:val="16"/>
                <w:szCs w:val="16"/>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Amount</w:t>
            </w:r>
          </w:p>
        </w:tc>
        <w:tc>
          <w:tcPr>
            <w:tcW w:w="9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Levelling</w:t>
            </w:r>
          </w:p>
        </w:tc>
        <w:tc>
          <w:tcPr>
            <w:tcW w:w="100" w:type="dxa"/>
            <w:vAlign w:val="bottom"/>
          </w:tcPr>
          <w:p>
            <w:pPr>
              <w:spacing w:after="0"/>
              <w:rPr>
                <w:sz w:val="16"/>
                <w:szCs w:val="16"/>
                <w:color w:val="auto"/>
              </w:rPr>
            </w:pPr>
          </w:p>
        </w:tc>
      </w:tr>
      <w:tr>
        <w:trPr>
          <w:trHeight w:val="176"/>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860,910</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(63,549)</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797,361</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536,170</w:t>
            </w: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Level 3</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debt discount was amortized to interest expense over the maturity period using the effective interest method at a rate of 103.4%. The effective interest rate is based on the principal balance discounted by stated interest, debt issuance costs and fair value allocated to the related warrants. For the nine months ended September 30, 2024, the Company recognized $309,433 of interest expense related to the Convertible Notes, comprising of $22,725 of contractual interest expense, $222,628 in accretion and $64,080 of amortization of debt discount and issuance costs. For the three and nine months ended September 30, 2023, the Company recognized $121,796 of interest expense related to the Convertible Notes, comprising of $8,325 of contractual interest expense, $87,958 in accretion and $25,513 of amortization of debt discount and issuance costs.</w:t>
      </w:r>
    </w:p>
    <w:p>
      <w:pPr>
        <w:spacing w:after="0" w:line="154"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During the nine months ended September 30, 2024, the Company repaid $1,071,750 of principal and accrued interest and the investors converted $60,000 of principal into 71,460 shares of Class A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Convertible Note Warrants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 xml:space="preserve">On August 24, 2023, the Company issued warrants in connection with its convertible debt for the purchase of 714,285 shares (the “Convertible Note Warrants”). The Convertible Note Warrants are accounted for as liabilities and are included in the accrued expenses and other liabilities in the condensed consolidated balance sheets. The Convertible Note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convertible note warrants allow the Investors to purchase an aggregate of 714,285 shares of the Company’s Class A common stock at an exercise price of $1.89. The warrants can be exercised, subject to certain ownership limitations, in whole or in part during the exercise period commencing on November 24, 2023 and ending on the date that is five years thereafter.</w:t>
      </w:r>
    </w:p>
    <w:p>
      <w:pPr>
        <w:spacing w:after="0" w:line="3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spacing w:after="0" w:line="13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Due to their adjustment provisions, the warrants are classified as a liability on the condensed consolidated balance sheet. The fair value of the warrants at issuance has been estimated using a Monte-Carlo model as follows:</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3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December 31, 2023</w:t>
            </w:r>
          </w:p>
        </w:tc>
        <w:tc>
          <w:tcPr>
            <w:tcW w:w="1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September 30, 2024</w:t>
            </w:r>
          </w:p>
        </w:tc>
      </w:tr>
      <w:tr>
        <w:trPr>
          <w:trHeight w:val="17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price</w:t>
            </w:r>
          </w:p>
        </w:tc>
        <w:tc>
          <w:tcPr>
            <w:tcW w:w="2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w w:val="91"/>
              </w:rPr>
              <w:t>1.21</w:t>
            </w: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40" w:type="dxa"/>
            <w:vAlign w:val="bottom"/>
            <w:tcBorders>
              <w:top w:val="single" w:sz="8" w:color="CCEEFF"/>
            </w:tcBorders>
            <w:shd w:val="clear" w:color="auto" w:fill="CCEEFF"/>
          </w:tcPr>
          <w:p>
            <w:pPr>
              <w:spacing w:after="0"/>
              <w:rPr>
                <w:sz w:val="15"/>
                <w:szCs w:val="15"/>
                <w:color w:val="auto"/>
              </w:rPr>
            </w:pP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40" w:type="dxa"/>
            <w:vAlign w:val="bottom"/>
          </w:tcPr>
          <w:p>
            <w:pPr>
              <w:spacing w:after="0"/>
              <w:rPr>
                <w:sz w:val="16"/>
                <w:szCs w:val="16"/>
                <w:color w:val="auto"/>
              </w:rPr>
            </w:pPr>
          </w:p>
        </w:tc>
      </w:tr>
      <w:tr>
        <w:trPr>
          <w:trHeight w:val="18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term (years)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4.65</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40" w:type="dxa"/>
            <w:vAlign w:val="bottom"/>
            <w:shd w:val="clear" w:color="auto" w:fill="CCEEFF"/>
          </w:tcPr>
          <w:p>
            <w:pPr>
              <w:spacing w:after="0"/>
              <w:rPr>
                <w:sz w:val="16"/>
                <w:szCs w:val="16"/>
                <w:color w:val="auto"/>
              </w:rPr>
            </w:pP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60.0%</w:t>
            </w:r>
          </w:p>
        </w:tc>
      </w:tr>
      <w:tr>
        <w:trPr>
          <w:trHeight w:val="18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3.87%</w:t>
            </w: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w:t>
            </w:r>
          </w:p>
        </w:tc>
      </w:tr>
    </w:tbl>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Expected volatility is the estimate of the expected volatility of the Company’s Class A common stock, based on the Company’s weekly trading history then reduced by 5% to 10% as it is generally accepted that market participants to not pay for the full volatility.</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warrant liability, which uses level 3 inputs, is to be measured at fair value each reporting period with the change in fair value being recognized in other income (expense). The measured fair value may be uncertain due to the use of unobservable inputs. At September 30, 2024 and December 31, 2023, the fair value of the warrant liability was $305,601 and $480,281, respectively, and was included in the accrued expenses and other liabilities in the Company’s condensed consolidated balance sheets. The changes in fair value during the three and nine months ended September 30, 2024, amounted to income of $31,788 and $174,680, respectively, included in other income in our condensed consolidated statements of operations and comprehensive income (loss) and in changes in accrued expenses and other liabilities in our condensed consolidated statements of cash flows. The changes in fair value during the three and nine months ended September 30, 2023, amounted to a charge of $6,597 included in other income in our condensed consolidated statements of operations and comprehensive income (loss) and in changes in accrued expenses and other liabilities in our condensed consolidated statements of cash flows.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Line Purchase Agreement</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As of September 30, 2024, the Company has not sold any Class A common stock under the Equity Line Purchase Agreement.</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registration statement covering the offer and sale of up 15,093,768 shares of Class A common stock was effective on October 10, 2023. The purchase price will be calculated as 92% of the volume weighted average prices of the Company’s common stock during normal trading hours for five business days prior to the closing date with respect of a purchase notice.</w:t>
      </w:r>
    </w:p>
    <w:p>
      <w:pPr>
        <w:spacing w:after="0" w:line="3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Concurrently with the signing of the Equity Line Purchase Agreement, the Company issued the equity line warrant to purchase 367,647 shares of its Class A common stock to the investor as a commitment fee. The total fair value, at the date of issuance, of the equity line warrant of approximately $105,411 was recorded as a liability and deferred offering cost and is included in other assets on our condensed consolidated balance sheets.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Equity Line Warrants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 xml:space="preserve">On August 24, 2023, the Company issued a warrant to an investor (the “Equity Line Warrant”) for the purchase of 367,647 shares of Class A common stock in consideration of the investor’s commitment to purchase Class A common stock. The fair value of the Equity Line Warrant is recorded as a warrant liability and is included in the accrued expenses and other liabilities in the Company’s condensed consolidated balance sheets. The Equity Line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 w:cs="Times New Roman" w:eastAsia="Times New Roman" w:hAnsi="Times New Roman"/>
          <w:sz w:val="15"/>
          <w:szCs w:val="15"/>
          <w:i w:val="1"/>
          <w:iCs w:val="1"/>
          <w:color w:val="auto"/>
        </w:rPr>
        <w:t>“Derivatives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Hedging”</w:t>
      </w:r>
      <w:r>
        <w:rPr>
          <w:rFonts w:ascii="Times New Roman" w:cs="Times New Roman" w:eastAsia="Times New Roman" w:hAnsi="Times New Roman"/>
          <w:sz w:val="15"/>
          <w:szCs w:val="15"/>
          <w:color w:val="auto"/>
        </w:rPr>
        <w:t>.</w:t>
      </w:r>
    </w:p>
    <w:p>
      <w:pPr>
        <w:spacing w:after="0" w:line="33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Investors warrants allow them to purchase the 367,647 shares of the Company’s Class A common stock for an exercise price of $1.50. The warrants can be exercised, subject to certain ownership limitations, in whole or in part during the exercise period commencing on August 24, 2023 and ending on the date that is five years thereafter.</w:t>
      </w:r>
    </w:p>
    <w:p>
      <w:pPr>
        <w:spacing w:after="0" w:line="13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spacing w:after="0" w:line="132"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Due to their adjustment provision, the warrants are classified as a liability on the consolidated balance sheet. The fair value of the warrants has been estimated using a Monte-Carlo model as follows:</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3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December 31, 2023</w:t>
            </w:r>
          </w:p>
        </w:tc>
        <w:tc>
          <w:tcPr>
            <w:tcW w:w="10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September 30, 2024</w:t>
            </w:r>
          </w:p>
        </w:tc>
      </w:tr>
      <w:tr>
        <w:trPr>
          <w:trHeight w:val="17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price</w:t>
            </w:r>
          </w:p>
        </w:tc>
        <w:tc>
          <w:tcPr>
            <w:tcW w:w="2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w w:val="91"/>
              </w:rPr>
              <w:t>1.21</w:t>
            </w: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40" w:type="dxa"/>
            <w:vAlign w:val="bottom"/>
            <w:tcBorders>
              <w:top w:val="single" w:sz="8" w:color="CCEEFF"/>
            </w:tcBorders>
            <w:shd w:val="clear" w:color="auto" w:fill="CCEEFF"/>
          </w:tcPr>
          <w:p>
            <w:pPr>
              <w:spacing w:after="0"/>
              <w:rPr>
                <w:sz w:val="15"/>
                <w:szCs w:val="15"/>
                <w:color w:val="auto"/>
              </w:rPr>
            </w:pP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1.50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1.50</w:t>
            </w:r>
          </w:p>
        </w:tc>
      </w:tr>
      <w:tr>
        <w:trPr>
          <w:trHeight w:val="18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term (years)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4.65</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40" w:type="dxa"/>
            <w:vAlign w:val="bottom"/>
            <w:shd w:val="clear" w:color="auto" w:fill="CCEEFF"/>
          </w:tcPr>
          <w:p>
            <w:pPr>
              <w:spacing w:after="0"/>
              <w:rPr>
                <w:sz w:val="16"/>
                <w:szCs w:val="16"/>
                <w:color w:val="auto"/>
              </w:rPr>
            </w:pP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6"/>
                <w:szCs w:val="16"/>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w w:val="97"/>
              </w:rPr>
              <w:t>60.0%</w:t>
            </w:r>
          </w:p>
        </w:tc>
      </w:tr>
      <w:tr>
        <w:trPr>
          <w:trHeight w:val="18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3.87%</w:t>
            </w: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w w:val="97"/>
              </w:rPr>
              <w:t>3.58%</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Expected volatility is the estimate of the expected volatility of the Company’s Class A common stock, based on the Company’s weekly trading history then reduced by 5% to 10%.</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warrant liability, which uses level 3 inputs, is to be measured at fair value at each reporting period and with the change in fair value being recognized in earnings. The measured fair value may be uncertain due to the use of unobservable inputs. At September 30, 2024 and December 31, 2023, the fair value of the warrant liability was $51,932 and $103,767, respectively, and included in the accrued expenses and other liabilities in the Company’s condensed consolidated balance sheets. The changes in fair value during the three and nine months ended September 30, 2024 amounted to income of $22,021 and $51,835, respectively, and is included in other income in our condensed consolidated statements of operations and comprehensive income (loss) and in changes in accrued expenses and other liabilities in our condensed consolidated statements of cash flows. The changes in fair value during the three and nine months ended September 30, 2023 amounted to an income of $29,065 and is included in other income in our condensed consolidated statements of operations and comprehensive income (loss) and in changes in accrued expenses and other liabilities in our condensed consolidated statements of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Units (“RSUs”)</w:t>
      </w:r>
    </w:p>
    <w:p>
      <w:pPr>
        <w:spacing w:after="0" w:line="2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RSUs granted to directors vest based on the directors’ continued employment with us through each applicable vest date, which is generally over one year. If the vesting conditions are not met, unvested RSUs will be forfeited. The following table summarizes our RSU units activity with directors for the nine months ended September 30, 2024 and 2023.</w:t>
      </w:r>
    </w:p>
    <w:p>
      <w:pPr>
        <w:spacing w:after="0" w:line="128"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84"/>
        </w:trPr>
        <w:tc>
          <w:tcPr>
            <w:tcW w:w="5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4"/>
        </w:trPr>
        <w:tc>
          <w:tcPr>
            <w:tcW w:w="560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2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Grant-Date</w:t>
            </w:r>
          </w:p>
        </w:tc>
      </w:tr>
      <w:tr>
        <w:trPr>
          <w:trHeight w:val="203"/>
        </w:trPr>
        <w:tc>
          <w:tcPr>
            <w:tcW w:w="560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2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Fair Values</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43,478</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(32,608)</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(1.38)</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September 30, 2024</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10,870</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Borders>
              <w:top w:val="single" w:sz="8" w:color="CCEEFF"/>
            </w:tcBorders>
            <w:shd w:val="clear" w:color="auto" w:fill="CCEEFF"/>
          </w:tcPr>
          <w:p>
            <w:pPr>
              <w:spacing w:after="0"/>
              <w:rPr>
                <w:sz w:val="15"/>
                <w:szCs w:val="15"/>
                <w:color w:val="auto"/>
              </w:rPr>
            </w:pPr>
          </w:p>
        </w:tc>
      </w:tr>
      <w:tr>
        <w:trPr>
          <w:trHeight w:val="342"/>
        </w:trPr>
        <w:tc>
          <w:tcPr>
            <w:tcW w:w="5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84"/>
        </w:trPr>
        <w:tc>
          <w:tcPr>
            <w:tcW w:w="5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4"/>
        </w:trPr>
        <w:tc>
          <w:tcPr>
            <w:tcW w:w="560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2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Grant-Date</w:t>
            </w:r>
          </w:p>
        </w:tc>
      </w:tr>
      <w:tr>
        <w:trPr>
          <w:trHeight w:val="203"/>
        </w:trPr>
        <w:tc>
          <w:tcPr>
            <w:tcW w:w="560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2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Fair Values</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24,000</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September 30, 2023</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24,000</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grant date fair value of RSUs granted to directors is based on the quoted market price of our common stock on the date of grant.</w:t>
      </w:r>
    </w:p>
    <w:p>
      <w:pPr>
        <w:sectPr>
          <w:pgSz w:w="11900" w:h="16838" w:orient="portrait"/>
          <w:cols w:equalWidth="0" w:num="1">
            <w:col w:w="11260"/>
          </w:cols>
          <w:pgMar w:left="320" w:top="605" w:right="319" w:bottom="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24130</wp:posOffset>
            </wp:positionV>
            <wp:extent cx="71526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5 years, with awards cliff-vesting after each annual measurement period during the total aggregate measurement period.</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spacing w:after="0" w:line="32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following table summarizes our PSU activity with employees, presented with the maximum number of shares that could potentially vest, for the nine months ended September 30, 2024 and 2023.</w:t>
      </w:r>
    </w:p>
    <w:p>
      <w:pPr>
        <w:spacing w:after="0" w:line="128"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84"/>
        </w:trPr>
        <w:tc>
          <w:tcPr>
            <w:tcW w:w="5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4"/>
        </w:trPr>
        <w:tc>
          <w:tcPr>
            <w:tcW w:w="5600" w:type="dxa"/>
            <w:vAlign w:val="bottom"/>
          </w:tcPr>
          <w:p>
            <w:pPr>
              <w:spacing w:after="0"/>
              <w:rPr>
                <w:sz w:val="16"/>
                <w:szCs w:val="16"/>
                <w:color w:val="auto"/>
              </w:rPr>
            </w:pPr>
          </w:p>
        </w:tc>
        <w:tc>
          <w:tcPr>
            <w:tcW w:w="180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2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Grant-Date</w:t>
            </w:r>
          </w:p>
        </w:tc>
      </w:tr>
      <w:tr>
        <w:trPr>
          <w:trHeight w:val="203"/>
        </w:trPr>
        <w:tc>
          <w:tcPr>
            <w:tcW w:w="5600" w:type="dxa"/>
            <w:vAlign w:val="bottom"/>
          </w:tcPr>
          <w:p>
            <w:pPr>
              <w:spacing w:after="0"/>
              <w:rPr>
                <w:sz w:val="17"/>
                <w:szCs w:val="17"/>
                <w:color w:val="auto"/>
              </w:rPr>
            </w:pP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2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Fair Values</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1,165,247</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(20,746)</w:t>
            </w:r>
          </w:p>
        </w:tc>
        <w:tc>
          <w:tcPr>
            <w:tcW w:w="24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r>
        <w:trPr>
          <w:trHeight w:val="188"/>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September 30, 2024</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1,144,501</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11260"/>
          </w:cols>
          <w:pgMar w:left="320" w:top="605" w:right="319" w:bottom="1440" w:gutter="0" w:footer="0" w:header="0"/>
        </w:sectPr>
      </w:pPr>
    </w:p>
    <w:p>
      <w:pPr>
        <w:spacing w:after="0" w:line="36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5"/>
          <w:szCs w:val="15"/>
          <w:b w:val="1"/>
          <w:bCs w:val="1"/>
          <w:color w:val="auto"/>
        </w:rPr>
        <w:t>Restricted</w:t>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5"/>
          <w:szCs w:val="15"/>
          <w:b w:val="1"/>
          <w:bCs w:val="1"/>
          <w:color w:val="auto"/>
        </w:rPr>
        <w:t>Stock Units</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Weighted-</w:t>
      </w:r>
    </w:p>
    <w:p>
      <w:pPr>
        <w:spacing w:after="0" w:line="30"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Average</w:t>
      </w:r>
    </w:p>
    <w:p>
      <w:pPr>
        <w:spacing w:after="0" w:line="1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Grant-Date</w:t>
      </w:r>
    </w:p>
    <w:p>
      <w:pPr>
        <w:spacing w:after="0" w:line="1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Fair Values</w:t>
      </w:r>
    </w:p>
    <w:p>
      <w:pPr>
        <w:spacing w:after="0" w:line="32" w:lineRule="exact"/>
        <w:rPr>
          <w:sz w:val="20"/>
          <w:szCs w:val="20"/>
          <w:color w:val="auto"/>
        </w:rPr>
      </w:pPr>
    </w:p>
    <w:p>
      <w:pPr>
        <w:sectPr>
          <w:pgSz w:w="11900" w:h="16838" w:orient="portrait"/>
          <w:cols w:equalWidth="0" w:num="2">
            <w:col w:w="8180" w:space="720"/>
            <w:col w:w="2360"/>
          </w:cols>
          <w:pgMar w:left="320" w:top="605" w:right="319" w:bottom="1440" w:gutter="0" w:footer="0" w:header="0"/>
          <w:type w:val="continuous"/>
        </w:sectPr>
      </w:pPr>
    </w:p>
    <w:tbl>
      <w:tblPr>
        <w:tblLayout w:type="fixed"/>
        <w:tblInd w:w="1120" w:type="dxa"/>
        <w:tblCellMar>
          <w:top w:w="0" w:type="dxa"/>
          <w:left w:w="0" w:type="dxa"/>
          <w:bottom w:w="0" w:type="dxa"/>
          <w:right w:w="0" w:type="dxa"/>
        </w:tblCellMar>
      </w:tblPr>
      <w:tr>
        <w:trPr>
          <w:trHeight w:val="20"/>
        </w:trPr>
        <w:tc>
          <w:tcPr>
            <w:tcW w:w="56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56"/>
        </w:trPr>
        <w:tc>
          <w:tcPr>
            <w:tcW w:w="56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Outstanding as of January 1, 2023</w:t>
            </w:r>
          </w:p>
        </w:tc>
        <w:tc>
          <w:tcPr>
            <w:tcW w:w="1700" w:type="dxa"/>
            <w:vAlign w:val="bottom"/>
            <w:gridSpan w:val="2"/>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1,197,552</w:t>
            </w:r>
          </w:p>
        </w:tc>
        <w:tc>
          <w:tcPr>
            <w:tcW w:w="740" w:type="dxa"/>
            <w:vAlign w:val="bottom"/>
            <w:gridSpan w:val="2"/>
            <w:shd w:val="clear" w:color="auto" w:fill="CCEEFF"/>
          </w:tcPr>
          <w:p>
            <w:pPr>
              <w:jc w:val="right"/>
              <w:ind w:right="483"/>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5.00</w:t>
            </w:r>
          </w:p>
        </w:tc>
      </w:t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(26,789)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September 30, 2023</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1,170,763</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grant date fair value of PSUs granted to employees is based on the quoted market price of our common stock on the date of grant.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Repurchase Activity</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All share repurchases settled in the nine months ended September 30, 2023 were open market transactions. As of September 30, 2024,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4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There were no share repurchases made during the nine months ended September 30, 2024. During the nine months ended September 30, 2023, 152,626 shares of Class A common stock were repurchased pursuant to the Share Repurchase Program for an aggregate purchase price of approximately $0.3 million. The average price paid per share during the nine months ended September 30, 2023 was $1.68.</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 (Income)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During the nine months ended September 30, 2024, the Company determined that it is probable that the Company will not meet the performance-based milestones required by the RSU’s granted to employees. Accordingly, the Company has reversed the previously recognized compensation expense related to RSU’s. Stock-based compensation expense (income) resulting from RSUs and PSUs of ($834,719) and $589,532 are recorded under general and administrative expenses included in our condensed consolidated statements of operations and comprehensive income (loss) for the nine months ended September 30, 2024 and 2023, respectively. Stock-based compensation expense (income) resulting from PSUs of ($62,174) and $32,475 are recorded under research and development expenses included in our condensed consolidated statements of operations and comprehensive income (loss) for the nine months ended September 30, 2024 and 2023, respectively. For the three months ended September 30, 2024 and 2023, the Company recorded stock-based compensation expense of $13,966 and $220,231 under general and administrative expenses, respectively. For the three months ended September 30, 2024 and 2023, the Company recorded stock-based compensation expense of $1,034 and $16,411 under research and development expenses, respectively.</w:t>
      </w:r>
    </w:p>
    <w:p>
      <w:pPr>
        <w:spacing w:after="0" w:line="1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During the nine months ended September 30, 2024 and 2023, the Company recognized approximately $175,291 of deferred income tax expense, and $131,185 of deferred income tax benefit, respectively, related to our stock-based compensation expense.</w:t>
      </w:r>
    </w:p>
    <w:p>
      <w:pPr>
        <w:spacing w:after="0" w:line="132"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As of September 30, 2024, our total unrecognized compensation cost related to RSUs and PSUs was approximately $1.8 million and is expected to be recognized over a weighted-average service period of 1.9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17 – SUBSEQUENT EVENTS</w:t>
      </w:r>
    </w:p>
    <w:p>
      <w:pPr>
        <w:spacing w:after="0" w:line="196" w:lineRule="exact"/>
        <w:rPr>
          <w:sz w:val="20"/>
          <w:szCs w:val="20"/>
          <w:color w:val="auto"/>
        </w:rPr>
      </w:pPr>
    </w:p>
    <w:p>
      <w:pPr>
        <w:ind w:left="540" w:hanging="271"/>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October, 2024, 33,333 and 142,855 of the </w:t>
      </w:r>
      <w:r>
        <w:rPr>
          <w:rFonts w:ascii="Times New Roman" w:cs="Times New Roman" w:eastAsia="Times New Roman" w:hAnsi="Times New Roman"/>
          <w:sz w:val="15"/>
          <w:szCs w:val="15"/>
          <w:i w:val="1"/>
          <w:iCs w:val="1"/>
          <w:color w:val="auto"/>
        </w:rPr>
        <w:t>Equity Line and Convertible Note Warrants</w:t>
      </w:r>
      <w:r>
        <w:rPr>
          <w:rFonts w:ascii="Times New Roman" w:cs="Times New Roman" w:eastAsia="Times New Roman" w:hAnsi="Times New Roman"/>
          <w:sz w:val="15"/>
          <w:szCs w:val="15"/>
          <w:color w:val="auto"/>
        </w:rPr>
        <w:t xml:space="preserve"> were exercised, respectively.</w:t>
      </w:r>
    </w:p>
    <w:p>
      <w:pPr>
        <w:spacing w:after="0" w:line="30" w:lineRule="exact"/>
        <w:rPr>
          <w:rFonts w:ascii="Times New Roman" w:cs="Times New Roman" w:eastAsia="Times New Roman" w:hAnsi="Times New Roman"/>
          <w:sz w:val="15"/>
          <w:szCs w:val="15"/>
          <w:color w:val="auto"/>
        </w:rPr>
      </w:pPr>
    </w:p>
    <w:p>
      <w:pPr>
        <w:jc w:val="both"/>
        <w:ind w:left="540" w:right="20" w:hanging="271"/>
        <w:spacing w:after="0" w:line="262"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October, 2024, the Company entered into a software development, publishing and distribution agreement for a new survival sandbox title. The intellectual property will be owned by the developer and the Company will have permanent exclusive publishing rights. The Company will pay to the developer a monthly royalty in addition to milestone payments in the amount of $1.5 million during the development of the game that will be recoupable through the royalty share. The Company made the first milestone payment of $0.5 million in October, 2024.</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96"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The following discussion and analysis should be read in conjunction with our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Part 1A of the Company’s Form 10-K for the year ended December 31, 2023, and the “Cautionary Statement Regarding Forward-Looking Statements” section of this Quarterly Report</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200"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has been a top-25 selling game on the Steam platform by gross revenue in each year we released an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is a leader within the sandbox survival genre with 93.7 million console and PC installs through September 30, 2024 and repeated releases within the top-25 selling games on the Steam platform. See below for discussion of key performance metrics and non-GAAP measures. In the three and nine months ended September 30, 2024,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combined for an average total of 210,000 and 212,000 daily active users (“DAUs”) on the Steam and Epic platforms, respectively, as compared to 231,000 and 249,000 in the three and nine months ended September 30, 2023, respectively. We define “daily active users” as the number of unique users who play any given game on any given day. For the three months ended September 30, 2024 and 2023, we generated 88.7% and 86.4%, respectively, of our revenues from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For the nine months ended September 30, 2024 and 2023, we generated 82.0% and 86.9%, respectively, of our revenues from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w:t>
      </w:r>
    </w:p>
    <w:p>
      <w:pPr>
        <w:spacing w:after="0" w:line="158"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Our dedication to providing audiences with high-quality entertainment experiences utilizing the latest gaming technology has produced strong user engagement, continued revenue growth, and increased cash flows. Through September 30, 2024,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game has been played for 3.8 billion hours with an average playing time per user of 162 hours and with the top 21.2% of all players spending over 100 hours in the game, according to data from the Steam platform. For the three months ended September 30, 2024 and 2023, our net revenue was $22.5 million and $9.0 million, respectively. For the nine months ended September 30, 2024 and 2023, our net revenue was $58.3 million and $32.3 million, respectively. During the three months ended September 30, 2024, approximately 44.3% of our revenue came from consoles, 45.6% from PC and 10.1% from mobile and other platforms as compared to 43.5% from consoles, 41.4% from PC and 15.1% from mobile and other platforms during the three months ended September 30, 2023. During the nine months ended September 30, 2024, approximately 41.7% of our revenue came from consoles, 46.7% from PC and 11.6% from mobile and other platforms as compared to 41.1% from consoles, 37.4% from PC and 21.4% from mobile and other platforms during the nine months ended September 30, 2023. We had a net income of $0.2 million and a net loss of $4.4 million, for the three months ended September 30, 2024 and 2023, respectively. For the nine months ended September 30, 2024 we had a net income of $0.7 million, as compared to net loss of $11.5 million for the nine months ended September 30, 2023.</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color w:val="auto"/>
        </w:rPr>
        <w:t>Key Factors Affecting Our Business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 are a number of factors that affect the performance of our business, and the comparability of our results from period to period, including:</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Investments in our content strategy</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by attracting new influencers and brand customers. We have established a new division internally under the Interactive Films brand. This division will focus on creating content in the Vertical Short segment of the digital entertainment market.</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Growth of user base</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We have experienced significant growth in our number of downloads over the last several years. We have sold 48.7 million units between January 1, 2016 and September 30, 2024. During the three months ended September 30, 2024, we sold 1.1 million units compared to 1.2 million in the three months ended September 30, 2023. During the nine months ended September 30, 2024, we sold 3.5 million units compared to 3.9 million in the nine months ended September 30, 2023.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is our master game and </w:t>
      </w:r>
      <w:r>
        <w:rPr>
          <w:rFonts w:ascii="Times New Roman" w:cs="Times New Roman" w:eastAsia="Times New Roman" w:hAnsi="Times New Roman"/>
          <w:sz w:val="15"/>
          <w:szCs w:val="15"/>
          <w:i w:val="1"/>
          <w:iCs w:val="1"/>
          <w:color w:val="auto"/>
        </w:rPr>
        <w:t>ARK: Genesis</w:t>
      </w:r>
      <w:r>
        <w:rPr>
          <w:rFonts w:ascii="Times New Roman" w:cs="Times New Roman" w:eastAsia="Times New Roman" w:hAnsi="Times New Roman"/>
          <w:sz w:val="15"/>
          <w:szCs w:val="15"/>
          <w:color w:val="auto"/>
        </w:rPr>
        <w:t xml:space="preserve"> is a DLC.</w:t>
      </w:r>
    </w:p>
    <w:p>
      <w:pPr>
        <w:spacing w:after="0" w:line="159"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Investments in our technology platform</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 To accompany our entry into the Vertical Shorts market, we are currently developing a distribution platform. Once launched, users will be able to access the content on demand.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Ability to release content, market effectively through cross media and expand the gaming group</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Strategic relationship with developers, Studio Wildcard &amp; Suzhou Snail</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We have an exclusive license with Studio Wildcard for rights to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Relationship with third party distribution platforms</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derive nearly all of our revenue from third-party distribution platforms, these include but are not limited to,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Seasonality</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Recent Developments</w:t>
      </w:r>
    </w:p>
    <w:p>
      <w:pPr>
        <w:spacing w:after="0" w:line="20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On June 27, 2024, we received a deficiency letter from the Listing Qualifications Department (the “Staff”) of the Nasdaq Stock Market (“Nasdaq”) notifying us that, for the last thirty (30) consecutive business days (From May 10, 2024 to June 26, 2024), the bid price for our Class A common stock had closed below the minimum $1.00 per share requirement for continued inclusion on the Nasdaq Capital Market pursuant to Nasdaq Listing Rule 5550(a)(2) (the “Bid Price Rule”). In accordance with Nasdaq rules, we were provided an initial period of 180 calendar days, or until December 24, 2024 (the “Compliance Date”), to regain compliance with the Bid Price Rule. If, at any time before the Compliance Date, the bid price for the Class A common stock closed at $1.00 or more for a minimum of ten (10) consecutive business days, the Staff would provide written notification to the Company that it complied with the Bid Price Rule and the matter will be closed.</w:t>
      </w:r>
    </w:p>
    <w:p>
      <w:pPr>
        <w:spacing w:after="0" w:line="153"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On October 18, 2024, we received a letter from the Staff notifying the Company that our Class A common stock had closed above $1.00 for 10 consecutive business days, from October 4, 2024, to October 17, 2024. Accordingly, the Company has regained compliance with the Bid Price Rule (Listing Rule 5550(a)(2)) and this matter is now closed.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5" w:name="page36"/>
    <w:bookmarkEnd w:id="35"/>
    <w:p>
      <w:pPr>
        <w:ind w:left="8"/>
        <w:spacing w:after="0"/>
        <w:rPr>
          <w:sz w:val="20"/>
          <w:szCs w:val="20"/>
          <w:color w:val="auto"/>
        </w:rPr>
      </w:pPr>
      <w:r>
        <w:rPr>
          <w:rFonts w:ascii="Times New Roman" w:cs="Times New Roman" w:eastAsia="Times New Roman" w:hAnsi="Times New Roman"/>
          <w:sz w:val="15"/>
          <w:szCs w:val="15"/>
          <w:b w:val="1"/>
          <w:bCs w:val="1"/>
          <w:color w:val="auto"/>
        </w:rPr>
        <w:t>Key Performance Metrics</w:t>
      </w:r>
    </w:p>
    <w:p>
      <w:pPr>
        <w:spacing w:after="0" w:line="196"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b w:val="1"/>
          <w:bCs w:val="1"/>
          <w:i w:val="1"/>
          <w:iCs w:val="1"/>
          <w:color w:val="auto"/>
        </w:rPr>
        <w:t>Units Sold</w:t>
      </w:r>
    </w:p>
    <w:p>
      <w:pPr>
        <w:spacing w:after="0" w:line="200" w:lineRule="exact"/>
        <w:rPr>
          <w:sz w:val="20"/>
          <w:szCs w:val="20"/>
          <w:color w:val="auto"/>
        </w:rPr>
      </w:pPr>
    </w:p>
    <w:p>
      <w:pPr>
        <w:jc w:val="both"/>
        <w:ind w:left="8" w:firstLine="277"/>
        <w:spacing w:after="0" w:line="268" w:lineRule="auto"/>
        <w:rPr>
          <w:sz w:val="20"/>
          <w:szCs w:val="20"/>
          <w:color w:val="auto"/>
        </w:rPr>
      </w:pPr>
      <w:r>
        <w:rPr>
          <w:rFonts w:ascii="Times New Roman" w:cs="Times New Roman" w:eastAsia="Times New Roman" w:hAnsi="Times New Roman"/>
          <w:sz w:val="15"/>
          <w:szCs w:val="15"/>
          <w:color w:val="auto"/>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spacing w:after="0" w:line="152" w:lineRule="exact"/>
        <w:rPr>
          <w:sz w:val="20"/>
          <w:szCs w:val="20"/>
          <w:color w:val="auto"/>
        </w:rPr>
      </w:pPr>
    </w:p>
    <w:p>
      <w:pPr>
        <w:jc w:val="both"/>
        <w:ind w:left="8" w:firstLine="277"/>
        <w:spacing w:after="0" w:line="275" w:lineRule="auto"/>
        <w:rPr>
          <w:sz w:val="20"/>
          <w:szCs w:val="20"/>
          <w:color w:val="auto"/>
        </w:rPr>
      </w:pPr>
      <w:r>
        <w:rPr>
          <w:rFonts w:ascii="Times New Roman" w:cs="Times New Roman" w:eastAsia="Times New Roman" w:hAnsi="Times New Roman"/>
          <w:sz w:val="15"/>
          <w:szCs w:val="15"/>
          <w:color w:val="auto"/>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60" w:type="dxa"/>
            <w:vAlign w:val="bottom"/>
            <w:gridSpan w:val="4"/>
          </w:tcPr>
          <w:p>
            <w:pPr>
              <w:jc w:val="right"/>
              <w:ind w:right="112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700" w:type="dxa"/>
            <w:vAlign w:val="bottom"/>
          </w:tcPr>
          <w:p>
            <w:pPr>
              <w:spacing w:after="0"/>
              <w:rPr>
                <w:sz w:val="17"/>
                <w:szCs w:val="17"/>
                <w:color w:val="auto"/>
              </w:rPr>
            </w:pPr>
          </w:p>
        </w:tc>
        <w:tc>
          <w:tcPr>
            <w:tcW w:w="3220" w:type="dxa"/>
            <w:vAlign w:val="bottom"/>
            <w:gridSpan w:val="4"/>
          </w:tcPr>
          <w:p>
            <w:pPr>
              <w:jc w:val="right"/>
              <w:ind w:right="94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8"/>
        </w:trPr>
        <w:tc>
          <w:tcPr>
            <w:tcW w:w="32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9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400" w:type="dxa"/>
            <w:vAlign w:val="bottom"/>
            <w:tcBorders>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80" w:type="dxa"/>
            <w:vAlign w:val="bottom"/>
          </w:tcPr>
          <w:p>
            <w:pPr>
              <w:spacing w:after="0"/>
              <w:rPr>
                <w:sz w:val="16"/>
                <w:szCs w:val="16"/>
                <w:color w:val="auto"/>
              </w:rPr>
            </w:pPr>
          </w:p>
        </w:tc>
      </w:tr>
      <w:tr>
        <w:trPr>
          <w:trHeight w:val="176"/>
        </w:trPr>
        <w:tc>
          <w:tcPr>
            <w:tcW w:w="3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gridSpan w:val="3"/>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9"/>
        </w:trPr>
        <w:tc>
          <w:tcPr>
            <w:tcW w:w="32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5"/>
                <w:szCs w:val="15"/>
                <w:color w:val="auto"/>
              </w:rPr>
              <w:t>Units Sold</w:t>
            </w:r>
            <w:r>
              <w:rPr>
                <w:rFonts w:ascii="Times New Roman" w:cs="Times New Roman" w:eastAsia="Times New Roman" w:hAnsi="Times New Roman"/>
                <w:sz w:val="25"/>
                <w:szCs w:val="25"/>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w:t>
            </w:r>
          </w:p>
        </w:tc>
        <w:tc>
          <w:tcPr>
            <w:tcW w:w="9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3.9</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r>
    </w:tbl>
    <w:p>
      <w:pPr>
        <w:spacing w:after="0" w:line="170" w:lineRule="exact"/>
        <w:rPr>
          <w:sz w:val="20"/>
          <w:szCs w:val="20"/>
          <w:color w:val="auto"/>
        </w:rPr>
      </w:pPr>
    </w:p>
    <w:p>
      <w:pPr>
        <w:ind w:left="5548" w:right="4260" w:hanging="5548"/>
        <w:spacing w:after="0" w:line="550" w:lineRule="auto"/>
        <w:tabs>
          <w:tab w:leader="none" w:pos="27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Units include master games, DLCs, season pass and bundles and excludes skins, soundtracks and other items.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6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5" w:right="319" w:bottom="1440" w:gutter="0" w:footer="0" w:header="0"/>
        </w:sectPr>
      </w:pPr>
    </w:p>
    <w:bookmarkStart w:id="36" w:name="page37"/>
    <w:bookmarkEnd w:id="36"/>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Units sold decreased during the three months ended September 30, 2024, as compared to the three months ended September 30, 2023, by 0.1 million units, or 13.8%. The Company’s units sold decreased due to a decrease in in sales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of 0.6 million units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offset by an increase in sales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of 0.4 million units and 0.1 million units from sales of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during the three months ended September 30, 2024. Units sold decreased during the nine months ended September 30, 2024, as compared to the nine months ended September 30, 2023, by 0.4 million units, or 11.1%. Units sold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decreased by 2.0 million units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partially offset by an increase in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units sold of 1.3 million and an increase in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sales of 0.3 million units.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Bookings</w:t>
      </w:r>
    </w:p>
    <w:p>
      <w:pPr>
        <w:spacing w:after="0" w:line="200"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Bookings is a key operating metric in assessing our financial performance. Bookings adjusts for the impact of deferrals and, we believe, provides a useful indicator of sales in a given period. It reflects the net amount of products and services sold digitally or physically in a given period, excluding the impact of revenue deferrals. Bookings is used by management to understand sales trends and assess the volume of our sales activity over time. Bookings should not be considered as alternatives to net income (loss), as measures of financial performance or any other performance measure derived in accordance with GAAP. Below is a reconciliation of total net revenue to Bookings, the closest GAAP financial measure.</w:t>
      </w:r>
    </w:p>
    <w:p>
      <w:pPr>
        <w:sectPr>
          <w:pgSz w:w="11900" w:h="16838" w:orient="portrait"/>
          <w:cols w:equalWidth="0" w:num="1">
            <w:col w:w="11260"/>
          </w:cols>
          <w:pgMar w:left="320" w:top="6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net revenue</w:t>
      </w:r>
    </w:p>
    <w:p>
      <w:pPr>
        <w:spacing w:after="0" w:line="26" w:lineRule="exact"/>
        <w:rPr>
          <w:sz w:val="20"/>
          <w:szCs w:val="20"/>
          <w:color w:val="auto"/>
        </w:rPr>
      </w:pPr>
    </w:p>
    <w:p>
      <w:pPr>
        <w:ind w:right="740"/>
        <w:spacing w:after="0" w:line="289" w:lineRule="auto"/>
        <w:rPr>
          <w:sz w:val="20"/>
          <w:szCs w:val="20"/>
          <w:color w:val="auto"/>
        </w:rPr>
      </w:pPr>
      <w:r>
        <w:rPr>
          <w:rFonts w:ascii="Times New Roman" w:cs="Times New Roman" w:eastAsia="Times New Roman" w:hAnsi="Times New Roman"/>
          <w:sz w:val="15"/>
          <w:szCs w:val="15"/>
          <w:color w:val="auto"/>
        </w:rPr>
        <w:t>Change in deferred net revenue Bookings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6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ind w:right="183"/>
              <w:spacing w:after="0" w:line="158" w:lineRule="exact"/>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ind w:right="183"/>
              <w:spacing w:after="0" w:line="158" w:lineRule="exact"/>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60" w:type="dxa"/>
            <w:vAlign w:val="bottom"/>
          </w:tcPr>
          <w:p>
            <w:pPr>
              <w:spacing w:after="0"/>
              <w:rPr>
                <w:sz w:val="17"/>
                <w:szCs w:val="17"/>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61"/>
        </w:trPr>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5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84"/>
        </w:trPr>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22.5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13.5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150.9%</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26.0</w:t>
            </w:r>
          </w:p>
        </w:tc>
        <w:tc>
          <w:tcPr>
            <w:tcW w:w="3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80.2%</w:t>
            </w: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(6.4)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(7.9)</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(516.3)%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(0.4)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(53.3)%</w:t>
            </w:r>
          </w:p>
        </w:tc>
      </w:tr>
      <w:tr>
        <w:trPr>
          <w:trHeight w:val="188"/>
        </w:trPr>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3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3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3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53.6%</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58.7</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77.1%</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-394970</wp:posOffset>
            </wp:positionV>
            <wp:extent cx="7152640" cy="116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2640" cy="11684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-153035</wp:posOffset>
            </wp:positionV>
            <wp:extent cx="7152640" cy="13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2640" cy="13906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2660" w:space="720"/>
            <w:col w:w="7880"/>
          </w:cols>
          <w:pgMar w:left="320" w:top="609" w:right="319" w:bottom="1440" w:gutter="0" w:footer="0" w:header="0"/>
          <w:type w:val="continuous"/>
        </w:sect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 xml:space="preserve">For the three months ended September 30, 2024, bookings increased by $5.6 million, or 53.6%, compared to the three months ended September 30, 2023, because of the release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in the fourth quarter of 2023, and the releases of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in the first half of 2024, along with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 </w:t>
      </w:r>
      <w:r>
        <w:rPr>
          <w:rFonts w:ascii="Times New Roman" w:cs="Times New Roman" w:eastAsia="Times New Roman" w:hAnsi="Times New Roman"/>
          <w:sz w:val="15"/>
          <w:szCs w:val="15"/>
          <w:i w:val="1"/>
          <w:iCs w:val="1"/>
          <w:color w:val="auto"/>
        </w:rPr>
        <w:t xml:space="preserve">Aberration </w:t>
      </w:r>
      <w:r>
        <w:rPr>
          <w:rFonts w:ascii="Times New Roman" w:cs="Times New Roman" w:eastAsia="Times New Roman" w:hAnsi="Times New Roman"/>
          <w:sz w:val="15"/>
          <w:szCs w:val="15"/>
          <w:color w:val="auto"/>
        </w:rPr>
        <w:t>in September 2024. In addition to increased sales of the aforementioned titles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bookings decreased because the Company recognized deferred revenues of approximately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$8.2 million during the three months ended September 30, 2024 for the release of </w:t>
      </w:r>
      <w:r>
        <w:rPr>
          <w:rFonts w:ascii="Times New Roman" w:cs="Times New Roman" w:eastAsia="Times New Roman" w:hAnsi="Times New Roman"/>
          <w:sz w:val="15"/>
          <w:szCs w:val="15"/>
          <w:i w:val="1"/>
          <w:iCs w:val="1"/>
          <w:color w:val="auto"/>
        </w:rPr>
        <w:t>Aberration</w:t>
      </w:r>
      <w:r>
        <w:rPr>
          <w:rFonts w:ascii="Times New Roman" w:cs="Times New Roman" w:eastAsia="Times New Roman" w:hAnsi="Times New Roman"/>
          <w:sz w:val="15"/>
          <w:szCs w:val="15"/>
          <w:color w:val="auto"/>
        </w:rPr>
        <w:t xml:space="preserve"> and part II of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partially offset by the deferral of $2.6 million in revenues for sales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and the remaining part of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which have not yet launched. During the three months ended September 30, 2023 the Company deferred $1.8 million in prepaid royalties for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II.</w:t>
      </w:r>
    </w:p>
    <w:p>
      <w:pPr>
        <w:spacing w:after="0" w:line="153"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For the nine months ended September 30, 2024, bookings increased by $25.6 million, or 77.1%, compared to the nine months ended September 30, 2023, because of the release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in the fourth quarter of 2023, and the release of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along with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t>
      </w:r>
      <w:r>
        <w:rPr>
          <w:rFonts w:ascii="Times New Roman" w:cs="Times New Roman" w:eastAsia="Times New Roman" w:hAnsi="Times New Roman"/>
          <w:sz w:val="15"/>
          <w:szCs w:val="15"/>
          <w:i w:val="1"/>
          <w:iCs w:val="1"/>
          <w:color w:val="auto"/>
        </w:rPr>
        <w:t>Scorched Earth</w:t>
      </w:r>
      <w:r>
        <w:rPr>
          <w:rFonts w:ascii="Times New Roman" w:cs="Times New Roman" w:eastAsia="Times New Roman" w:hAnsi="Times New Roman"/>
          <w:sz w:val="15"/>
          <w:szCs w:val="15"/>
          <w:color w:val="auto"/>
        </w:rPr>
        <w:t xml:space="preserve"> in April 2024 and </w:t>
      </w:r>
      <w:r>
        <w:rPr>
          <w:rFonts w:ascii="Times New Roman" w:cs="Times New Roman" w:eastAsia="Times New Roman" w:hAnsi="Times New Roman"/>
          <w:sz w:val="15"/>
          <w:szCs w:val="15"/>
          <w:i w:val="1"/>
          <w:iCs w:val="1"/>
          <w:color w:val="auto"/>
        </w:rPr>
        <w:t>Aberration</w:t>
      </w:r>
      <w:r>
        <w:rPr>
          <w:rFonts w:ascii="Times New Roman" w:cs="Times New Roman" w:eastAsia="Times New Roman" w:hAnsi="Times New Roman"/>
          <w:sz w:val="15"/>
          <w:szCs w:val="15"/>
          <w:color w:val="auto"/>
        </w:rPr>
        <w:t xml:space="preserve"> in September 2024. In addition to increased sales of the aforementioned titles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additionally, the Company deferred $15.3 million in revenues during the nine months ended September 30, 2024 for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and parts of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which have not yet released, partially offset by the recognition of $14.4 million from deferred revenue upon the release of </w:t>
      </w:r>
      <w:r>
        <w:rPr>
          <w:rFonts w:ascii="Times New Roman" w:cs="Times New Roman" w:eastAsia="Times New Roman" w:hAnsi="Times New Roman"/>
          <w:sz w:val="15"/>
          <w:szCs w:val="15"/>
          <w:i w:val="1"/>
          <w:iCs w:val="1"/>
          <w:color w:val="auto"/>
        </w:rPr>
        <w:t>Scorched Earth, Aberration</w:t>
      </w:r>
      <w:r>
        <w:rPr>
          <w:rFonts w:ascii="Times New Roman" w:cs="Times New Roman" w:eastAsia="Times New Roman" w:hAnsi="Times New Roman"/>
          <w:sz w:val="15"/>
          <w:szCs w:val="15"/>
          <w:color w:val="auto"/>
        </w:rPr>
        <w:t xml:space="preserve"> and the first two parts of </w:t>
      </w:r>
      <w:r>
        <w:rPr>
          <w:rFonts w:ascii="Times New Roman" w:cs="Times New Roman" w:eastAsia="Times New Roman" w:hAnsi="Times New Roman"/>
          <w:sz w:val="15"/>
          <w:szCs w:val="15"/>
          <w:i w:val="1"/>
          <w:iCs w:val="1"/>
          <w:color w:val="auto"/>
        </w:rPr>
        <w:t>Bobs Tall Tales.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i w:val="1"/>
          <w:iCs w:val="1"/>
          <w:color w:val="auto"/>
        </w:rPr>
        <w:t>Non-GAAP Measures</w:t>
      </w:r>
    </w:p>
    <w:p>
      <w:pPr>
        <w:spacing w:after="0" w:line="20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In addition to our financial results determined in accordance with U.S. generally accepted accounting principles (“U.S. GAAP” or “GAAP”), we believe EBITDA, as a non-GAAP measure, is useful in evaluating our operating performance. EBITDA, as used in this Quarterly Report on Form 10-Q, is a non-GAAP financial measure that is presented as supplemental disclosures and should not be construed as an alternative to net income (loss) or any other GAAP measure as an indicator of operating performance.</w:t>
      </w:r>
    </w:p>
    <w:p>
      <w:pPr>
        <w:spacing w:after="0" w:line="14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present EBITDA because it is used by management to assess our financial performance, excluding certain expenses that management believes do not reflect the ongoing operating performance of the business. Management uses EBITDA to supplement GAAP measures of performance when evaluating our business strategies, making budgeting decisions and comparing performance against peer companies.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EBITDA</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We define EBITDA as net income (loss) before (i) interest income, (ii) interest expense, (iii) (benefit from) provision for income taxes, and (iv) depreciation and amortization expense, property and equipment.</w:t>
      </w:r>
    </w:p>
    <w:p>
      <w:pPr>
        <w:spacing w:after="0" w:line="132"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Below is a reconciliation of net income (loss) to EBITDA, the closest GAAP financial measure.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10"/>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6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8"/>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ind w:right="183"/>
              <w:spacing w:after="0" w:line="158" w:lineRule="exact"/>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ind w:right="183"/>
              <w:spacing w:after="0" w:line="158" w:lineRule="exact"/>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3"/>
                <w:szCs w:val="13"/>
                <w:color w:val="auto"/>
              </w:rPr>
            </w:pPr>
          </w:p>
        </w:tc>
      </w:tr>
      <w:tr>
        <w:trPr>
          <w:trHeight w:val="203"/>
        </w:trPr>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60" w:type="dxa"/>
            <w:vAlign w:val="bottom"/>
          </w:tcPr>
          <w:p>
            <w:pPr>
              <w:spacing w:after="0"/>
              <w:rPr>
                <w:sz w:val="17"/>
                <w:szCs w:val="17"/>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76"/>
        </w:trPr>
        <w:tc>
          <w:tcPr>
            <w:tcW w:w="3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4.6</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105.3%</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12.2</w:t>
            </w:r>
          </w:p>
        </w:tc>
        <w:tc>
          <w:tcPr>
            <w:tcW w:w="3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106.2%</w:t>
            </w:r>
          </w:p>
        </w:tc>
      </w:tr>
      <w:tr>
        <w:trPr>
          <w:trHeight w:val="170"/>
        </w:trPr>
        <w:tc>
          <w:tcPr>
            <w:tcW w:w="318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Interest income and interest income – related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9"/>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parties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7"/>
                <w:szCs w:val="17"/>
                <w:color w:val="auto"/>
              </w:rPr>
            </w:pPr>
          </w:p>
        </w:tc>
        <w:tc>
          <w:tcPr>
            <w:tcW w:w="900" w:type="dxa"/>
            <w:vAlign w:val="bottom"/>
            <w:gridSpan w:val="2"/>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(0.1)</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28.4%</w:t>
            </w:r>
          </w:p>
        </w:tc>
        <w:tc>
          <w:tcPr>
            <w:tcW w:w="160" w:type="dxa"/>
            <w:vAlign w:val="bottom"/>
          </w:tcPr>
          <w:p>
            <w:pPr>
              <w:spacing w:after="0"/>
              <w:rPr>
                <w:sz w:val="17"/>
                <w:szCs w:val="17"/>
                <w:color w:val="auto"/>
              </w:rPr>
            </w:pPr>
          </w:p>
        </w:tc>
        <w:tc>
          <w:tcPr>
            <w:tcW w:w="6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(0.1)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126.9%</w:t>
            </w:r>
          </w:p>
        </w:tc>
      </w:tr>
      <w:tr>
        <w:trPr>
          <w:trHeight w:val="170"/>
        </w:trPr>
        <w:tc>
          <w:tcPr>
            <w:tcW w:w="31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Interest expense and interest expense – related</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9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parties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(0.3)</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(74.1)%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(0.4)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r>
      <w:tr>
        <w:trPr>
          <w:trHeight w:val="184"/>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(benefit from) income taxes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Pr>
          <w:p>
            <w:pPr>
              <w:spacing w:after="0"/>
              <w:rPr>
                <w:sz w:val="16"/>
                <w:szCs w:val="16"/>
                <w:color w:val="auto"/>
              </w:rPr>
            </w:pPr>
          </w:p>
        </w:tc>
        <w:tc>
          <w:tcPr>
            <w:tcW w:w="900" w:type="dxa"/>
            <w:vAlign w:val="bottom"/>
            <w:gridSpan w:val="2"/>
          </w:tcPr>
          <w:p>
            <w:pPr>
              <w:jc w:val="right"/>
              <w:ind w:right="223"/>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1.4</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(113.7)%</w:t>
            </w:r>
          </w:p>
        </w:tc>
        <w:tc>
          <w:tcPr>
            <w:tcW w:w="160" w:type="dxa"/>
            <w:vAlign w:val="bottom"/>
          </w:tcPr>
          <w:p>
            <w:pPr>
              <w:spacing w:after="0"/>
              <w:rPr>
                <w:sz w:val="16"/>
                <w:szCs w:val="16"/>
                <w:color w:val="auto"/>
              </w:rPr>
            </w:pPr>
          </w:p>
        </w:tc>
        <w:tc>
          <w:tcPr>
            <w:tcW w:w="6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0.3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w:t>
            </w:r>
          </w:p>
        </w:tc>
        <w:tc>
          <w:tcPr>
            <w:tcW w:w="3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(108.9)%</w:t>
            </w:r>
          </w:p>
        </w:tc>
      </w:tr>
      <w:tr>
        <w:trPr>
          <w:trHeight w:val="170"/>
        </w:trPr>
        <w:tc>
          <w:tcPr>
            <w:tcW w:w="31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Depreciation and amortization expense, property</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11"/>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and equipment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(35.9)%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(0.1)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r>
      <w:tr>
        <w:trPr>
          <w:trHeight w:val="188"/>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EBITDA</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3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3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109.7%</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r>
              <w:rPr>
                <w:rFonts w:ascii="Times New Roman" w:cs="Times New Roman" w:eastAsia="Times New Roman" w:hAnsi="Times New Roman"/>
                <w:sz w:val="15"/>
                <w:szCs w:val="15"/>
                <w:u w:val="single" w:color="auto"/>
                <w:color w:val="auto"/>
              </w:rPr>
              <w:t>3</w:t>
            </w:r>
          </w:p>
        </w:tc>
        <w:tc>
          <w:tcPr>
            <w:tcW w:w="320" w:type="dxa"/>
            <w:vAlign w:val="bottom"/>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112.2%</w:t>
            </w: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For the three months ended September 30, 2024, EBITDA increased by $5.6 million, or 109.7%, compared to the three months ended September 30, 2023, primarily because of an increase in net income of $4.6 million and a decrease in the benefit from income taxes of $1.4 million, partially offset by a decrease in interest expense and interest expense – related parties of $0.3 million.</w:t>
      </w:r>
    </w:p>
    <w:p>
      <w:pPr>
        <w:spacing w:after="0" w:line="14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For the nine months ended September 30, 2024, EBITDA increased by $14.9 million, or 112.2%, compared to the nine months ended September 30, 2023, primarily because of an increase in net income of $12.2 million and a decrease in the benefit from income taxes of $3.3 million, partially offset by a decrease in interest expense and interest expense – related parties of $0.4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Components of Results of Operations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record deferred revenue when payments are due or received in advance of the fulfillment of our associated performance obligations.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8" w:name="page39"/>
    <w:bookmarkEnd w:id="38"/>
    <w:p>
      <w:pPr>
        <w:ind w:right="20" w:firstLine="277"/>
        <w:spacing w:after="0" w:line="293" w:lineRule="auto"/>
        <w:rPr>
          <w:sz w:val="20"/>
          <w:szCs w:val="20"/>
          <w:color w:val="auto"/>
        </w:rPr>
      </w:pPr>
      <w:r>
        <w:rPr>
          <w:rFonts w:ascii="Times New Roman" w:cs="Times New Roman" w:eastAsia="Times New Roman" w:hAnsi="Times New Roman"/>
          <w:sz w:val="15"/>
          <w:szCs w:val="15"/>
          <w:color w:val="auto"/>
        </w:rPr>
        <w:t>Our net revenues through our current period top four platform providers as a proportion of our total net revenue for the three and nine months ended September 30, 2024 and 2023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6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8"/>
        </w:trPr>
        <w:tc>
          <w:tcPr>
            <w:tcW w:w="2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ind w:right="183"/>
              <w:spacing w:after="0" w:line="158" w:lineRule="exact"/>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ind w:right="183"/>
              <w:spacing w:after="0" w:line="158" w:lineRule="exact"/>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3"/>
                <w:szCs w:val="13"/>
                <w:color w:val="auto"/>
              </w:rPr>
            </w:pPr>
          </w:p>
        </w:tc>
      </w:tr>
      <w:tr>
        <w:trPr>
          <w:trHeight w:val="203"/>
        </w:trPr>
        <w:tc>
          <w:tcPr>
            <w:tcW w:w="2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2023</w:t>
            </w:r>
          </w:p>
        </w:tc>
        <w:tc>
          <w:tcPr>
            <w:tcW w:w="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60" w:type="dxa"/>
            <w:vAlign w:val="bottom"/>
          </w:tcPr>
          <w:p>
            <w:pPr>
              <w:spacing w:after="0"/>
              <w:rPr>
                <w:sz w:val="17"/>
                <w:szCs w:val="17"/>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76"/>
        </w:trPr>
        <w:tc>
          <w:tcPr>
            <w:tcW w:w="2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5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Platform 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7.0</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197.1%</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3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15.8</w:t>
            </w:r>
          </w:p>
        </w:tc>
        <w:tc>
          <w:tcPr>
            <w:tcW w:w="3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136.2%</w:t>
            </w:r>
          </w:p>
        </w:tc>
      </w:tr>
      <w:tr>
        <w:trPr>
          <w:trHeight w:val="184"/>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Platform 2</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1.5</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84.5%</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2.9</w:t>
            </w:r>
          </w:p>
        </w:tc>
        <w:tc>
          <w:tcPr>
            <w:tcW w:w="3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54.3%</w:t>
            </w:r>
          </w:p>
        </w:tc>
      </w:tr>
      <w:tr>
        <w:trPr>
          <w:trHeight w:val="18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Platform 3</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4.2</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312.2%</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8.7</w:t>
            </w:r>
          </w:p>
        </w:tc>
        <w:tc>
          <w:tcPr>
            <w:tcW w:w="3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165.2%</w:t>
            </w:r>
          </w:p>
        </w:tc>
      </w:tr>
      <w:tr>
        <w:trPr>
          <w:trHeight w:val="184"/>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Platform 4</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0.2</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26.1%</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(0.7)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(28.1)%</w:t>
            </w:r>
          </w:p>
        </w:tc>
      </w:tr>
      <w:tr>
        <w:trPr>
          <w:trHeight w:val="19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All Other Revenue</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0.6</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36.6%</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(0.7)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188"/>
        </w:trPr>
        <w:tc>
          <w:tcPr>
            <w:tcW w:w="2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22.5</w:t>
            </w:r>
          </w:p>
        </w:tc>
        <w:tc>
          <w:tcPr>
            <w:tcW w:w="3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5"/>
                <w:szCs w:val="15"/>
                <w:b w:val="1"/>
                <w:bCs w:val="1"/>
                <w:color w:val="auto"/>
                <w:w w:val="85"/>
              </w:rPr>
              <w:t>9.0</w:t>
            </w:r>
          </w:p>
        </w:tc>
        <w:tc>
          <w:tcPr>
            <w:tcW w:w="3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13.5</w:t>
            </w: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150.9%</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58.3</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32.3</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26.0</w:t>
            </w:r>
          </w:p>
        </w:tc>
        <w:tc>
          <w:tcPr>
            <w:tcW w:w="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80.2%</w:t>
            </w:r>
          </w:p>
        </w:tc>
      </w:tr>
      <w:tr>
        <w:trPr>
          <w:trHeight w:val="20"/>
        </w:trPr>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We expect changes in revenue to correlate with trends in the use and purchase of our games. The increase in net revenues of Platforms 1, 2 and 3 during the three and nine months ended September 30, 2024 from 2023 was due to increased sales from the release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Scorched Earth, Aberration, Bobs Tall Tales, Bellwright</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Myth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Empires. </w:t>
      </w:r>
      <w:r>
        <w:rPr>
          <w:rFonts w:ascii="Times New Roman" w:cs="Times New Roman" w:eastAsia="Times New Roman" w:hAnsi="Times New Roman"/>
          <w:sz w:val="15"/>
          <w:szCs w:val="15"/>
          <w:color w:val="auto"/>
        </w:rPr>
        <w:t>The decrease in net revenues of Platform 4 during the nine months ended September 30, 2024 from 2023 was due to</w:t>
      </w:r>
      <w:r>
        <w:rPr>
          <w:rFonts w:ascii="Times New Roman" w:cs="Times New Roman" w:eastAsia="Times New Roman" w:hAnsi="Times New Roman"/>
          <w:sz w:val="15"/>
          <w:szCs w:val="15"/>
          <w:i w:val="1"/>
          <w:iCs w:val="1"/>
          <w:color w:val="auto"/>
        </w:rPr>
        <w:t xml:space="preserve"> ARK: Survival Ascended </w:t>
      </w:r>
      <w:r>
        <w:rPr>
          <w:rFonts w:ascii="Times New Roman" w:cs="Times New Roman" w:eastAsia="Times New Roman" w:hAnsi="Times New Roman"/>
          <w:sz w:val="15"/>
          <w:szCs w:val="15"/>
          <w:color w:val="auto"/>
        </w:rPr>
        <w:t>not yet being launched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Platform 4 as of September 30, 2024. The increase in net revenues of Platform 4 during the three months ended September 30, 2024 from 2023 was due to the release of an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Survival Evolved </w:t>
      </w:r>
      <w:r>
        <w:rPr>
          <w:rFonts w:ascii="Times New Roman" w:cs="Times New Roman" w:eastAsia="Times New Roman" w:hAnsi="Times New Roman"/>
          <w:sz w:val="15"/>
          <w:szCs w:val="15"/>
          <w:color w:val="auto"/>
        </w:rPr>
        <w:t>DLC on the platform.</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unaudited condensed consolidated financial statements included in this Quarterly Report. We generally expect cost of revenues to fluctuate proportionately with revenues.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in a manner that is proportional with the added expenses and expertise of operating as a public company. We also expect salaries and wages to increase as we increase headcount as we expand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w:t>
      </w:r>
    </w:p>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Research and development consists primarily of consulting expenses and salaries and wages devoted towards the development of new games and related technologies and development costs outsourced through Suzhou Snail. We do not fund or enter into arrangements relating to the research and development activities from third-party developers from whom we license games. We expect our research and development to increase as we develop new content, games or technologies.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w:t>
      </w:r>
    </w:p>
    <w:p>
      <w:pPr>
        <w:spacing w:after="0" w:line="200"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Provision for (benefit from) income taxes</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The benefit from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28% differed from the federal statutory rate of 21% due to permanent differences, foreign withholding taxes and state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September 30, 2024 versus the three months ended September 30,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20" w:type="dxa"/>
            <w:vAlign w:val="bottom"/>
            <w:gridSpan w:val="4"/>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4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66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640" w:type="dxa"/>
            <w:vAlign w:val="bottom"/>
            <w:gridSpan w:val="2"/>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92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22.5</w:t>
            </w:r>
          </w:p>
        </w:tc>
        <w:tc>
          <w:tcPr>
            <w:tcW w:w="1220" w:type="dxa"/>
            <w:vAlign w:val="bottom"/>
            <w:gridSpan w:val="2"/>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9.0</w:t>
            </w:r>
          </w:p>
        </w:tc>
        <w:tc>
          <w:tcPr>
            <w:tcW w:w="660" w:type="dxa"/>
            <w:vAlign w:val="bottom"/>
            <w:gridSpan w:val="2"/>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w:t>
            </w:r>
          </w:p>
        </w:tc>
      </w:tr>
      <w:tr>
        <w:trPr>
          <w:trHeight w:val="196"/>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revenues</w:t>
            </w:r>
          </w:p>
        </w:tc>
        <w:tc>
          <w:tcPr>
            <w:tcW w:w="9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13.8</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9.5</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46.1%</w:t>
            </w:r>
          </w:p>
        </w:tc>
      </w:tr>
      <w:tr>
        <w:trPr>
          <w:trHeight w:val="17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 (loss)</w:t>
            </w: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80" w:type="dxa"/>
            <w:vAlign w:val="bottom"/>
            <w:tcBorders>
              <w:top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1,906.5</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3.8</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3.5</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184"/>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9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3.9</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1.3</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195.0%</w:t>
            </w:r>
          </w:p>
        </w:tc>
      </w:tr>
      <w:tr>
        <w:trPr>
          <w:trHeight w:val="184"/>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9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0.5</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130.2%</w:t>
            </w:r>
          </w:p>
        </w:tc>
      </w:tr>
      <w:tr>
        <w:trPr>
          <w:trHeight w:val="196"/>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(35.9)%</w:t>
            </w:r>
          </w:p>
        </w:tc>
      </w:tr>
      <w:tr>
        <w:trPr>
          <w:trHeight w:val="176"/>
        </w:trPr>
        <w:tc>
          <w:tcPr>
            <w:tcW w:w="4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92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right"/>
              <w:ind w:right="9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Pr>
          <w:p>
            <w:pPr>
              <w:spacing w:after="0"/>
              <w:rPr>
                <w:sz w:val="16"/>
                <w:szCs w:val="16"/>
                <w:color w:val="auto"/>
              </w:rPr>
            </w:pPr>
          </w:p>
        </w:tc>
        <w:tc>
          <w:tcPr>
            <w:tcW w:w="5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w:t>
            </w:r>
          </w:p>
        </w:tc>
        <w:tc>
          <w:tcPr>
            <w:tcW w:w="3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107.3</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3"/>
        </w:trPr>
        <w:tc>
          <w:tcPr>
            <w:tcW w:w="4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Net revenues for the three months ended September 30, 2024 increased by $13.5 million, or 150.9%, compared to the three months ended September 30, 2023. The increase in net revenues was due to an increase in total Ark sales of $5.9 million, an increase in sales of the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of $1.0 million, recognition of $8.2 million in revenue from the release of </w:t>
      </w:r>
      <w:r>
        <w:rPr>
          <w:rFonts w:ascii="Times New Roman" w:cs="Times New Roman" w:eastAsia="Times New Roman" w:hAnsi="Times New Roman"/>
          <w:sz w:val="15"/>
          <w:szCs w:val="15"/>
          <w:i w:val="1"/>
          <w:iCs w:val="1"/>
          <w:color w:val="auto"/>
        </w:rPr>
        <w:t xml:space="preserve">Aberration </w:t>
      </w:r>
      <w:r>
        <w:rPr>
          <w:rFonts w:ascii="Times New Roman" w:cs="Times New Roman" w:eastAsia="Times New Roman" w:hAnsi="Times New Roman"/>
          <w:sz w:val="15"/>
          <w:szCs w:val="15"/>
          <w:color w:val="auto"/>
        </w:rPr>
        <w:t>and part II of</w:t>
      </w:r>
      <w:r>
        <w:rPr>
          <w:rFonts w:ascii="Times New Roman" w:cs="Times New Roman" w:eastAsia="Times New Roman" w:hAnsi="Times New Roman"/>
          <w:sz w:val="15"/>
          <w:szCs w:val="15"/>
          <w:i w:val="1"/>
          <w:iCs w:val="1"/>
          <w:color w:val="auto"/>
        </w:rPr>
        <w:t xml:space="preserve"> Bobs Tall Tales, </w:t>
      </w:r>
      <w:r>
        <w:rPr>
          <w:rFonts w:ascii="Times New Roman" w:cs="Times New Roman" w:eastAsia="Times New Roman" w:hAnsi="Times New Roman"/>
          <w:sz w:val="15"/>
          <w:szCs w:val="15"/>
          <w:color w:val="auto"/>
        </w:rPr>
        <w:t>$1.2 million recognized for meeting the performance obligation of releasing</w:t>
      </w:r>
      <w:r>
        <w:rPr>
          <w:rFonts w:ascii="Times New Roman" w:cs="Times New Roman" w:eastAsia="Times New Roman" w:hAnsi="Times New Roman"/>
          <w:sz w:val="15"/>
          <w:szCs w:val="15"/>
          <w:i w:val="1"/>
          <w:iCs w:val="1"/>
          <w:color w:val="auto"/>
        </w:rPr>
        <w:t xml:space="preserve"> Genesis II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Myth of Empires </w:t>
      </w:r>
      <w:r>
        <w:rPr>
          <w:rFonts w:ascii="Times New Roman" w:cs="Times New Roman" w:eastAsia="Times New Roman" w:hAnsi="Times New Roman"/>
          <w:sz w:val="15"/>
          <w:szCs w:val="15"/>
          <w:color w:val="auto"/>
        </w:rPr>
        <w:t>on certain platforms, partially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offset by a decrease in Ark Mobile sales of $0.3 million and an increase in deferred revenues of $2.6 million related to sales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DLC’s which have not yet been released.</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Cost of revenues for the three months ended September 30, 2024 increased by $4.3 million, or 46.1%, compared to the three months ended September 30, 2023.</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Cost of revenues for the three months ended September 30, 2024 and 2023 comprised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20" w:type="dxa"/>
            <w:vAlign w:val="bottom"/>
            <w:gridSpan w:val="4"/>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4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66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gridSpan w:val="2"/>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license royalties - related parties</w:t>
            </w:r>
          </w:p>
        </w:tc>
        <w:tc>
          <w:tcPr>
            <w:tcW w:w="92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5.3</w:t>
            </w:r>
          </w:p>
        </w:tc>
        <w:tc>
          <w:tcPr>
            <w:tcW w:w="1220" w:type="dxa"/>
            <w:vAlign w:val="bottom"/>
            <w:gridSpan w:val="2"/>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2.1</w:t>
            </w:r>
          </w:p>
        </w:tc>
        <w:tc>
          <w:tcPr>
            <w:tcW w:w="4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152.5%</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Software license royalties</w:t>
            </w:r>
          </w:p>
        </w:tc>
        <w:tc>
          <w:tcPr>
            <w:tcW w:w="9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0.3</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(27.8)%</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License and amortization - related parties</w:t>
            </w:r>
          </w:p>
        </w:tc>
        <w:tc>
          <w:tcPr>
            <w:tcW w:w="9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6.0</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Merchant fees</w:t>
            </w:r>
          </w:p>
        </w:tc>
        <w:tc>
          <w:tcPr>
            <w:tcW w:w="9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Engine fees</w:t>
            </w:r>
          </w:p>
        </w:tc>
        <w:tc>
          <w:tcPr>
            <w:tcW w:w="9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0.9</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191.8%</w:t>
            </w: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Internet, server and data center</w:t>
            </w:r>
          </w:p>
        </w:tc>
        <w:tc>
          <w:tcPr>
            <w:tcW w:w="9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(37.8)%</w:t>
            </w:r>
          </w:p>
        </w:tc>
      </w:tr>
      <w:tr>
        <w:trPr>
          <w:trHeight w:val="18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92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 xml:space="preserve">The increase in cost of revenues for the three months ended September 30, 2024 was due to an increase of $3.2 million in software license royalties – related parties, a result of increased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sales, an increase of $1.3 million in license and amortization – related parties due to the increased license fee paid to SDE partially offset by a lower depreciable base of intangible assets in 2024, an increase in engine fees of $0.6 million, partially offset by decreased internet, server and data center fees of $0.7 million and a decrease in software license royalties of $0.1million.</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General and administrative expenses for the three months ended September 30, 2024 increased by $0.3 million, or 11.4%, compared to the three months ended September 30, 2023. The increase in general and administrative expenses was due to an increase in legal and professional expenses of $0.1 million, an increase in office related expenses of $0.1 million, an increase in travel expenses of $0.1 million, an increase in non-income related taxes of $0.2 million, partially offset by reduced salaries and wages of $0.1 million due to reduced stock-based compensation expenses.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 xml:space="preserve">Research and development expenses for the three months ended September 30, 2024 increased by $2.6 million, or 195.0%, compared to the three months ended September 30, 2023. The increase in research and development expenses was due to the outsourced development of </w:t>
      </w:r>
      <w:r>
        <w:rPr>
          <w:rFonts w:ascii="Times New Roman" w:cs="Times New Roman" w:eastAsia="Times New Roman" w:hAnsi="Times New Roman"/>
          <w:sz w:val="15"/>
          <w:szCs w:val="15"/>
          <w:i w:val="1"/>
          <w:iCs w:val="1"/>
          <w:color w:val="auto"/>
        </w:rPr>
        <w:t>Hermes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Project Aether</w:t>
      </w:r>
      <w:r>
        <w:rPr>
          <w:rFonts w:ascii="Times New Roman" w:cs="Times New Roman" w:eastAsia="Times New Roman" w:hAnsi="Times New Roman"/>
          <w:sz w:val="15"/>
          <w:szCs w:val="15"/>
          <w:color w:val="auto"/>
        </w:rPr>
        <w:t xml:space="preserve"> paid through Suzhou Snail and an increase in internal research and development salaries as the Company continues to expand its in house development team</w:t>
      </w:r>
      <w:r>
        <w:rPr>
          <w:rFonts w:ascii="Times New Roman" w:cs="Times New Roman" w:eastAsia="Times New Roman" w:hAnsi="Times New Roman"/>
          <w:sz w:val="15"/>
          <w:szCs w:val="15"/>
          <w:i w:val="1"/>
          <w:iCs w:val="1"/>
          <w:color w:val="auto"/>
        </w:rPr>
        <w: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 expenses</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 xml:space="preserve">Advertising and marketing expenses for the three months ended September 30, 2024 increased by $0.3 million, or 130.2%, compared to the three months ended September 30, 2023. The increase in advertising and marketing expenses was due to increased advertising campaigns for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its DLC release </w:t>
      </w:r>
      <w:r>
        <w:rPr>
          <w:rFonts w:ascii="Times New Roman" w:cs="Times New Roman" w:eastAsia="Times New Roman" w:hAnsi="Times New Roman"/>
          <w:sz w:val="15"/>
          <w:szCs w:val="15"/>
          <w:i w:val="1"/>
          <w:iCs w:val="1"/>
          <w:color w:val="auto"/>
        </w:rPr>
        <w:t>Aberration,</w:t>
      </w:r>
      <w:r>
        <w:rPr>
          <w:rFonts w:ascii="Times New Roman" w:cs="Times New Roman" w:eastAsia="Times New Roman" w:hAnsi="Times New Roman"/>
          <w:sz w:val="15"/>
          <w:szCs w:val="15"/>
          <w:color w:val="auto"/>
        </w:rPr>
        <w:t xml:space="preserve"> add-on content </w:t>
      </w:r>
      <w:r>
        <w:rPr>
          <w:rFonts w:ascii="Times New Roman" w:cs="Times New Roman" w:eastAsia="Times New Roman" w:hAnsi="Times New Roman"/>
          <w:sz w:val="15"/>
          <w:szCs w:val="15"/>
          <w:i w:val="1"/>
          <w:iCs w:val="1"/>
          <w:color w:val="auto"/>
        </w:rPr>
        <w:t>Bobs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Tall Tales,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Bellwright.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Factors Affecting Net Income (Loss)</w:t>
            </w: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50"/>
        </w:trPr>
        <w:tc>
          <w:tcPr>
            <w:tcW w:w="4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gridSpan w:val="2"/>
          </w:tcPr>
          <w:p>
            <w:pPr>
              <w:jc w:val="center"/>
              <w:ind w:right="44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3"/>
        </w:trPr>
        <w:tc>
          <w:tcPr>
            <w:tcW w:w="4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42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5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92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0.1</w:t>
            </w:r>
          </w:p>
        </w:tc>
        <w:tc>
          <w:tcPr>
            <w:tcW w:w="11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0.1</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28.7%</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920" w:type="dxa"/>
            <w:vAlign w:val="bottom"/>
          </w:tcPr>
          <w:p>
            <w:pPr>
              <w:spacing w:after="0"/>
              <w:rPr>
                <w:sz w:val="16"/>
                <w:szCs w:val="16"/>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(0.1)</w:t>
            </w:r>
          </w:p>
        </w:tc>
        <w:tc>
          <w:tcPr>
            <w:tcW w:w="11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(0.4)</w:t>
            </w:r>
          </w:p>
        </w:tc>
        <w:tc>
          <w:tcPr>
            <w:tcW w:w="460" w:type="dxa"/>
            <w:vAlign w:val="bottom"/>
          </w:tcPr>
          <w:p>
            <w:pPr>
              <w:spacing w:after="0"/>
              <w:rPr>
                <w:sz w:val="16"/>
                <w:szCs w:val="16"/>
                <w:color w:val="auto"/>
              </w:rPr>
            </w:pPr>
          </w:p>
        </w:tc>
        <w:tc>
          <w:tcPr>
            <w:tcW w:w="152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0.3</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74.1%</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0.1</w:t>
            </w:r>
          </w:p>
        </w:tc>
        <w:tc>
          <w:tcPr>
            <w:tcW w:w="1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0.3</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(0.2)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r>
      <w:tr>
        <w:trPr>
          <w:trHeight w:val="199"/>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Income tax (provision) benefit</w:t>
            </w:r>
          </w:p>
        </w:tc>
        <w:tc>
          <w:tcPr>
            <w:tcW w:w="920" w:type="dxa"/>
            <w:vAlign w:val="bottom"/>
          </w:tcPr>
          <w:p>
            <w:pPr>
              <w:spacing w:after="0"/>
              <w:rPr>
                <w:sz w:val="17"/>
                <w:szCs w:val="17"/>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(0.2)</w:t>
            </w:r>
          </w:p>
        </w:tc>
        <w:tc>
          <w:tcPr>
            <w:tcW w:w="118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w:t>
            </w:r>
          </w:p>
        </w:tc>
        <w:tc>
          <w:tcPr>
            <w:tcW w:w="460" w:type="dxa"/>
            <w:vAlign w:val="bottom"/>
          </w:tcPr>
          <w:p>
            <w:pPr>
              <w:spacing w:after="0"/>
              <w:rPr>
                <w:sz w:val="17"/>
                <w:szCs w:val="17"/>
                <w:color w:val="auto"/>
              </w:rPr>
            </w:pPr>
          </w:p>
        </w:tc>
        <w:tc>
          <w:tcPr>
            <w:tcW w:w="152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(86.3)%</w:t>
            </w:r>
          </w:p>
        </w:tc>
      </w:tr>
    </w:tbl>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Interest income was $0.1 million and $0.0 million for the three months ended September 30, 2024 and 2023, respectively. The increase was due to the balance of our cash deposits being higher on average during the three months ended September 30, 2024.</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Interest expense primarily related to our outstanding indebtedness with third-party lenders. Interest expense decreased by $0.3 million for the three months ended September 30, 2024 because of lower average debt during the three months ended September 30, 2024.</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Other income</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Other income decreased by $0.2 million for the three months ended September 30, 2024, in comparison to the three months ended September 30, 2023. The decrease is due to the recognition of $0.3 million in litigation income in the three months ended September 30, 2023.</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Provision for (benefit from) income taxes</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The Company had an income tax provision of $0.2 million for the three months ended September 30, 2024 and a benefit of $1.2 million for the three months ended September 30, 2023. Our effective income tax rate was 40% during the three months ended September 30, 2024 and 21% during the three months ended September 30, 2023.</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nine months ended September 30, 2024 versus the nine months ended September 30,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gridSpan w:val="4"/>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42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640" w:type="dxa"/>
            <w:vAlign w:val="bottom"/>
            <w:gridSpan w:val="2"/>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94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58.3</w:t>
            </w:r>
          </w:p>
        </w:tc>
        <w:tc>
          <w:tcPr>
            <w:tcW w:w="1180" w:type="dxa"/>
            <w:vAlign w:val="bottom"/>
            <w:gridSpan w:val="2"/>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32.3</w:t>
            </w:r>
          </w:p>
        </w:tc>
        <w:tc>
          <w:tcPr>
            <w:tcW w:w="660" w:type="dxa"/>
            <w:vAlign w:val="bottom"/>
            <w:gridSpan w:val="2"/>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26.0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w:t>
            </w:r>
          </w:p>
        </w:tc>
      </w:tr>
      <w:tr>
        <w:trPr>
          <w:trHeight w:val="196"/>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revenues</w:t>
            </w:r>
          </w:p>
        </w:tc>
        <w:tc>
          <w:tcPr>
            <w:tcW w:w="9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39.4</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29.7</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9.7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32.7%</w:t>
            </w:r>
          </w:p>
        </w:tc>
      </w:tr>
      <w:tr>
        <w:trPr>
          <w:trHeight w:val="17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94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606.7</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9.0</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r>
      <w:tr>
        <w:trPr>
          <w:trHeight w:val="184"/>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9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7.5</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3.9</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93.3%</w:t>
            </w:r>
          </w:p>
        </w:tc>
      </w:tr>
      <w:tr>
        <w:trPr>
          <w:trHeight w:val="184"/>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0.5</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172.6%</w:t>
            </w:r>
          </w:p>
        </w:tc>
      </w:tr>
      <w:tr>
        <w:trPr>
          <w:trHeight w:val="196"/>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0.3</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(32.0)%</w:t>
            </w:r>
          </w:p>
        </w:tc>
      </w:tr>
      <w:tr>
        <w:trPr>
          <w:trHeight w:val="176"/>
        </w:trPr>
        <w:tc>
          <w:tcPr>
            <w:tcW w:w="4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94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94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(14.0</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Pr>
          <w:p>
            <w:pPr>
              <w:spacing w:after="0"/>
              <w:rPr>
                <w:sz w:val="16"/>
                <w:szCs w:val="16"/>
                <w:color w:val="auto"/>
              </w:rPr>
            </w:pPr>
          </w:p>
        </w:tc>
        <w:tc>
          <w:tcPr>
            <w:tcW w:w="5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14.9</w:t>
            </w:r>
          </w:p>
        </w:tc>
        <w:tc>
          <w:tcPr>
            <w:tcW w:w="3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106.2</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3"/>
        </w:trPr>
        <w:tc>
          <w:tcPr>
            <w:tcW w:w="4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200"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 xml:space="preserve">Net revenues for the nine months ended September 30, 2024 increased by $26.0 million, or 80.2%, compared to the nine months ended September 30, 2023. The increase in net revenues was due to an increase in total Ark sales of $21.0 million, an increase due to the recognition of $1.2 million payment related to the Angela Games settlement and recognized upon satisfaction of performance obligations included in the contract, an increase in sales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of $4.9 million, an increase in sales of the Company’s other games of $0.5 million, partially offset by a decrease in Ark Mobile sales of $1.2 million and an increase in deferred revenues of $0.4 million related to the Ark franchise.</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Cost of revenues for the nine months ended September 30, 2024 increased by $9.7 million, or 32.7%, compared to the nine months ended September 30, 2023.</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Cost of revenues for the nine months ended September 30, 2024 and 2023 comprised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80" w:type="dxa"/>
            <w:vAlign w:val="bottom"/>
            <w:gridSpan w:val="4"/>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42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64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gridSpan w:val="2"/>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license royalties - related parties</w:t>
            </w:r>
          </w:p>
        </w:tc>
        <w:tc>
          <w:tcPr>
            <w:tcW w:w="94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13.3</w:t>
            </w:r>
          </w:p>
        </w:tc>
        <w:tc>
          <w:tcPr>
            <w:tcW w:w="120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6.9</w:t>
            </w:r>
          </w:p>
        </w:tc>
        <w:tc>
          <w:tcPr>
            <w:tcW w:w="4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Software license royalties</w:t>
            </w:r>
          </w:p>
        </w:tc>
        <w:tc>
          <w:tcPr>
            <w:tcW w:w="9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0.5</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(49.4)%</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License and amortization - related parties</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18.0</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14.8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Merchant fees</w:t>
            </w:r>
          </w:p>
        </w:tc>
        <w:tc>
          <w:tcPr>
            <w:tcW w:w="9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0.7</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(34.9)%</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Engine fees</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3.2</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212.6%</w:t>
            </w: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Internet, server and data center</w:t>
            </w:r>
          </w:p>
        </w:tc>
        <w:tc>
          <w:tcPr>
            <w:tcW w:w="9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3.7</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(24.2)%</w:t>
            </w:r>
          </w:p>
        </w:tc>
      </w:tr>
      <w:tr>
        <w:trPr>
          <w:trHeight w:val="18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940" w:type="dxa"/>
            <w:vAlign w:val="bottom"/>
            <w:tcBorders>
              <w:top w:val="single" w:sz="8" w:color="auto"/>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4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 xml:space="preserve">The increase in cost of revenues for the nine months ended September 30, 2024 was due to an increase of $6.4 million in software license royalties – related parties, a result of increased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sales, an increase of $3.2 million in license and amortization – related parties due to the increased license fee paid to SDE partially offset by a lower depreciable base of intangible assets in 2024, an increase in engine fees of $2.2 million, partially offset by decreased internet, server and data center fees of $1.3 million, a decrease in merchant fees of $0.3 million and a decrease in software license royalties of $0.5 million.</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General and administrative expenses for the nine months ended September 30, 2024 decreased by $2.9 million, or 25.1%, compared to the nine months ended September 30, 2023. The decrease in general and administrative expenses was due to a decrease in legal and professional expenses of $1.2 million, a decrease in administrative internet and server costs of $0.3 million, a decrease in salaries and wages of $1.4 million due to the reversal of previously expensed stock based compensation, and a decrease in expenses of $0.4 million for SEC filing fees, investor relations, NASDAQ listing fees and compliance expenses; partially offset by an increase in non-income related taxes of $0.3 million.</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 xml:space="preserve">Research and development expenses for the nine months ended September 30, 2024 increased by $3.6 million, or 93.3%, compared to the nine months ended September 30, 2023. The increase in research and development expenses was due to the outsourced development of </w:t>
      </w:r>
      <w:r>
        <w:rPr>
          <w:rFonts w:ascii="Times New Roman" w:cs="Times New Roman" w:eastAsia="Times New Roman" w:hAnsi="Times New Roman"/>
          <w:sz w:val="15"/>
          <w:szCs w:val="15"/>
          <w:i w:val="1"/>
          <w:iCs w:val="1"/>
          <w:color w:val="auto"/>
        </w:rPr>
        <w:t>Hermes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Aether</w:t>
      </w:r>
      <w:r>
        <w:rPr>
          <w:rFonts w:ascii="Times New Roman" w:cs="Times New Roman" w:eastAsia="Times New Roman" w:hAnsi="Times New Roman"/>
          <w:sz w:val="15"/>
          <w:szCs w:val="15"/>
          <w:color w:val="auto"/>
        </w:rPr>
        <w:t xml:space="preserve"> paid through Suzhou Snail and increased internal research and development salaries as we continue to build our internal development team</w:t>
      </w:r>
      <w:r>
        <w:rPr>
          <w:rFonts w:ascii="Times New Roman" w:cs="Times New Roman" w:eastAsia="Times New Roman" w:hAnsi="Times New Roman"/>
          <w:sz w:val="15"/>
          <w:szCs w:val="15"/>
          <w:i w:val="1"/>
          <w:iCs w:val="1"/>
          <w:color w:val="auto"/>
        </w:rPr>
        <w: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 expenses</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 xml:space="preserve">Advertising and marketing expenses for the nine months ended September 30, 2024 increased by $0.8 million, or 172.6%, compared to the nine months ended September 30, 2023. The increase in advertising and marketing expenses was due to increased advertising campaigns for the launch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its DLC releases </w:t>
      </w:r>
      <w:r>
        <w:rPr>
          <w:rFonts w:ascii="Times New Roman" w:cs="Times New Roman" w:eastAsia="Times New Roman" w:hAnsi="Times New Roman"/>
          <w:sz w:val="15"/>
          <w:szCs w:val="15"/>
          <w:i w:val="1"/>
          <w:iCs w:val="1"/>
          <w:color w:val="auto"/>
        </w:rPr>
        <w:t>Scorched Earth</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 xml:space="preserve">Aberration, </w:t>
      </w:r>
      <w:r>
        <w:rPr>
          <w:rFonts w:ascii="Times New Roman" w:cs="Times New Roman" w:eastAsia="Times New Roman" w:hAnsi="Times New Roman"/>
          <w:sz w:val="15"/>
          <w:szCs w:val="15"/>
          <w:color w:val="auto"/>
        </w:rPr>
        <w:t>add-on content</w:t>
      </w:r>
      <w:r>
        <w:rPr>
          <w:rFonts w:ascii="Times New Roman" w:cs="Times New Roman" w:eastAsia="Times New Roman" w:hAnsi="Times New Roman"/>
          <w:sz w:val="15"/>
          <w:szCs w:val="15"/>
          <w:i w:val="1"/>
          <w:iCs w:val="1"/>
          <w:color w:val="auto"/>
        </w:rPr>
        <w:t xml:space="preserve"> Bobs Tall Tales,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Bellwright.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Factors Affecting Net Income (Loss)</w:t>
            </w: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50"/>
        </w:trPr>
        <w:tc>
          <w:tcPr>
            <w:tcW w:w="4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00" w:type="dxa"/>
            <w:vAlign w:val="bottom"/>
            <w:gridSpan w:val="2"/>
          </w:tcPr>
          <w:p>
            <w:pPr>
              <w:jc w:val="center"/>
              <w:ind w:right="46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3"/>
        </w:trPr>
        <w:tc>
          <w:tcPr>
            <w:tcW w:w="42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center"/>
              <w:ind w:right="44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2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5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94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0.2</w:t>
            </w:r>
          </w:p>
        </w:tc>
        <w:tc>
          <w:tcPr>
            <w:tcW w:w="11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0.2</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128.9%</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940" w:type="dxa"/>
            <w:vAlign w:val="bottom"/>
          </w:tcPr>
          <w:p>
            <w:pPr>
              <w:spacing w:after="0"/>
              <w:rPr>
                <w:sz w:val="16"/>
                <w:szCs w:val="16"/>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(0.6)</w:t>
            </w:r>
          </w:p>
        </w:tc>
        <w:tc>
          <w:tcPr>
            <w:tcW w:w="11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w:t>
            </w:r>
          </w:p>
        </w:tc>
        <w:tc>
          <w:tcPr>
            <w:tcW w:w="460" w:type="dxa"/>
            <w:vAlign w:val="bottom"/>
          </w:tcPr>
          <w:p>
            <w:pPr>
              <w:spacing w:after="0"/>
              <w:rPr>
                <w:sz w:val="16"/>
                <w:szCs w:val="16"/>
                <w:color w:val="auto"/>
              </w:rPr>
            </w:pPr>
          </w:p>
        </w:tc>
        <w:tc>
          <w:tcPr>
            <w:tcW w:w="152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0.4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(34.0)%</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9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0.5</w:t>
            </w:r>
          </w:p>
        </w:tc>
        <w:tc>
          <w:tcPr>
            <w:tcW w:w="1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0.3</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0.2</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70.1%</w:t>
            </w:r>
          </w:p>
        </w:tc>
      </w:tr>
      <w:tr>
        <w:trPr>
          <w:trHeight w:val="199"/>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Income tax (provision) benefit</w:t>
            </w:r>
          </w:p>
        </w:tc>
        <w:tc>
          <w:tcPr>
            <w:tcW w:w="94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(0.3)</w:t>
            </w:r>
          </w:p>
        </w:tc>
        <w:tc>
          <w:tcPr>
            <w:tcW w:w="118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w:t>
            </w:r>
          </w:p>
        </w:tc>
        <w:tc>
          <w:tcPr>
            <w:tcW w:w="460" w:type="dxa"/>
            <w:vAlign w:val="bottom"/>
          </w:tcPr>
          <w:p>
            <w:pPr>
              <w:spacing w:after="0"/>
              <w:rPr>
                <w:sz w:val="17"/>
                <w:szCs w:val="17"/>
                <w:color w:val="auto"/>
              </w:rPr>
            </w:pPr>
          </w:p>
        </w:tc>
        <w:tc>
          <w:tcPr>
            <w:tcW w:w="152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(3.3)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(91.1)%</w:t>
            </w:r>
          </w:p>
        </w:tc>
      </w:tr>
    </w:tbl>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Interest income was $0.2 million and $0.0 million for the nine months ended September 30, 2024 and 2023, respectively. The increase was due to the balance of the of our cash deposits being higher on average during the nine months ended September 30, 2024.</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Interest expense primarily related to our outstanding indebtedness with third-party lenders. Interest expense decreased by $0.4 million for the nine months ended September 30, 2024 because of the Company having a lower average debt balance during the nine months ended September 30, 2024.</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Other income</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Other income increased by $0.2 million for the nine months ended September 30, 2024, in comparison to the nine months ended September 30, 2023. The increase is due to the recognition of litigation revenues due to a revenue share agreement that was the result of the litigation settlement and revaluation of the Company’s outstanding warrant liabilities.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Provision for (benefit from) income taxes</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The Company had an income tax provision of $0.3 million for the nine months ended September 30, 2024 and a benefit of ($3.0) million for the nine months ended September 30, 2023. Our effective income tax rate was 28% and 21% during the nine months ended September 30, 2024 and 2023,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Capital spending</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Liquidity</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primary sources of liquidity are the cash flows generated from our operations, that are currently available as unrestricted cash. Our unrestricted cash was $10.6 million and $15.2 million as of September 30, 2024 and December 31, 2023, respectively.</w:t>
      </w:r>
    </w:p>
    <w:p>
      <w:pPr>
        <w:spacing w:after="0" w:line="132"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restricted cash and cash equivalents were $1.1 million as of September 30, 2024 and December 31, 2023. Our restricted cash primarily consists of time deposits and is used as security for certain of our debt instruments and to secure standby letters of credit with certain of our landlords.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4" w:name="page45"/>
    <w:bookmarkEnd w:id="44"/>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As of September 30, 2024, our 2021 Revolving Loan has a balance of $3.0 million and is due in December 2024. The Company has repaid its Convertible Notes balance of $1.1 million, its $1.5 million financing arrangement, and the remaining $0.8 million of its short term notes balance during the nine months ended September 30, 2024. In concurrence with the registration of the convertible notes shares the Company registered shares for distribution in an equity line of credit. The Company has the right, but not the obligation, to sell up to $5.0 million in Class A common stock to the investor. We intend to renegotiate with the lender to extend the maturity date of the 2021 Revolving Loan and to negotiate a new Short Term Note. However, there is no guarantee that we will be able to renegotiate the terms of the 2021 Revolving Loan or obtain a new short term note with the lender at terms acceptable to us or at all. The Company was in compliance with its debt covenants related to the 2021 Revolving Note and 2021 Promissory note for the trailing twelve months ended September 30, 2024, however it is probable that the Company will fail the covenants within the next 12 months. There is no guarantee that the Company will receive a waiver from the lender if the covenants of the loans are breached in the future. In the event of a future breach of the debt covenants the lender has the right, but not the obligation, to declare all or any part of the debt as due immediately and cease making any advances or extend any further credit to the Company.</w:t>
      </w:r>
    </w:p>
    <w:p>
      <w:pPr>
        <w:spacing w:after="0" w:line="156"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Company has raised capital through the issuance of the convertible notes, equity line of credit, a short term financing arrangement with the Company’s internet and data center (“IDC”) vendor, and the distribution agreement entered into with our retail partner which provided advanced royalties.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58"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current unrestricted cash position of approximately $10.6 million, and our expected revenue receipts will allow the Company to continue operations beyond the next 12 months and service its current debts.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tables present a summary of our cash flows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flows provided by (used in) operating activities</w:t>
            </w:r>
          </w:p>
        </w:tc>
        <w:tc>
          <w:tcPr>
            <w:tcW w:w="94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(10.8)</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12.8</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118.8%</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Net cash flows used in financing activities</w:t>
            </w:r>
          </w:p>
        </w:tc>
        <w:tc>
          <w:tcPr>
            <w:tcW w:w="9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(178.5)%</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Net decrease in cash and cash equivalents and restricted cash and</w:t>
            </w: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80" w:type="dxa"/>
            <w:vAlign w:val="bottom"/>
            <w:vMerge w:val="continue"/>
            <w:shd w:val="clear" w:color="auto" w:fill="CCEEFF"/>
          </w:tcPr>
          <w:p>
            <w:pPr>
              <w:spacing w:after="0"/>
              <w:rPr>
                <w:sz w:val="13"/>
                <w:szCs w:val="13"/>
                <w:color w:val="auto"/>
              </w:rPr>
            </w:pPr>
          </w:p>
        </w:tc>
        <w:tc>
          <w:tcPr>
            <w:tcW w:w="940" w:type="dxa"/>
            <w:vAlign w:val="bottom"/>
            <w:vMerge w:val="restart"/>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(4.7)</w:t>
            </w:r>
          </w:p>
        </w:tc>
        <w:tc>
          <w:tcPr>
            <w:tcW w:w="64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(13.2)</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8.5</w:t>
            </w:r>
          </w:p>
        </w:tc>
        <w:tc>
          <w:tcPr>
            <w:tcW w:w="1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64.7%</w:t>
            </w: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equivalents</w:t>
            </w:r>
          </w:p>
        </w:tc>
        <w:tc>
          <w:tcPr>
            <w:tcW w:w="94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6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Net cash flows provided by (used in) operating activities for the nine months ended September 30, 2024 increased $12.8 million as compared to the nine months ended September 30, 2023, which resulted primarily from an increase in net income of $12.2 million, a decrease in accounts receivable and accounts receivable - related party of $17.4 million, a decrease in prepaids expenses and prepaid expenses – related party of $1.5 million, partially offset by a decrease in accounts payable and accounts payable – related parties of $15.9 million, a decrease in accrued expenses of $0.3 million, an increase in capitalized film costs of $0.4 million and a decrease in deferred revenues of $1.8 million.</w:t>
      </w:r>
    </w:p>
    <w:p>
      <w:pPr>
        <w:spacing w:after="0" w:line="152"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The Company had a net income of $0.7 million, and a net loss of $11.5 million, for the nine months ended September 30, 2024 and 2023, respectively, representing an increase of $12.2 million. The increase was primarily due to an increase in net revenue of $26.0 million, decreased general and administrative expenses of $2.9 million, partially offset by increased research and development costs of $3.6 million, increased costs of revenues of $9.7 million, and an increase in advertising and marketing expenses of $0.8 million, and a decrease in income tax benefit of $3.3 million.</w:t>
      </w:r>
    </w:p>
    <w:p>
      <w:pPr>
        <w:spacing w:after="0" w:line="15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Non-cash reconciling items were ($0.4) million and ($0.7) million for the nine months ended September 30, 2024 and 2023, respectively, representing a decrease of $0.3 million. The decrease in the non-cash reconciling items was due to a decrease in amortization of intangible assets of $1.3 million, a decrease in stock based compensation expense of $1.5 million, partially offset by an increase in deferred taxes of $3.0 million, and an increase in accretion expense of $0.2 million.</w:t>
      </w:r>
    </w:p>
    <w:p>
      <w:pPr>
        <w:spacing w:after="0" w:line="14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September 30, 2024 and December 31, 2023, the net outstanding balances of receivables due from SDE were $9.0 million and $13.5 million, respectively. We expect accounts receivables owed to us by SDE will be repaid within the next two fiscal years and intend to exercise all legally available means of collection. The Company and SDE have entered into an agreement to offset uncollected amounts against monthly payments due to SDE for operating expenses and costs of revenue. See Note 5-</w:t>
      </w:r>
      <w:r>
        <w:rPr>
          <w:rFonts w:ascii="Times New Roman" w:cs="Times New Roman" w:eastAsia="Times New Roman" w:hAnsi="Times New Roman"/>
          <w:sz w:val="15"/>
          <w:szCs w:val="15"/>
          <w:i w:val="1"/>
          <w:iCs w:val="1"/>
          <w:color w:val="auto"/>
        </w:rPr>
        <w:t xml:space="preserve">Accounts Receivable - Related Party </w:t>
      </w:r>
      <w:r>
        <w:rPr>
          <w:rFonts w:ascii="Times New Roman" w:cs="Times New Roman" w:eastAsia="Times New Roman" w:hAnsi="Times New Roman"/>
          <w:sz w:val="15"/>
          <w:szCs w:val="15"/>
          <w:color w:val="auto"/>
        </w:rPr>
        <w:t>to our unaudited condensed consolidated financial statements included in this Quarterly Report.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5" w:name="page46"/>
    <w:bookmarkEnd w:id="45"/>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Net cash flows used in financing activities for the nine months ended September 30, 2024 were $6.7 million compared to $2.4 million for the nine months ended September 30, 2023. Financing activities for the nine months ended September 30, 2024 included $6.4 million in debt payments and $0.3 million in payments of capitalized offering costs in accounts payable. Financing activities for the nine months ended September 30, 2023 included debt repayments of $6.8 million, the purchases of treasury stock in the amount of $0.3 million, and $0.3 million in payments of capitalized offering costs partially offset by $2.3 million in borrowings on notes payable, $0.9 million for the issuance of convertible notes and $1.9 million received for refund of a dividend withholding tax overpayment.</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Registered Offering</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spacing w:after="0" w:line="14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was held to provide a source of funding for our indemnification obligations to the underwriters. The amount in escrow was released to the Company’s unrestricted cash and cash equivalents in November 2023.</w:t>
      </w:r>
    </w:p>
    <w:p>
      <w:pPr>
        <w:spacing w:after="0" w:line="14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 October 2023, we filed a Form S-1 Registration Statement with the SEC in connection with our issuance of convertible note, equity line of credit and warrants related to each financing as noted below.</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Capital resources</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We fund our operations from our net cash flows provided by operating activities. In addition to these cash flows, we have entered into certain debt arrangements to provide additional liquidity and to finance our operations.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Revolving Loan</w:t>
      </w:r>
    </w:p>
    <w:p>
      <w:pPr>
        <w:spacing w:after="0" w:line="20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As amended, the 2021 Revolving Loan matured on December 31, 2023 and bore interest at a rate equal to the prime rate less 0.25%. Interest is due and payable under the 2021 Revolving Loan on a monthly basis. The Company amended the revolving loan agreement in December 2023, to extend the 2021 Revolving Loan maturity date to December 31, 2024. As of September 30, 2024, we had borrowings of $3.0 million outstanding under our 2021 Revolving Loan. We intend to extend the 2021 Revolving Loan prior to its maturity date in December 2024. There is no guarantee that we will be able to extend the 2021 Revolving Loan on terms acceptable to us in the future, or at all.</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Term Loan</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2022 Short Term Note</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In January 2022, we amended and restated our 2021 Revolving Loan and we executed a promissory note to obtain an additional long-term loan with a principal balance of $10.0 million which was set to mature on January 26, 2023 (the “2022 Short Term Note”). In November 2022, the maturity date was extended to January 26, 2024. Interest was equal to the higher of 3.75% and the Wall Street Journal prime rate plus 0.50%. The 2022 Short Term Note is secured and collateralized by our existing assets. The Company completed the last payment obligation on the 2022 Short Term Note during the nine months ended September 30, 2024.</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Convertible Notes</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On August 24, 2023, the Company issued convertible notes at a 7.4% discount and a principal balance of $1,080,000. The notes had an interest rate of 7.5%, were paid in consecutive monthly installments beginning February 24, 2024 and matured on May 24, 2024. In connection with the Convertible Notes the Company issued to the investors warrants to purchase an aggregate of 714,285 shares that were accounted for under the fair value method and allocated a value of $445,754. The difference of $525,754 between the proceeds allocated to the Convertible Notes and the aggregate principal amount were accreted over the life of the notes and accounted for the fair value of the warrants and the stated discount. Additionally, $152,500 of transaction costs incurred by the Company were recorded as a debt discount. The discount was amortized using the effective interest rate of 103.4%. The effective interest rate is based on the principal balance discounted by stated interest, debt issuance costs and fair value allocated to the related warrants. As of September 30, 2024, the Convertible Notes have been repaid. The Company has registered shares for potential issuance on exercise of the warrants, or conversion of the note, on Form S-1 that was declared effective on October 30, 2023. As of September 30, 2024, the note holders have not exercised the warrants. During the nine months ended September 30, 2024, prior to repayment, the noteholders exercised the option to convert $60,000 in principal of the notes to 71,460 shares of the Company’s Class A common stock.</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Equity Line Purchase Agreement</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54"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The Company has registered shares for potential issuance on exercise of the warrants, or drawing of the equity line, on Form S-1 that was declared effective on October 30, 2023. As of September 30, 2024 the Company has not sold any Class A common stock under the Equity Line Purchase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5"/>
          <w:szCs w:val="15"/>
          <w:i w:val="1"/>
          <w:iCs w:val="1"/>
          <w:color w:val="auto"/>
        </w:rPr>
        <w:t>2023 Note Payable</w:t>
      </w:r>
    </w:p>
    <w:p>
      <w:pPr>
        <w:spacing w:after="0" w:line="196"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 xml:space="preserve">In July 2023, the Company entered into a cooperation agreement with its IDC vendor. The Company agreed to make the vendor the official server host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future iterations and sequels of the game for a period of 7 years. In return, the vendor has agreed to provide the Company with funds in cash of up to $3.0 million without discount and free of charges and costs to the Company. The funds were repaid in monthly installments starting in November 2023 and were based on 20% of the gross monthly </w:t>
      </w:r>
      <w:r>
        <w:rPr>
          <w:rFonts w:ascii="Times New Roman" w:cs="Times New Roman" w:eastAsia="Times New Roman" w:hAnsi="Times New Roman"/>
          <w:sz w:val="15"/>
          <w:szCs w:val="15"/>
          <w:i w:val="1"/>
          <w:iCs w:val="1"/>
          <w:color w:val="auto"/>
        </w:rPr>
        <w:t>ARK: Survival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Ascended </w:t>
      </w:r>
      <w:r>
        <w:rPr>
          <w:rFonts w:ascii="Times New Roman" w:cs="Times New Roman" w:eastAsia="Times New Roman" w:hAnsi="Times New Roman"/>
          <w:sz w:val="15"/>
          <w:szCs w:val="15"/>
          <w:color w:val="auto"/>
        </w:rPr>
        <w:t>revenues. The Company has imputed interest at 8.0% on draws made. As of September 30, 2024, we had repaid the remaining $1.5 million outstanding under the Note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Payable.</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Financial covenants</w:t>
      </w:r>
    </w:p>
    <w:p>
      <w:pPr>
        <w:spacing w:after="0" w:line="20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The 2021 Revolving Loan, Term Loan and the 2022 Short Term Note require us to maintain a minimum debt service coverage ratio of 1.5 to 1.0. Additionally, the 2021 Revolving Loan requires us to maintain an outstanding principal balance of no more than $3.0 million for 30 consecutive days during any twelve-month period. For the trailing twelve months ended September 30, 2024, the Company met the minimum debt service coverage ratio required by its debt covenants. The Company repaid the $0.8 million term note that was one of three debt facilities with the lender, in January 2024. The Company’s ability to comply with the covenants, or receive waivers for the covenants, can lead to the acceleration of payments due under the debt facilities with the lender, cause the lender to cease making advances under the revolving agreement, or allow the lender to take possession of collateral. Due to the projected failure to comply with the debt covenant the Company classifies its long term debt as current.</w:t>
      </w:r>
    </w:p>
    <w:p>
      <w:pPr>
        <w:spacing w:after="0" w:line="149" w:lineRule="exact"/>
        <w:rPr>
          <w:sz w:val="20"/>
          <w:szCs w:val="20"/>
          <w:color w:val="auto"/>
        </w:rPr>
      </w:pPr>
    </w:p>
    <w:p>
      <w:pPr>
        <w:jc w:val="both"/>
        <w:ind w:firstLine="277"/>
        <w:spacing w:after="0" w:line="298" w:lineRule="auto"/>
        <w:rPr>
          <w:sz w:val="20"/>
          <w:szCs w:val="20"/>
          <w:color w:val="auto"/>
        </w:rPr>
      </w:pPr>
      <w:r>
        <w:rPr>
          <w:rFonts w:ascii="Times New Roman" w:cs="Times New Roman" w:eastAsia="Times New Roman" w:hAnsi="Times New Roman"/>
          <w:sz w:val="15"/>
          <w:szCs w:val="15"/>
          <w:color w:val="auto"/>
        </w:rPr>
        <w:t xml:space="preserve">For additional information regarding our indebtedness, see Note 11, </w:t>
      </w:r>
      <w:r>
        <w:rPr>
          <w:rFonts w:ascii="Times New Roman" w:cs="Times New Roman" w:eastAsia="Times New Roman" w:hAnsi="Times New Roman"/>
          <w:sz w:val="15"/>
          <w:szCs w:val="15"/>
          <w:i w:val="1"/>
          <w:iCs w:val="1"/>
          <w:color w:val="auto"/>
        </w:rPr>
        <w:t>Revolving Loan, Short Term Note and Long-Term Debt</w:t>
      </w:r>
      <w:r>
        <w:rPr>
          <w:rFonts w:ascii="Times New Roman" w:cs="Times New Roman" w:eastAsia="Times New Roman" w:hAnsi="Times New Roman"/>
          <w:sz w:val="15"/>
          <w:szCs w:val="15"/>
          <w:color w:val="auto"/>
        </w:rPr>
        <w:t xml:space="preserve"> to our unaudited condensed consolidated financial statements included in this Quarterly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 w:cs="Times New Roman" w:eastAsia="Times New Roman" w:hAnsi="Times New Roman"/>
          <w:sz w:val="15"/>
          <w:szCs w:val="15"/>
          <w:i w:val="1"/>
          <w:iCs w:val="1"/>
          <w:color w:val="auto"/>
        </w:rPr>
        <w:t>Summary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Significant Accounting Policies </w:t>
      </w:r>
      <w:r>
        <w:rPr>
          <w:rFonts w:ascii="Times New Roman" w:cs="Times New Roman" w:eastAsia="Times New Roman" w:hAnsi="Times New Roman"/>
          <w:sz w:val="15"/>
          <w:szCs w:val="15"/>
          <w:color w:val="auto"/>
        </w:rPr>
        <w:t>to our condensed consolidated financial statements included in this Quarterly Report. We believe that the following critical accounting policies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estimates have the greatest potential impact on our condensed consolidated financial statements.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Deferred Revenue</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The Company recognizes, defers, and classifies the timing of deferred revenues from the sale of its products based on estimates of the release date, technical support obligations and timing of its performance obligations. The estimated timing of release dates is dependent on development milestones met by developers and compliance with platform requirements. At any time, platform requirements may change, or the developers may miss milestones. Estimates in technical support obligations will vary by platform and could change from period to period depending on user trends. Changes in estimates of our release schedule may affect the classification of short and long term deferred revenues and the rate at which deferred revenue is recognized, which could have a material impact on the Company’s condensed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8" w:name="page49"/>
    <w:bookmarkEnd w:id="48"/>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Estimated Service Period</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The deferral and subsequent recognition of revenue for the Company’s technical support obligations are estimated based on our estimated service period. 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no history of online player data is available, we consider other factors to determine the estimated service period, such as the estimated service period of other games actively being sold with similar characteristics. We also consider publicly available sources of online trends, the service periods of our previously released software products, and, to the extent publicly available, the service periods of our competitors’ software products that are similar in nature to ours.</w:t>
      </w:r>
    </w:p>
    <w:p>
      <w:pPr>
        <w:spacing w:after="0" w:line="339"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We believe this provides a reasonable depiction of the use of games by our customers, as it is the best representation of the period during which our customers play our software products. An increase in estimated service period could result in a reclassification of deferred revenues from short term to long term and extend the period over which we would recognize said revenue resulting in a lower net income in future periods.</w:t>
      </w:r>
    </w:p>
    <w:p>
      <w:pPr>
        <w:spacing w:after="0" w:line="145"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For our consumable and durable virtual items, we use a variety of data points in determining consumption and estimated service period. We also consider publicly available online trends, the service periods of our previously released software products, and to the extent publicly available, the service periods of our competitors’ software products that are similar in nature to ours. The estimated consumption and service periods for virtual goods are approximately 30 to 100 days. Determining the estimated service period is subjective and requires significant management judgment and estimates. Future usage patterns may differ from historical usage patterns, and therefore the estimated service period may change in the future.</w:t>
      </w:r>
    </w:p>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Selling Prices of Performance Obligations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uses the following reasonably available information in developing the standalone selling prices of the performance obligations:</w:t>
      </w:r>
    </w:p>
    <w:p>
      <w:pPr>
        <w:spacing w:after="0" w:line="196" w:lineRule="exact"/>
        <w:rPr>
          <w:sz w:val="20"/>
          <w:szCs w:val="20"/>
          <w:color w:val="auto"/>
        </w:rPr>
      </w:pPr>
    </w:p>
    <w:p>
      <w:pPr>
        <w:ind w:left="540" w:hanging="271"/>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available data points, including third party or industry pricing, and contractually stated prices.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such as market demand, competition, market constraints, awareness of the product and market trends.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Entity-specific factors including pricing strategies and objectives, market share and pricing practices for bundled arrangements.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Income Taxes</w:t>
      </w:r>
    </w:p>
    <w:p>
      <w:pPr>
        <w:spacing w:after="0" w:line="20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The Company’s deferred income tax assets reflect the net tax effects of temporary differences between the carrying amounts of assets and liabilities for financial reporting purposes and the amounts used for income tax purposes. Changes in tax laws or the level of future taxable income could affect the realizability of deferred income tax assets. The Company recognizes deferred income taxes based on estimates of future taxable income and the utilization of tax loss carryforwards. In evaluating the realizability of deferred taxes, the Company evaluates all available positive and negative evidence of whether sufficient future taxable income will be generated to realize the deferred tax assets, including the results of recent operations and projections of future taxable income. The weighting of positive and negative evidence and the projection of future taxable income requires significant judgment and estimates. In addition, changes in these estimates may have a material impact on the Company’s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 xml:space="preserve">For a description of recently issued and adopted accounting pronouncements, including the respective dates of adoption and expected effects on our results of operations and financial condition, please see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Condensed Consolidated Financial Statements included in this Quarterly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Emerging Growth Company and Smaller Reporting Company Status</w:t>
      </w:r>
    </w:p>
    <w:p>
      <w:pPr>
        <w:spacing w:after="0" w:line="20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9" w:name="page50"/>
    <w:bookmarkEnd w:id="49"/>
    <w:p>
      <w:pPr>
        <w:jc w:val="both"/>
        <w:ind w:left="8" w:firstLine="277"/>
        <w:spacing w:after="0" w:line="265" w:lineRule="auto"/>
        <w:rPr>
          <w:sz w:val="20"/>
          <w:szCs w:val="20"/>
          <w:color w:val="auto"/>
        </w:rPr>
      </w:pPr>
      <w:r>
        <w:rPr>
          <w:rFonts w:ascii="Times New Roman" w:cs="Times New Roman" w:eastAsia="Times New Roman" w:hAnsi="Times New Roman"/>
          <w:sz w:val="15"/>
          <w:szCs w:val="15"/>
          <w:color w:val="auto"/>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condensed consolidated financial statements may not be comparable to those of companies that comply with new or revised accounting pronouncements as of public company effective dates.</w:t>
      </w:r>
    </w:p>
    <w:p>
      <w:pPr>
        <w:spacing w:after="0" w:line="154"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We will remain an emerging growth company until the earliest of: (a)(i) the last day of the fiscal year following the fifth anniversary of the closing of our initial public offering;</w:t>
      </w:r>
    </w:p>
    <w:p>
      <w:pPr>
        <w:spacing w:after="0" w:line="26" w:lineRule="exact"/>
        <w:rPr>
          <w:sz w:val="20"/>
          <w:szCs w:val="20"/>
          <w:color w:val="auto"/>
        </w:rPr>
      </w:pPr>
    </w:p>
    <w:p>
      <w:pPr>
        <w:jc w:val="both"/>
        <w:ind w:left="8" w:hanging="8"/>
        <w:spacing w:after="0" w:line="262" w:lineRule="auto"/>
        <w:tabs>
          <w:tab w:leader="none" w:pos="242"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spacing w:after="0" w:line="155" w:lineRule="exact"/>
        <w:rPr>
          <w:sz w:val="20"/>
          <w:szCs w:val="20"/>
          <w:color w:val="auto"/>
        </w:rPr>
      </w:pPr>
    </w:p>
    <w:p>
      <w:pPr>
        <w:jc w:val="both"/>
        <w:ind w:left="8" w:firstLine="277"/>
        <w:spacing w:after="0" w:line="265" w:lineRule="auto"/>
        <w:rPr>
          <w:sz w:val="20"/>
          <w:szCs w:val="20"/>
          <w:color w:val="auto"/>
        </w:rPr>
      </w:pPr>
      <w:r>
        <w:rPr>
          <w:rFonts w:ascii="Times New Roman" w:cs="Times New Roman" w:eastAsia="Times New Roman" w:hAnsi="Times New Roman"/>
          <w:sz w:val="15"/>
          <w:szCs w:val="15"/>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200"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As a “smaller reporting company” as defined by Item 10 of Regulation S-K, the Company is not required to provide the information required by this item.</w:t>
      </w:r>
    </w:p>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Disclosure Controls and Procedures</w:t>
      </w:r>
    </w:p>
    <w:p>
      <w:pPr>
        <w:spacing w:after="0" w:line="200" w:lineRule="exact"/>
        <w:rPr>
          <w:sz w:val="20"/>
          <w:szCs w:val="20"/>
          <w:color w:val="auto"/>
        </w:rPr>
      </w:pPr>
    </w:p>
    <w:p>
      <w:pPr>
        <w:jc w:val="both"/>
        <w:ind w:left="8" w:firstLine="277"/>
        <w:spacing w:after="0" w:line="268" w:lineRule="auto"/>
        <w:rPr>
          <w:sz w:val="20"/>
          <w:szCs w:val="20"/>
          <w:color w:val="auto"/>
        </w:rPr>
      </w:pPr>
      <w:r>
        <w:rPr>
          <w:rFonts w:ascii="Times New Roman" w:cs="Times New Roman" w:eastAsia="Times New Roman" w:hAnsi="Times New Roman"/>
          <w:sz w:val="15"/>
          <w:szCs w:val="15"/>
          <w:color w:val="auto"/>
        </w:rPr>
        <w:t>The Company maintains disclosure controls and procedures (as defined in Rule 13a-15(e)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Co-Chief Executive Officers and the Chief Financial Officer, as appropriate, to allow timely decisions regarding required disclosure.</w:t>
      </w:r>
    </w:p>
    <w:p>
      <w:pPr>
        <w:spacing w:after="0" w:line="152" w:lineRule="exact"/>
        <w:rPr>
          <w:sz w:val="20"/>
          <w:szCs w:val="20"/>
          <w:color w:val="auto"/>
        </w:rPr>
      </w:pPr>
    </w:p>
    <w:p>
      <w:pPr>
        <w:jc w:val="both"/>
        <w:ind w:left="8" w:firstLine="277"/>
        <w:spacing w:after="0" w:line="259" w:lineRule="auto"/>
        <w:rPr>
          <w:sz w:val="20"/>
          <w:szCs w:val="20"/>
          <w:color w:val="auto"/>
        </w:rPr>
      </w:pPr>
      <w:r>
        <w:rPr>
          <w:rFonts w:ascii="Times New Roman" w:cs="Times New Roman" w:eastAsia="Times New Roman" w:hAnsi="Times New Roman"/>
          <w:sz w:val="15"/>
          <w:szCs w:val="15"/>
          <w:color w:val="auto"/>
        </w:rPr>
        <w:t>Under the supervision and with the participation of our management, including the Co-Chief Executive Officers and Chief Financial Officer, we have evaluated the effectiveness of our disclosure controls and procedures (as defined in Rules 13a-15(e) and 15d-15(e) under the Exchange Act), as of September 30, 2024. A material weakness is a deficiency, or combination of deficiencies, in internal control over financial reporting, such that there is a reasonable possibility that a material misstatement of our annual and interim financial statements will not be prevented or detected in a timely manner. Based on that evaluation, the Co-Chief Executive Officers and Chief Financial Officer have concluded that our disclosure controls and procedures were not effective as of such date due to a material weakness in the internal control over financial reporting as described in Management’s Report on Internal Control Over Financial Reporting, in Part II, Item 9A “Controls and Procedures” in our Annual Report on Form 10-K for the year ended December 31, 2023 filed with the SEC on April 1, 2024 (the “2023 Annual Report on Form 10-K”), which includes our failure to properly design and implement controls related to the accounting for income taxes and disclosure controls related to deferred taxes in the consolidated financial statements; failure to properly classify certain operating expenses and games server costs as cost of revenues in the consolidated financial statements; failure to identify and allocate the consideration received from a settlement between the settlement gain and revenues generating activities; failure to properly determine the stand-alone selling prices of each performance obligation for certain digital revenue contracts; and, failure to design and implement information technology general controls related to segregation of duties within an information system relevant to the preparation of our consolidated financial statements. In addition, during the quarter ended June 30, 2024, a disclosure misstatement was identified related to the amount of revenue recognized over time and point in time. The lack of review procedures over this disclosure gives rise to an additional material weakness in our internal control over financial reporting.</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i w:val="1"/>
          <w:iCs w:val="1"/>
          <w:color w:val="auto"/>
        </w:rPr>
        <w:t>Management’s Plan for Remediation</w:t>
      </w:r>
    </w:p>
    <w:p>
      <w:pPr>
        <w:spacing w:after="0" w:line="200" w:lineRule="exact"/>
        <w:rPr>
          <w:sz w:val="20"/>
          <w:szCs w:val="20"/>
          <w:color w:val="auto"/>
        </w:rPr>
      </w:pPr>
    </w:p>
    <w:p>
      <w:pPr>
        <w:jc w:val="both"/>
        <w:ind w:left="8" w:firstLine="277"/>
        <w:spacing w:after="0" w:line="265" w:lineRule="auto"/>
        <w:rPr>
          <w:sz w:val="20"/>
          <w:szCs w:val="20"/>
          <w:color w:val="auto"/>
        </w:rPr>
      </w:pPr>
      <w:r>
        <w:rPr>
          <w:rFonts w:ascii="Times New Roman" w:cs="Times New Roman" w:eastAsia="Times New Roman" w:hAnsi="Times New Roman"/>
          <w:sz w:val="15"/>
          <w:szCs w:val="15"/>
          <w:color w:val="auto"/>
        </w:rPr>
        <w:t>We are taking steps to remediate the material weaknesses, which include enhancing our financial reporting close control procedures by implementing additional review of unusual transactions, improving our review of the over-time revenue disclosures, improving our segregation of duties in the recording and approving of transactions, ensuring the accuracy and completeness of our income tax footnote disclosure and our accounting for income taxes through consultation with income tax professionals, hire experts to assist in preparing our revenue recognition policies, and hire experts in designing and implementing custom approval workflows in our ERP system in order to remediate these material weaknesses. However, our efforts to remediate the material weaknesses may not be effective in preventing a future material weakness or significant deficiency in our internal control over financial reporting.</w:t>
      </w:r>
    </w:p>
    <w:p>
      <w:pPr>
        <w:spacing w:after="0" w:line="339" w:lineRule="exact"/>
        <w:rPr>
          <w:sz w:val="20"/>
          <w:szCs w:val="20"/>
          <w:color w:val="auto"/>
        </w:rPr>
      </w:pPr>
    </w:p>
    <w:p>
      <w:pPr>
        <w:jc w:val="both"/>
        <w:ind w:left="8" w:firstLine="277"/>
        <w:spacing w:after="0" w:line="272" w:lineRule="auto"/>
        <w:rPr>
          <w:sz w:val="20"/>
          <w:szCs w:val="20"/>
          <w:color w:val="auto"/>
        </w:rPr>
      </w:pPr>
      <w:r>
        <w:rPr>
          <w:rFonts w:ascii="Times New Roman" w:cs="Times New Roman" w:eastAsia="Times New Roman" w:hAnsi="Times New Roman"/>
          <w:sz w:val="15"/>
          <w:szCs w:val="15"/>
          <w:color w:val="auto"/>
        </w:rPr>
        <w:t>We are committed to ensuring that our internal controls over financial reporting are designed and operating effectively. Management believes the efforts taken to date and the planned remediation will improve the effectiveness of our internal control over financial reporting. While these remediation efforts are ongoing, the controls must be operating effectively for a sufficient period of time and be tested by management in order to consider them remediated and conclude that the design is effective to address the risks of material misstatement.</w:t>
      </w:r>
    </w:p>
    <w:p>
      <w:pPr>
        <w:spacing w:after="0" w:line="336" w:lineRule="exact"/>
        <w:rPr>
          <w:sz w:val="20"/>
          <w:szCs w:val="20"/>
          <w:color w:val="auto"/>
        </w:rPr>
      </w:pPr>
    </w:p>
    <w:p>
      <w:pPr>
        <w:jc w:val="both"/>
        <w:ind w:left="8" w:firstLine="277"/>
        <w:spacing w:after="0" w:line="275" w:lineRule="auto"/>
        <w:rPr>
          <w:sz w:val="20"/>
          <w:szCs w:val="20"/>
          <w:color w:val="auto"/>
        </w:rPr>
      </w:pPr>
      <w:r>
        <w:rPr>
          <w:rFonts w:ascii="Times New Roman" w:cs="Times New Roman" w:eastAsia="Times New Roman" w:hAnsi="Times New Roman"/>
          <w:sz w:val="15"/>
          <w:szCs w:val="15"/>
          <w:color w:val="auto"/>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 Over Financial Reporting</w:t>
      </w:r>
    </w:p>
    <w:p>
      <w:pPr>
        <w:spacing w:after="0" w:line="200" w:lineRule="exact"/>
        <w:rPr>
          <w:sz w:val="20"/>
          <w:szCs w:val="20"/>
          <w:color w:val="auto"/>
        </w:rPr>
      </w:pPr>
    </w:p>
    <w:p>
      <w:pPr>
        <w:jc w:val="both"/>
        <w:ind w:left="8" w:firstLine="277"/>
        <w:spacing w:after="0" w:line="265" w:lineRule="auto"/>
        <w:rPr>
          <w:sz w:val="20"/>
          <w:szCs w:val="20"/>
          <w:color w:val="auto"/>
        </w:rPr>
      </w:pPr>
      <w:r>
        <w:rPr>
          <w:rFonts w:ascii="Times New Roman" w:cs="Times New Roman" w:eastAsia="Times New Roman" w:hAnsi="Times New Roman"/>
          <w:sz w:val="15"/>
          <w:szCs w:val="15"/>
          <w:color w:val="auto"/>
        </w:rPr>
        <w:t>During the three months ended September 30, 2024, we have made changes in our internal control over financial reporting (as defined in Rules 13a-15(f) and 15d-15(f) under the Exchange Act) which have materially affected, or are reasonably likely to materially affect, our internal control over financial reporting. These changes include, but are not limited to, hiring qualified experts to assist in preparing internal accounting policies and our assessment of stand-alone selling prices assigned to the performance obligations of certain digital revenue contracts’, working closely with income tax professionals to ensure the accuracy and completeness of our income tax disclosures and enhance our controls over accounting for income taxes, implementation of a workflow in our ERP system that appropriately segregates duties of the users, and additional controls over the detailed review of our operating expenses</w:t>
      </w:r>
    </w:p>
    <w:p>
      <w:pPr>
        <w:spacing w:after="0" w:line="3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PART II OTHER INFORMATION</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200"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See Item 1 of Part I, “Unaudited Condensed Consolidated Financial Statements - Note 14 - Commitments and Contingencies-Litigation.”</w:t>
      </w:r>
    </w:p>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200" w:lineRule="exact"/>
        <w:rPr>
          <w:sz w:val="20"/>
          <w:szCs w:val="20"/>
          <w:color w:val="auto"/>
        </w:rPr>
      </w:pPr>
    </w:p>
    <w:p>
      <w:pPr>
        <w:jc w:val="both"/>
        <w:ind w:left="8" w:right="20"/>
        <w:spacing w:after="0" w:line="268"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Before making an investment decision, you should carefully consider the risk factors described below as well as under the “Risk Factors” section in Part I – Item 1A of our 2023 Annual Report on Form 10-K, and any other periodic or current report that we file with the SEC, together with all of the related financial statements and notes thereto. Other than as set forth below, we have not identified any material changes to the risk factors previously disclosed in Part I – Item 1A – “Risk Factors” in our Annual Report on Form 10-K for the year ended December 31, 2023.</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264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9" w:right="319" w:bottom="0" w:gutter="0" w:footer="0" w:header="0"/>
        </w:sectPr>
      </w:pPr>
    </w:p>
    <w:bookmarkStart w:id="50" w:name="page51"/>
    <w:bookmarkEnd w:id="50"/>
    <w:p>
      <w:pPr>
        <w:ind w:left="8"/>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96" w:lineRule="exact"/>
        <w:rPr>
          <w:sz w:val="20"/>
          <w:szCs w:val="20"/>
          <w:color w:val="auto"/>
        </w:rPr>
      </w:pPr>
    </w:p>
    <w:p>
      <w:pPr>
        <w:ind w:left="8"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Failure to meet NASDAQ’s continued listing requirements could result in the delisting of our Class A common stock, negatively impact the price of our Class A common stock and negatively impact our ability to raise additional capital.</w:t>
      </w:r>
    </w:p>
    <w:p>
      <w:pPr>
        <w:spacing w:after="0" w:line="129"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On June 27, 2024, we received a deficiency letter from the Listing Qualifications Department (the “Staff”) of the Nasdaq Stock Market (“Nasdaq”) notifying us that, for thirty</w:t>
      </w:r>
    </w:p>
    <w:p>
      <w:pPr>
        <w:spacing w:after="0" w:line="26" w:lineRule="exact"/>
        <w:rPr>
          <w:sz w:val="20"/>
          <w:szCs w:val="20"/>
          <w:color w:val="auto"/>
        </w:rPr>
      </w:pPr>
    </w:p>
    <w:p>
      <w:pPr>
        <w:jc w:val="both"/>
        <w:ind w:left="8" w:right="20" w:hanging="8"/>
        <w:spacing w:after="0" w:line="260" w:lineRule="auto"/>
        <w:tabs>
          <w:tab w:leader="none" w:pos="31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consecutive business days (from May 10, 2024 to June 26, 2024), the bid price for our Class A common stock had closed below the minimum $1.00 per share requirement for continued inclusion on the Nasdaq Capital Market pursuant to Nasdaq Listing Rule 5550(a)(2) (the “Bid Price Rule”). In accordance with Nasdaq rules, we were provided an initial period of 180 calendar days, or until December 24, 2024 (the “Compliance Date”), to regain compliance with the Bid Price Rule. The Staff informed the Company that if, at any time before the Compliance Date, the bid price for the Class A common stock closed at $1.00 or more for a minimum of ten (10) consecutive business days, the Staff would provide written notification to the Company that it complied with the Bid Price Rule and the matter will be closed.</w:t>
      </w:r>
    </w:p>
    <w:p>
      <w:pPr>
        <w:spacing w:after="0" w:line="146" w:lineRule="exact"/>
        <w:rPr>
          <w:sz w:val="20"/>
          <w:szCs w:val="20"/>
          <w:color w:val="auto"/>
        </w:rPr>
      </w:pPr>
    </w:p>
    <w:p>
      <w:pPr>
        <w:jc w:val="both"/>
        <w:ind w:left="8" w:firstLine="277"/>
        <w:spacing w:after="0" w:line="250" w:lineRule="auto"/>
        <w:rPr>
          <w:sz w:val="20"/>
          <w:szCs w:val="20"/>
          <w:color w:val="auto"/>
        </w:rPr>
      </w:pPr>
      <w:r>
        <w:rPr>
          <w:rFonts w:ascii="Times New Roman" w:cs="Times New Roman" w:eastAsia="Times New Roman" w:hAnsi="Times New Roman"/>
          <w:sz w:val="15"/>
          <w:szCs w:val="15"/>
          <w:color w:val="auto"/>
        </w:rPr>
        <w:t>On October 18, 2024, Nasdaq notified the Company that the Staff had determined that for ten (10) consecutive business days, from October 4, 2024, to October 17, 2024, the closing bid price of our Class A common stock has been at $1.00 per share or greater. Accordingly, the Staff informed us that we had regained compliance with Nasdaq Listing Rule 5550(a)(2) and this matter is now closed.</w:t>
      </w:r>
    </w:p>
    <w:p>
      <w:pPr>
        <w:spacing w:after="0" w:line="153" w:lineRule="exact"/>
        <w:rPr>
          <w:sz w:val="20"/>
          <w:szCs w:val="20"/>
          <w:color w:val="auto"/>
        </w:rPr>
      </w:pPr>
    </w:p>
    <w:p>
      <w:pPr>
        <w:jc w:val="both"/>
        <w:ind w:left="8" w:firstLine="277"/>
        <w:spacing w:after="0" w:line="261" w:lineRule="auto"/>
        <w:rPr>
          <w:sz w:val="20"/>
          <w:szCs w:val="20"/>
          <w:color w:val="auto"/>
        </w:rPr>
      </w:pPr>
      <w:r>
        <w:rPr>
          <w:rFonts w:ascii="Times New Roman" w:cs="Times New Roman" w:eastAsia="Times New Roman" w:hAnsi="Times New Roman"/>
          <w:sz w:val="15"/>
          <w:szCs w:val="15"/>
          <w:color w:val="auto"/>
        </w:rPr>
        <w:t>If at any time we do not satisfy the continued listing requirements of the Nasdaq, including compliance with the Bid Price Rule, within the time frame granted by Nasdaq, our Class A common stock will be delisted from the Nasdaq. Any perception that we may not regain compliance or a delisting of our Class A common stock by Nasdaq could adversely affect our ability to attract new investors, decrease the liquidity of the outstanding shares of our Class A common stock, reduce the price at which such shares trade and increase the transaction costs inherent in trading such shares with overall negative effects for our stockholder. In addition, delisting of our Class A common stock from Nasdaq could deter broker-dealers from making a market in or otherwise seeking or generating interest in our Class A common stock, and might deter certain institutions and persons from investing in our Class A common stock. In addition, if our Class A common stock was delisted, our Class A common stock would be subject to rules that impose additional sales practice requirements on broker-dealers who sell our securities. The additional burdens imposed upon broker-dealers by these requirements could discourage broker-dealers from effecting transactions in our Class A common stock. This would adversely affect the ability of investors to trade our Class A common stock and would adversely affect the value of our Class A common stock. These factors could contribute to lower prices and larger spreads in the bid and ask prices for our Class A common stock.</w:t>
      </w:r>
    </w:p>
    <w:p>
      <w:pPr>
        <w:spacing w:after="0" w:line="156" w:lineRule="exact"/>
        <w:rPr>
          <w:sz w:val="20"/>
          <w:szCs w:val="20"/>
          <w:color w:val="auto"/>
        </w:rPr>
      </w:pPr>
    </w:p>
    <w:p>
      <w:pPr>
        <w:jc w:val="both"/>
        <w:ind w:left="8" w:firstLine="277"/>
        <w:spacing w:after="0" w:line="265" w:lineRule="auto"/>
        <w:rPr>
          <w:sz w:val="20"/>
          <w:szCs w:val="20"/>
          <w:color w:val="auto"/>
        </w:rPr>
      </w:pPr>
      <w:r>
        <w:rPr>
          <w:rFonts w:ascii="Times New Roman" w:cs="Times New Roman" w:eastAsia="Times New Roman" w:hAnsi="Times New Roman"/>
          <w:sz w:val="15"/>
          <w:szCs w:val="15"/>
          <w:color w:val="auto"/>
        </w:rPr>
        <w:t>The National Securities Markets Improvement Act of 1996, which is a federal statute, prevents or preempts the states from regulating the sale of certain securities, which are referred to as “covered securities.” Because our Class A common stock is listed on Nasdaq, our shares of Class A common stock are “covered securities”.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Further, if we were to be delisted from Nasdaq, our shares of Class A common stock would cease to be recognized as covered securities and we would be subject to regulation in each state in which we offer our securities.</w:t>
      </w:r>
    </w:p>
    <w:p>
      <w:pPr>
        <w:spacing w:after="0" w:line="154" w:lineRule="exact"/>
        <w:rPr>
          <w:sz w:val="20"/>
          <w:szCs w:val="20"/>
          <w:color w:val="auto"/>
        </w:rPr>
      </w:pPr>
    </w:p>
    <w:p>
      <w:pPr>
        <w:jc w:val="both"/>
        <w:ind w:left="8" w:firstLine="277"/>
        <w:spacing w:after="0" w:line="275" w:lineRule="auto"/>
        <w:rPr>
          <w:sz w:val="20"/>
          <w:szCs w:val="20"/>
          <w:color w:val="auto"/>
        </w:rPr>
      </w:pPr>
      <w:r>
        <w:rPr>
          <w:rFonts w:ascii="Times New Roman" w:cs="Times New Roman" w:eastAsia="Times New Roman" w:hAnsi="Times New Roman"/>
          <w:sz w:val="15"/>
          <w:szCs w:val="15"/>
          <w:color w:val="auto"/>
        </w:rPr>
        <w:t>As mentioned above, in the event of a delisting, we would take actions to restore our compliance with the Nasdaq listing requirements, but we can provide no assurance that any such action taken by us would allow our Class A common stock to become listed again, stabilize the market price or improve the liquidity of our Class A common stock or prevent our Class A common stock from meeting the mandatory Nasdaq listing requirements.</w:t>
      </w:r>
    </w:p>
    <w:p>
      <w:pPr>
        <w:spacing w:after="0" w:line="141" w:lineRule="exact"/>
        <w:rPr>
          <w:sz w:val="20"/>
          <w:szCs w:val="20"/>
          <w:color w:val="auto"/>
        </w:rPr>
      </w:pPr>
    </w:p>
    <w:p>
      <w:pPr>
        <w:jc w:val="both"/>
        <w:ind w:left="8"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are dependent on the future success of our ARK franchise, and we must continue to publish “hit” titles or sequels to such “hit” titles in order to compete successfully in our industry.</w:t>
      </w:r>
    </w:p>
    <w:p>
      <w:pPr>
        <w:spacing w:after="0" w:line="125" w:lineRule="exact"/>
        <w:rPr>
          <w:sz w:val="20"/>
          <w:szCs w:val="20"/>
          <w:color w:val="auto"/>
        </w:rPr>
      </w:pPr>
    </w:p>
    <w:p>
      <w:pPr>
        <w:jc w:val="both"/>
        <w:ind w:left="8" w:firstLine="277"/>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ARK </w:t>
      </w:r>
      <w:r>
        <w:rPr>
          <w:rFonts w:ascii="Times New Roman" w:cs="Times New Roman" w:eastAsia="Times New Roman" w:hAnsi="Times New Roman"/>
          <w:sz w:val="15"/>
          <w:szCs w:val="15"/>
          <w:color w:val="auto"/>
        </w:rPr>
        <w:t>is a “hit” product and has historically accounted for a substantial portion of our revenue. The</w:t>
      </w:r>
      <w:r>
        <w:rPr>
          <w:rFonts w:ascii="Times New Roman" w:cs="Times New Roman" w:eastAsia="Times New Roman" w:hAnsi="Times New Roman"/>
          <w:sz w:val="15"/>
          <w:szCs w:val="15"/>
          <w:i w:val="1"/>
          <w:iCs w:val="1"/>
          <w:color w:val="auto"/>
        </w:rPr>
        <w:t xml:space="preserve"> ARK </w:t>
      </w:r>
      <w:r>
        <w:rPr>
          <w:rFonts w:ascii="Times New Roman" w:cs="Times New Roman" w:eastAsia="Times New Roman" w:hAnsi="Times New Roman"/>
          <w:sz w:val="15"/>
          <w:szCs w:val="15"/>
          <w:color w:val="auto"/>
        </w:rPr>
        <w:t>franchise contributed 82.0% of our net revenue for the nine months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September 30, 2024, and our five best-selling franchises (including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which may change year over year, in the aggregate accounted for 92.2% of our net revenue for the nine months ended September 30, 2024.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spacing w:after="0" w:line="154" w:lineRule="exact"/>
        <w:rPr>
          <w:sz w:val="20"/>
          <w:szCs w:val="20"/>
          <w:color w:val="auto"/>
        </w:rPr>
      </w:pPr>
    </w:p>
    <w:p>
      <w:pPr>
        <w:jc w:val="both"/>
        <w:ind w:left="8"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45" w:lineRule="exact"/>
        <w:rPr>
          <w:sz w:val="20"/>
          <w:szCs w:val="20"/>
          <w:color w:val="auto"/>
        </w:rPr>
      </w:pPr>
    </w:p>
    <w:p>
      <w:pPr>
        <w:jc w:val="both"/>
        <w:ind w:left="8" w:firstLine="277"/>
        <w:spacing w:after="0" w:line="259" w:lineRule="auto"/>
        <w:rPr>
          <w:sz w:val="20"/>
          <w:szCs w:val="20"/>
          <w:color w:val="auto"/>
        </w:rPr>
      </w:pPr>
      <w:r>
        <w:rPr>
          <w:rFonts w:ascii="Times New Roman" w:cs="Times New Roman" w:eastAsia="Times New Roman" w:hAnsi="Times New Roman"/>
          <w:sz w:val="15"/>
          <w:szCs w:val="15"/>
          <w:color w:val="auto"/>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from SDE, the parent company of Studio Wildcard, which is also an entity that is owned and controlled by the spouse of our Founder, Co-Chief Executive Officer, Chief Strategy Officer and Chairman, Mr. Shi. We entered into an original exclusive software license agreement with SDE in November 2015, for the rights to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subsequently entered into the amended and restated ARK1 License Agreement. In December 2022 and October 2023, we amended the ARK1 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contributed 82.0% of our net revenue for the nine months ended September 30, 2024.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Company’s Annual Report on Form 10-K for the fiscal year ended December 31, 2023.</w:t>
      </w:r>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264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5" w:right="319" w:bottom="1440" w:gutter="0" w:footer="0" w:header="0"/>
        </w:sectPr>
      </w:pPr>
    </w:p>
    <w:bookmarkStart w:id="51" w:name="page52"/>
    <w:bookmarkEnd w:id="51"/>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rely on third-party platforms, such as Xbox Live and Game Pass, PlayStation Network, Steam, Epic Games Store, My Nintendo Store, the Apple App Store, the Google Play Store, and the Amazon Appstore, to distribute our games and collect revenues generated on such platforms and rely on third-party payment service providers to collect revenues generated on our own platforms.</w:t>
      </w:r>
    </w:p>
    <w:p>
      <w:pPr>
        <w:spacing w:after="0" w:line="145"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Our games are primarily purchased, accessed and operated through Xbox Live and Game Pass, PlayStation Network, Steam, Epic Games Store, My Nintendo Store, and in the case of our mobile games, the Apple App Store, the Google Play Store and the Amazon Appstore. Substantially all of the games, DLC and in-game virtual items that we sell are purchased using the payment processing systems of these platforms and, for the nine months ended September 30, 2024, 94.0% of our revenues were generated through Xbox Live and Game Pass, PlayStation Network, Steam, Epic Games Store, My Nintendo Store, the Apple App Store, the Google Play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spacing w:after="0" w:line="344" w:lineRule="exact"/>
        <w:rPr>
          <w:sz w:val="20"/>
          <w:szCs w:val="20"/>
          <w:color w:val="auto"/>
        </w:rPr>
      </w:pPr>
    </w:p>
    <w:p>
      <w:pPr>
        <w:ind w:left="820" w:hanging="274"/>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 providers discontinue or limit our access to their platforms;</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governments or private parties, such as internet providers, impose bandwidth restrictions, increase charges or restrict or prohibit access to those platforms;</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increase the fees they charge us;</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modify their algorithms, communication channels available to developers, respective terms of service or other policies;</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decline in popularity;</w:t>
      </w:r>
    </w:p>
    <w:p>
      <w:pPr>
        <w:spacing w:after="0" w:line="196" w:lineRule="exact"/>
        <w:rPr>
          <w:rFonts w:ascii="Times New Roman" w:cs="Times New Roman" w:eastAsia="Times New Roman" w:hAnsi="Times New Roman"/>
          <w:sz w:val="15"/>
          <w:szCs w:val="15"/>
          <w:color w:val="auto"/>
        </w:rPr>
      </w:pPr>
    </w:p>
    <w:p>
      <w:pPr>
        <w:ind w:left="820" w:right="20" w:hanging="274"/>
        <w:spacing w:after="0" w:line="293" w:lineRule="auto"/>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spacing w:after="0" w:line="132"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elect or are required to change how they label free-to-play games or take payment for in-game purchases;</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block or limit access to the genres of games that we provide in any jurisdiction;</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 experiences a bankruptcy or other form of insolvency event; or</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unable to comply with the platform providers’ terms of service.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52" w:name="page53"/>
    <w:bookmarkEnd w:id="52"/>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spacing w:after="0" w:line="158"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4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29"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94.0% of our net revenue by product platform for the nine months ended September 30, 2024. The success of our business is subject to the continued popularity of these platforms and our ability to develop commercially successful products for these platforms.</w:t>
      </w:r>
    </w:p>
    <w:p>
      <w:pPr>
        <w:spacing w:after="0" w:line="152"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 law or tax rate changes could affect our effective tax rate and future profitability.</w:t>
      </w:r>
    </w:p>
    <w:p>
      <w:pPr>
        <w:spacing w:after="0" w:line="200"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Our effective tax rate was 28% and 21% for the nine month periods ended September 30, 2024 and 2023, respectively.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has debt obligations with short term durations that are coming due within one year.</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We have significant debt obligations coming due within one year. Our current revolving loan has a balance of $3.0 million as of September 30, 2024, and is due for repayment on December 31, 2024. The Company intends to extend the revolving loan and renew our short-term note debt arrangement and faces the risk that we will be unable to. If we are unable to extend the revolving loan or renew the debt arrangement, the Company may have significantly reduced unrestricted cash which could adversely impact our results of operations and ability to invest in the development and acquisition of IP. See Note 11 – </w:t>
      </w:r>
      <w:r>
        <w:rPr>
          <w:rFonts w:ascii="Times New Roman" w:cs="Times New Roman" w:eastAsia="Times New Roman" w:hAnsi="Times New Roman"/>
          <w:sz w:val="15"/>
          <w:szCs w:val="15"/>
          <w:i w:val="1"/>
          <w:iCs w:val="1"/>
          <w:color w:val="auto"/>
        </w:rPr>
        <w:t>Revolving Loan, Short Term Note and Long-Term Debt</w:t>
      </w:r>
      <w:r>
        <w:rPr>
          <w:rFonts w:ascii="Times New Roman" w:cs="Times New Roman" w:eastAsia="Times New Roman" w:hAnsi="Times New Roman"/>
          <w:sz w:val="15"/>
          <w:szCs w:val="15"/>
          <w:color w:val="auto"/>
        </w:rPr>
        <w:t xml:space="preserve"> to our unaudited condensed consolidated financial statements included in this Quarterly Report.</w:t>
      </w:r>
    </w:p>
    <w:p>
      <w:pPr>
        <w:spacing w:after="0" w:line="1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cannot guarantee that our share repurchase program will be fully implemented or it will enhance stockholder value, and share repurchases could affect the price of our Class A common stock.</w:t>
      </w:r>
    </w:p>
    <w:p>
      <w:pPr>
        <w:spacing w:after="0" w:line="12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In November 2022, our board of directors authorized a share repurchase program of up to $5 million of our outstanding Class A common stock (the “Share Repurchase Program”),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September 30, 2024, approximately $1.3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4" w:name="page55"/>
    <w:bookmarkEnd w:id="54"/>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spacing w:after="0" w:line="145"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4"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Our management identified material weaknesses in our internal control over financial reporting involving the failure to properly design and implement controls related to the accounting for income taxes and disclosure controls related to deferred taxes in the consolidated financial statements; failure to properly classify certain operating expenses and games server costs as cost of revenues in the consolidated financial statements; failure to identify and allocate the consideration received from a settlement between the settlement gain and revenues generating activities; failure to properly determine the stand-alone selling prices of each performance obligation for certain digital revenue contracts; and, failure to design and implement information technology general controls related to segregation of duties within an information system relevant to the preparation of the Company’s consolidated financial statements. Due to the size and nature of our organization and the implementation timing of our new cloud-based ERP system, we had limited personnel and system capabilities for adequate segregation of duties during the nine months ended September 30, 2024. See Part I, Item 4, “Controls and Procedures,” in this Quarterly Report for information regarding the identified material weaknesses and our actions to date to remediate the material weaknesses. In addition, during the quarter ended June 30, 2024, a disclosure misstatement was identified related to the amount of revenue recognized over time and point in time. The lack of review procedures over this disclosure gives rise to a material weakness in our internal control over financial reporting. As a result of the material weaknesses, our management has concluded that our internal control over financial reporting were not effective as of September 30, 2024.</w:t>
      </w:r>
    </w:p>
    <w:p>
      <w:pPr>
        <w:spacing w:after="0" w:line="345"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are taking steps to remediate the material weaknesses, which include to enhancing our financial reporting close control procedures by implementing additional review of unusual transactions, improving our review of the over-time revenue disclosures, improving our segregation of duties in the recording and approving of transactions, ensuring the completeness of our income tax footnote disclosure through consultation with income tax professionals, hire experts to assist in preparing our revenue recognition policies, and hire experts in designing and implementing custom approval workflows in our ERP system in order to remediate these material weaknesses. However, our efforts to remediate the material weaknesses may not be effective in preventing a future material weakness or significant deficiency in our internal control over financial reporting. If we do not effectively remediate the material weaknesses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spacing w:after="0" w:line="34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i w:val="1"/>
          <w:iCs w:val="1"/>
          <w:color w:val="auto"/>
        </w:rPr>
        <w:t>We depend on our key management and product development personnel.</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 xml:space="preserve">Our continued success will depend to a significant extent on our senior management team and maintaining positive relationships with our games’ developers, including Studio Wildcard, and the product development personnel responsible for content creation and development of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w:t>
      </w:r>
    </w:p>
    <w:p>
      <w:pPr>
        <w:spacing w:after="0" w:line="132"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On April 15, 2024, Jim S. Tsai notified the Company of his decision to resign from his position as the Chief Executive Officer of the Company and all of the Company’s subsidiaries, including, Snail Games USA, Inc., with such resignation effective April 15, 2024; however, Mr. Tsai remained with the Company for a 30-day transition period. In conjunction with Mr. Tsai’s resignation as the Company’s Chief Executive Officer, the Company appointed Hai Shi and Xuedong (Tony) Tian to serve as the Company’s new Co-Chief Executive Officers, effective April 15, 2024. We are highly dependent on the expertise, skill and knowledge of Mr. Shi, our Founder, Co-Chief Executive Officer, Chief Strategy Officer and Chairman, Mr. Tian, our other Co-Chief Executive Officer, and Mr. Peter Kang, our Vice President and Director of Business Development and Operations. The loss of the services of any or all of these executive officers, or certain key product development personnel, including those employed by studio partners, such as Studio Wildcard,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(a) Unregistered Sales of Equity Securities.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did not issue any securities that were not registered under the Securities Act during the nine months ended September 30,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(b) Use of Proceeds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9"/>
        </w:trPr>
        <w:tc>
          <w:tcPr>
            <w:tcW w:w="56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Not applicable.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560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(c) Purchases of Equity Securities by the Issuer and Affiliated Purchasers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0"/>
        </w:trPr>
        <w:tc>
          <w:tcPr>
            <w:tcW w:w="4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Approximate Dollar</w:t>
            </w:r>
          </w:p>
        </w:tc>
      </w:tr>
      <w:tr>
        <w:trPr>
          <w:trHeight w:val="184"/>
        </w:trPr>
        <w:tc>
          <w:tcPr>
            <w:tcW w:w="4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Shares Purchased as</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Value of Shares that</w:t>
            </w:r>
          </w:p>
        </w:tc>
      </w:tr>
      <w:tr>
        <w:trPr>
          <w:trHeight w:val="184"/>
        </w:trPr>
        <w:tc>
          <w:tcPr>
            <w:tcW w:w="4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Part of Publicly</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May Yet Be</w:t>
            </w:r>
          </w:p>
        </w:tc>
      </w:tr>
      <w:tr>
        <w:trPr>
          <w:trHeight w:val="184"/>
        </w:trPr>
        <w:tc>
          <w:tcPr>
            <w:tcW w:w="4280" w:type="dxa"/>
            <w:vAlign w:val="bottom"/>
          </w:tcPr>
          <w:p>
            <w:pPr>
              <w:spacing w:after="0"/>
              <w:rPr>
                <w:sz w:val="16"/>
                <w:szCs w:val="16"/>
                <w:color w:val="auto"/>
              </w:rPr>
            </w:pPr>
          </w:p>
        </w:tc>
        <w:tc>
          <w:tcPr>
            <w:tcW w:w="132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Average Price Paid</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Announced Plans or</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Purchased under the</w:t>
            </w:r>
          </w:p>
        </w:tc>
      </w:tr>
      <w:tr>
        <w:trPr>
          <w:trHeight w:val="203"/>
        </w:trPr>
        <w:tc>
          <w:tcPr>
            <w:tcW w:w="4280" w:type="dxa"/>
            <w:vAlign w:val="bottom"/>
          </w:tcPr>
          <w:p>
            <w:pPr>
              <w:spacing w:after="0"/>
              <w:rPr>
                <w:sz w:val="17"/>
                <w:szCs w:val="17"/>
                <w:color w:val="auto"/>
              </w:rPr>
            </w:pPr>
          </w:p>
        </w:tc>
        <w:tc>
          <w:tcPr>
            <w:tcW w:w="132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Shares Purchased</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Programs</w:t>
            </w: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Plans or Programs</w:t>
            </w:r>
          </w:p>
        </w:tc>
      </w:tr>
      <w:tr>
        <w:trPr>
          <w:trHeight w:val="176"/>
        </w:trPr>
        <w:tc>
          <w:tcPr>
            <w:tcW w:w="4280" w:type="dxa"/>
            <w:vAlign w:val="bottom"/>
            <w:tcBorders>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500" w:type="dxa"/>
            <w:vAlign w:val="bottom"/>
            <w:tcBorders>
              <w:top w:val="single" w:sz="8" w:color="auto"/>
              <w:bottom w:val="single" w:sz="8" w:color="auto"/>
            </w:tcBorders>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In thousands, except per share amounts</w:t>
            </w:r>
          </w:p>
        </w:tc>
        <w:tc>
          <w:tcPr>
            <w:tcW w:w="1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Period</w:t>
            </w: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4"/>
        </w:trPr>
        <w:tc>
          <w:tcPr>
            <w:tcW w:w="5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January 2024</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February 2024</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March 2024</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April 2024</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May 2024</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June 2024</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July 2024</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August 2024</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September 2024</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32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3"/>
              </w:rPr>
              <w:t>—</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w w:val="93"/>
              </w:rPr>
              <w:t>—</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There were no share repurchases settled in the nine months ended September 30, 2024. As of September 30, 2024,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condensed consolidated financial statements included in this Quarterly Report.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6" w:name="page57"/>
    <w:bookmarkEnd w:id="56"/>
    <w:p>
      <w:pPr>
        <w:ind w:left="8"/>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200"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None.</w:t>
      </w:r>
    </w:p>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200"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Not applicable.</w:t>
      </w:r>
    </w:p>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200" w:lineRule="exact"/>
        <w:rPr>
          <w:sz w:val="20"/>
          <w:szCs w:val="20"/>
          <w:color w:val="auto"/>
        </w:rPr>
      </w:pPr>
    </w:p>
    <w:p>
      <w:pPr>
        <w:ind w:left="8" w:firstLine="277"/>
        <w:spacing w:after="0" w:line="293" w:lineRule="auto"/>
        <w:rPr>
          <w:sz w:val="20"/>
          <w:szCs w:val="20"/>
          <w:color w:val="auto"/>
        </w:rPr>
      </w:pPr>
      <w:r>
        <w:rPr>
          <w:rFonts w:ascii="Times New Roman" w:cs="Times New Roman" w:eastAsia="Times New Roman" w:hAnsi="Times New Roman"/>
          <w:sz w:val="15"/>
          <w:szCs w:val="15"/>
          <w:color w:val="auto"/>
        </w:rPr>
        <w:t>During the quarter ended September 30, 2024, no director or officer of the Company adopted or terminated any “Rule 10b5-1 trading arrangement” or “non-Rule 10b5-1 trading arrangement,” as each term is defined in Item 408(a) of Regulation S-K.</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8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tc>
        <w:tc>
          <w:tcPr>
            <w:tcW w:w="0" w:type="dxa"/>
            <w:vAlign w:val="bottom"/>
          </w:tcPr>
          <w:p>
            <w:pPr>
              <w:spacing w:after="0"/>
              <w:rPr>
                <w:sz w:val="1"/>
                <w:szCs w:val="1"/>
                <w:color w:val="auto"/>
              </w:rPr>
            </w:pPr>
          </w:p>
        </w:tc>
      </w:tr>
      <w:tr>
        <w:trPr>
          <w:trHeight w:val="188"/>
        </w:trPr>
        <w:tc>
          <w:tcPr>
            <w:tcW w:w="8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60" w:type="dxa"/>
            <w:vAlign w:val="bottom"/>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Form</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File No.</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Filing Date</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14"/>
                <w:szCs w:val="14"/>
                <w:color w:val="auto"/>
              </w:rPr>
            </w:pPr>
          </w:p>
        </w:tc>
        <w:tc>
          <w:tcPr>
            <w:tcW w:w="6800" w:type="dxa"/>
            <w:vAlign w:val="bottom"/>
            <w:gridSpan w:val="9"/>
            <w:shd w:val="clear" w:color="auto" w:fill="CCEEFF"/>
          </w:tcPr>
          <w:p>
            <w:pPr>
              <w:spacing w:after="0" w:line="150" w:lineRule="exact"/>
              <w:rPr>
                <w:rFonts w:ascii="Times New Roman" w:cs="Times New Roman" w:eastAsia="Times New Roman" w:hAnsi="Times New Roman"/>
                <w:sz w:val="15"/>
                <w:szCs w:val="15"/>
                <w:color w:val="0000EE"/>
              </w:rPr>
            </w:pPr>
            <w:hyperlink r:id="rId67">
              <w:r>
                <w:rPr>
                  <w:rFonts w:ascii="Times New Roman" w:cs="Times New Roman" w:eastAsia="Times New Roman" w:hAnsi="Times New Roman"/>
                  <w:sz w:val="15"/>
                  <w:szCs w:val="15"/>
                  <w:color w:val="0000EE"/>
                </w:rPr>
                <w:t>Amended and Restated Certificate of Incorporation of Snail, Inc.</w:t>
              </w:r>
            </w:hyperlink>
          </w:p>
        </w:tc>
        <w:tc>
          <w:tcPr>
            <w:tcW w:w="66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84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5"/>
              </w:rPr>
              <w:t>3.1</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November 15, 2022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4"/>
                <w:szCs w:val="14"/>
                <w:color w:val="auto"/>
              </w:rPr>
            </w:pPr>
          </w:p>
        </w:tc>
        <w:tc>
          <w:tcPr>
            <w:tcW w:w="6800" w:type="dxa"/>
            <w:vAlign w:val="bottom"/>
            <w:gridSpan w:val="9"/>
            <w:shd w:val="clear" w:color="auto" w:fill="CCEEFF"/>
          </w:tcPr>
          <w:p>
            <w:pPr>
              <w:spacing w:after="0" w:line="150" w:lineRule="exact"/>
              <w:rPr>
                <w:rFonts w:ascii="Times New Roman" w:cs="Times New Roman" w:eastAsia="Times New Roman" w:hAnsi="Times New Roman"/>
                <w:sz w:val="15"/>
                <w:szCs w:val="15"/>
                <w:color w:val="0000EE"/>
              </w:rPr>
            </w:pPr>
            <w:hyperlink r:id="rId68">
              <w:r>
                <w:rPr>
                  <w:rFonts w:ascii="Times New Roman" w:cs="Times New Roman" w:eastAsia="Times New Roman" w:hAnsi="Times New Roman"/>
                  <w:sz w:val="15"/>
                  <w:szCs w:val="15"/>
                  <w:color w:val="0000EE"/>
                </w:rPr>
                <w:t>Amended and Restated Bylaws of Snail, Inc.</w:t>
              </w:r>
            </w:hyperlink>
          </w:p>
        </w:tc>
        <w:tc>
          <w:tcPr>
            <w:tcW w:w="66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84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5"/>
              </w:rPr>
              <w:t>3.2</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November 15, 2022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31.1*</w:t>
            </w:r>
          </w:p>
        </w:tc>
        <w:tc>
          <w:tcPr>
            <w:tcW w:w="120" w:type="dxa"/>
            <w:vAlign w:val="bottom"/>
            <w:tcBorders>
              <w:bottom w:val="single" w:sz="8" w:color="CCEEFF"/>
            </w:tcBorders>
            <w:shd w:val="clear" w:color="auto" w:fill="CCEEFF"/>
          </w:tcPr>
          <w:p>
            <w:pPr>
              <w:spacing w:after="0"/>
              <w:rPr>
                <w:sz w:val="13"/>
                <w:szCs w:val="13"/>
                <w:color w:val="auto"/>
              </w:rPr>
            </w:pPr>
          </w:p>
        </w:tc>
        <w:tc>
          <w:tcPr>
            <w:tcW w:w="6720" w:type="dxa"/>
            <w:vAlign w:val="bottom"/>
            <w:tcBorders>
              <w:bottom w:val="single" w:sz="8" w:color="0000EE"/>
            </w:tcBorders>
            <w:gridSpan w:val="7"/>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Co-Chief Executive Officer Pursuant to Rules 13a-14(a) and 15d-14(a), under the Securities</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0" w:type="dxa"/>
            <w:vAlign w:val="bottom"/>
            <w:gridSpan w:val="9"/>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Exchange Act of 1934, as Adopted pursuant to Section 302 of the Sarbanes-Oxley Act of 2002.</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1880" w:type="dxa"/>
            <w:vAlign w:val="bottom"/>
            <w:tcBorders>
              <w:top w:val="single" w:sz="8" w:color="0000EE"/>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31.2*</w:t>
            </w:r>
          </w:p>
        </w:tc>
        <w:tc>
          <w:tcPr>
            <w:tcW w:w="120" w:type="dxa"/>
            <w:vAlign w:val="bottom"/>
            <w:tcBorders>
              <w:bottom w:val="single" w:sz="8" w:color="CCEEFF"/>
            </w:tcBorders>
            <w:shd w:val="clear" w:color="auto" w:fill="CCEEFF"/>
          </w:tcPr>
          <w:p>
            <w:pPr>
              <w:spacing w:after="0"/>
              <w:rPr>
                <w:sz w:val="13"/>
                <w:szCs w:val="13"/>
                <w:color w:val="auto"/>
              </w:rPr>
            </w:pPr>
          </w:p>
        </w:tc>
        <w:tc>
          <w:tcPr>
            <w:tcW w:w="6720" w:type="dxa"/>
            <w:vAlign w:val="bottom"/>
            <w:tcBorders>
              <w:bottom w:val="single" w:sz="8" w:color="0000EE"/>
            </w:tcBorders>
            <w:gridSpan w:val="7"/>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Chief Financial Officer Pursuant to Rules 13a-14(a) and 15d-14(a) under the Securities</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0" w:type="dxa"/>
            <w:vAlign w:val="bottom"/>
            <w:gridSpan w:val="9"/>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Exchange Act of 1934, as Adopted Pursuant to Section 302 of the Sarbanes-Oxley Act of 2002.</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1880" w:type="dxa"/>
            <w:vAlign w:val="bottom"/>
            <w:tcBorders>
              <w:top w:val="single" w:sz="8" w:color="0000EE"/>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32.1**</w:t>
            </w:r>
          </w:p>
        </w:tc>
        <w:tc>
          <w:tcPr>
            <w:tcW w:w="120" w:type="dxa"/>
            <w:vAlign w:val="bottom"/>
            <w:tcBorders>
              <w:bottom w:val="single" w:sz="8" w:color="CCEEFF"/>
            </w:tcBorders>
            <w:shd w:val="clear" w:color="auto" w:fill="CCEEFF"/>
          </w:tcPr>
          <w:p>
            <w:pPr>
              <w:spacing w:after="0"/>
              <w:rPr>
                <w:sz w:val="13"/>
                <w:szCs w:val="13"/>
                <w:color w:val="auto"/>
              </w:rPr>
            </w:pPr>
          </w:p>
        </w:tc>
        <w:tc>
          <w:tcPr>
            <w:tcW w:w="6720" w:type="dxa"/>
            <w:vAlign w:val="bottom"/>
            <w:tcBorders>
              <w:bottom w:val="single" w:sz="8" w:color="0000EE"/>
            </w:tcBorders>
            <w:gridSpan w:val="7"/>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Co-Chief Executive Officer Pursuant to 18 U.S.C. Section 1350, as Adopted Pursuant to</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0" w:type="dxa"/>
            <w:vAlign w:val="bottom"/>
            <w:gridSpan w:val="9"/>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Section 906 of the Sarbanes-Oxley Act of 2002.</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32.2**</w:t>
            </w:r>
          </w:p>
        </w:tc>
        <w:tc>
          <w:tcPr>
            <w:tcW w:w="120" w:type="dxa"/>
            <w:vAlign w:val="bottom"/>
            <w:tcBorders>
              <w:bottom w:val="single" w:sz="8" w:color="CCEEFF"/>
            </w:tcBorders>
            <w:shd w:val="clear" w:color="auto" w:fill="CCEEFF"/>
          </w:tcPr>
          <w:p>
            <w:pPr>
              <w:spacing w:after="0"/>
              <w:rPr>
                <w:sz w:val="13"/>
                <w:szCs w:val="13"/>
                <w:color w:val="auto"/>
              </w:rPr>
            </w:pPr>
          </w:p>
        </w:tc>
        <w:tc>
          <w:tcPr>
            <w:tcW w:w="6700" w:type="dxa"/>
            <w:vAlign w:val="bottom"/>
            <w:tcBorders>
              <w:bottom w:val="single" w:sz="8" w:color="0000EE"/>
            </w:tcBorders>
            <w:gridSpan w:val="6"/>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Chief Financial Officer Pursuant to 18 U.S.C. Section 1350, as Adopted Pursuant to Section</w:t>
            </w:r>
          </w:p>
        </w:tc>
        <w:tc>
          <w:tcPr>
            <w:tcW w:w="100" w:type="dxa"/>
            <w:vAlign w:val="bottom"/>
            <w:tcBorders>
              <w:bottom w:val="single" w:sz="8" w:color="CCEEFF"/>
            </w:tcBorders>
            <w:gridSpan w:val="3"/>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0" w:type="dxa"/>
            <w:vAlign w:val="bottom"/>
            <w:gridSpan w:val="9"/>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906 of the Sarbanes-Oxley Act of 2002.</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101.INS</w:t>
            </w:r>
          </w:p>
        </w:tc>
        <w:tc>
          <w:tcPr>
            <w:tcW w:w="6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Instance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101.SCH</w:t>
            </w:r>
          </w:p>
        </w:tc>
        <w:tc>
          <w:tcPr>
            <w:tcW w:w="6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101.CAL</w:t>
            </w:r>
          </w:p>
        </w:tc>
        <w:tc>
          <w:tcPr>
            <w:tcW w:w="6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101.DEF</w:t>
            </w:r>
          </w:p>
        </w:tc>
        <w:tc>
          <w:tcPr>
            <w:tcW w:w="6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101.LAB</w:t>
            </w:r>
          </w:p>
        </w:tc>
        <w:tc>
          <w:tcPr>
            <w:tcW w:w="6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101.PRE</w:t>
            </w:r>
          </w:p>
        </w:tc>
        <w:tc>
          <w:tcPr>
            <w:tcW w:w="6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828" w:hanging="828"/>
        <w:spacing w:after="0"/>
        <w:tabs>
          <w:tab w:leader="none" w:pos="82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w:t>
      </w:r>
    </w:p>
    <w:p>
      <w:pPr>
        <w:spacing w:after="0" w:line="196"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7152640" cy="116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2640" cy="116840"/>
                    </a:xfrm>
                    <a:prstGeom prst="rect">
                      <a:avLst/>
                    </a:prstGeom>
                    <a:noFill/>
                  </pic:spPr>
                </pic:pic>
              </a:graphicData>
            </a:graphic>
          </wp:anchor>
        </w:drawing>
      </w:r>
    </w:p>
    <w:p>
      <w:pPr>
        <w:spacing w:after="0" w:line="176"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These certifications are being furnished solely to accompany this Quarterly Report on Form 10-Q pursuant to 18 U.S.C. Section 1350, and are not being filed for purposes of</w:t>
      </w:r>
    </w:p>
    <w:p>
      <w:pPr>
        <w:spacing w:after="0" w:line="26" w:lineRule="exact"/>
        <w:rPr>
          <w:sz w:val="20"/>
          <w:szCs w:val="20"/>
          <w:color w:val="auto"/>
        </w:rPr>
      </w:pPr>
    </w:p>
    <w:p>
      <w:pPr>
        <w:ind w:left="548" w:right="20" w:hanging="548"/>
        <w:spacing w:after="0" w:line="273" w:lineRule="auto"/>
        <w:tabs>
          <w:tab w:leader="none" w:pos="548"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18 of the Securities Exchange Act of 1934 and are not to be incorporated by reference into any filing of Snail, Inc., whether made before or after the date hereof, regardless of any general incorporation language in such filing.</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264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5"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200" w:lineRule="exact"/>
        <w:rPr>
          <w:sz w:val="20"/>
          <w:szCs w:val="20"/>
          <w:color w:val="auto"/>
        </w:rPr>
      </w:pPr>
    </w:p>
    <w:p>
      <w:pPr>
        <w:ind w:firstLine="277"/>
        <w:spacing w:after="0" w:line="293"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as amended, the Registrant has duly caused this Report to be signed on its behalf by the undersigned, thereunto duly authorized, in Culver City, California, on November 13, 2024</w:t>
      </w:r>
      <w:r>
        <w:rPr>
          <w:rFonts w:ascii="Times New Roman" w:cs="Times New Roman" w:eastAsia="Times New Roman" w:hAnsi="Times New Roman"/>
          <w:sz w:val="15"/>
          <w:szCs w:val="15"/>
          <w:b w:val="1"/>
          <w:bCs w:val="1"/>
          <w:color w:val="auto"/>
        </w:rPr>
        <w:t>.</w:t>
      </w:r>
    </w:p>
    <w:p>
      <w:pPr>
        <w:spacing w:after="0" w:line="1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Snail, Inc.</w:t>
      </w:r>
    </w:p>
    <w:p>
      <w:pPr>
        <w:spacing w:after="0" w:line="19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5"/>
          <w:szCs w:val="15"/>
          <w:color w:val="auto"/>
        </w:rPr>
        <w:t>Date: November 13, 2024</w:t>
      </w:r>
      <w:r>
        <w:rPr>
          <w:sz w:val="20"/>
          <w:szCs w:val="20"/>
          <w:color w:val="auto"/>
        </w:rPr>
        <w:tab/>
      </w: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Xuedong Tian</w:t>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b w:val="1"/>
          <w:bCs w:val="1"/>
          <w:color w:val="auto"/>
        </w:rPr>
        <w:t>Xuedong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-108585</wp:posOffset>
            </wp:positionV>
            <wp:extent cx="336042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360420" cy="762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b w:val="1"/>
          <w:bCs w:val="1"/>
          <w:color w:val="auto"/>
        </w:rPr>
        <w:t>Co-Chief Executive Officer</w:t>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b w:val="1"/>
          <w:bCs w:val="1"/>
          <w:color w:val="auto"/>
        </w:rPr>
        <w:t>(Co-Principal Executive Officer)</w:t>
      </w:r>
    </w:p>
    <w:p>
      <w:pPr>
        <w:spacing w:after="0" w:line="1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5"/>
          <w:szCs w:val="15"/>
          <w:color w:val="auto"/>
        </w:rPr>
        <w:t>Date: November 13, 2024</w:t>
      </w:r>
      <w:r>
        <w:rPr>
          <w:sz w:val="20"/>
          <w:szCs w:val="20"/>
          <w:color w:val="auto"/>
        </w:rPr>
        <w:tab/>
      </w: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Heidy Chow</w:t>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b w:val="1"/>
          <w:bCs w:val="1"/>
          <w:color w:val="auto"/>
        </w:rPr>
        <w:t>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-108585</wp:posOffset>
            </wp:positionV>
            <wp:extent cx="33604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360420" cy="762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b w:val="1"/>
          <w:bCs w:val="1"/>
          <w:color w:val="auto"/>
        </w:rPr>
        <w:t>(Principal Financial Officer and Principal Accounting Officer)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64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6" w:lineRule="exact"/>
        <w:rPr>
          <w:sz w:val="20"/>
          <w:szCs w:val="20"/>
          <w:color w:val="auto"/>
        </w:rPr>
      </w:pPr>
    </w:p>
    <w:p>
      <w:pPr>
        <w:jc w:val="center"/>
        <w:ind w:right="12"/>
        <w:spacing w:after="0" w:line="277" w:lineRule="auto"/>
        <w:rPr>
          <w:sz w:val="20"/>
          <w:szCs w:val="20"/>
          <w:color w:val="auto"/>
        </w:rPr>
      </w:pPr>
      <w:r>
        <w:rPr>
          <w:rFonts w:ascii="Times New Roman" w:cs="Times New Roman" w:eastAsia="Times New Roman" w:hAnsi="Times New Roman"/>
          <w:sz w:val="15"/>
          <w:szCs w:val="15"/>
          <w:b w:val="1"/>
          <w:bCs w:val="1"/>
          <w:color w:val="auto"/>
        </w:rPr>
        <w:t>CERTIFICATION OF CO-CHIEF EXECUTIVE OFFICER PURSUANT TO RULE 13a-14(a) AND RULE 15d-14(a) OF THE SECURITIES EXCHANGE ACT OF 1934, AS ADOPTED PURSUANT TO SECTION 302 OF THE SARBANES-OXLEY ACT OF 2002</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 Xuedong Tian, certify that:</w:t>
      </w:r>
    </w:p>
    <w:p>
      <w:pPr>
        <w:spacing w:after="0" w:line="196" w:lineRule="exact"/>
        <w:rPr>
          <w:sz w:val="20"/>
          <w:szCs w:val="20"/>
          <w:color w:val="auto"/>
        </w:rPr>
      </w:pPr>
    </w:p>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for the period ended September 30, 2024 of Snail, Inc;</w:t>
      </w:r>
    </w:p>
    <w:p>
      <w:pPr>
        <w:spacing w:after="0" w:line="196"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5"/>
          <w:szCs w:val="15"/>
          <w:color w:val="auto"/>
        </w:rPr>
      </w:pPr>
    </w:p>
    <w:p>
      <w:pPr>
        <w:ind w:left="268" w:right="20" w:hanging="268"/>
        <w:spacing w:after="0" w:line="293"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5"/>
          <w:szCs w:val="15"/>
          <w:color w:val="auto"/>
        </w:rPr>
      </w:pPr>
    </w:p>
    <w:p>
      <w:pPr>
        <w:jc w:val="both"/>
        <w:ind w:left="548" w:hanging="271"/>
        <w:spacing w:after="0" w:line="275" w:lineRule="auto"/>
        <w:tabs>
          <w:tab w:leader="none" w:pos="548"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5"/>
          <w:szCs w:val="15"/>
          <w:color w:val="auto"/>
        </w:rPr>
      </w:pPr>
    </w:p>
    <w:p>
      <w:pPr>
        <w:jc w:val="both"/>
        <w:ind w:left="548" w:right="20" w:hanging="271"/>
        <w:spacing w:after="0" w:line="275" w:lineRule="auto"/>
        <w:tabs>
          <w:tab w:leader="none" w:pos="548"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5"/>
          <w:szCs w:val="15"/>
          <w:color w:val="auto"/>
        </w:rPr>
      </w:pPr>
    </w:p>
    <w:p>
      <w:pPr>
        <w:ind w:left="548" w:hanging="271"/>
        <w:spacing w:after="0" w:line="293" w:lineRule="auto"/>
        <w:tabs>
          <w:tab w:leader="none" w:pos="548"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5"/>
          <w:szCs w:val="15"/>
          <w:color w:val="auto"/>
        </w:rPr>
      </w:pPr>
    </w:p>
    <w:p>
      <w:pPr>
        <w:jc w:val="both"/>
        <w:ind w:left="548" w:hanging="271"/>
        <w:spacing w:after="0" w:line="275" w:lineRule="auto"/>
        <w:tabs>
          <w:tab w:leader="none" w:pos="548"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Times New Roman" w:cs="Times New Roman" w:eastAsia="Times New Roman" w:hAnsi="Times New Roman"/>
          <w:sz w:val="15"/>
          <w:szCs w:val="15"/>
          <w:color w:val="auto"/>
        </w:rPr>
      </w:pPr>
    </w:p>
    <w:p>
      <w:pPr>
        <w:ind w:left="548" w:right="20" w:hanging="271"/>
        <w:spacing w:after="0" w:line="293" w:lineRule="auto"/>
        <w:tabs>
          <w:tab w:leader="none" w:pos="548"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13, 2024</w:t>
            </w:r>
          </w:p>
        </w:tc>
        <w:tc>
          <w:tcPr>
            <w:tcW w:w="7660" w:type="dxa"/>
            <w:vAlign w:val="bottom"/>
            <w:gridSpan w:val="2"/>
          </w:tcPr>
          <w:p>
            <w:pPr>
              <w:ind w:left="202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Xuedong Tian</w:t>
            </w:r>
          </w:p>
        </w:tc>
      </w:tr>
      <w:tr>
        <w:trPr>
          <w:trHeight w:val="161"/>
        </w:trPr>
        <w:tc>
          <w:tcPr>
            <w:tcW w:w="3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30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Xuedong Tian</w:t>
            </w:r>
          </w:p>
        </w:tc>
      </w:tr>
      <w:tr>
        <w:trPr>
          <w:trHeight w:val="184"/>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Co-Chief Executive Officer</w:t>
            </w:r>
          </w:p>
        </w:tc>
      </w:tr>
      <w:tr>
        <w:trPr>
          <w:trHeight w:val="199"/>
        </w:trPr>
        <w:tc>
          <w:tcPr>
            <w:tcW w:w="3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(Co-Principal Executive Officer)</w:t>
            </w:r>
          </w:p>
        </w:tc>
      </w:tr>
      <w:tr>
        <w:trPr>
          <w:trHeight w:val="369"/>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305"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6" w:lineRule="exact"/>
        <w:rPr>
          <w:sz w:val="20"/>
          <w:szCs w:val="20"/>
          <w:color w:val="auto"/>
        </w:rPr>
      </w:pPr>
    </w:p>
    <w:p>
      <w:pPr>
        <w:jc w:val="center"/>
        <w:ind w:right="12"/>
        <w:spacing w:after="0" w:line="277" w:lineRule="auto"/>
        <w:rPr>
          <w:sz w:val="20"/>
          <w:szCs w:val="20"/>
          <w:color w:val="auto"/>
        </w:rPr>
      </w:pPr>
      <w:r>
        <w:rPr>
          <w:rFonts w:ascii="Times New Roman" w:cs="Times New Roman" w:eastAsia="Times New Roman" w:hAnsi="Times New Roman"/>
          <w:sz w:val="15"/>
          <w:szCs w:val="15"/>
          <w:b w:val="1"/>
          <w:bCs w:val="1"/>
          <w:color w:val="auto"/>
        </w:rPr>
        <w:t>CERTIFICATION OF CHIEF FINANCIAL OFFICER PURSUANT TO RULE 13a-14(a) AND RULE 15d-14(a) OF THE SECURITIES EXCHANGE ACT OF 1934, AS ADOPTED PURSUANT TO SECTION 302 OF THE SARBANES-OXLEY ACT OF 2002</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 Heidy Chow, certify that:</w:t>
      </w:r>
    </w:p>
    <w:p>
      <w:pPr>
        <w:spacing w:after="0" w:line="196" w:lineRule="exact"/>
        <w:rPr>
          <w:sz w:val="20"/>
          <w:szCs w:val="20"/>
          <w:color w:val="auto"/>
        </w:rPr>
      </w:pPr>
    </w:p>
    <w:p>
      <w:pPr>
        <w:ind w:left="268" w:hanging="268"/>
        <w:spacing w:after="0"/>
        <w:tabs>
          <w:tab w:leader="none" w:pos="268"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for the period ended September 30, 2024 of Snail, Inc.;</w:t>
      </w:r>
    </w:p>
    <w:p>
      <w:pPr>
        <w:spacing w:after="0" w:line="196"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5"/>
          <w:szCs w:val="15"/>
          <w:color w:val="auto"/>
        </w:rPr>
      </w:pPr>
    </w:p>
    <w:p>
      <w:pPr>
        <w:ind w:left="268" w:right="20" w:hanging="268"/>
        <w:spacing w:after="0" w:line="293" w:lineRule="auto"/>
        <w:tabs>
          <w:tab w:leader="none" w:pos="268"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5"/>
          <w:szCs w:val="15"/>
          <w:color w:val="auto"/>
        </w:rPr>
      </w:pPr>
    </w:p>
    <w:p>
      <w:pPr>
        <w:jc w:val="both"/>
        <w:ind w:left="548" w:hanging="271"/>
        <w:spacing w:after="0" w:line="275" w:lineRule="auto"/>
        <w:tabs>
          <w:tab w:leader="none" w:pos="548"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5"/>
          <w:szCs w:val="15"/>
          <w:color w:val="auto"/>
        </w:rPr>
      </w:pPr>
    </w:p>
    <w:p>
      <w:pPr>
        <w:jc w:val="both"/>
        <w:ind w:left="548" w:right="20" w:hanging="271"/>
        <w:spacing w:after="0" w:line="275" w:lineRule="auto"/>
        <w:tabs>
          <w:tab w:leader="none" w:pos="548"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5"/>
          <w:szCs w:val="15"/>
          <w:color w:val="auto"/>
        </w:rPr>
      </w:pPr>
    </w:p>
    <w:p>
      <w:pPr>
        <w:ind w:left="548" w:hanging="271"/>
        <w:spacing w:after="0" w:line="293" w:lineRule="auto"/>
        <w:tabs>
          <w:tab w:leader="none" w:pos="548"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5"/>
          <w:szCs w:val="15"/>
          <w:color w:val="auto"/>
        </w:rPr>
      </w:pPr>
    </w:p>
    <w:p>
      <w:pPr>
        <w:jc w:val="both"/>
        <w:ind w:left="548" w:hanging="271"/>
        <w:spacing w:after="0" w:line="275" w:lineRule="auto"/>
        <w:tabs>
          <w:tab w:leader="none" w:pos="548"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Times New Roman" w:cs="Times New Roman" w:eastAsia="Times New Roman" w:hAnsi="Times New Roman"/>
          <w:sz w:val="15"/>
          <w:szCs w:val="15"/>
          <w:color w:val="auto"/>
        </w:rPr>
      </w:pPr>
    </w:p>
    <w:p>
      <w:pPr>
        <w:ind w:left="548" w:right="20" w:hanging="271"/>
        <w:spacing w:after="0" w:line="293" w:lineRule="auto"/>
        <w:tabs>
          <w:tab w:leader="none" w:pos="548"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13, 2024</w:t>
            </w:r>
          </w:p>
        </w:tc>
        <w:tc>
          <w:tcPr>
            <w:tcW w:w="7660" w:type="dxa"/>
            <w:vAlign w:val="bottom"/>
            <w:gridSpan w:val="2"/>
          </w:tcPr>
          <w:p>
            <w:pPr>
              <w:ind w:left="202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Heidy Chow</w:t>
            </w:r>
          </w:p>
        </w:tc>
      </w:tr>
      <w:tr>
        <w:trPr>
          <w:trHeight w:val="161"/>
        </w:trPr>
        <w:tc>
          <w:tcPr>
            <w:tcW w:w="3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30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Heidy Chow</w:t>
            </w:r>
          </w:p>
        </w:tc>
      </w:tr>
      <w:tr>
        <w:trPr>
          <w:trHeight w:val="184"/>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99"/>
        </w:trPr>
        <w:tc>
          <w:tcPr>
            <w:tcW w:w="3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tc>
      </w:tr>
      <w:tr>
        <w:trPr>
          <w:trHeight w:val="369"/>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305"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CERTIFICATION OF THE CO-CHIEF EXECUTIVE OFFICER</w:t>
      </w: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PURSUANT TO 18 U.S.C. SECTION 1350,</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82" w:lineRule="exact"/>
        <w:rPr>
          <w:sz w:val="20"/>
          <w:szCs w:val="20"/>
          <w:color w:val="auto"/>
        </w:rPr>
      </w:pPr>
    </w:p>
    <w:p>
      <w:pPr>
        <w:jc w:val="both"/>
        <w:ind w:left="8" w:firstLine="553"/>
        <w:spacing w:after="0" w:line="286" w:lineRule="auto"/>
        <w:rPr>
          <w:sz w:val="20"/>
          <w:szCs w:val="20"/>
          <w:color w:val="auto"/>
        </w:rPr>
      </w:pPr>
      <w:r>
        <w:rPr>
          <w:rFonts w:ascii="Times New Roman" w:cs="Times New Roman" w:eastAsia="Times New Roman" w:hAnsi="Times New Roman"/>
          <w:sz w:val="15"/>
          <w:szCs w:val="15"/>
          <w:color w:val="auto"/>
        </w:rPr>
        <w:t>In connection with the Quarterly Report of Snail, Inc. (the “Company”) on Form 10-Q for the quarter ended September 30, 2024 (the “Report”), I, Xuedong Tian, Co-Chief Executive Officer of the Company, certify, pursuant to 18 U.S.C. Section 1350, as adopted pursuant to Section 906 of the Sarbanes-Oxley Act of 2002, that, to the best of my knowledge:</w:t>
      </w:r>
    </w:p>
    <w:p>
      <w:pPr>
        <w:spacing w:after="0" w:line="327" w:lineRule="exact"/>
        <w:rPr>
          <w:sz w:val="20"/>
          <w:szCs w:val="20"/>
          <w:color w:val="auto"/>
        </w:rPr>
      </w:pPr>
    </w:p>
    <w:p>
      <w:pPr>
        <w:ind w:left="268" w:hanging="268"/>
        <w:spacing w:after="0"/>
        <w:tabs>
          <w:tab w:leader="none" w:pos="26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13, 2024</w:t>
            </w:r>
          </w:p>
        </w:tc>
        <w:tc>
          <w:tcPr>
            <w:tcW w:w="260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Xuedong Tian</w:t>
            </w:r>
          </w:p>
        </w:tc>
      </w:tr>
      <w:tr>
        <w:trPr>
          <w:trHeight w:val="162"/>
        </w:trPr>
        <w:tc>
          <w:tcPr>
            <w:tcW w:w="3600" w:type="dxa"/>
            <w:vAlign w:val="bottom"/>
          </w:tcPr>
          <w:p>
            <w:pPr>
              <w:spacing w:after="0"/>
              <w:rPr>
                <w:sz w:val="14"/>
                <w:szCs w:val="14"/>
                <w:color w:val="auto"/>
              </w:rPr>
            </w:pPr>
          </w:p>
        </w:tc>
        <w:tc>
          <w:tcPr>
            <w:tcW w:w="2600" w:type="dxa"/>
            <w:vAlign w:val="bottom"/>
          </w:tcPr>
          <w:p>
            <w:pPr>
              <w:ind w:left="202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50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Xuedong Tian</w:t>
            </w:r>
          </w:p>
        </w:tc>
      </w:tr>
      <w:tr>
        <w:trPr>
          <w:trHeight w:val="184"/>
        </w:trPr>
        <w:tc>
          <w:tcPr>
            <w:tcW w:w="3600" w:type="dxa"/>
            <w:vAlign w:val="bottom"/>
          </w:tcPr>
          <w:p>
            <w:pPr>
              <w:spacing w:after="0"/>
              <w:rPr>
                <w:sz w:val="16"/>
                <w:szCs w:val="16"/>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Co-Chief Executive Officer</w:t>
            </w:r>
          </w:p>
        </w:tc>
      </w:tr>
      <w:tr>
        <w:trPr>
          <w:trHeight w:val="199"/>
        </w:trPr>
        <w:tc>
          <w:tcPr>
            <w:tcW w:w="3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(Co-Principal Executive Officer)</w:t>
            </w:r>
          </w:p>
        </w:tc>
      </w:tr>
      <w:tr>
        <w:trPr>
          <w:trHeight w:val="369"/>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305"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CERTIFICATION OF THE CHIEF FINANCIAL OFFICER</w:t>
      </w: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PURSUANT TO 18 U.S.C. SECTION 1350,</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82" w:lineRule="exact"/>
        <w:rPr>
          <w:sz w:val="20"/>
          <w:szCs w:val="20"/>
          <w:color w:val="auto"/>
        </w:rPr>
      </w:pPr>
    </w:p>
    <w:p>
      <w:pPr>
        <w:jc w:val="both"/>
        <w:ind w:left="8" w:firstLine="553"/>
        <w:spacing w:after="0" w:line="286" w:lineRule="auto"/>
        <w:rPr>
          <w:sz w:val="20"/>
          <w:szCs w:val="20"/>
          <w:color w:val="auto"/>
        </w:rPr>
      </w:pPr>
      <w:r>
        <w:rPr>
          <w:rFonts w:ascii="Times New Roman" w:cs="Times New Roman" w:eastAsia="Times New Roman" w:hAnsi="Times New Roman"/>
          <w:sz w:val="15"/>
          <w:szCs w:val="15"/>
          <w:color w:val="auto"/>
        </w:rPr>
        <w:t>In connection with the Quarterly Report of Snail, Inc. (the “Company”) on Form 10-Q for the quarter ended September 30, 2024 (the “Report”), I, Heidy Chow, Chief Financial Officer of the Company, certify, pursuant to 18 U.S.C. Section 1350, as adopted pursuant to Section 906 of the Sarbanes-Oxley Act of 2002, that, to the best of my knowledge:</w:t>
      </w:r>
    </w:p>
    <w:p>
      <w:pPr>
        <w:spacing w:after="0" w:line="327" w:lineRule="exact"/>
        <w:rPr>
          <w:sz w:val="20"/>
          <w:szCs w:val="20"/>
          <w:color w:val="auto"/>
        </w:rPr>
      </w:pPr>
    </w:p>
    <w:p>
      <w:pPr>
        <w:ind w:left="268" w:hanging="268"/>
        <w:spacing w:after="0"/>
        <w:tabs>
          <w:tab w:leader="none" w:pos="26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13, 2024</w:t>
            </w:r>
          </w:p>
        </w:tc>
        <w:tc>
          <w:tcPr>
            <w:tcW w:w="260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Heidy Chow</w:t>
            </w:r>
          </w:p>
        </w:tc>
      </w:tr>
      <w:tr>
        <w:trPr>
          <w:trHeight w:val="162"/>
        </w:trPr>
        <w:tc>
          <w:tcPr>
            <w:tcW w:w="3600" w:type="dxa"/>
            <w:vAlign w:val="bottom"/>
          </w:tcPr>
          <w:p>
            <w:pPr>
              <w:spacing w:after="0"/>
              <w:rPr>
                <w:sz w:val="14"/>
                <w:szCs w:val="14"/>
                <w:color w:val="auto"/>
              </w:rPr>
            </w:pPr>
          </w:p>
        </w:tc>
        <w:tc>
          <w:tcPr>
            <w:tcW w:w="2600" w:type="dxa"/>
            <w:vAlign w:val="bottom"/>
          </w:tcPr>
          <w:p>
            <w:pPr>
              <w:ind w:left="202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50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Heidy Chow</w:t>
            </w:r>
          </w:p>
        </w:tc>
      </w:tr>
      <w:tr>
        <w:trPr>
          <w:trHeight w:val="184"/>
        </w:trPr>
        <w:tc>
          <w:tcPr>
            <w:tcW w:w="3600" w:type="dxa"/>
            <w:vAlign w:val="bottom"/>
          </w:tcPr>
          <w:p>
            <w:pPr>
              <w:spacing w:after="0"/>
              <w:rPr>
                <w:sz w:val="16"/>
                <w:szCs w:val="16"/>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99"/>
        </w:trPr>
        <w:tc>
          <w:tcPr>
            <w:tcW w:w="3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tc>
      </w:tr>
      <w:tr>
        <w:trPr>
          <w:trHeight w:val="369"/>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8"/>
      </w:cols>
      <w:pgMar w:left="312" w:top="3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Roman"/>
      <w:start w:val="2"/>
    </w:lvl>
  </w:abstractNum>
  <w:abstractNum w:abstractNumId="11">
    <w:nsid w:val="41A7C4C9"/>
    <w:multiLevelType w:val="hybridMultilevel"/>
    <w:lvl w:ilvl="0">
      <w:lvlJc w:val="left"/>
      <w:lvlText w:val="(%1)"/>
      <w:numFmt w:val="decimal"/>
      <w:start w:val="30"/>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4"/>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7" Type="http://schemas.openxmlformats.org/officeDocument/2006/relationships/hyperlink" Target="https://www.sec.gov/Archives/edgar/data/1886894/000110465922118795/tm2128835d28_ex3-1.htm" TargetMode="External"/><Relationship Id="rId68" Type="http://schemas.openxmlformats.org/officeDocument/2006/relationships/hyperlink" Target="https://www.sec.gov/Archives/edgar/data/1886894/000110465922118795/tm2128835d2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2024-11-13T15:25:42Z</dcterms:created>
  <dcterms:modified xsi:type="dcterms:W3CDTF">2024-11-13T15:25:42Z</dcterms:modified>
</cp:coreProperties>
</file>