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198120</wp:posOffset>
            </wp:positionH>
            <wp:positionV relativeFrom="page">
              <wp:posOffset>264160</wp:posOffset>
            </wp:positionV>
            <wp:extent cx="71526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640" cy="36830"/>
                    </a:xfrm>
                    <a:prstGeom prst="rect">
                      <a:avLst/>
                    </a:prstGeom>
                    <a:noFill/>
                  </pic:spPr>
                </pic:pic>
              </a:graphicData>
            </a:graphic>
          </wp:anchor>
        </w:drawing>
        <w:drawing>
          <wp:anchor simplePos="0" relativeHeight="251657728" behindDoc="1" locked="0" layoutInCell="0" allowOverlap="1">
            <wp:simplePos x="0" y="0"/>
            <wp:positionH relativeFrom="page">
              <wp:posOffset>198120</wp:posOffset>
            </wp:positionH>
            <wp:positionV relativeFrom="page">
              <wp:posOffset>308610</wp:posOffset>
            </wp:positionV>
            <wp:extent cx="7152640" cy="146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640" cy="14605"/>
                    </a:xfrm>
                    <a:prstGeom prst="rect">
                      <a:avLst/>
                    </a:prstGeom>
                    <a:noFill/>
                  </pic:spPr>
                </pic:pic>
              </a:graphicData>
            </a:graphic>
          </wp:anchor>
        </w:drawing>
      </w:r>
    </w:p>
    <w:p>
      <w:pPr>
        <w:jc w:val="center"/>
        <w:ind w:right="-7"/>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71526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3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8"/>
          <w:szCs w:val="2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71526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37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(Mark One)</w:t>
      </w:r>
    </w:p>
    <w:p>
      <w:pPr>
        <w:spacing w:after="0" w:line="196" w:lineRule="exact"/>
        <w:rPr>
          <w:sz w:val="24"/>
          <w:szCs w:val="24"/>
          <w:color w:val="auto"/>
        </w:rPr>
      </w:pPr>
    </w:p>
    <w:p>
      <w:pPr>
        <w:ind w:left="4188" w:right="3500" w:hanging="4188"/>
        <w:spacing w:after="0" w:line="512" w:lineRule="auto"/>
        <w:tabs>
          <w:tab w:leader="none" w:pos="282" w:val="left"/>
        </w:tabs>
        <w:numPr>
          <w:ilvl w:val="0"/>
          <w:numId w:val="1"/>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5"/>
          <w:szCs w:val="15"/>
          <w:color w:val="auto"/>
          <w:highlight w:val="black"/>
        </w:rPr>
      </w:pPr>
    </w:p>
    <w:p>
      <w:pPr>
        <w:ind w:left="5508"/>
        <w:spacing w:after="0"/>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OR</w:t>
      </w:r>
    </w:p>
    <w:p>
      <w:pPr>
        <w:spacing w:after="0" w:line="196" w:lineRule="exact"/>
        <w:rPr>
          <w:sz w:val="24"/>
          <w:szCs w:val="24"/>
          <w:color w:val="auto"/>
        </w:rPr>
      </w:pPr>
    </w:p>
    <w:p>
      <w:pPr>
        <w:jc w:val="center"/>
        <w:ind w:left="4448" w:right="40" w:hanging="4448"/>
        <w:spacing w:after="0" w:line="554" w:lineRule="auto"/>
        <w:tabs>
          <w:tab w:leader="none" w:pos="284" w:val="left"/>
        </w:tabs>
        <w:numPr>
          <w:ilvl w:val="0"/>
          <w:numId w:val="2"/>
        </w:numPr>
        <w:rPr>
          <w:rFonts w:ascii="MS PGothic" w:cs="MS PGothic" w:eastAsia="MS PGothic" w:hAnsi="MS PGothic"/>
          <w:sz w:val="15"/>
          <w:szCs w:val="15"/>
          <w:color w:val="auto"/>
          <w:highlight w:val="black"/>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TO Commission File Number 001-41556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-25400</wp:posOffset>
            </wp:positionV>
            <wp:extent cx="71526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pacing w:after="0" w:line="95" w:lineRule="exact"/>
        <w:rPr>
          <w:sz w:val="24"/>
          <w:szCs w:val="24"/>
          <w:color w:val="auto"/>
        </w:rPr>
      </w:pPr>
    </w:p>
    <w:tbl>
      <w:tblPr>
        <w:tblLayout w:type="fixed"/>
        <w:tblInd w:w="8" w:type="dxa"/>
        <w:tblCellMar>
          <w:top w:w="0" w:type="dxa"/>
          <w:left w:w="0" w:type="dxa"/>
          <w:bottom w:w="0" w:type="dxa"/>
          <w:right w:w="0" w:type="dxa"/>
        </w:tblCellMar>
      </w:tblPr>
      <w:tr>
        <w:trPr>
          <w:trHeight w:val="333"/>
        </w:trPr>
        <w:tc>
          <w:tcPr>
            <w:tcW w:w="7620" w:type="dxa"/>
            <w:vAlign w:val="bottom"/>
          </w:tcPr>
          <w:p>
            <w:pPr>
              <w:jc w:val="center"/>
              <w:ind w:left="3536"/>
              <w:spacing w:after="0"/>
              <w:rPr>
                <w:sz w:val="20"/>
                <w:szCs w:val="20"/>
                <w:color w:val="auto"/>
              </w:rPr>
            </w:pPr>
            <w:r>
              <w:rPr>
                <w:rFonts w:ascii="Times New Roman" w:cs="Times New Roman" w:eastAsia="Times New Roman" w:hAnsi="Times New Roman"/>
                <w:sz w:val="28"/>
                <w:szCs w:val="28"/>
                <w:b w:val="1"/>
                <w:bCs w:val="1"/>
                <w:color w:val="auto"/>
                <w:w w:val="98"/>
              </w:rPr>
              <w:t>SNAIL, INC.</w:t>
            </w:r>
          </w:p>
        </w:tc>
        <w:tc>
          <w:tcPr>
            <w:tcW w:w="3640" w:type="dxa"/>
            <w:vAlign w:val="bottom"/>
          </w:tcPr>
          <w:p>
            <w:pPr>
              <w:spacing w:after="0"/>
              <w:rPr>
                <w:sz w:val="24"/>
                <w:szCs w:val="24"/>
                <w:color w:val="auto"/>
              </w:rPr>
            </w:pPr>
          </w:p>
        </w:tc>
      </w:tr>
      <w:tr>
        <w:trPr>
          <w:trHeight w:val="203"/>
        </w:trPr>
        <w:tc>
          <w:tcPr>
            <w:tcW w:w="7620" w:type="dxa"/>
            <w:vAlign w:val="bottom"/>
          </w:tcPr>
          <w:p>
            <w:pPr>
              <w:jc w:val="center"/>
              <w:ind w:left="3536"/>
              <w:spacing w:after="0"/>
              <w:rPr>
                <w:sz w:val="20"/>
                <w:szCs w:val="20"/>
                <w:color w:val="auto"/>
              </w:rPr>
            </w:pPr>
            <w:r>
              <w:rPr>
                <w:rFonts w:ascii="Times New Roman" w:cs="Times New Roman" w:eastAsia="Times New Roman" w:hAnsi="Times New Roman"/>
                <w:sz w:val="15"/>
                <w:szCs w:val="15"/>
                <w:b w:val="1"/>
                <w:bCs w:val="1"/>
                <w:color w:val="auto"/>
              </w:rPr>
              <w:t>(Exact name of Registrant as specified in its Charter)</w:t>
            </w:r>
          </w:p>
        </w:tc>
        <w:tc>
          <w:tcPr>
            <w:tcW w:w="3640" w:type="dxa"/>
            <w:vAlign w:val="bottom"/>
          </w:tcPr>
          <w:p>
            <w:pPr>
              <w:spacing w:after="0"/>
              <w:rPr>
                <w:sz w:val="17"/>
                <w:szCs w:val="17"/>
                <w:color w:val="auto"/>
              </w:rPr>
            </w:pPr>
          </w:p>
        </w:tc>
      </w:tr>
      <w:tr>
        <w:trPr>
          <w:trHeight w:val="196"/>
        </w:trPr>
        <w:tc>
          <w:tcPr>
            <w:tcW w:w="7620" w:type="dxa"/>
            <w:vAlign w:val="bottom"/>
            <w:tcBorders>
              <w:bottom w:val="single" w:sz="8" w:color="auto"/>
            </w:tcBorders>
          </w:tcPr>
          <w:p>
            <w:pPr>
              <w:spacing w:after="0"/>
              <w:rPr>
                <w:sz w:val="17"/>
                <w:szCs w:val="17"/>
                <w:color w:val="auto"/>
              </w:rPr>
            </w:pPr>
          </w:p>
        </w:tc>
        <w:tc>
          <w:tcPr>
            <w:tcW w:w="3640" w:type="dxa"/>
            <w:vAlign w:val="bottom"/>
            <w:tcBorders>
              <w:bottom w:val="single" w:sz="8" w:color="auto"/>
            </w:tcBorders>
          </w:tcPr>
          <w:p>
            <w:pPr>
              <w:spacing w:after="0"/>
              <w:rPr>
                <w:sz w:val="17"/>
                <w:szCs w:val="17"/>
                <w:color w:val="auto"/>
              </w:rPr>
            </w:pPr>
          </w:p>
        </w:tc>
      </w:tr>
      <w:tr>
        <w:trPr>
          <w:trHeight w:val="341"/>
        </w:trPr>
        <w:tc>
          <w:tcPr>
            <w:tcW w:w="7620" w:type="dxa"/>
            <w:vAlign w:val="bottom"/>
          </w:tcPr>
          <w:p>
            <w:pPr>
              <w:jc w:val="center"/>
              <w:ind w:right="2036"/>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3640" w:type="dxa"/>
            <w:vAlign w:val="bottom"/>
          </w:tcPr>
          <w:p>
            <w:pPr>
              <w:jc w:val="right"/>
              <w:ind w:right="2323"/>
              <w:spacing w:after="0"/>
              <w:rPr>
                <w:sz w:val="20"/>
                <w:szCs w:val="20"/>
                <w:color w:val="auto"/>
              </w:rPr>
            </w:pPr>
            <w:r>
              <w:rPr>
                <w:rFonts w:ascii="Times New Roman" w:cs="Times New Roman" w:eastAsia="Times New Roman" w:hAnsi="Times New Roman"/>
                <w:sz w:val="15"/>
                <w:szCs w:val="15"/>
                <w:b w:val="1"/>
                <w:bCs w:val="1"/>
                <w:color w:val="auto"/>
              </w:rPr>
              <w:t>88-4146991</w:t>
            </w:r>
          </w:p>
        </w:tc>
      </w:tr>
      <w:tr>
        <w:trPr>
          <w:trHeight w:val="184"/>
        </w:trPr>
        <w:tc>
          <w:tcPr>
            <w:tcW w:w="7620" w:type="dxa"/>
            <w:vAlign w:val="bottom"/>
          </w:tcPr>
          <w:p>
            <w:pPr>
              <w:jc w:val="center"/>
              <w:ind w:right="2016"/>
              <w:spacing w:after="0"/>
              <w:rPr>
                <w:sz w:val="20"/>
                <w:szCs w:val="20"/>
                <w:color w:val="auto"/>
              </w:rPr>
            </w:pPr>
            <w:r>
              <w:rPr>
                <w:rFonts w:ascii="Times New Roman" w:cs="Times New Roman" w:eastAsia="Times New Roman" w:hAnsi="Times New Roman"/>
                <w:sz w:val="15"/>
                <w:szCs w:val="15"/>
                <w:b w:val="1"/>
                <w:bCs w:val="1"/>
                <w:color w:val="auto"/>
              </w:rPr>
              <w:t>(State or other jurisdiction of</w:t>
            </w:r>
          </w:p>
        </w:tc>
        <w:tc>
          <w:tcPr>
            <w:tcW w:w="3640" w:type="dxa"/>
            <w:vAlign w:val="bottom"/>
          </w:tcPr>
          <w:p>
            <w:pPr>
              <w:jc w:val="center"/>
              <w:ind w:right="1803"/>
              <w:spacing w:after="0"/>
              <w:rPr>
                <w:sz w:val="20"/>
                <w:szCs w:val="20"/>
                <w:color w:val="auto"/>
              </w:rPr>
            </w:pPr>
            <w:r>
              <w:rPr>
                <w:rFonts w:ascii="Times New Roman" w:cs="Times New Roman" w:eastAsia="Times New Roman" w:hAnsi="Times New Roman"/>
                <w:sz w:val="15"/>
                <w:szCs w:val="15"/>
                <w:b w:val="1"/>
                <w:bCs w:val="1"/>
                <w:color w:val="auto"/>
              </w:rPr>
              <w:t>(I.R.S. Employer</w:t>
            </w:r>
          </w:p>
        </w:tc>
      </w:tr>
      <w:tr>
        <w:trPr>
          <w:trHeight w:val="203"/>
        </w:trPr>
        <w:tc>
          <w:tcPr>
            <w:tcW w:w="7620" w:type="dxa"/>
            <w:vAlign w:val="bottom"/>
          </w:tcPr>
          <w:p>
            <w:pPr>
              <w:jc w:val="center"/>
              <w:ind w:right="2016"/>
              <w:spacing w:after="0"/>
              <w:rPr>
                <w:sz w:val="20"/>
                <w:szCs w:val="20"/>
                <w:color w:val="auto"/>
              </w:rPr>
            </w:pPr>
            <w:r>
              <w:rPr>
                <w:rFonts w:ascii="Times New Roman" w:cs="Times New Roman" w:eastAsia="Times New Roman" w:hAnsi="Times New Roman"/>
                <w:sz w:val="15"/>
                <w:szCs w:val="15"/>
                <w:b w:val="1"/>
                <w:bCs w:val="1"/>
                <w:color w:val="auto"/>
              </w:rPr>
              <w:t>incorporation or organization)</w:t>
            </w:r>
          </w:p>
        </w:tc>
        <w:tc>
          <w:tcPr>
            <w:tcW w:w="3640" w:type="dxa"/>
            <w:vAlign w:val="bottom"/>
          </w:tcPr>
          <w:p>
            <w:pPr>
              <w:jc w:val="center"/>
              <w:ind w:right="1803"/>
              <w:spacing w:after="0"/>
              <w:rPr>
                <w:sz w:val="20"/>
                <w:szCs w:val="20"/>
                <w:color w:val="auto"/>
              </w:rPr>
            </w:pPr>
            <w:r>
              <w:rPr>
                <w:rFonts w:ascii="Times New Roman" w:cs="Times New Roman" w:eastAsia="Times New Roman" w:hAnsi="Times New Roman"/>
                <w:sz w:val="15"/>
                <w:szCs w:val="15"/>
                <w:b w:val="1"/>
                <w:bCs w:val="1"/>
                <w:color w:val="auto"/>
              </w:rPr>
              <w:t>Identification No.)</w:t>
            </w:r>
          </w:p>
        </w:tc>
      </w:tr>
      <w:tr>
        <w:trPr>
          <w:trHeight w:val="350"/>
        </w:trPr>
        <w:tc>
          <w:tcPr>
            <w:tcW w:w="7620" w:type="dxa"/>
            <w:vAlign w:val="bottom"/>
          </w:tcPr>
          <w:p>
            <w:pPr>
              <w:jc w:val="center"/>
              <w:ind w:right="2036"/>
              <w:spacing w:after="0"/>
              <w:rPr>
                <w:sz w:val="20"/>
                <w:szCs w:val="20"/>
                <w:color w:val="auto"/>
              </w:rPr>
            </w:pPr>
            <w:r>
              <w:rPr>
                <w:rFonts w:ascii="Times New Roman" w:cs="Times New Roman" w:eastAsia="Times New Roman" w:hAnsi="Times New Roman"/>
                <w:sz w:val="15"/>
                <w:szCs w:val="15"/>
                <w:b w:val="1"/>
                <w:bCs w:val="1"/>
                <w:color w:val="auto"/>
              </w:rPr>
              <w:t>12049 Jefferson Blvd</w:t>
            </w:r>
          </w:p>
        </w:tc>
        <w:tc>
          <w:tcPr>
            <w:tcW w:w="3640" w:type="dxa"/>
            <w:vAlign w:val="bottom"/>
          </w:tcPr>
          <w:p>
            <w:pPr>
              <w:spacing w:after="0"/>
              <w:rPr>
                <w:sz w:val="24"/>
                <w:szCs w:val="24"/>
                <w:color w:val="auto"/>
              </w:rPr>
            </w:pPr>
          </w:p>
        </w:tc>
      </w:tr>
      <w:tr>
        <w:trPr>
          <w:trHeight w:val="184"/>
        </w:trPr>
        <w:tc>
          <w:tcPr>
            <w:tcW w:w="7620" w:type="dxa"/>
            <w:vAlign w:val="bottom"/>
          </w:tcPr>
          <w:p>
            <w:pPr>
              <w:jc w:val="center"/>
              <w:ind w:right="2016"/>
              <w:spacing w:after="0"/>
              <w:rPr>
                <w:sz w:val="20"/>
                <w:szCs w:val="20"/>
                <w:color w:val="auto"/>
              </w:rPr>
            </w:pPr>
            <w:r>
              <w:rPr>
                <w:rFonts w:ascii="Times New Roman" w:cs="Times New Roman" w:eastAsia="Times New Roman" w:hAnsi="Times New Roman"/>
                <w:sz w:val="15"/>
                <w:szCs w:val="15"/>
                <w:b w:val="1"/>
                <w:bCs w:val="1"/>
                <w:color w:val="auto"/>
              </w:rPr>
              <w:t>Culver City, CA</w:t>
            </w:r>
          </w:p>
        </w:tc>
        <w:tc>
          <w:tcPr>
            <w:tcW w:w="3640" w:type="dxa"/>
            <w:vAlign w:val="bottom"/>
          </w:tcPr>
          <w:p>
            <w:pPr>
              <w:jc w:val="right"/>
              <w:ind w:right="2503"/>
              <w:spacing w:after="0"/>
              <w:rPr>
                <w:sz w:val="20"/>
                <w:szCs w:val="20"/>
                <w:color w:val="auto"/>
              </w:rPr>
            </w:pPr>
            <w:r>
              <w:rPr>
                <w:rFonts w:ascii="Times New Roman" w:cs="Times New Roman" w:eastAsia="Times New Roman" w:hAnsi="Times New Roman"/>
                <w:sz w:val="15"/>
                <w:szCs w:val="15"/>
                <w:b w:val="1"/>
                <w:bCs w:val="1"/>
                <w:color w:val="auto"/>
              </w:rPr>
              <w:t>90230</w:t>
            </w:r>
          </w:p>
        </w:tc>
      </w:tr>
      <w:tr>
        <w:trPr>
          <w:trHeight w:val="203"/>
        </w:trPr>
        <w:tc>
          <w:tcPr>
            <w:tcW w:w="7620" w:type="dxa"/>
            <w:vAlign w:val="bottom"/>
          </w:tcPr>
          <w:p>
            <w:pPr>
              <w:jc w:val="center"/>
              <w:ind w:right="2036"/>
              <w:spacing w:after="0"/>
              <w:rPr>
                <w:sz w:val="20"/>
                <w:szCs w:val="20"/>
                <w:color w:val="auto"/>
              </w:rPr>
            </w:pPr>
            <w:r>
              <w:rPr>
                <w:rFonts w:ascii="Times New Roman" w:cs="Times New Roman" w:eastAsia="Times New Roman" w:hAnsi="Times New Roman"/>
                <w:sz w:val="15"/>
                <w:szCs w:val="15"/>
                <w:b w:val="1"/>
                <w:bCs w:val="1"/>
                <w:color w:val="auto"/>
              </w:rPr>
              <w:t>(Address of principal executive offices)</w:t>
            </w:r>
          </w:p>
        </w:tc>
        <w:tc>
          <w:tcPr>
            <w:tcW w:w="3640" w:type="dxa"/>
            <w:vAlign w:val="bottom"/>
          </w:tcPr>
          <w:p>
            <w:pPr>
              <w:jc w:val="center"/>
              <w:ind w:right="1803"/>
              <w:spacing w:after="0"/>
              <w:rPr>
                <w:sz w:val="20"/>
                <w:szCs w:val="20"/>
                <w:color w:val="auto"/>
              </w:rPr>
            </w:pPr>
            <w:r>
              <w:rPr>
                <w:rFonts w:ascii="Times New Roman" w:cs="Times New Roman" w:eastAsia="Times New Roman" w:hAnsi="Times New Roman"/>
                <w:sz w:val="15"/>
                <w:szCs w:val="15"/>
                <w:b w:val="1"/>
                <w:bCs w:val="1"/>
                <w:color w:val="auto"/>
              </w:rPr>
              <w:t>(Zip code)</w:t>
            </w:r>
          </w:p>
        </w:tc>
      </w:tr>
    </w:tbl>
    <w:p>
      <w:pPr>
        <w:spacing w:after="0" w:line="16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Registrant’s telephone number, including area code: +1 (310) 988-0643</w:t>
      </w:r>
    </w:p>
    <w:p>
      <w:pPr>
        <w:spacing w:after="0" w:line="200" w:lineRule="exact"/>
        <w:rPr>
          <w:sz w:val="24"/>
          <w:szCs w:val="24"/>
          <w:color w:val="auto"/>
        </w:rPr>
      </w:pPr>
    </w:p>
    <w:tbl>
      <w:tblPr>
        <w:tblLayout w:type="fixed"/>
        <w:tblInd w:w="8" w:type="dxa"/>
        <w:tblCellMar>
          <w:top w:w="0" w:type="dxa"/>
          <w:left w:w="0" w:type="dxa"/>
          <w:bottom w:w="0" w:type="dxa"/>
          <w:right w:w="0" w:type="dxa"/>
        </w:tblCellMar>
      </w:tblPr>
      <w:tr>
        <w:trPr>
          <w:trHeight w:val="199"/>
        </w:trPr>
        <w:tc>
          <w:tcPr>
            <w:tcW w:w="4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tcPr>
          <w:p>
            <w:pPr>
              <w:spacing w:after="0"/>
              <w:rPr>
                <w:sz w:val="17"/>
                <w:szCs w:val="17"/>
                <w:color w:val="auto"/>
              </w:rPr>
            </w:pPr>
          </w:p>
        </w:tc>
      </w:tr>
      <w:tr>
        <w:trPr>
          <w:trHeight w:val="380"/>
        </w:trPr>
        <w:tc>
          <w:tcPr>
            <w:tcW w:w="49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Trading Symbol (s)</w:t>
            </w: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161"/>
        </w:trPr>
        <w:tc>
          <w:tcPr>
            <w:tcW w:w="472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5"/>
                <w:szCs w:val="15"/>
                <w:color w:val="auto"/>
              </w:rPr>
              <w:t>Class A common stock, par value $0.0001 per share</w:t>
            </w:r>
          </w:p>
        </w:tc>
        <w:tc>
          <w:tcPr>
            <w:tcW w:w="240" w:type="dxa"/>
            <w:vAlign w:val="bottom"/>
          </w:tcPr>
          <w:p>
            <w:pPr>
              <w:spacing w:after="0"/>
              <w:rPr>
                <w:sz w:val="14"/>
                <w:szCs w:val="14"/>
                <w:color w:val="auto"/>
              </w:rPr>
            </w:pPr>
          </w:p>
        </w:tc>
        <w:tc>
          <w:tcPr>
            <w:tcW w:w="180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5"/>
                <w:szCs w:val="15"/>
                <w:color w:val="auto"/>
              </w:rPr>
              <w:t>SNAL</w:t>
            </w:r>
          </w:p>
        </w:tc>
        <w:tc>
          <w:tcPr>
            <w:tcW w:w="220" w:type="dxa"/>
            <w:vAlign w:val="bottom"/>
          </w:tcPr>
          <w:p>
            <w:pPr>
              <w:spacing w:after="0"/>
              <w:rPr>
                <w:sz w:val="14"/>
                <w:szCs w:val="14"/>
                <w:color w:val="auto"/>
              </w:rPr>
            </w:pPr>
          </w:p>
        </w:tc>
        <w:tc>
          <w:tcPr>
            <w:tcW w:w="4280" w:type="dxa"/>
            <w:vAlign w:val="bottom"/>
            <w:tcBorders>
              <w:top w:val="single" w:sz="8" w:color="auto"/>
            </w:tcBorders>
          </w:tcPr>
          <w:p>
            <w:pPr>
              <w:jc w:val="center"/>
              <w:spacing w:after="0" w:line="161" w:lineRule="exact"/>
              <w:rPr>
                <w:sz w:val="20"/>
                <w:szCs w:val="20"/>
                <w:color w:val="auto"/>
              </w:rPr>
            </w:pPr>
            <w:r>
              <w:rPr>
                <w:rFonts w:ascii="Times New Roman" w:cs="Times New Roman" w:eastAsia="Times New Roman" w:hAnsi="Times New Roman"/>
                <w:sz w:val="15"/>
                <w:szCs w:val="15"/>
                <w:color w:val="auto"/>
              </w:rPr>
              <w:t>The Nasdaq Stock Market LLC</w:t>
            </w:r>
          </w:p>
        </w:tc>
      </w:tr>
      <w:tr>
        <w:trPr>
          <w:trHeight w:val="199"/>
        </w:trPr>
        <w:tc>
          <w:tcPr>
            <w:tcW w:w="4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Capital Market)</w:t>
            </w:r>
          </w:p>
        </w:tc>
      </w:tr>
      <w:tr>
        <w:trPr>
          <w:trHeight w:val="392"/>
        </w:trPr>
        <w:tc>
          <w:tcPr>
            <w:tcW w:w="49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 xml:space="preserve">Securities registered pursuant to Section 12(g) of the Act: </w:t>
            </w:r>
            <w:r>
              <w:rPr>
                <w:rFonts w:ascii="Times New Roman" w:cs="Times New Roman" w:eastAsia="Times New Roman" w:hAnsi="Times New Roman"/>
                <w:sz w:val="15"/>
                <w:szCs w:val="15"/>
                <w:b w:val="1"/>
                <w:bCs w:val="1"/>
                <w:color w:val="auto"/>
              </w:rPr>
              <w:t>None</w:t>
            </w:r>
          </w:p>
        </w:tc>
        <w:tc>
          <w:tcPr>
            <w:tcW w:w="1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tcPr>
          <w:p>
            <w:pPr>
              <w:spacing w:after="0"/>
              <w:rPr>
                <w:sz w:val="24"/>
                <w:szCs w:val="24"/>
                <w:color w:val="auto"/>
              </w:rPr>
            </w:pPr>
          </w:p>
        </w:tc>
      </w:tr>
    </w:tbl>
    <w:p>
      <w:pPr>
        <w:spacing w:after="0" w:line="134" w:lineRule="exact"/>
        <w:rPr>
          <w:sz w:val="24"/>
          <w:szCs w:val="24"/>
          <w:color w:val="auto"/>
        </w:rPr>
      </w:pPr>
    </w:p>
    <w:p>
      <w:pPr>
        <w:ind w:left="8"/>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96" w:lineRule="exact"/>
        <w:rPr>
          <w:sz w:val="24"/>
          <w:szCs w:val="24"/>
          <w:color w:val="auto"/>
        </w:rPr>
      </w:pPr>
    </w:p>
    <w:p>
      <w:pPr>
        <w:ind w:left="8"/>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if the Registrant is not required to file reports pursuant to Section 13 or 15(d) of the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32" w:lineRule="exact"/>
        <w:rPr>
          <w:sz w:val="24"/>
          <w:szCs w:val="24"/>
          <w:color w:val="auto"/>
        </w:rPr>
      </w:pPr>
    </w:p>
    <w:p>
      <w:pPr>
        <w:jc w:val="both"/>
        <w:ind w:left="8"/>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6" w:lineRule="exact"/>
        <w:rPr>
          <w:sz w:val="24"/>
          <w:szCs w:val="24"/>
          <w:color w:val="auto"/>
        </w:rPr>
      </w:pPr>
    </w:p>
    <w:p>
      <w:pPr>
        <w:jc w:val="both"/>
        <w:ind w:left="8"/>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146" w:lineRule="exact"/>
        <w:rPr>
          <w:sz w:val="24"/>
          <w:szCs w:val="24"/>
          <w:color w:val="auto"/>
        </w:rPr>
      </w:pPr>
    </w:p>
    <w:p>
      <w:pPr>
        <w:jc w:val="both"/>
        <w:ind w:left="8"/>
        <w:spacing w:after="0" w:line="292"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8" w:type="dxa"/>
        <w:tblCellMar>
          <w:top w:w="0" w:type="dxa"/>
          <w:left w:w="0" w:type="dxa"/>
          <w:bottom w:w="0" w:type="dxa"/>
          <w:right w:w="0" w:type="dxa"/>
        </w:tblCellMar>
      </w:tblPr>
      <w:tr>
        <w:trPr>
          <w:trHeight w:val="188"/>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2040" w:type="dxa"/>
            <w:vAlign w:val="bottom"/>
          </w:tcPr>
          <w:p>
            <w:pPr>
              <w:ind w:left="170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Accelerated filer</w:t>
            </w:r>
          </w:p>
        </w:tc>
        <w:tc>
          <w:tcPr>
            <w:tcW w:w="1840" w:type="dxa"/>
            <w:vAlign w:val="bottom"/>
          </w:tcPr>
          <w:p>
            <w:pPr>
              <w:ind w:left="17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184"/>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2040" w:type="dxa"/>
            <w:vAlign w:val="bottom"/>
          </w:tcPr>
          <w:p>
            <w:pPr>
              <w:ind w:left="170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1840" w:type="dxa"/>
            <w:vAlign w:val="bottom"/>
          </w:tcPr>
          <w:p>
            <w:pPr>
              <w:ind w:left="170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33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2040" w:type="dxa"/>
            <w:vAlign w:val="bottom"/>
          </w:tcPr>
          <w:p>
            <w:pPr>
              <w:ind w:left="1700"/>
              <w:spacing w:after="0" w:line="151" w:lineRule="exact"/>
              <w:rPr>
                <w:sz w:val="20"/>
                <w:szCs w:val="20"/>
                <w:color w:val="auto"/>
              </w:rPr>
            </w:pPr>
            <w:r>
              <w:rPr>
                <w:rFonts w:ascii="MS PGothic" w:cs="MS PGothic" w:eastAsia="MS PGothic" w:hAnsi="MS PGothic"/>
                <w:sz w:val="15"/>
                <w:szCs w:val="15"/>
                <w:color w:val="auto"/>
              </w:rPr>
              <w:t>☒</w:t>
            </w:r>
          </w:p>
        </w:tc>
        <w:tc>
          <w:tcPr>
            <w:tcW w:w="3580" w:type="dxa"/>
            <w:vAlign w:val="bottom"/>
          </w:tcPr>
          <w:p>
            <w:pPr>
              <w:spacing w:after="0"/>
              <w:rPr>
                <w:sz w:val="22"/>
                <w:szCs w:val="22"/>
                <w:color w:val="auto"/>
              </w:rPr>
            </w:pPr>
          </w:p>
        </w:tc>
        <w:tc>
          <w:tcPr>
            <w:tcW w:w="1840" w:type="dxa"/>
            <w:vAlign w:val="bottom"/>
          </w:tcPr>
          <w:p>
            <w:pPr>
              <w:spacing w:after="0"/>
              <w:rPr>
                <w:sz w:val="22"/>
                <w:szCs w:val="22"/>
                <w:color w:val="auto"/>
              </w:rPr>
            </w:pPr>
          </w:p>
        </w:tc>
      </w:tr>
    </w:tbl>
    <w:p>
      <w:pPr>
        <w:spacing w:after="0" w:line="142" w:lineRule="exact"/>
        <w:rPr>
          <w:sz w:val="24"/>
          <w:szCs w:val="24"/>
          <w:color w:val="auto"/>
        </w:rPr>
      </w:pPr>
    </w:p>
    <w:p>
      <w:pPr>
        <w:jc w:val="both"/>
        <w:ind w:left="8" w:right="20"/>
        <w:spacing w:after="0" w:line="204"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46" w:lineRule="exact"/>
        <w:rPr>
          <w:sz w:val="24"/>
          <w:szCs w:val="24"/>
          <w:color w:val="auto"/>
        </w:rPr>
      </w:pPr>
    </w:p>
    <w:p>
      <w:pPr>
        <w:jc w:val="both"/>
        <w:ind w:left="8" w:right="20"/>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46" w:lineRule="exact"/>
        <w:rPr>
          <w:sz w:val="24"/>
          <w:szCs w:val="24"/>
          <w:color w:val="auto"/>
        </w:rPr>
      </w:pPr>
    </w:p>
    <w:p>
      <w:pPr>
        <w:jc w:val="both"/>
        <w:ind w:left="8" w:right="20"/>
        <w:spacing w:after="0" w:line="204" w:lineRule="exact"/>
        <w:rPr>
          <w:sz w:val="20"/>
          <w:szCs w:val="20"/>
          <w:color w:val="auto"/>
        </w:rPr>
      </w:pPr>
      <w:r>
        <w:rPr>
          <w:rFonts w:ascii="Times New Roman" w:cs="Times New Roman" w:eastAsia="Times New Roman" w:hAnsi="Times New Roman"/>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146" w:lineRule="exact"/>
        <w:rPr>
          <w:sz w:val="24"/>
          <w:szCs w:val="24"/>
          <w:color w:val="auto"/>
        </w:rPr>
      </w:pPr>
    </w:p>
    <w:p>
      <w:pPr>
        <w:jc w:val="both"/>
        <w:ind w:left="8" w:right="20"/>
        <w:spacing w:after="0" w:line="204" w:lineRule="exact"/>
        <w:rPr>
          <w:sz w:val="20"/>
          <w:szCs w:val="20"/>
          <w:color w:val="auto"/>
        </w:rPr>
      </w:pPr>
      <w:r>
        <w:rPr>
          <w:rFonts w:ascii="Times New Roman" w:cs="Times New Roman" w:eastAsia="Times New Roman" w:hAnsi="Times New Roman"/>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10" w:lineRule="exact"/>
        <w:rPr>
          <w:sz w:val="24"/>
          <w:szCs w:val="24"/>
          <w:color w:val="auto"/>
        </w:rPr>
      </w:pPr>
    </w:p>
    <w:p>
      <w:pPr>
        <w:ind w:left="8"/>
        <w:spacing w:after="0" w:line="173"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32" w:lineRule="exact"/>
        <w:rPr>
          <w:sz w:val="24"/>
          <w:szCs w:val="24"/>
          <w:color w:val="auto"/>
        </w:rPr>
      </w:pPr>
    </w:p>
    <w:p>
      <w:pPr>
        <w:jc w:val="both"/>
        <w:ind w:left="8"/>
        <w:spacing w:after="0" w:line="274" w:lineRule="auto"/>
        <w:rPr>
          <w:sz w:val="20"/>
          <w:szCs w:val="20"/>
          <w:color w:val="auto"/>
        </w:rPr>
      </w:pPr>
      <w:r>
        <w:rPr>
          <w:rFonts w:ascii="Times New Roman" w:cs="Times New Roman" w:eastAsia="Times New Roman" w:hAnsi="Times New Roman"/>
          <w:sz w:val="15"/>
          <w:szCs w:val="15"/>
          <w:color w:val="auto"/>
        </w:rPr>
        <w:t>As of June 28, 2024, the last business day of the Registrant’s most recently completed second quarter, there was no public market for the Registrant’s class B common stock. The aggregate market value of voting and non-voting common equity held by non-affiliates of the Registrant, based on the closing price of the Registrant’s Class A common stock on the Nasdaq Capital Market on June 28, 2024, was $6,903,794.</w:t>
      </w:r>
    </w:p>
    <w:p>
      <w:pPr>
        <w:spacing w:after="0" w:line="146" w:lineRule="exact"/>
        <w:rPr>
          <w:sz w:val="24"/>
          <w:szCs w:val="24"/>
          <w:color w:val="auto"/>
        </w:rPr>
      </w:pPr>
    </w:p>
    <w:p>
      <w:pPr>
        <w:ind w:left="8"/>
        <w:spacing w:after="0"/>
        <w:rPr>
          <w:sz w:val="20"/>
          <w:szCs w:val="20"/>
          <w:color w:val="auto"/>
        </w:rPr>
      </w:pPr>
      <w:r>
        <w:rPr>
          <w:rFonts w:ascii="Times New Roman" w:cs="Times New Roman" w:eastAsia="Times New Roman" w:hAnsi="Times New Roman"/>
          <w:sz w:val="15"/>
          <w:szCs w:val="15"/>
          <w:color w:val="auto"/>
        </w:rPr>
        <w:t>Indicate the number of shares outstanding of each of the registrant’s classes of common stock, as of the latest practicable date.</w:t>
      </w:r>
    </w:p>
    <w:p>
      <w:pPr>
        <w:spacing w:after="0" w:line="204" w:lineRule="exact"/>
        <w:rPr>
          <w:sz w:val="24"/>
          <w:szCs w:val="24"/>
          <w:color w:val="auto"/>
        </w:rPr>
      </w:pPr>
    </w:p>
    <w:tbl>
      <w:tblPr>
        <w:tblLayout w:type="fixed"/>
        <w:tblInd w:w="8" w:type="dxa"/>
        <w:tblCellMar>
          <w:top w:w="0" w:type="dxa"/>
          <w:left w:w="0" w:type="dxa"/>
          <w:bottom w:w="0" w:type="dxa"/>
          <w:right w:w="0" w:type="dxa"/>
        </w:tblCellMar>
      </w:tblPr>
      <w:tr>
        <w:trPr>
          <w:trHeight w:val="203"/>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Class of Common Stock</w:t>
            </w:r>
          </w:p>
        </w:tc>
        <w:tc>
          <w:tcPr>
            <w:tcW w:w="5520" w:type="dxa"/>
            <w:vAlign w:val="bottom"/>
          </w:tcPr>
          <w:p>
            <w:pPr>
              <w:ind w:left="1420"/>
              <w:spacing w:after="0"/>
              <w:rPr>
                <w:sz w:val="20"/>
                <w:szCs w:val="20"/>
                <w:color w:val="auto"/>
              </w:rPr>
            </w:pPr>
            <w:r>
              <w:rPr>
                <w:rFonts w:ascii="Times New Roman" w:cs="Times New Roman" w:eastAsia="Times New Roman" w:hAnsi="Times New Roman"/>
                <w:sz w:val="15"/>
                <w:szCs w:val="15"/>
                <w:b w:val="1"/>
                <w:bCs w:val="1"/>
                <w:color w:val="auto"/>
              </w:rPr>
              <w:t>Outstanding Shares as of March 20, 2025</w:t>
            </w:r>
          </w:p>
        </w:tc>
      </w:tr>
      <w:tr>
        <w:trPr>
          <w:trHeight w:val="169"/>
        </w:trPr>
        <w:tc>
          <w:tcPr>
            <w:tcW w:w="55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5"/>
                <w:szCs w:val="15"/>
                <w:b w:val="1"/>
                <w:bCs w:val="1"/>
                <w:color w:val="auto"/>
              </w:rPr>
              <w:t>Class A Common Stock, par value $0.0001 per share</w:t>
            </w:r>
          </w:p>
        </w:tc>
        <w:tc>
          <w:tcPr>
            <w:tcW w:w="220" w:type="dxa"/>
            <w:vAlign w:val="bottom"/>
          </w:tcPr>
          <w:p>
            <w:pPr>
              <w:spacing w:after="0"/>
              <w:rPr>
                <w:sz w:val="14"/>
                <w:szCs w:val="14"/>
                <w:color w:val="auto"/>
              </w:rPr>
            </w:pPr>
          </w:p>
        </w:tc>
        <w:tc>
          <w:tcPr>
            <w:tcW w:w="5520" w:type="dxa"/>
            <w:vAlign w:val="bottom"/>
            <w:tcBorders>
              <w:top w:val="single" w:sz="8" w:color="auto"/>
            </w:tcBorders>
          </w:tcPr>
          <w:p>
            <w:pPr>
              <w:jc w:val="right"/>
              <w:ind w:right="2383"/>
              <w:spacing w:after="0" w:line="169" w:lineRule="exact"/>
              <w:rPr>
                <w:sz w:val="20"/>
                <w:szCs w:val="20"/>
                <w:color w:val="auto"/>
              </w:rPr>
            </w:pPr>
            <w:r>
              <w:rPr>
                <w:rFonts w:ascii="Times New Roman" w:cs="Times New Roman" w:eastAsia="Times New Roman" w:hAnsi="Times New Roman"/>
                <w:sz w:val="15"/>
                <w:szCs w:val="15"/>
                <w:b w:val="1"/>
                <w:bCs w:val="1"/>
                <w:color w:val="auto"/>
              </w:rPr>
              <w:t>8,465,080</w:t>
            </w:r>
          </w:p>
        </w:tc>
      </w:tr>
      <w:tr>
        <w:trPr>
          <w:trHeight w:val="203"/>
        </w:trPr>
        <w:tc>
          <w:tcPr>
            <w:tcW w:w="574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Class B Common Stock, par value $0.0001 per share</w:t>
            </w:r>
          </w:p>
        </w:tc>
        <w:tc>
          <w:tcPr>
            <w:tcW w:w="5520" w:type="dxa"/>
            <w:vAlign w:val="bottom"/>
          </w:tcPr>
          <w:p>
            <w:pPr>
              <w:jc w:val="right"/>
              <w:ind w:right="2343"/>
              <w:spacing w:after="0"/>
              <w:rPr>
                <w:sz w:val="20"/>
                <w:szCs w:val="20"/>
                <w:color w:val="auto"/>
              </w:rPr>
            </w:pPr>
            <w:r>
              <w:rPr>
                <w:rFonts w:ascii="Times New Roman" w:cs="Times New Roman" w:eastAsia="Times New Roman" w:hAnsi="Times New Roman"/>
                <w:sz w:val="15"/>
                <w:szCs w:val="15"/>
                <w:b w:val="1"/>
                <w:bCs w:val="1"/>
                <w:color w:val="auto"/>
              </w:rPr>
              <w:t>28,748,580</w:t>
            </w:r>
          </w:p>
        </w:tc>
      </w:tr>
    </w:tbl>
    <w:p>
      <w:pPr>
        <w:sectPr>
          <w:pgSz w:w="11900" w:h="16867" w:orient="portrait"/>
          <w:cols w:equalWidth="0" w:num="1">
            <w:col w:w="11268"/>
          </w:cols>
          <w:pgMar w:left="312" w:top="652" w:right="319" w:bottom="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5"/>
          <w:szCs w:val="15"/>
          <w:b w:val="1"/>
          <w:bCs w:val="1"/>
          <w:color w:val="auto"/>
        </w:rPr>
        <w:t>DOCUMENTS INCORPORATED BY REFERENCE</w:t>
      </w:r>
    </w:p>
    <w:p>
      <w:pPr>
        <w:spacing w:after="0" w:line="2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Part III of this Annual Report on Form 10-K incorporates certain information by reference from the definitive proxy statement for the Registrant’s 2025 Annual Meeting of Stockholders to be filed within 120 days of the Registrant’s fiscal year ended December 31, 2024 (the “Proxy Statement”).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7152640" cy="146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640" cy="1460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123825</wp:posOffset>
            </wp:positionV>
            <wp:extent cx="71526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26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401955</wp:posOffset>
            </wp:positionV>
            <wp:extent cx="715264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305"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380" w:type="dxa"/>
            <w:vAlign w:val="bottom"/>
            <w:gridSpan w:val="9"/>
          </w:tcPr>
          <w:p>
            <w:pPr>
              <w:jc w:val="center"/>
              <w:ind w:right="3780"/>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tc>
        <w:tc>
          <w:tcPr>
            <w:tcW w:w="560" w:type="dxa"/>
            <w:vAlign w:val="bottom"/>
          </w:tcPr>
          <w:p>
            <w:pPr>
              <w:spacing w:after="0"/>
              <w:rPr>
                <w:sz w:val="16"/>
                <w:szCs w:val="16"/>
                <w:color w:val="auto"/>
              </w:rPr>
            </w:pPr>
          </w:p>
        </w:tc>
      </w:tr>
      <w:tr>
        <w:trPr>
          <w:trHeight w:val="184"/>
        </w:trPr>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580" w:type="dxa"/>
            <w:vAlign w:val="bottom"/>
            <w:gridSpan w:val="6"/>
          </w:tcPr>
          <w:p>
            <w:pPr>
              <w:jc w:val="center"/>
              <w:ind w:right="4580"/>
              <w:spacing w:after="0"/>
              <w:rPr>
                <w:sz w:val="20"/>
                <w:szCs w:val="20"/>
                <w:color w:val="auto"/>
              </w:rPr>
            </w:pPr>
            <w:r>
              <w:rPr>
                <w:rFonts w:ascii="Times New Roman" w:cs="Times New Roman" w:eastAsia="Times New Roman" w:hAnsi="Times New Roman"/>
                <w:sz w:val="15"/>
                <w:szCs w:val="15"/>
                <w:b w:val="1"/>
                <w:bCs w:val="1"/>
                <w:color w:val="auto"/>
              </w:rPr>
              <w:t>Form 10-K</w:t>
            </w:r>
          </w:p>
        </w:tc>
        <w:tc>
          <w:tcPr>
            <w:tcW w:w="560" w:type="dxa"/>
            <w:vAlign w:val="bottom"/>
          </w:tcPr>
          <w:p>
            <w:pPr>
              <w:spacing w:after="0"/>
              <w:rPr>
                <w:sz w:val="16"/>
                <w:szCs w:val="16"/>
                <w:color w:val="auto"/>
              </w:rPr>
            </w:pPr>
          </w:p>
        </w:tc>
      </w:tr>
      <w:tr>
        <w:trPr>
          <w:trHeight w:val="203"/>
        </w:trPr>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380" w:type="dxa"/>
            <w:vAlign w:val="bottom"/>
            <w:gridSpan w:val="9"/>
          </w:tcPr>
          <w:p>
            <w:pPr>
              <w:jc w:val="center"/>
              <w:ind w:right="3780"/>
              <w:spacing w:after="0"/>
              <w:rPr>
                <w:sz w:val="20"/>
                <w:szCs w:val="20"/>
                <w:color w:val="auto"/>
              </w:rPr>
            </w:pPr>
            <w:r>
              <w:rPr>
                <w:rFonts w:ascii="Times New Roman" w:cs="Times New Roman" w:eastAsia="Times New Roman" w:hAnsi="Times New Roman"/>
                <w:sz w:val="15"/>
                <w:szCs w:val="15"/>
                <w:b w:val="1"/>
                <w:bCs w:val="1"/>
                <w:color w:val="auto"/>
              </w:rPr>
              <w:t>For the Year Ended December 31, 2024</w:t>
            </w:r>
          </w:p>
        </w:tc>
        <w:tc>
          <w:tcPr>
            <w:tcW w:w="560" w:type="dxa"/>
            <w:vAlign w:val="bottom"/>
          </w:tcPr>
          <w:p>
            <w:pPr>
              <w:spacing w:after="0"/>
              <w:rPr>
                <w:sz w:val="17"/>
                <w:szCs w:val="17"/>
                <w:color w:val="auto"/>
              </w:rPr>
            </w:pPr>
          </w:p>
        </w:tc>
      </w:tr>
      <w:tr>
        <w:trPr>
          <w:trHeight w:val="369"/>
        </w:trPr>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60" w:type="dxa"/>
            <w:vAlign w:val="bottom"/>
            <w:gridSpan w:val="7"/>
          </w:tcPr>
          <w:p>
            <w:pPr>
              <w:jc w:val="center"/>
              <w:ind w:right="400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560" w:type="dxa"/>
            <w:vAlign w:val="bottom"/>
          </w:tcPr>
          <w:p>
            <w:pPr>
              <w:spacing w:after="0"/>
              <w:rPr>
                <w:sz w:val="24"/>
                <w:szCs w:val="24"/>
                <w:color w:val="auto"/>
              </w:rPr>
            </w:pPr>
          </w:p>
        </w:tc>
      </w:tr>
      <w:tr>
        <w:trPr>
          <w:trHeight w:val="380"/>
        </w:trPr>
        <w:tc>
          <w:tcPr>
            <w:tcW w:w="5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700" w:type="dxa"/>
            <w:vAlign w:val="bottom"/>
            <w:tcBorders>
              <w:bottom w:val="single" w:sz="8" w:color="CCEEFF"/>
            </w:tcBorders>
          </w:tcPr>
          <w:p>
            <w:pPr>
              <w:spacing w:after="0"/>
              <w:rPr>
                <w:sz w:val="24"/>
                <w:szCs w:val="24"/>
                <w:color w:val="auto"/>
              </w:rPr>
            </w:pPr>
          </w:p>
        </w:tc>
        <w:tc>
          <w:tcPr>
            <w:tcW w:w="660" w:type="dxa"/>
            <w:vAlign w:val="bottom"/>
            <w:tcBorders>
              <w:bottom w:val="single" w:sz="8" w:color="CCEEFF"/>
            </w:tcBorders>
          </w:tcPr>
          <w:p>
            <w:pPr>
              <w:spacing w:after="0"/>
              <w:rPr>
                <w:sz w:val="24"/>
                <w:szCs w:val="24"/>
                <w:color w:val="auto"/>
              </w:rPr>
            </w:pPr>
          </w:p>
        </w:tc>
        <w:tc>
          <w:tcPr>
            <w:tcW w:w="3000" w:type="dxa"/>
            <w:vAlign w:val="bottom"/>
            <w:tcBorders>
              <w:bottom w:val="single" w:sz="8" w:color="CCEEFF"/>
            </w:tcBorders>
          </w:tcPr>
          <w:p>
            <w:pPr>
              <w:spacing w:after="0"/>
              <w:rPr>
                <w:sz w:val="24"/>
                <w:szCs w:val="24"/>
                <w:color w:val="auto"/>
              </w:rPr>
            </w:pPr>
          </w:p>
        </w:tc>
        <w:tc>
          <w:tcPr>
            <w:tcW w:w="5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56"/>
        </w:trPr>
        <w:tc>
          <w:tcPr>
            <w:tcW w:w="5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righ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80" w:type="dxa"/>
            <w:vAlign w:val="bottom"/>
            <w:gridSpan w:val="22"/>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0000EE"/>
              </w:rPr>
              <w:t>Cautionary Statement</w:t>
            </w:r>
          </w:p>
        </w:tc>
        <w:tc>
          <w:tcPr>
            <w:tcW w:w="56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ii</w:t>
            </w:r>
          </w:p>
        </w:tc>
      </w:tr>
      <w:tr>
        <w:trPr>
          <w:trHeight w:val="150"/>
        </w:trPr>
        <w:tc>
          <w:tcPr>
            <w:tcW w:w="820" w:type="dxa"/>
            <w:vAlign w:val="bottom"/>
            <w:tcBorders>
              <w:top w:val="single" w:sz="8" w:color="CCEEFF"/>
            </w:tcBorders>
            <w:gridSpan w:val="4"/>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PART I.</w:t>
            </w: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300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r>
      <w:tr>
        <w:trPr>
          <w:trHeight w:val="164"/>
        </w:trPr>
        <w:tc>
          <w:tcPr>
            <w:tcW w:w="520" w:type="dxa"/>
            <w:vAlign w:val="bottom"/>
            <w:tcBorders>
              <w:top w:val="single" w:sz="8" w:color="0000EE"/>
            </w:tcBorders>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auto"/>
              </w:rPr>
              <w:t>Item 1.</w:t>
            </w:r>
          </w:p>
        </w:tc>
        <w:tc>
          <w:tcPr>
            <w:tcW w:w="300" w:type="dxa"/>
            <w:vAlign w:val="bottom"/>
            <w:gridSpan w:val="3"/>
            <w:shd w:val="clear" w:color="auto" w:fill="CCEEFF"/>
          </w:tcPr>
          <w:p>
            <w:pPr>
              <w:spacing w:after="0"/>
              <w:rPr>
                <w:sz w:val="14"/>
                <w:szCs w:val="14"/>
                <w:color w:val="auto"/>
              </w:rPr>
            </w:pPr>
          </w:p>
        </w:tc>
        <w:tc>
          <w:tcPr>
            <w:tcW w:w="9880" w:type="dxa"/>
            <w:vAlign w:val="bottom"/>
            <w:gridSpan w:val="22"/>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Business</w:t>
            </w:r>
          </w:p>
        </w:tc>
        <w:tc>
          <w:tcPr>
            <w:tcW w:w="560" w:type="dxa"/>
            <w:vAlign w:val="bottom"/>
            <w:shd w:val="clear" w:color="auto" w:fill="CCEEFF"/>
          </w:tcPr>
          <w:p>
            <w:pPr>
              <w:jc w:val="right"/>
              <w:spacing w:after="0" w:line="164" w:lineRule="exact"/>
              <w:rPr>
                <w:sz w:val="20"/>
                <w:szCs w:val="20"/>
                <w:color w:val="auto"/>
              </w:rPr>
            </w:pPr>
            <w:r>
              <w:rPr>
                <w:rFonts w:ascii="Times New Roman" w:cs="Times New Roman" w:eastAsia="Times New Roman" w:hAnsi="Times New Roman"/>
                <w:sz w:val="15"/>
                <w:szCs w:val="15"/>
                <w:color w:val="auto"/>
              </w:rPr>
              <w:t>1</w:t>
            </w:r>
          </w:p>
        </w:tc>
      </w:tr>
      <w:tr>
        <w:trPr>
          <w:trHeight w:val="35"/>
        </w:trPr>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57"/>
        </w:trPr>
        <w:tc>
          <w:tcPr>
            <w:tcW w:w="820" w:type="dxa"/>
            <w:vAlign w:val="bottom"/>
            <w:gridSpan w:val="4"/>
          </w:tcPr>
          <w:p>
            <w:pPr>
              <w:spacing w:after="0" w:line="150" w:lineRule="exact"/>
              <w:rPr>
                <w:sz w:val="20"/>
                <w:szCs w:val="20"/>
                <w:color w:val="auto"/>
              </w:rPr>
            </w:pPr>
            <w:r>
              <w:rPr>
                <w:rFonts w:ascii="Times New Roman" w:cs="Times New Roman" w:eastAsia="Times New Roman" w:hAnsi="Times New Roman"/>
                <w:sz w:val="15"/>
                <w:szCs w:val="15"/>
                <w:color w:val="auto"/>
              </w:rPr>
              <w:t>Item 1A.</w:t>
            </w:r>
          </w:p>
        </w:tc>
        <w:tc>
          <w:tcPr>
            <w:tcW w:w="780" w:type="dxa"/>
            <w:vAlign w:val="bottom"/>
            <w:tcBorders>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5"/>
                <w:szCs w:val="15"/>
                <w:color w:val="0000EE"/>
              </w:rPr>
              <w:t>Risk Factors</w:t>
            </w:r>
          </w:p>
        </w:tc>
        <w:tc>
          <w:tcPr>
            <w:tcW w:w="9100" w:type="dxa"/>
            <w:vAlign w:val="bottom"/>
            <w:gridSpan w:val="19"/>
          </w:tcPr>
          <w:p>
            <w:pPr>
              <w:spacing w:after="0"/>
              <w:rPr>
                <w:sz w:val="13"/>
                <w:szCs w:val="13"/>
                <w:color w:val="auto"/>
              </w:rPr>
            </w:pP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10</w:t>
            </w:r>
          </w:p>
        </w:tc>
      </w:tr>
      <w:tr>
        <w:trPr>
          <w:trHeight w:val="157"/>
        </w:trPr>
        <w:tc>
          <w:tcPr>
            <w:tcW w:w="82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Item 1B.</w:t>
            </w:r>
          </w:p>
        </w:tc>
        <w:tc>
          <w:tcPr>
            <w:tcW w:w="9880" w:type="dxa"/>
            <w:vAlign w:val="bottom"/>
            <w:gridSpan w:val="22"/>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rPr>
              <w:t>Unresolved Staff Comments</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41</w:t>
            </w:r>
          </w:p>
        </w:tc>
      </w:tr>
      <w:tr>
        <w:trPr>
          <w:trHeight w:val="35"/>
        </w:trPr>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57"/>
        </w:trPr>
        <w:tc>
          <w:tcPr>
            <w:tcW w:w="820" w:type="dxa"/>
            <w:vAlign w:val="bottom"/>
            <w:gridSpan w:val="4"/>
          </w:tcPr>
          <w:p>
            <w:pPr>
              <w:spacing w:after="0" w:line="150" w:lineRule="exact"/>
              <w:rPr>
                <w:sz w:val="20"/>
                <w:szCs w:val="20"/>
                <w:color w:val="auto"/>
              </w:rPr>
            </w:pPr>
            <w:r>
              <w:rPr>
                <w:rFonts w:ascii="Times New Roman" w:cs="Times New Roman" w:eastAsia="Times New Roman" w:hAnsi="Times New Roman"/>
                <w:sz w:val="15"/>
                <w:szCs w:val="15"/>
                <w:color w:val="auto"/>
              </w:rPr>
              <w:t>Item 1C.</w:t>
            </w:r>
          </w:p>
        </w:tc>
        <w:tc>
          <w:tcPr>
            <w:tcW w:w="3660" w:type="dxa"/>
            <w:vAlign w:val="bottom"/>
            <w:tcBorders>
              <w:bottom w:val="single" w:sz="8" w:color="0000EE"/>
            </w:tcBorders>
            <w:gridSpan w:val="14"/>
          </w:tcPr>
          <w:p>
            <w:pPr>
              <w:spacing w:after="0" w:line="150" w:lineRule="exact"/>
              <w:rPr>
                <w:sz w:val="20"/>
                <w:szCs w:val="20"/>
                <w:color w:val="auto"/>
              </w:rPr>
            </w:pPr>
            <w:r>
              <w:rPr>
                <w:rFonts w:ascii="Times New Roman" w:cs="Times New Roman" w:eastAsia="Times New Roman" w:hAnsi="Times New Roman"/>
                <w:sz w:val="15"/>
                <w:szCs w:val="15"/>
                <w:color w:val="0000EE"/>
              </w:rPr>
              <w:t>Cybersecurity Risk Management, Strategy and Governance</w:t>
            </w:r>
          </w:p>
        </w:tc>
        <w:tc>
          <w:tcPr>
            <w:tcW w:w="6220" w:type="dxa"/>
            <w:vAlign w:val="bottom"/>
            <w:gridSpan w:val="8"/>
          </w:tcPr>
          <w:p>
            <w:pPr>
              <w:spacing w:after="0"/>
              <w:rPr>
                <w:sz w:val="13"/>
                <w:szCs w:val="13"/>
                <w:color w:val="auto"/>
              </w:rPr>
            </w:pP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41</w:t>
            </w:r>
          </w:p>
        </w:tc>
      </w:tr>
      <w:tr>
        <w:trPr>
          <w:trHeight w:val="157"/>
        </w:trPr>
        <w:tc>
          <w:tcPr>
            <w:tcW w:w="82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Item 2.</w:t>
            </w:r>
          </w:p>
        </w:tc>
        <w:tc>
          <w:tcPr>
            <w:tcW w:w="9880" w:type="dxa"/>
            <w:vAlign w:val="bottom"/>
            <w:gridSpan w:val="22"/>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rPr>
              <w:t>Properties</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42</w:t>
            </w:r>
          </w:p>
        </w:tc>
      </w:tr>
      <w:tr>
        <w:trPr>
          <w:trHeight w:val="35"/>
        </w:trPr>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tcBorders>
              <w:right w:val="single" w:sz="8" w:color="CCEEFF"/>
            </w:tcBorders>
            <w:shd w:val="clear" w:color="auto" w:fill="0000EE"/>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57"/>
        </w:trPr>
        <w:tc>
          <w:tcPr>
            <w:tcW w:w="820" w:type="dxa"/>
            <w:vAlign w:val="bottom"/>
            <w:gridSpan w:val="4"/>
          </w:tcPr>
          <w:p>
            <w:pPr>
              <w:spacing w:after="0" w:line="150" w:lineRule="exact"/>
              <w:rPr>
                <w:sz w:val="20"/>
                <w:szCs w:val="20"/>
                <w:color w:val="auto"/>
              </w:rPr>
            </w:pPr>
            <w:r>
              <w:rPr>
                <w:rFonts w:ascii="Times New Roman" w:cs="Times New Roman" w:eastAsia="Times New Roman" w:hAnsi="Times New Roman"/>
                <w:sz w:val="15"/>
                <w:szCs w:val="15"/>
                <w:color w:val="auto"/>
              </w:rPr>
              <w:t>Item 3.</w:t>
            </w:r>
          </w:p>
        </w:tc>
        <w:tc>
          <w:tcPr>
            <w:tcW w:w="1140" w:type="dxa"/>
            <w:vAlign w:val="bottom"/>
            <w:tcBorders>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5"/>
                <w:szCs w:val="15"/>
                <w:color w:val="0000EE"/>
              </w:rPr>
              <w:t>Legal Proceedings</w:t>
            </w:r>
          </w:p>
        </w:tc>
        <w:tc>
          <w:tcPr>
            <w:tcW w:w="8740" w:type="dxa"/>
            <w:vAlign w:val="bottom"/>
            <w:gridSpan w:val="17"/>
          </w:tcPr>
          <w:p>
            <w:pPr>
              <w:spacing w:after="0"/>
              <w:rPr>
                <w:sz w:val="13"/>
                <w:szCs w:val="13"/>
                <w:color w:val="auto"/>
              </w:rPr>
            </w:pP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42</w:t>
            </w:r>
          </w:p>
        </w:tc>
      </w:tr>
      <w:tr>
        <w:trPr>
          <w:trHeight w:val="172"/>
        </w:trPr>
        <w:tc>
          <w:tcPr>
            <w:tcW w:w="82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Item 4.</w:t>
            </w:r>
          </w:p>
        </w:tc>
        <w:tc>
          <w:tcPr>
            <w:tcW w:w="9880" w:type="dxa"/>
            <w:vAlign w:val="bottom"/>
            <w:gridSpan w:val="22"/>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rPr>
              <w:t>Mine Safety Disclosures</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42</w:t>
            </w:r>
          </w:p>
        </w:tc>
      </w:tr>
      <w:tr>
        <w:trPr>
          <w:trHeight w:val="157"/>
        </w:trPr>
        <w:tc>
          <w:tcPr>
            <w:tcW w:w="820" w:type="dxa"/>
            <w:vAlign w:val="bottom"/>
            <w:tcBorders>
              <w:top w:val="single" w:sz="8" w:color="CCEEFF"/>
            </w:tcBorders>
            <w:gridSpan w:val="4"/>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PART II.</w:t>
            </w: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300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r>
      <w:tr>
        <w:trPr>
          <w:trHeight w:val="172"/>
        </w:trPr>
        <w:tc>
          <w:tcPr>
            <w:tcW w:w="580" w:type="dxa"/>
            <w:vAlign w:val="bottom"/>
            <w:tcBorders>
              <w:top w:val="single" w:sz="8" w:color="0000EE"/>
            </w:tcBorders>
            <w:gridSpan w:val="2"/>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Item 5.</w:t>
            </w:r>
          </w:p>
        </w:tc>
        <w:tc>
          <w:tcPr>
            <w:tcW w:w="240" w:type="dxa"/>
            <w:vAlign w:val="bottom"/>
            <w:gridSpan w:val="2"/>
            <w:shd w:val="clear" w:color="auto" w:fill="CCEEFF"/>
          </w:tcPr>
          <w:p>
            <w:pPr>
              <w:spacing w:after="0"/>
              <w:rPr>
                <w:sz w:val="14"/>
                <w:szCs w:val="14"/>
                <w:color w:val="auto"/>
              </w:rPr>
            </w:pPr>
          </w:p>
        </w:tc>
        <w:tc>
          <w:tcPr>
            <w:tcW w:w="9880" w:type="dxa"/>
            <w:vAlign w:val="bottom"/>
            <w:gridSpan w:val="22"/>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rPr>
              <w:t>Market for Registrant’s Common Equity, Related Stockholder Matters and Issuer Purchases of Equity Securities</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42</w:t>
            </w:r>
          </w:p>
        </w:tc>
      </w:tr>
      <w:tr>
        <w:trPr>
          <w:trHeight w:val="157"/>
        </w:trPr>
        <w:tc>
          <w:tcPr>
            <w:tcW w:w="820" w:type="dxa"/>
            <w:vAlign w:val="bottom"/>
            <w:tcBorders>
              <w:top w:val="single" w:sz="8" w:color="CCEEFF"/>
            </w:tcBorders>
            <w:gridSpan w:val="4"/>
          </w:tcPr>
          <w:p>
            <w:pPr>
              <w:spacing w:after="0" w:line="150" w:lineRule="exact"/>
              <w:rPr>
                <w:sz w:val="20"/>
                <w:szCs w:val="20"/>
                <w:color w:val="auto"/>
              </w:rPr>
            </w:pPr>
            <w:r>
              <w:rPr>
                <w:rFonts w:ascii="Times New Roman" w:cs="Times New Roman" w:eastAsia="Times New Roman" w:hAnsi="Times New Roman"/>
                <w:sz w:val="15"/>
                <w:szCs w:val="15"/>
                <w:color w:val="auto"/>
              </w:rPr>
              <w:t>Item 6.</w:t>
            </w:r>
          </w:p>
        </w:tc>
        <w:tc>
          <w:tcPr>
            <w:tcW w:w="680" w:type="dxa"/>
            <w:vAlign w:val="bottom"/>
            <w:tcBorders>
              <w:top w:val="single" w:sz="8" w:color="0000EE"/>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5"/>
                <w:szCs w:val="15"/>
                <w:color w:val="0000EE"/>
                <w:w w:val="97"/>
              </w:rPr>
              <w:t>[Reserved]</w:t>
            </w:r>
          </w:p>
        </w:tc>
        <w:tc>
          <w:tcPr>
            <w:tcW w:w="6200" w:type="dxa"/>
            <w:vAlign w:val="bottom"/>
            <w:tcBorders>
              <w:top w:val="single" w:sz="8" w:color="0000EE"/>
            </w:tcBorders>
            <w:gridSpan w:val="19"/>
          </w:tcPr>
          <w:p>
            <w:pPr>
              <w:spacing w:after="0"/>
              <w:rPr>
                <w:sz w:val="13"/>
                <w:szCs w:val="13"/>
                <w:color w:val="auto"/>
              </w:rPr>
            </w:pPr>
          </w:p>
        </w:tc>
        <w:tc>
          <w:tcPr>
            <w:tcW w:w="300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jc w:val="right"/>
              <w:spacing w:after="0" w:line="150" w:lineRule="exact"/>
              <w:rPr>
                <w:sz w:val="20"/>
                <w:szCs w:val="20"/>
                <w:color w:val="auto"/>
              </w:rPr>
            </w:pPr>
            <w:r>
              <w:rPr>
                <w:rFonts w:ascii="Times New Roman" w:cs="Times New Roman" w:eastAsia="Times New Roman" w:hAnsi="Times New Roman"/>
                <w:sz w:val="15"/>
                <w:szCs w:val="15"/>
                <w:color w:val="auto"/>
              </w:rPr>
              <w:t>44</w:t>
            </w:r>
          </w:p>
        </w:tc>
      </w:tr>
      <w:tr>
        <w:trPr>
          <w:trHeight w:val="172"/>
        </w:trPr>
        <w:tc>
          <w:tcPr>
            <w:tcW w:w="82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Item 7.</w:t>
            </w:r>
          </w:p>
        </w:tc>
        <w:tc>
          <w:tcPr>
            <w:tcW w:w="9880" w:type="dxa"/>
            <w:vAlign w:val="bottom"/>
            <w:gridSpan w:val="22"/>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rPr>
              <w:t>Management’s Discussion and Analysis of Financial Condition and Results of Operations</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44</w:t>
            </w:r>
          </w:p>
        </w:tc>
      </w:tr>
      <w:tr>
        <w:trPr>
          <w:trHeight w:val="157"/>
        </w:trPr>
        <w:tc>
          <w:tcPr>
            <w:tcW w:w="820" w:type="dxa"/>
            <w:vAlign w:val="bottom"/>
            <w:tcBorders>
              <w:top w:val="single" w:sz="8" w:color="CCEEFF"/>
            </w:tcBorders>
            <w:gridSpan w:val="4"/>
          </w:tcPr>
          <w:p>
            <w:pPr>
              <w:spacing w:after="0" w:line="150" w:lineRule="exact"/>
              <w:rPr>
                <w:sz w:val="20"/>
                <w:szCs w:val="20"/>
                <w:color w:val="auto"/>
              </w:rPr>
            </w:pPr>
            <w:r>
              <w:rPr>
                <w:rFonts w:ascii="Times New Roman" w:cs="Times New Roman" w:eastAsia="Times New Roman" w:hAnsi="Times New Roman"/>
                <w:sz w:val="15"/>
                <w:szCs w:val="15"/>
                <w:color w:val="auto"/>
              </w:rPr>
              <w:t>Item 7A.</w:t>
            </w:r>
          </w:p>
        </w:tc>
        <w:tc>
          <w:tcPr>
            <w:tcW w:w="3720" w:type="dxa"/>
            <w:vAlign w:val="bottom"/>
            <w:tcBorders>
              <w:top w:val="single" w:sz="8" w:color="0000EE"/>
              <w:bottom w:val="single" w:sz="8" w:color="0000EE"/>
            </w:tcBorders>
            <w:gridSpan w:val="15"/>
          </w:tcPr>
          <w:p>
            <w:pPr>
              <w:spacing w:after="0" w:line="150" w:lineRule="exact"/>
              <w:rPr>
                <w:sz w:val="20"/>
                <w:szCs w:val="20"/>
                <w:color w:val="auto"/>
              </w:rPr>
            </w:pPr>
            <w:r>
              <w:rPr>
                <w:rFonts w:ascii="Times New Roman" w:cs="Times New Roman" w:eastAsia="Times New Roman" w:hAnsi="Times New Roman"/>
                <w:sz w:val="15"/>
                <w:szCs w:val="15"/>
                <w:color w:val="0000EE"/>
              </w:rPr>
              <w:t>Quantitative and Qualitative Disclosures About Market Risk</w:t>
            </w:r>
          </w:p>
        </w:tc>
        <w:tc>
          <w:tcPr>
            <w:tcW w:w="1780" w:type="dxa"/>
            <w:vAlign w:val="bottom"/>
            <w:tcBorders>
              <w:top w:val="single" w:sz="8" w:color="0000EE"/>
            </w:tcBorders>
            <w:gridSpan w:val="3"/>
          </w:tcPr>
          <w:p>
            <w:pPr>
              <w:spacing w:after="0"/>
              <w:rPr>
                <w:sz w:val="13"/>
                <w:szCs w:val="13"/>
                <w:color w:val="auto"/>
              </w:rPr>
            </w:pPr>
          </w:p>
        </w:tc>
        <w:tc>
          <w:tcPr>
            <w:tcW w:w="4380" w:type="dxa"/>
            <w:vAlign w:val="bottom"/>
            <w:tcBorders>
              <w:top w:val="single" w:sz="8" w:color="CCEEFF"/>
            </w:tcBorders>
            <w:gridSpan w:val="4"/>
          </w:tcPr>
          <w:p>
            <w:pPr>
              <w:spacing w:after="0"/>
              <w:rPr>
                <w:sz w:val="13"/>
                <w:szCs w:val="13"/>
                <w:color w:val="auto"/>
              </w:rPr>
            </w:pPr>
          </w:p>
        </w:tc>
        <w:tc>
          <w:tcPr>
            <w:tcW w:w="560" w:type="dxa"/>
            <w:vAlign w:val="bottom"/>
            <w:tcBorders>
              <w:top w:val="single" w:sz="8" w:color="CCEEFF"/>
            </w:tcBorders>
          </w:tcPr>
          <w:p>
            <w:pPr>
              <w:jc w:val="right"/>
              <w:spacing w:after="0" w:line="150" w:lineRule="exact"/>
              <w:rPr>
                <w:sz w:val="20"/>
                <w:szCs w:val="20"/>
                <w:color w:val="auto"/>
              </w:rPr>
            </w:pPr>
            <w:r>
              <w:rPr>
                <w:rFonts w:ascii="Times New Roman" w:cs="Times New Roman" w:eastAsia="Times New Roman" w:hAnsi="Times New Roman"/>
                <w:sz w:val="15"/>
                <w:szCs w:val="15"/>
                <w:color w:val="auto"/>
              </w:rPr>
              <w:t>58</w:t>
            </w:r>
          </w:p>
        </w:tc>
      </w:tr>
      <w:tr>
        <w:trPr>
          <w:trHeight w:val="157"/>
        </w:trPr>
        <w:tc>
          <w:tcPr>
            <w:tcW w:w="82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Item 8.</w:t>
            </w:r>
          </w:p>
        </w:tc>
        <w:tc>
          <w:tcPr>
            <w:tcW w:w="9880" w:type="dxa"/>
            <w:vAlign w:val="bottom"/>
            <w:gridSpan w:val="22"/>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rPr>
              <w:t>Financial Statements and Supplementary Data</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58</w:t>
            </w:r>
          </w:p>
        </w:tc>
      </w:tr>
      <w:tr>
        <w:trPr>
          <w:trHeight w:val="35"/>
        </w:trPr>
        <w:tc>
          <w:tcPr>
            <w:tcW w:w="5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tcBorders>
              <w:righ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0000EE"/>
          </w:tcPr>
          <w:p>
            <w:pPr>
              <w:spacing w:after="0"/>
              <w:rPr>
                <w:sz w:val="3"/>
                <w:szCs w:val="3"/>
                <w:color w:val="auto"/>
              </w:rPr>
            </w:pPr>
          </w:p>
        </w:tc>
        <w:tc>
          <w:tcPr>
            <w:tcW w:w="140" w:type="dxa"/>
            <w:vAlign w:val="bottom"/>
            <w:tcBorders>
              <w:right w:val="single" w:sz="8" w:color="0000EE"/>
            </w:tcBorders>
            <w:shd w:val="clear" w:color="auto" w:fill="0000EE"/>
          </w:tcPr>
          <w:p>
            <w:pPr>
              <w:spacing w:after="0"/>
              <w:rPr>
                <w:sz w:val="3"/>
                <w:szCs w:val="3"/>
                <w:color w:val="auto"/>
              </w:rPr>
            </w:pPr>
          </w:p>
        </w:tc>
        <w:tc>
          <w:tcPr>
            <w:tcW w:w="100" w:type="dxa"/>
            <w:vAlign w:val="bottom"/>
            <w:shd w:val="clear" w:color="auto" w:fill="0000EE"/>
          </w:tcPr>
          <w:p>
            <w:pPr>
              <w:spacing w:after="0"/>
              <w:rPr>
                <w:sz w:val="3"/>
                <w:szCs w:val="3"/>
                <w:color w:val="auto"/>
              </w:rPr>
            </w:pPr>
          </w:p>
        </w:tc>
        <w:tc>
          <w:tcPr>
            <w:tcW w:w="34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180" w:type="dxa"/>
            <w:vAlign w:val="bottom"/>
            <w:shd w:val="clear" w:color="auto" w:fill="0000EE"/>
          </w:tcPr>
          <w:p>
            <w:pPr>
              <w:spacing w:after="0"/>
              <w:rPr>
                <w:sz w:val="3"/>
                <w:szCs w:val="3"/>
                <w:color w:val="auto"/>
              </w:rPr>
            </w:pPr>
          </w:p>
        </w:tc>
        <w:tc>
          <w:tcPr>
            <w:tcW w:w="20" w:type="dxa"/>
            <w:vAlign w:val="bottom"/>
            <w:shd w:val="clear" w:color="auto" w:fill="0000EE"/>
          </w:tcPr>
          <w:p>
            <w:pPr>
              <w:spacing w:after="0"/>
              <w:rPr>
                <w:sz w:val="3"/>
                <w:szCs w:val="3"/>
                <w:color w:val="auto"/>
              </w:rPr>
            </w:pPr>
          </w:p>
        </w:tc>
        <w:tc>
          <w:tcPr>
            <w:tcW w:w="200" w:type="dxa"/>
            <w:vAlign w:val="bottom"/>
            <w:tcBorders>
              <w:right w:val="single" w:sz="8" w:color="0000EE"/>
            </w:tcBorders>
            <w:shd w:val="clear" w:color="auto" w:fill="0000EE"/>
          </w:tcPr>
          <w:p>
            <w:pPr>
              <w:spacing w:after="0"/>
              <w:rPr>
                <w:sz w:val="3"/>
                <w:szCs w:val="3"/>
                <w:color w:val="auto"/>
              </w:rPr>
            </w:pPr>
          </w:p>
        </w:tc>
        <w:tc>
          <w:tcPr>
            <w:tcW w:w="200" w:type="dxa"/>
            <w:vAlign w:val="bottom"/>
            <w:shd w:val="clear" w:color="auto" w:fill="0000EE"/>
          </w:tcPr>
          <w:p>
            <w:pPr>
              <w:spacing w:after="0"/>
              <w:rPr>
                <w:sz w:val="3"/>
                <w:szCs w:val="3"/>
                <w:color w:val="auto"/>
              </w:rPr>
            </w:pPr>
          </w:p>
        </w:tc>
        <w:tc>
          <w:tcPr>
            <w:tcW w:w="700" w:type="dxa"/>
            <w:vAlign w:val="bottom"/>
            <w:shd w:val="clear" w:color="auto" w:fill="0000EE"/>
          </w:tcPr>
          <w:p>
            <w:pPr>
              <w:spacing w:after="0"/>
              <w:rPr>
                <w:sz w:val="3"/>
                <w:szCs w:val="3"/>
                <w:color w:val="auto"/>
              </w:rPr>
            </w:pPr>
          </w:p>
        </w:tc>
        <w:tc>
          <w:tcPr>
            <w:tcW w:w="260" w:type="dxa"/>
            <w:vAlign w:val="bottom"/>
            <w:shd w:val="clear" w:color="auto" w:fill="0000EE"/>
          </w:tcPr>
          <w:p>
            <w:pPr>
              <w:spacing w:after="0"/>
              <w:rPr>
                <w:sz w:val="3"/>
                <w:szCs w:val="3"/>
                <w:color w:val="auto"/>
              </w:rPr>
            </w:pPr>
          </w:p>
        </w:tc>
        <w:tc>
          <w:tcPr>
            <w:tcW w:w="140" w:type="dxa"/>
            <w:vAlign w:val="bottom"/>
            <w:shd w:val="clear" w:color="auto" w:fill="0000EE"/>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r>
        <w:trPr>
          <w:trHeight w:val="157"/>
        </w:trPr>
        <w:tc>
          <w:tcPr>
            <w:tcW w:w="820" w:type="dxa"/>
            <w:vAlign w:val="bottom"/>
            <w:gridSpan w:val="4"/>
          </w:tcPr>
          <w:p>
            <w:pPr>
              <w:spacing w:after="0" w:line="150" w:lineRule="exact"/>
              <w:rPr>
                <w:sz w:val="20"/>
                <w:szCs w:val="20"/>
                <w:color w:val="auto"/>
              </w:rPr>
            </w:pPr>
            <w:r>
              <w:rPr>
                <w:rFonts w:ascii="Times New Roman" w:cs="Times New Roman" w:eastAsia="Times New Roman" w:hAnsi="Times New Roman"/>
                <w:sz w:val="15"/>
                <w:szCs w:val="15"/>
                <w:color w:val="auto"/>
              </w:rPr>
              <w:t>Item 9.</w:t>
            </w:r>
          </w:p>
        </w:tc>
        <w:tc>
          <w:tcPr>
            <w:tcW w:w="988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Changes in and Disagreements with Accountants on Accounting and Financial Disclosure</w:t>
            </w: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59</w:t>
            </w:r>
          </w:p>
        </w:tc>
      </w:tr>
      <w:tr>
        <w:trPr>
          <w:trHeight w:val="172"/>
        </w:trPr>
        <w:tc>
          <w:tcPr>
            <w:tcW w:w="820" w:type="dxa"/>
            <w:vAlign w:val="bottom"/>
            <w:tcBorders>
              <w:bottom w:val="single" w:sz="8" w:color="CCEEFF"/>
            </w:tcBorders>
            <w:gridSpan w:val="4"/>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Item 9A.</w:t>
            </w:r>
          </w:p>
        </w:tc>
        <w:tc>
          <w:tcPr>
            <w:tcW w:w="1540" w:type="dxa"/>
            <w:vAlign w:val="bottom"/>
            <w:tcBorders>
              <w:top w:val="single" w:sz="8" w:color="0000EE"/>
              <w:bottom w:val="single" w:sz="8" w:color="0000EE"/>
              <w:right w:val="single" w:sz="8" w:color="CCEEFF"/>
            </w:tcBorders>
            <w:gridSpan w:val="8"/>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rPr>
              <w:t>Controls and Procedures</w:t>
            </w:r>
          </w:p>
        </w:tc>
        <w:tc>
          <w:tcPr>
            <w:tcW w:w="3980" w:type="dxa"/>
            <w:vAlign w:val="bottom"/>
            <w:tcBorders>
              <w:top w:val="single" w:sz="8" w:color="0000EE"/>
              <w:bottom w:val="single" w:sz="8" w:color="CCEEFF"/>
            </w:tcBorders>
            <w:gridSpan w:val="11"/>
            <w:shd w:val="clear" w:color="auto" w:fill="CCEEFF"/>
          </w:tcPr>
          <w:p>
            <w:pPr>
              <w:spacing w:after="0"/>
              <w:rPr>
                <w:sz w:val="14"/>
                <w:szCs w:val="14"/>
                <w:color w:val="auto"/>
              </w:rPr>
            </w:pPr>
          </w:p>
        </w:tc>
        <w:tc>
          <w:tcPr>
            <w:tcW w:w="4360" w:type="dxa"/>
            <w:vAlign w:val="bottom"/>
            <w:tcBorders>
              <w:bottom w:val="single" w:sz="8" w:color="CCEEFF"/>
            </w:tcBorders>
            <w:gridSpan w:val="3"/>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59</w:t>
            </w:r>
          </w:p>
        </w:tc>
      </w:tr>
      <w:tr>
        <w:trPr>
          <w:trHeight w:val="150"/>
        </w:trPr>
        <w:tc>
          <w:tcPr>
            <w:tcW w:w="820" w:type="dxa"/>
            <w:vAlign w:val="bottom"/>
            <w:gridSpan w:val="4"/>
          </w:tcPr>
          <w:p>
            <w:pPr>
              <w:spacing w:after="0" w:line="150" w:lineRule="exact"/>
              <w:rPr>
                <w:sz w:val="20"/>
                <w:szCs w:val="20"/>
                <w:color w:val="auto"/>
              </w:rPr>
            </w:pPr>
            <w:r>
              <w:rPr>
                <w:rFonts w:ascii="Times New Roman" w:cs="Times New Roman" w:eastAsia="Times New Roman" w:hAnsi="Times New Roman"/>
                <w:sz w:val="15"/>
                <w:szCs w:val="15"/>
                <w:color w:val="auto"/>
              </w:rPr>
              <w:t>Item 9B.</w:t>
            </w:r>
          </w:p>
        </w:tc>
        <w:tc>
          <w:tcPr>
            <w:tcW w:w="988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Other Information</w:t>
            </w: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60</w:t>
            </w:r>
          </w:p>
        </w:tc>
      </w:tr>
      <w:tr>
        <w:trPr>
          <w:trHeight w:val="27"/>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2"/>
        </w:trPr>
        <w:tc>
          <w:tcPr>
            <w:tcW w:w="82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Item 9C.</w:t>
            </w:r>
          </w:p>
        </w:tc>
        <w:tc>
          <w:tcPr>
            <w:tcW w:w="9880" w:type="dxa"/>
            <w:vAlign w:val="bottom"/>
            <w:gridSpan w:val="22"/>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rPr>
              <w:t>Disclosures Regarding Foreign Jurisdictions That Prevent Inspections</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60</w:t>
            </w:r>
          </w:p>
        </w:tc>
      </w:tr>
      <w:tr>
        <w:trPr>
          <w:trHeight w:val="157"/>
        </w:trPr>
        <w:tc>
          <w:tcPr>
            <w:tcW w:w="820" w:type="dxa"/>
            <w:vAlign w:val="bottom"/>
            <w:tcBorders>
              <w:top w:val="single" w:sz="8" w:color="CCEEFF"/>
            </w:tcBorders>
            <w:gridSpan w:val="4"/>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PART III.</w:t>
            </w: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700" w:type="dxa"/>
            <w:vAlign w:val="bottom"/>
            <w:tcBorders>
              <w:top w:val="single" w:sz="8" w:color="0000EE"/>
            </w:tcBorders>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66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580" w:type="dxa"/>
            <w:vAlign w:val="bottom"/>
            <w:tcBorders>
              <w:top w:val="single" w:sz="8" w:color="0000EE"/>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300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r>
      <w:tr>
        <w:trPr>
          <w:trHeight w:val="172"/>
        </w:trPr>
        <w:tc>
          <w:tcPr>
            <w:tcW w:w="640" w:type="dxa"/>
            <w:vAlign w:val="bottom"/>
            <w:tcBorders>
              <w:top w:val="single" w:sz="8" w:color="0000EE"/>
              <w:bottom w:val="single" w:sz="8" w:color="CCEEFF"/>
              <w:right w:val="single" w:sz="8" w:color="CCEEFF"/>
            </w:tcBorders>
            <w:gridSpan w:val="3"/>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Item 10.</w:t>
            </w:r>
          </w:p>
        </w:tc>
        <w:tc>
          <w:tcPr>
            <w:tcW w:w="180" w:type="dxa"/>
            <w:vAlign w:val="bottom"/>
            <w:tcBorders>
              <w:bottom w:val="single" w:sz="8" w:color="CCEEFF"/>
            </w:tcBorders>
            <w:shd w:val="clear" w:color="auto" w:fill="CCEEFF"/>
          </w:tcPr>
          <w:p>
            <w:pPr>
              <w:spacing w:after="0"/>
              <w:rPr>
                <w:sz w:val="14"/>
                <w:szCs w:val="14"/>
                <w:color w:val="auto"/>
              </w:rPr>
            </w:pPr>
          </w:p>
        </w:tc>
        <w:tc>
          <w:tcPr>
            <w:tcW w:w="3500" w:type="dxa"/>
            <w:vAlign w:val="bottom"/>
            <w:tcBorders>
              <w:bottom w:val="single" w:sz="8" w:color="0000EE"/>
            </w:tcBorders>
            <w:gridSpan w:val="13"/>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rPr>
              <w:t>Directors, Executive Officers and Corporate Governance</w:t>
            </w:r>
          </w:p>
        </w:tc>
        <w:tc>
          <w:tcPr>
            <w:tcW w:w="6380" w:type="dxa"/>
            <w:vAlign w:val="bottom"/>
            <w:tcBorders>
              <w:bottom w:val="single" w:sz="8" w:color="CCEEFF"/>
            </w:tcBorders>
            <w:gridSpan w:val="9"/>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61</w:t>
            </w:r>
          </w:p>
        </w:tc>
      </w:tr>
      <w:tr>
        <w:trPr>
          <w:trHeight w:val="150"/>
        </w:trPr>
        <w:tc>
          <w:tcPr>
            <w:tcW w:w="820" w:type="dxa"/>
            <w:vAlign w:val="bottom"/>
            <w:gridSpan w:val="4"/>
          </w:tcPr>
          <w:p>
            <w:pPr>
              <w:spacing w:after="0" w:line="150" w:lineRule="exact"/>
              <w:rPr>
                <w:sz w:val="20"/>
                <w:szCs w:val="20"/>
                <w:color w:val="auto"/>
              </w:rPr>
            </w:pPr>
            <w:r>
              <w:rPr>
                <w:rFonts w:ascii="Times New Roman" w:cs="Times New Roman" w:eastAsia="Times New Roman" w:hAnsi="Times New Roman"/>
                <w:sz w:val="15"/>
                <w:szCs w:val="15"/>
                <w:color w:val="auto"/>
              </w:rPr>
              <w:t>Item 11.</w:t>
            </w:r>
          </w:p>
        </w:tc>
        <w:tc>
          <w:tcPr>
            <w:tcW w:w="988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Executive Compensation</w:t>
            </w: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61</w:t>
            </w:r>
          </w:p>
        </w:tc>
      </w:tr>
      <w:tr>
        <w:trPr>
          <w:trHeight w:val="27"/>
        </w:trPr>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72"/>
        </w:trPr>
        <w:tc>
          <w:tcPr>
            <w:tcW w:w="82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Item 12.</w:t>
            </w:r>
          </w:p>
        </w:tc>
        <w:tc>
          <w:tcPr>
            <w:tcW w:w="9880" w:type="dxa"/>
            <w:vAlign w:val="bottom"/>
            <w:gridSpan w:val="22"/>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rPr>
              <w:t>Security Ownership of Certain Beneficial Owners and Management and Related Stockholder Matters</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61</w:t>
            </w:r>
          </w:p>
        </w:tc>
      </w:tr>
      <w:tr>
        <w:trPr>
          <w:trHeight w:val="157"/>
        </w:trPr>
        <w:tc>
          <w:tcPr>
            <w:tcW w:w="820" w:type="dxa"/>
            <w:vAlign w:val="bottom"/>
            <w:tcBorders>
              <w:top w:val="single" w:sz="8" w:color="CCEEFF"/>
            </w:tcBorders>
            <w:gridSpan w:val="4"/>
          </w:tcPr>
          <w:p>
            <w:pPr>
              <w:spacing w:after="0" w:line="150" w:lineRule="exact"/>
              <w:rPr>
                <w:sz w:val="20"/>
                <w:szCs w:val="20"/>
                <w:color w:val="auto"/>
              </w:rPr>
            </w:pPr>
            <w:r>
              <w:rPr>
                <w:rFonts w:ascii="Times New Roman" w:cs="Times New Roman" w:eastAsia="Times New Roman" w:hAnsi="Times New Roman"/>
                <w:sz w:val="15"/>
                <w:szCs w:val="15"/>
                <w:color w:val="auto"/>
              </w:rPr>
              <w:t>Item 13.</w:t>
            </w:r>
          </w:p>
        </w:tc>
        <w:tc>
          <w:tcPr>
            <w:tcW w:w="4660" w:type="dxa"/>
            <w:vAlign w:val="bottom"/>
            <w:tcBorders>
              <w:top w:val="single" w:sz="8" w:color="0000EE"/>
              <w:bottom w:val="single" w:sz="8" w:color="0000EE"/>
            </w:tcBorders>
            <w:gridSpan w:val="17"/>
          </w:tcPr>
          <w:p>
            <w:pPr>
              <w:spacing w:after="0" w:line="150" w:lineRule="exact"/>
              <w:rPr>
                <w:sz w:val="20"/>
                <w:szCs w:val="20"/>
                <w:color w:val="auto"/>
              </w:rPr>
            </w:pPr>
            <w:r>
              <w:rPr>
                <w:rFonts w:ascii="Times New Roman" w:cs="Times New Roman" w:eastAsia="Times New Roman" w:hAnsi="Times New Roman"/>
                <w:sz w:val="15"/>
                <w:szCs w:val="15"/>
                <w:color w:val="0000EE"/>
              </w:rPr>
              <w:t>Certain Relationships and Related Transactions, and Director Independence</w:t>
            </w:r>
          </w:p>
        </w:tc>
        <w:tc>
          <w:tcPr>
            <w:tcW w:w="1560" w:type="dxa"/>
            <w:vAlign w:val="bottom"/>
            <w:tcBorders>
              <w:top w:val="single" w:sz="8" w:color="0000EE"/>
            </w:tcBorders>
            <w:gridSpan w:val="3"/>
          </w:tcPr>
          <w:p>
            <w:pPr>
              <w:spacing w:after="0"/>
              <w:rPr>
                <w:sz w:val="13"/>
                <w:szCs w:val="13"/>
                <w:color w:val="auto"/>
              </w:rPr>
            </w:pPr>
          </w:p>
        </w:tc>
        <w:tc>
          <w:tcPr>
            <w:tcW w:w="3660" w:type="dxa"/>
            <w:vAlign w:val="bottom"/>
            <w:tcBorders>
              <w:top w:val="single" w:sz="8" w:color="CCEEFF"/>
            </w:tcBorders>
            <w:gridSpan w:val="2"/>
          </w:tcPr>
          <w:p>
            <w:pPr>
              <w:spacing w:after="0"/>
              <w:rPr>
                <w:sz w:val="13"/>
                <w:szCs w:val="13"/>
                <w:color w:val="auto"/>
              </w:rPr>
            </w:pPr>
          </w:p>
        </w:tc>
        <w:tc>
          <w:tcPr>
            <w:tcW w:w="560" w:type="dxa"/>
            <w:vAlign w:val="bottom"/>
            <w:tcBorders>
              <w:top w:val="single" w:sz="8" w:color="CCEEFF"/>
            </w:tcBorders>
          </w:tcPr>
          <w:p>
            <w:pPr>
              <w:jc w:val="right"/>
              <w:spacing w:after="0" w:line="150" w:lineRule="exact"/>
              <w:rPr>
                <w:sz w:val="20"/>
                <w:szCs w:val="20"/>
                <w:color w:val="auto"/>
              </w:rPr>
            </w:pPr>
            <w:r>
              <w:rPr>
                <w:rFonts w:ascii="Times New Roman" w:cs="Times New Roman" w:eastAsia="Times New Roman" w:hAnsi="Times New Roman"/>
                <w:sz w:val="15"/>
                <w:szCs w:val="15"/>
                <w:color w:val="auto"/>
              </w:rPr>
              <w:t>61</w:t>
            </w:r>
          </w:p>
        </w:tc>
      </w:tr>
      <w:tr>
        <w:trPr>
          <w:trHeight w:val="172"/>
        </w:trPr>
        <w:tc>
          <w:tcPr>
            <w:tcW w:w="82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Item 14.</w:t>
            </w:r>
          </w:p>
        </w:tc>
        <w:tc>
          <w:tcPr>
            <w:tcW w:w="9880" w:type="dxa"/>
            <w:vAlign w:val="bottom"/>
            <w:gridSpan w:val="22"/>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rPr>
              <w:t>Principal Accountant Fees and Services</w:t>
            </w: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61</w:t>
            </w:r>
          </w:p>
        </w:tc>
      </w:tr>
      <w:tr>
        <w:trPr>
          <w:trHeight w:val="157"/>
        </w:trPr>
        <w:tc>
          <w:tcPr>
            <w:tcW w:w="820" w:type="dxa"/>
            <w:vAlign w:val="bottom"/>
            <w:tcBorders>
              <w:top w:val="single" w:sz="8" w:color="CCEEFF"/>
            </w:tcBorders>
            <w:gridSpan w:val="4"/>
          </w:tcPr>
          <w:p>
            <w:pPr>
              <w:spacing w:after="0" w:line="150" w:lineRule="exact"/>
              <w:rPr>
                <w:sz w:val="20"/>
                <w:szCs w:val="20"/>
                <w:color w:val="auto"/>
              </w:rPr>
            </w:pPr>
            <w:r>
              <w:rPr>
                <w:rFonts w:ascii="Times New Roman" w:cs="Times New Roman" w:eastAsia="Times New Roman" w:hAnsi="Times New Roman"/>
                <w:sz w:val="15"/>
                <w:szCs w:val="15"/>
                <w:b w:val="1"/>
                <w:bCs w:val="1"/>
                <w:color w:val="0000EE"/>
              </w:rPr>
              <w:t>PART IV.</w:t>
            </w:r>
          </w:p>
        </w:tc>
        <w:tc>
          <w:tcPr>
            <w:tcW w:w="540" w:type="dxa"/>
            <w:vAlign w:val="bottom"/>
            <w:tcBorders>
              <w:top w:val="single" w:sz="8" w:color="0000EE"/>
            </w:tcBorders>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3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8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200" w:type="dxa"/>
            <w:vAlign w:val="bottom"/>
            <w:tcBorders>
              <w:top w:val="single" w:sz="8" w:color="0000EE"/>
            </w:tcBorders>
          </w:tcPr>
          <w:p>
            <w:pPr>
              <w:spacing w:after="0"/>
              <w:rPr>
                <w:sz w:val="13"/>
                <w:szCs w:val="13"/>
                <w:color w:val="auto"/>
              </w:rPr>
            </w:pPr>
          </w:p>
        </w:tc>
        <w:tc>
          <w:tcPr>
            <w:tcW w:w="700" w:type="dxa"/>
            <w:vAlign w:val="bottom"/>
            <w:tcBorders>
              <w:top w:val="single" w:sz="8" w:color="0000EE"/>
            </w:tcBorders>
          </w:tcPr>
          <w:p>
            <w:pPr>
              <w:spacing w:after="0"/>
              <w:rPr>
                <w:sz w:val="13"/>
                <w:szCs w:val="13"/>
                <w:color w:val="auto"/>
              </w:rPr>
            </w:pPr>
          </w:p>
        </w:tc>
        <w:tc>
          <w:tcPr>
            <w:tcW w:w="26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60" w:type="dxa"/>
            <w:vAlign w:val="bottom"/>
            <w:tcBorders>
              <w:top w:val="single" w:sz="8" w:color="CCEEFF"/>
            </w:tcBorders>
          </w:tcPr>
          <w:p>
            <w:pPr>
              <w:spacing w:after="0"/>
              <w:rPr>
                <w:sz w:val="13"/>
                <w:szCs w:val="13"/>
                <w:color w:val="auto"/>
              </w:rPr>
            </w:pPr>
          </w:p>
        </w:tc>
        <w:tc>
          <w:tcPr>
            <w:tcW w:w="580" w:type="dxa"/>
            <w:vAlign w:val="bottom"/>
            <w:tcBorders>
              <w:top w:val="single" w:sz="8" w:color="CCEEFF"/>
            </w:tcBorders>
          </w:tcPr>
          <w:p>
            <w:pPr>
              <w:spacing w:after="0"/>
              <w:rPr>
                <w:sz w:val="13"/>
                <w:szCs w:val="13"/>
                <w:color w:val="auto"/>
              </w:rPr>
            </w:pPr>
          </w:p>
        </w:tc>
        <w:tc>
          <w:tcPr>
            <w:tcW w:w="360" w:type="dxa"/>
            <w:vAlign w:val="bottom"/>
            <w:tcBorders>
              <w:top w:val="single" w:sz="8" w:color="CCEEFF"/>
            </w:tcBorders>
          </w:tcPr>
          <w:p>
            <w:pPr>
              <w:spacing w:after="0"/>
              <w:rPr>
                <w:sz w:val="13"/>
                <w:szCs w:val="13"/>
                <w:color w:val="auto"/>
              </w:rPr>
            </w:pPr>
          </w:p>
        </w:tc>
        <w:tc>
          <w:tcPr>
            <w:tcW w:w="840" w:type="dxa"/>
            <w:vAlign w:val="bottom"/>
            <w:tcBorders>
              <w:top w:val="single" w:sz="8" w:color="CCEEFF"/>
            </w:tcBorders>
          </w:tcPr>
          <w:p>
            <w:pPr>
              <w:spacing w:after="0"/>
              <w:rPr>
                <w:sz w:val="13"/>
                <w:szCs w:val="13"/>
                <w:color w:val="auto"/>
              </w:rPr>
            </w:pPr>
          </w:p>
        </w:tc>
        <w:tc>
          <w:tcPr>
            <w:tcW w:w="20" w:type="dxa"/>
            <w:vAlign w:val="bottom"/>
            <w:tcBorders>
              <w:top w:val="single" w:sz="8" w:color="CCEEFF"/>
            </w:tcBorders>
          </w:tcPr>
          <w:p>
            <w:pPr>
              <w:spacing w:after="0"/>
              <w:rPr>
                <w:sz w:val="13"/>
                <w:szCs w:val="13"/>
                <w:color w:val="auto"/>
              </w:rPr>
            </w:pPr>
          </w:p>
        </w:tc>
        <w:tc>
          <w:tcPr>
            <w:tcW w:w="700" w:type="dxa"/>
            <w:vAlign w:val="bottom"/>
            <w:tcBorders>
              <w:top w:val="single" w:sz="8" w:color="CCEEFF"/>
            </w:tcBorders>
          </w:tcPr>
          <w:p>
            <w:pPr>
              <w:spacing w:after="0"/>
              <w:rPr>
                <w:sz w:val="13"/>
                <w:szCs w:val="13"/>
                <w:color w:val="auto"/>
              </w:rPr>
            </w:pPr>
          </w:p>
        </w:tc>
        <w:tc>
          <w:tcPr>
            <w:tcW w:w="660" w:type="dxa"/>
            <w:vAlign w:val="bottom"/>
            <w:tcBorders>
              <w:top w:val="single" w:sz="8" w:color="CCEEFF"/>
            </w:tcBorders>
          </w:tcPr>
          <w:p>
            <w:pPr>
              <w:spacing w:after="0"/>
              <w:rPr>
                <w:sz w:val="13"/>
                <w:szCs w:val="13"/>
                <w:color w:val="auto"/>
              </w:rPr>
            </w:pPr>
          </w:p>
        </w:tc>
        <w:tc>
          <w:tcPr>
            <w:tcW w:w="300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spacing w:after="0"/>
              <w:rPr>
                <w:sz w:val="13"/>
                <w:szCs w:val="13"/>
                <w:color w:val="auto"/>
              </w:rPr>
            </w:pPr>
          </w:p>
        </w:tc>
      </w:tr>
      <w:tr>
        <w:trPr>
          <w:trHeight w:val="172"/>
        </w:trPr>
        <w:tc>
          <w:tcPr>
            <w:tcW w:w="640" w:type="dxa"/>
            <w:vAlign w:val="bottom"/>
            <w:tcBorders>
              <w:top w:val="single" w:sz="8" w:color="0000EE"/>
              <w:bottom w:val="single" w:sz="8" w:color="CCEEFF"/>
              <w:right w:val="single" w:sz="8" w:color="CCEEFF"/>
            </w:tcBorders>
            <w:gridSpan w:val="3"/>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auto"/>
              </w:rPr>
              <w:t>Item 15.</w:t>
            </w:r>
          </w:p>
        </w:tc>
        <w:tc>
          <w:tcPr>
            <w:tcW w:w="180" w:type="dxa"/>
            <w:vAlign w:val="bottom"/>
            <w:tcBorders>
              <w:bottom w:val="single" w:sz="8" w:color="CCEEFF"/>
            </w:tcBorders>
            <w:shd w:val="clear" w:color="auto" w:fill="CCEEFF"/>
          </w:tcPr>
          <w:p>
            <w:pPr>
              <w:spacing w:after="0"/>
              <w:rPr>
                <w:sz w:val="14"/>
                <w:szCs w:val="14"/>
                <w:color w:val="auto"/>
              </w:rPr>
            </w:pPr>
          </w:p>
        </w:tc>
        <w:tc>
          <w:tcPr>
            <w:tcW w:w="2700" w:type="dxa"/>
            <w:vAlign w:val="bottom"/>
            <w:tcBorders>
              <w:bottom w:val="single" w:sz="8" w:color="0000EE"/>
            </w:tcBorders>
            <w:gridSpan w:val="11"/>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rPr>
              <w:t>Exhibits and Financial Statement Schedules</w:t>
            </w:r>
          </w:p>
        </w:tc>
        <w:tc>
          <w:tcPr>
            <w:tcW w:w="7180" w:type="dxa"/>
            <w:vAlign w:val="bottom"/>
            <w:tcBorders>
              <w:bottom w:val="single" w:sz="8" w:color="CCEEFF"/>
            </w:tcBorders>
            <w:gridSpan w:val="11"/>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62</w:t>
            </w:r>
          </w:p>
        </w:tc>
      </w:tr>
      <w:tr>
        <w:trPr>
          <w:trHeight w:val="157"/>
        </w:trPr>
        <w:tc>
          <w:tcPr>
            <w:tcW w:w="820" w:type="dxa"/>
            <w:vAlign w:val="bottom"/>
            <w:gridSpan w:val="4"/>
          </w:tcPr>
          <w:p>
            <w:pPr>
              <w:spacing w:after="0" w:line="150" w:lineRule="exact"/>
              <w:rPr>
                <w:sz w:val="20"/>
                <w:szCs w:val="20"/>
                <w:color w:val="auto"/>
              </w:rPr>
            </w:pPr>
            <w:r>
              <w:rPr>
                <w:rFonts w:ascii="Times New Roman" w:cs="Times New Roman" w:eastAsia="Times New Roman" w:hAnsi="Times New Roman"/>
                <w:sz w:val="15"/>
                <w:szCs w:val="15"/>
                <w:color w:val="auto"/>
              </w:rPr>
              <w:t>Item 16.</w:t>
            </w:r>
          </w:p>
        </w:tc>
        <w:tc>
          <w:tcPr>
            <w:tcW w:w="9880" w:type="dxa"/>
            <w:vAlign w:val="bottom"/>
            <w:gridSpan w:val="22"/>
          </w:tcPr>
          <w:p>
            <w:pPr>
              <w:spacing w:after="0" w:line="150" w:lineRule="exact"/>
              <w:rPr>
                <w:sz w:val="20"/>
                <w:szCs w:val="20"/>
                <w:color w:val="auto"/>
              </w:rPr>
            </w:pPr>
            <w:r>
              <w:rPr>
                <w:rFonts w:ascii="Times New Roman" w:cs="Times New Roman" w:eastAsia="Times New Roman" w:hAnsi="Times New Roman"/>
                <w:sz w:val="15"/>
                <w:szCs w:val="15"/>
                <w:color w:val="0000EE"/>
              </w:rPr>
              <w:t>Form 10-K Summary</w:t>
            </w:r>
          </w:p>
        </w:tc>
        <w:tc>
          <w:tcPr>
            <w:tcW w:w="560" w:type="dxa"/>
            <w:vAlign w:val="bottom"/>
          </w:tcPr>
          <w:p>
            <w:pPr>
              <w:jc w:val="right"/>
              <w:spacing w:after="0" w:line="150" w:lineRule="exact"/>
              <w:rPr>
                <w:sz w:val="20"/>
                <w:szCs w:val="20"/>
                <w:color w:val="auto"/>
              </w:rPr>
            </w:pPr>
            <w:r>
              <w:rPr>
                <w:rFonts w:ascii="Times New Roman" w:cs="Times New Roman" w:eastAsia="Times New Roman" w:hAnsi="Times New Roman"/>
                <w:sz w:val="15"/>
                <w:szCs w:val="15"/>
                <w:color w:val="auto"/>
              </w:rPr>
              <w:t>64</w:t>
            </w:r>
          </w:p>
        </w:tc>
      </w:tr>
      <w:tr>
        <w:trPr>
          <w:trHeight w:val="157"/>
        </w:trPr>
        <w:tc>
          <w:tcPr>
            <w:tcW w:w="820" w:type="dxa"/>
            <w:vAlign w:val="bottom"/>
            <w:gridSpan w:val="4"/>
            <w:shd w:val="clear" w:color="auto" w:fill="CCEEFF"/>
          </w:tcPr>
          <w:p>
            <w:pPr>
              <w:spacing w:after="0" w:line="157" w:lineRule="exact"/>
              <w:rPr>
                <w:sz w:val="20"/>
                <w:szCs w:val="20"/>
                <w:color w:val="auto"/>
              </w:rPr>
            </w:pPr>
            <w:r>
              <w:rPr>
                <w:rFonts w:ascii="Times New Roman" w:cs="Times New Roman" w:eastAsia="Times New Roman" w:hAnsi="Times New Roman"/>
                <w:sz w:val="15"/>
                <w:szCs w:val="15"/>
                <w:color w:val="0000EE"/>
              </w:rPr>
              <w:t>Signatures</w:t>
            </w:r>
          </w:p>
        </w:tc>
        <w:tc>
          <w:tcPr>
            <w:tcW w:w="540" w:type="dxa"/>
            <w:vAlign w:val="bottom"/>
            <w:tcBorders>
              <w:top w:val="single" w:sz="8" w:color="0000EE"/>
            </w:tcBorders>
            <w:shd w:val="clear" w:color="auto" w:fill="CCEEFF"/>
          </w:tcPr>
          <w:p>
            <w:pPr>
              <w:spacing w:after="0"/>
              <w:rPr>
                <w:sz w:val="13"/>
                <w:szCs w:val="13"/>
                <w:color w:val="auto"/>
              </w:rPr>
            </w:pPr>
          </w:p>
        </w:tc>
        <w:tc>
          <w:tcPr>
            <w:tcW w:w="140" w:type="dxa"/>
            <w:vAlign w:val="bottom"/>
            <w:tcBorders>
              <w:top w:val="single" w:sz="8" w:color="0000EE"/>
              <w:right w:val="single" w:sz="8" w:color="CCEEFF"/>
            </w:tcBorders>
            <w:shd w:val="clear" w:color="auto" w:fill="CCEEFF"/>
          </w:tcPr>
          <w:p>
            <w:pPr>
              <w:spacing w:after="0"/>
              <w:rPr>
                <w:sz w:val="13"/>
                <w:szCs w:val="13"/>
                <w:color w:val="auto"/>
              </w:rPr>
            </w:pPr>
          </w:p>
        </w:tc>
        <w:tc>
          <w:tcPr>
            <w:tcW w:w="100" w:type="dxa"/>
            <w:vAlign w:val="bottom"/>
            <w:tcBorders>
              <w:top w:val="single" w:sz="8" w:color="0000EE"/>
            </w:tcBorders>
            <w:shd w:val="clear" w:color="auto" w:fill="CCEEFF"/>
          </w:tcPr>
          <w:p>
            <w:pPr>
              <w:spacing w:after="0"/>
              <w:rPr>
                <w:sz w:val="13"/>
                <w:szCs w:val="13"/>
                <w:color w:val="auto"/>
              </w:rPr>
            </w:pPr>
          </w:p>
        </w:tc>
        <w:tc>
          <w:tcPr>
            <w:tcW w:w="340" w:type="dxa"/>
            <w:vAlign w:val="bottom"/>
            <w:tcBorders>
              <w:top w:val="single" w:sz="8" w:color="0000EE"/>
            </w:tcBorders>
            <w:shd w:val="clear" w:color="auto" w:fill="CCEEFF"/>
          </w:tcPr>
          <w:p>
            <w:pPr>
              <w:spacing w:after="0"/>
              <w:rPr>
                <w:sz w:val="13"/>
                <w:szCs w:val="13"/>
                <w:color w:val="auto"/>
              </w:rPr>
            </w:pPr>
          </w:p>
        </w:tc>
        <w:tc>
          <w:tcPr>
            <w:tcW w:w="20" w:type="dxa"/>
            <w:vAlign w:val="bottom"/>
            <w:tcBorders>
              <w:top w:val="single" w:sz="8" w:color="0000EE"/>
            </w:tcBorders>
            <w:shd w:val="clear" w:color="auto" w:fill="CCEEFF"/>
          </w:tcPr>
          <w:p>
            <w:pPr>
              <w:spacing w:after="0"/>
              <w:rPr>
                <w:sz w:val="13"/>
                <w:szCs w:val="13"/>
                <w:color w:val="auto"/>
              </w:rPr>
            </w:pPr>
          </w:p>
        </w:tc>
        <w:tc>
          <w:tcPr>
            <w:tcW w:w="180" w:type="dxa"/>
            <w:vAlign w:val="bottom"/>
            <w:tcBorders>
              <w:top w:val="single" w:sz="8" w:color="0000EE"/>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line="157" w:lineRule="exact"/>
              <w:rPr>
                <w:sz w:val="20"/>
                <w:szCs w:val="20"/>
                <w:color w:val="auto"/>
              </w:rPr>
            </w:pPr>
            <w:r>
              <w:rPr>
                <w:rFonts w:ascii="Times New Roman" w:cs="Times New Roman" w:eastAsia="Times New Roman" w:hAnsi="Times New Roman"/>
                <w:sz w:val="15"/>
                <w:szCs w:val="15"/>
                <w:color w:val="auto"/>
              </w:rPr>
              <w:t>65</w:t>
            </w:r>
          </w:p>
        </w:tc>
      </w:tr>
      <w:tr>
        <w:trPr>
          <w:trHeight w:val="35"/>
        </w:trPr>
        <w:tc>
          <w:tcPr>
            <w:tcW w:w="520" w:type="dxa"/>
            <w:vAlign w:val="bottom"/>
            <w:shd w:val="clear" w:color="auto" w:fill="0000EE"/>
          </w:tcPr>
          <w:p>
            <w:pPr>
              <w:spacing w:after="0"/>
              <w:rPr>
                <w:sz w:val="3"/>
                <w:szCs w:val="3"/>
                <w:color w:val="auto"/>
              </w:rPr>
            </w:pPr>
          </w:p>
        </w:tc>
        <w:tc>
          <w:tcPr>
            <w:tcW w:w="60" w:type="dxa"/>
            <w:vAlign w:val="bottom"/>
            <w:shd w:val="clear" w:color="auto" w:fill="0000EE"/>
          </w:tcPr>
          <w:p>
            <w:pPr>
              <w:spacing w:after="0"/>
              <w:rPr>
                <w:sz w:val="3"/>
                <w:szCs w:val="3"/>
                <w:color w:val="auto"/>
              </w:rPr>
            </w:pPr>
          </w:p>
        </w:tc>
        <w:tc>
          <w:tcPr>
            <w:tcW w:w="60" w:type="dxa"/>
            <w:vAlign w:val="bottom"/>
            <w:tcBorders>
              <w:right w:val="single" w:sz="8" w:color="0000EE"/>
            </w:tcBorders>
            <w:shd w:val="clear" w:color="auto" w:fill="0000EE"/>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3000" w:type="dxa"/>
            <w:vAlign w:val="bottom"/>
            <w:shd w:val="clear" w:color="auto" w:fill="CCEEFF"/>
          </w:tcPr>
          <w:p>
            <w:pPr>
              <w:spacing w:after="0"/>
              <w:rPr>
                <w:sz w:val="3"/>
                <w:szCs w:val="3"/>
                <w:color w:val="auto"/>
              </w:rPr>
            </w:pPr>
          </w:p>
        </w:tc>
        <w:tc>
          <w:tcPr>
            <w:tcW w:w="560" w:type="dxa"/>
            <w:vAlign w:val="bottom"/>
            <w:shd w:val="clear" w:color="auto" w:fill="CCEEFF"/>
          </w:tcPr>
          <w:p>
            <w:pPr>
              <w:spacing w:after="0"/>
              <w:rPr>
                <w:sz w:val="3"/>
                <w:szCs w:val="3"/>
                <w:color w:val="auto"/>
              </w:rPr>
            </w:pPr>
          </w:p>
        </w:tc>
      </w:tr>
    </w:tbl>
    <w:p>
      <w:pPr>
        <w:spacing w:after="0" w:line="1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3" w:name="page4"/>
    <w:bookmarkEnd w:id="3"/>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CAUTIONARY STATEMENT REGARDING FORWARD-LOOKING STATEMENTS</w:t>
      </w:r>
    </w:p>
    <w:p>
      <w:pPr>
        <w:spacing w:after="0" w:line="200" w:lineRule="exact"/>
        <w:rPr>
          <w:sz w:val="20"/>
          <w:szCs w:val="20"/>
          <w:color w:val="auto"/>
        </w:rPr>
      </w:pPr>
    </w:p>
    <w:p>
      <w:pPr>
        <w:jc w:val="both"/>
        <w:ind w:left="8" w:firstLine="276"/>
        <w:spacing w:after="0" w:line="274" w:lineRule="auto"/>
        <w:rPr>
          <w:sz w:val="20"/>
          <w:szCs w:val="20"/>
          <w:color w:val="auto"/>
        </w:rPr>
      </w:pPr>
      <w:r>
        <w:rPr>
          <w:rFonts w:ascii="Times New Roman" w:cs="Times New Roman" w:eastAsia="Times New Roman" w:hAnsi="Times New Roman"/>
          <w:sz w:val="15"/>
          <w:szCs w:val="15"/>
          <w:color w:val="auto"/>
        </w:rPr>
        <w:t>This Annual Report on Form 10-K (the “Annual Report”) contains statements that constitute forward-looking statements. Many of the forward-looking statements contained in this Annual Report can be identified by the use of forward-looking words such as “anticipate,” “believe,” “could,” “expect,” “should,” “plan,” “intend,” “may,” “predict,” “continue,” “estimate” and “potential,” or the negative of these terms or other similar expressions.</w:t>
      </w:r>
    </w:p>
    <w:p>
      <w:pPr>
        <w:spacing w:after="0" w:line="146" w:lineRule="exact"/>
        <w:rPr>
          <w:sz w:val="20"/>
          <w:szCs w:val="20"/>
          <w:color w:val="auto"/>
        </w:rPr>
      </w:pPr>
    </w:p>
    <w:p>
      <w:pPr>
        <w:jc w:val="both"/>
        <w:ind w:left="8" w:firstLine="276"/>
        <w:spacing w:after="0" w:line="264" w:lineRule="auto"/>
        <w:rPr>
          <w:sz w:val="20"/>
          <w:szCs w:val="20"/>
          <w:color w:val="auto"/>
        </w:rPr>
      </w:pPr>
      <w:r>
        <w:rPr>
          <w:rFonts w:ascii="Times New Roman" w:cs="Times New Roman" w:eastAsia="Times New Roman" w:hAnsi="Times New Roman"/>
          <w:sz w:val="15"/>
          <w:szCs w:val="15"/>
          <w:color w:val="auto"/>
        </w:rPr>
        <w:t>Forward-looking statements appear in a number of places in this Annual Report and include, but are not limited to, statements regarding our intent, belief or current expectations. These forward-looking statements include information about possible or assumed future results of our business, financial condition, results of operations, liquidity, plans and objectives.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described in “Part I, Item 1A.—Risk Factors,” of this Annual Report. The statements we make regarding the following matters are forward-looking by their nature:</w:t>
      </w:r>
    </w:p>
    <w:p>
      <w:pPr>
        <w:spacing w:after="0" w:line="341" w:lineRule="exact"/>
        <w:rPr>
          <w:sz w:val="20"/>
          <w:szCs w:val="20"/>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re-establish profitable operations, raise additional capital or renegotiate our debt arrangements;</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growth prospects and strategies;</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launching new games and additional functionality to games that are commercially successful;</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expectations regarding significant drivers of our future growth;</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retain and increase our player base and develop new video games and enhance our existing games;</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competition from companies in a number of industries, including other casual game developers and publishers and both large and small, public and private multimedia companies;</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attract and retain a qualified management team and other team members while controlling our labor costs;</w:t>
      </w:r>
    </w:p>
    <w:p>
      <w:pPr>
        <w:spacing w:after="0" w:line="196" w:lineRule="exact"/>
        <w:rPr>
          <w:rFonts w:ascii="Times New Roman" w:cs="Times New Roman" w:eastAsia="Times New Roman" w:hAnsi="Times New Roman"/>
          <w:sz w:val="15"/>
          <w:szCs w:val="15"/>
          <w:color w:val="auto"/>
        </w:rPr>
      </w:pPr>
    </w:p>
    <w:p>
      <w:pPr>
        <w:ind w:left="268" w:right="20" w:hanging="268"/>
        <w:spacing w:after="0" w:line="292" w:lineRule="auto"/>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relationships with third-party platforms such as Xbox Live and Game Pass, PlayStation Network, Steam, Epic Games Store, the Apple App Store, the Google Play Store, My Nintendo Store and the Amazon Appstore;</w:t>
      </w:r>
    </w:p>
    <w:p>
      <w:pPr>
        <w:spacing w:after="0" w:line="133"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successfully enter new markets and manage our international expansion;</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protecting and developing our brand and intellectual property portfolio;</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costs associated with defending intellectual property infringement and other claims;</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future business development, results of operations and financial condition;</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rulings by courts or other governmental authorities;</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Share Repurchase Program (as defined below), including expectations regarding the timing and manner of repurchases made under the Share Repurchase Program;</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plans to pursue and successfully integrate strategic acquisitions;</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risks and uncertainties described in this Annual Report, including those described in Item 1A of Part I, “Risk Factors”; and</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assumptions underlying any of the foregoing.</w:t>
      </w:r>
    </w:p>
    <w:p>
      <w:pPr>
        <w:spacing w:after="0" w:line="196" w:lineRule="exact"/>
        <w:rPr>
          <w:sz w:val="20"/>
          <w:szCs w:val="20"/>
          <w:color w:val="auto"/>
        </w:rPr>
      </w:pPr>
    </w:p>
    <w:p>
      <w:pPr>
        <w:jc w:val="both"/>
        <w:ind w:left="8" w:firstLine="276"/>
        <w:spacing w:after="0" w:line="263" w:lineRule="auto"/>
        <w:rPr>
          <w:sz w:val="20"/>
          <w:szCs w:val="20"/>
          <w:color w:val="auto"/>
        </w:rPr>
      </w:pPr>
      <w:r>
        <w:rPr>
          <w:rFonts w:ascii="Times New Roman" w:cs="Times New Roman" w:eastAsia="Times New Roman" w:hAnsi="Times New Roman"/>
          <w:sz w:val="15"/>
          <w:szCs w:val="15"/>
          <w:color w:val="auto"/>
        </w:rPr>
        <w:t>Further information on risks, uncertainties and other factors that could affect our financial results are included in our filings with the United States Securities and Exchange Commission (the “SEC”) from time to time, including in Item 1A of Part I, “Risk Factors,” of this Annual Report and other periodic reports on Form 10-K and 10-Q filed or to be filed with the SEC. You should not rely on these forward-looking statements, as actual outcomes and results may differ materially from those expressed or implied in the forward-looking statements as a result of such risks and uncertainties. All forward-looking statements in this Annual Report are based on management’s beliefs and assumptions and on information currently available to us as of the date of this filing, and we do not assume any obligation to update the forward-looking statements provided to reflect events that occur or circumstances that exist after the date on which they were made.</w:t>
      </w:r>
    </w:p>
    <w:p>
      <w:pPr>
        <w:spacing w:after="0" w:line="15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5264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5"/>
          <w:szCs w:val="15"/>
          <w:b w:val="1"/>
          <w:bCs w:val="1"/>
          <w:color w:val="auto"/>
        </w:rPr>
        <w:t>PART I</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200" w:lineRule="exact"/>
        <w:rPr>
          <w:sz w:val="20"/>
          <w:szCs w:val="20"/>
          <w:color w:val="auto"/>
        </w:rPr>
      </w:pPr>
    </w:p>
    <w:p>
      <w:pPr>
        <w:jc w:val="both"/>
        <w:ind w:firstLine="276"/>
        <w:spacing w:after="0" w:line="260" w:lineRule="auto"/>
        <w:rPr>
          <w:sz w:val="20"/>
          <w:szCs w:val="20"/>
          <w:color w:val="auto"/>
        </w:rPr>
      </w:pPr>
      <w:r>
        <w:rPr>
          <w:rFonts w:ascii="Times New Roman" w:cs="Times New Roman" w:eastAsia="Times New Roman" w:hAnsi="Times New Roman"/>
          <w:sz w:val="15"/>
          <w:szCs w:val="15"/>
          <w:color w:val="auto"/>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has been a top-25 selling game on the Steam platform by gross revenue each year we released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downloadable content (“DLC”).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is a leader within the sandbox survival genre with over 94.8 million console and PC installs through December 31, 2024. See Item 7 of Part II, “Management’s Discussion and Analysis of Financial Condition and Results of Operations—Key Performance Metrics.” In the year ended December 31, 2024,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combined for an average total of 213,000 daily active users (“DAUs”) on the Steam and Epic platforms. We define “daily active users” as the number of unique users who play any given game on any given day. For the years ended December 31, 2024 and 2023, we generated 85.1% and 87.8%, respectively, of our revenues from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w:t>
      </w:r>
    </w:p>
    <w:p>
      <w:pPr>
        <w:spacing w:after="0" w:line="157" w:lineRule="exact"/>
        <w:rPr>
          <w:sz w:val="20"/>
          <w:szCs w:val="20"/>
          <w:color w:val="auto"/>
        </w:rPr>
      </w:pPr>
    </w:p>
    <w:p>
      <w:pPr>
        <w:jc w:val="both"/>
        <w:ind w:firstLine="276"/>
        <w:spacing w:after="0" w:line="277" w:lineRule="auto"/>
        <w:rPr>
          <w:sz w:val="20"/>
          <w:szCs w:val="20"/>
          <w:color w:val="auto"/>
        </w:rPr>
      </w:pPr>
      <w:r>
        <w:rPr>
          <w:rFonts w:ascii="Times New Roman" w:cs="Times New Roman" w:eastAsia="Times New Roman" w:hAnsi="Times New Roman"/>
          <w:sz w:val="15"/>
          <w:szCs w:val="15"/>
          <w:color w:val="auto"/>
        </w:rPr>
        <w:t xml:space="preserve">Our roots trace back to the beginnings of the massively multiplayer online role-playing games (“MMORPG”), with early titles including </w:t>
      </w:r>
      <w:r>
        <w:rPr>
          <w:rFonts w:ascii="Times New Roman" w:cs="Times New Roman" w:eastAsia="Times New Roman" w:hAnsi="Times New Roman"/>
          <w:sz w:val="15"/>
          <w:szCs w:val="15"/>
          <w:i w:val="1"/>
          <w:iCs w:val="1"/>
          <w:color w:val="auto"/>
        </w:rPr>
        <w:t>Age of Wushu</w:t>
      </w:r>
      <w:r>
        <w:rPr>
          <w:rFonts w:ascii="Times New Roman" w:cs="Times New Roman" w:eastAsia="Times New Roman" w:hAnsi="Times New Roman"/>
          <w:sz w:val="15"/>
          <w:szCs w:val="15"/>
          <w:color w:val="auto"/>
        </w:rPr>
        <w:t>. Our long history provides us with substantial experience that we leverage to identify and invest in promising game development studios and to manage the growth of our games into AAA titles. We collaborate with talented development teams, providing our expertise, capital, technological resources, customer service, marketing strategy and other services to achieve a successful outcome.</w:t>
      </w:r>
    </w:p>
    <w:p>
      <w:pPr>
        <w:spacing w:after="0" w:line="144" w:lineRule="exact"/>
        <w:rPr>
          <w:sz w:val="20"/>
          <w:szCs w:val="20"/>
          <w:color w:val="auto"/>
        </w:rPr>
      </w:pPr>
    </w:p>
    <w:p>
      <w:pPr>
        <w:jc w:val="both"/>
        <w:ind w:firstLine="276"/>
        <w:spacing w:after="0" w:line="272" w:lineRule="auto"/>
        <w:rPr>
          <w:sz w:val="20"/>
          <w:szCs w:val="20"/>
          <w:color w:val="auto"/>
        </w:rPr>
      </w:pPr>
      <w:r>
        <w:rPr>
          <w:rFonts w:ascii="Times New Roman" w:cs="Times New Roman" w:eastAsia="Times New Roman" w:hAnsi="Times New Roman"/>
          <w:sz w:val="15"/>
          <w:szCs w:val="15"/>
          <w:color w:val="auto"/>
        </w:rPr>
        <w:t>We optimize our development pipeline and target specific market segments by publishing games under several specialized brands through our two publishing labels, Snail Games USA and Wandering Wizard. Our distribution strategy utilizes Steam’s early access feature (“Early Access”), which allows us to publish a title while it is still in development, to achieve faster go-to-market times. We utilize proprietary technology, including a versatile game engine and advanced server technology, to heighten artistic detail and increase player engagement.</w:t>
      </w:r>
    </w:p>
    <w:p>
      <w:pPr>
        <w:spacing w:after="0" w:line="3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attribute our continued success to several differentiating elements.</w:t>
      </w:r>
    </w:p>
    <w:p>
      <w:pPr>
        <w:spacing w:after="0" w:line="192" w:lineRule="exact"/>
        <w:rPr>
          <w:sz w:val="20"/>
          <w:szCs w:val="20"/>
          <w:color w:val="auto"/>
        </w:rPr>
      </w:pPr>
    </w:p>
    <w:p>
      <w:pPr>
        <w:jc w:val="both"/>
        <w:ind w:right="20" w:firstLine="276"/>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Perseverance</w:t>
      </w:r>
      <w:r>
        <w:rPr>
          <w:rFonts w:ascii="Times New Roman" w:cs="Times New Roman" w:eastAsia="Times New Roman" w:hAnsi="Times New Roman"/>
          <w:sz w:val="15"/>
          <w:szCs w:val="15"/>
          <w:color w:val="auto"/>
        </w:rPr>
        <w:t>: We are called Snail because we admire a snail’s perseverance in achieving its goals. We maintain a disciplined approach to our game development, financial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management and strategic acquisitions as we seek to deliver long-term value.</w:t>
      </w:r>
    </w:p>
    <w:p>
      <w:pPr>
        <w:spacing w:after="0" w:line="12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Innovation</w:t>
      </w:r>
      <w:r>
        <w:rPr>
          <w:rFonts w:ascii="Times New Roman" w:cs="Times New Roman" w:eastAsia="Times New Roman" w:hAnsi="Times New Roman"/>
          <w:sz w:val="15"/>
          <w:szCs w:val="15"/>
          <w:color w:val="auto"/>
        </w:rPr>
        <w:t>: We believe innovation is at the core of a highly engaging entertainment experience. Our titles span from indie games to our AAA franchise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created the Wandering Wizard label to allow us to invest and grow indie titles built by bright, passionate teams.</w:t>
      </w:r>
    </w:p>
    <w:p>
      <w:pPr>
        <w:spacing w:after="0" w:line="178" w:lineRule="exact"/>
        <w:rPr>
          <w:sz w:val="20"/>
          <w:szCs w:val="20"/>
          <w:color w:val="auto"/>
        </w:rPr>
      </w:pPr>
    </w:p>
    <w:p>
      <w:pPr>
        <w:jc w:val="both"/>
        <w:ind w:firstLine="276"/>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Technology</w:t>
      </w:r>
      <w:r>
        <w:rPr>
          <w:rFonts w:ascii="Times New Roman" w:cs="Times New Roman" w:eastAsia="Times New Roman" w:hAnsi="Times New Roman"/>
          <w:sz w:val="15"/>
          <w:szCs w:val="15"/>
          <w:color w:val="auto"/>
        </w:rPr>
        <w:t>: We utilize advanced and proprietary technologies to drive demand and optimize costs. The Company is strategically integrating artificial intelligence technology into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our game development process. We will transform our art pipeline with an innovative text to 3D model and pioneer the generation of resources and biomes on a planetary scale. Our proprietary micro-influencer platform,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operated by our subsidiary Eminence Corp, enables us to substantially broaden our influencer base at an advantaged cost, and our game and server technology provide a highly customizable development infrastructure.</w:t>
      </w:r>
    </w:p>
    <w:p>
      <w:pPr>
        <w:spacing w:after="0" w:line="145" w:lineRule="exact"/>
        <w:rPr>
          <w:sz w:val="20"/>
          <w:szCs w:val="20"/>
          <w:color w:val="auto"/>
        </w:rPr>
      </w:pPr>
    </w:p>
    <w:p>
      <w:pPr>
        <w:jc w:val="both"/>
        <w:ind w:firstLine="276"/>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Collaboration</w:t>
      </w:r>
      <w:r>
        <w:rPr>
          <w:rFonts w:ascii="Times New Roman" w:cs="Times New Roman" w:eastAsia="Times New Roman" w:hAnsi="Times New Roman"/>
          <w:sz w:val="15"/>
          <w:szCs w:val="15"/>
          <w:color w:val="auto"/>
        </w:rPr>
        <w:t>: We partner with talented independent studios for game development. Development teams, some of which are our wholly owned subsidiaries, are provided capital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other critical resources and are afforded a high degree of autonomy. We believe this model best preserves the culture and creativity of the development team and encourages the development of successful games.</w:t>
      </w:r>
    </w:p>
    <w:p>
      <w:pPr>
        <w:spacing w:after="0" w:line="140" w:lineRule="exact"/>
        <w:rPr>
          <w:sz w:val="20"/>
          <w:szCs w:val="20"/>
          <w:color w:val="auto"/>
        </w:rPr>
      </w:pPr>
    </w:p>
    <w:p>
      <w:pPr>
        <w:jc w:val="both"/>
        <w:ind w:right="20" w:firstLine="276"/>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Developers</w:t>
      </w:r>
      <w:r>
        <w:rPr>
          <w:rFonts w:ascii="Times New Roman" w:cs="Times New Roman" w:eastAsia="Times New Roman" w:hAnsi="Times New Roman"/>
          <w:sz w:val="15"/>
          <w:szCs w:val="15"/>
          <w:color w:val="auto"/>
        </w:rPr>
        <w:t>: We believe in the importance of maintaining a broad developer network to ensure the simultaneous development of high-quality games. We have seven internal</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development studios and we partner with two related-party development studios from AAA to indie located in the United States and internationally.</w:t>
      </w:r>
    </w:p>
    <w:p>
      <w:pPr>
        <w:spacing w:after="0" w:line="124" w:lineRule="exact"/>
        <w:rPr>
          <w:sz w:val="20"/>
          <w:szCs w:val="20"/>
          <w:color w:val="auto"/>
        </w:rPr>
      </w:pPr>
    </w:p>
    <w:p>
      <w:pPr>
        <w:jc w:val="both"/>
        <w:ind w:firstLine="276"/>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Experience</w:t>
      </w:r>
      <w:r>
        <w:rPr>
          <w:rFonts w:ascii="Times New Roman" w:cs="Times New Roman" w:eastAsia="Times New Roman" w:hAnsi="Times New Roman"/>
          <w:sz w:val="15"/>
          <w:szCs w:val="15"/>
          <w:color w:val="auto"/>
        </w:rPr>
        <w:t>: Our management team has deep knowledge of the gaming landscape based on more than two decades of experience in the gaming industry. Our Founder, Co-Chief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Executive Officer, Chief Strategy Officer, and Chairman Mr. Hai Shi, was a pioneer in sandbox and MMORPG games, and our Vice President and Director of Business Development and Operations, Peter Kang, who has a deep understanding of game development and publishing. Our industry experience is foundational to our success in development and publishing and helps us to quickly identify attractive acquisition and partnership opportunities.</w:t>
      </w:r>
    </w:p>
    <w:p>
      <w:pPr>
        <w:spacing w:after="0" w:line="149"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 xml:space="preserve">Our dedication to providing audiences with high-quality entertainment experiences utilizing the latest gaming technology has produced strong user engagement, continued revenue growth, and increased cash flows. Through December 31, 2024,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series games have been played for 3.9 billion hours with an average playing time per user of 162.1 hours and with the top 21.3% of all players spending over 100 hours in the game, according to data from the Steam platform. For the years ending December 31, 2024 and 2023, our net revenue was $84.5 million and $60.9 million, respectively. We have maintained a diversified revenue base across platforms. During fiscal year 2024, approximately 42.4% of our revenue came from consoles, 48.1% from PC and 5.5% from mobile platforms; as compared to 43.7% from consoles, 43.4% from PC and 9.6% from mobile platforms during the year ended December 31, 2023. We had a net income of $1.8 million for the year ending December 31, 2024 as compared to a net loss of $9.1 million for the year ending December 31, 2023.</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color w:val="auto"/>
        </w:rPr>
        <w:t>Recent Developments</w:t>
      </w:r>
    </w:p>
    <w:p>
      <w:pPr>
        <w:spacing w:after="0" w:line="196" w:lineRule="exact"/>
        <w:rPr>
          <w:sz w:val="20"/>
          <w:szCs w:val="20"/>
          <w:color w:val="auto"/>
        </w:rPr>
      </w:pPr>
    </w:p>
    <w:p>
      <w:pPr>
        <w:jc w:val="both"/>
        <w:ind w:firstLine="276"/>
        <w:spacing w:after="0" w:line="266" w:lineRule="auto"/>
        <w:rPr>
          <w:sz w:val="20"/>
          <w:szCs w:val="20"/>
          <w:color w:val="auto"/>
        </w:rPr>
      </w:pPr>
      <w:r>
        <w:rPr>
          <w:rFonts w:ascii="Times New Roman" w:cs="Times New Roman" w:eastAsia="Times New Roman" w:hAnsi="Times New Roman"/>
          <w:sz w:val="15"/>
          <w:szCs w:val="15"/>
          <w:i w:val="1"/>
          <w:iCs w:val="1"/>
          <w:color w:val="auto"/>
        </w:rPr>
        <w:t>Game portfolio expansion</w:t>
      </w:r>
      <w:r>
        <w:rPr>
          <w:rFonts w:ascii="Times New Roman" w:cs="Times New Roman" w:eastAsia="Times New Roman" w:hAnsi="Times New Roman"/>
          <w:sz w:val="15"/>
          <w:szCs w:val="15"/>
          <w:color w:val="auto"/>
        </w:rPr>
        <w:t>: In December 2024, we released the highly anticipated next-gen ARK mobile game, ARK Ultimate Mobile Edition on iOS and Android platforms.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launch month, over 2 million users downloaded the mobile game across the two mobile platforms. In an effort to further broaden our game portfolio. In 2024, we acquired eleven games through our gaming network and partners. We expect to release nine acquired games in 2025. A few notable titles include Honeycomb: The World Beyond – A sci-fi survival adventure where players assume the role of a bioengineer navigating the mysterious planet Sota7, Echoes of Elysium – an airship survival RPG set in a breathtaking procedural world of mystery and discovery, and Robots at Midnight – a retro-futuristic action-RPG aiming to captivate players with its dynamic gameplay and immersive storytelling.</w:t>
      </w:r>
    </w:p>
    <w:p>
      <w:pPr>
        <w:spacing w:after="0" w:line="150" w:lineRule="exact"/>
        <w:rPr>
          <w:sz w:val="20"/>
          <w:szCs w:val="20"/>
          <w:color w:val="auto"/>
        </w:rPr>
      </w:pPr>
    </w:p>
    <w:p>
      <w:pPr>
        <w:jc w:val="both"/>
        <w:ind w:firstLine="276"/>
        <w:spacing w:after="0" w:line="277" w:lineRule="auto"/>
        <w:rPr>
          <w:sz w:val="20"/>
          <w:szCs w:val="20"/>
          <w:color w:val="auto"/>
        </w:rPr>
      </w:pPr>
      <w:r>
        <w:rPr>
          <w:rFonts w:ascii="Times New Roman" w:cs="Times New Roman" w:eastAsia="Times New Roman" w:hAnsi="Times New Roman"/>
          <w:sz w:val="15"/>
          <w:szCs w:val="15"/>
          <w:i w:val="1"/>
          <w:iCs w:val="1"/>
          <w:color w:val="auto"/>
        </w:rPr>
        <w:t xml:space="preserve">New product segment: </w:t>
      </w:r>
      <w:r>
        <w:rPr>
          <w:rFonts w:ascii="Times New Roman" w:cs="Times New Roman" w:eastAsia="Times New Roman" w:hAnsi="Times New Roman"/>
          <w:sz w:val="15"/>
          <w:szCs w:val="15"/>
          <w:color w:val="auto"/>
        </w:rPr>
        <w:t>To bring more entertainment to our users, we have soft launched a short film mobile application on iOS and Android platforms. The short film mobile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application, SaltyTV, brings exclusive, original stories from heart-racing thrillers to jaw-dropping romances to our viewers. We have released thirty-one short film dramas to date and expect a consistent roll out of new short film dramas throughout 2025 and beyond.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 Opportunity</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 xml:space="preserve">We serve a large addressable market in a dynamic industry with strong growth tailwinds. Video games are rapidly growing as an entertainment platform on a global scale given the proliferation of mobile devices and numerous vectors of gaming experience. We are well-positioned to capitalize on economic trends in our markets as we own and/or maintain exclusive license rights to valuable intellectual property (“IP”) that can be monetized through various channels across gaming and digital entertainment. We believe that our current market leadership in video games and growing presence in influencer platform through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xml:space="preserve"> is just our beginning.</w:t>
      </w:r>
    </w:p>
    <w:p>
      <w:pPr>
        <w:spacing w:after="0" w:line="151"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We have developed and invested in various successful sandbox survival titles since 2015. Our video game production quality, our history of franchise success, and our technological leadership have contributed to a deeply engaged, global player community, many members of which continue to purchase DLCs for our existing games and related games published under our brand or co-brands. We also offer the advantage of providing equal accessibility to gamers of all experience levels and demographics for our sandbox survival games, allowing us to maximize audience reach. Furthermore, depending on players’ experience and intensity, our platform gives players the flexibility to play on our servers, user-created servers, or private servers, which allows us to target a wider range of gamers and lower operating expenses.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Value Proposition</w:t>
      </w:r>
    </w:p>
    <w:p>
      <w:pPr>
        <w:spacing w:after="0" w:line="196" w:lineRule="exact"/>
        <w:rPr>
          <w:sz w:val="20"/>
          <w:szCs w:val="20"/>
          <w:color w:val="auto"/>
        </w:rPr>
      </w:pPr>
    </w:p>
    <w:p>
      <w:pPr>
        <w:jc w:val="both"/>
        <w:ind w:right="20" w:firstLine="276"/>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Value proposition for gamers</w:t>
      </w:r>
      <w:r>
        <w:rPr>
          <w:rFonts w:ascii="Times New Roman" w:cs="Times New Roman" w:eastAsia="Times New Roman" w:hAnsi="Times New Roman"/>
          <w:sz w:val="15"/>
          <w:szCs w:val="15"/>
          <w:color w:val="auto"/>
        </w:rPr>
        <w:t>: We aim to provide high-quality entertainment experience to end users. We strive to create the best game play experience for gamers by offering</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frequent new content and endless game play possibility as key value propositions to our players.</w:t>
      </w:r>
    </w:p>
    <w:p>
      <w:pPr>
        <w:spacing w:after="0" w:line="124" w:lineRule="exact"/>
        <w:rPr>
          <w:sz w:val="20"/>
          <w:szCs w:val="20"/>
          <w:color w:val="auto"/>
        </w:rPr>
      </w:pPr>
    </w:p>
    <w:p>
      <w:pPr>
        <w:jc w:val="both"/>
        <w:ind w:firstLine="276"/>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New Content</w:t>
      </w:r>
      <w:r>
        <w:rPr>
          <w:rFonts w:ascii="Times New Roman" w:cs="Times New Roman" w:eastAsia="Times New Roman" w:hAnsi="Times New Roman"/>
          <w:sz w:val="15"/>
          <w:szCs w:val="15"/>
          <w:color w:val="auto"/>
        </w:rPr>
        <w:t>: We continuously incorporate feedback from players to improve existing games and build expansion packs, which are released periodically. DLCs offer gamers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familiar game play in a new virtual world with a different fantasy twist from dinosaurs to Sci-Fi.</w:t>
      </w:r>
    </w:p>
    <w:p>
      <w:pPr>
        <w:spacing w:after="0" w:line="124" w:lineRule="exact"/>
        <w:rPr>
          <w:sz w:val="20"/>
          <w:szCs w:val="20"/>
          <w:color w:val="auto"/>
        </w:rPr>
      </w:pPr>
    </w:p>
    <w:p>
      <w:pPr>
        <w:jc w:val="both"/>
        <w:ind w:firstLine="276"/>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Endless Possibility</w:t>
      </w:r>
      <w:r>
        <w:rPr>
          <w:rFonts w:ascii="Times New Roman" w:cs="Times New Roman" w:eastAsia="Times New Roman" w:hAnsi="Times New Roman"/>
          <w:sz w:val="15"/>
          <w:szCs w:val="15"/>
          <w:color w:val="auto"/>
        </w:rPr>
        <w:t>: Our games provide hours of entertainment with features that permit dynamic environmental changes of the virtual world, user-directed conquests,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cooperative or competitive gameplay with other users. Our sandbox games provide players with freedom, without the rules found in other genres such as racing games.</w:t>
      </w:r>
    </w:p>
    <w:p>
      <w:pPr>
        <w:spacing w:after="0" w:line="124" w:lineRule="exact"/>
        <w:rPr>
          <w:sz w:val="20"/>
          <w:szCs w:val="20"/>
          <w:color w:val="auto"/>
        </w:rPr>
      </w:pPr>
    </w:p>
    <w:p>
      <w:pPr>
        <w:jc w:val="both"/>
        <w:ind w:right="20" w:firstLine="276"/>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Value proposition for developers</w:t>
      </w:r>
      <w:r>
        <w:rPr>
          <w:rFonts w:ascii="Times New Roman" w:cs="Times New Roman" w:eastAsia="Times New Roman" w:hAnsi="Times New Roman"/>
          <w:sz w:val="15"/>
          <w:szCs w:val="15"/>
          <w:color w:val="auto"/>
        </w:rPr>
        <w:t>: Our business model is dependent on partnerships with developers, and we offer key value propositions of collaborative partnership, culture of</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innovation and technology to our developers.</w:t>
      </w:r>
    </w:p>
    <w:p>
      <w:pPr>
        <w:spacing w:after="0" w:line="124"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b w:val="1"/>
          <w:bCs w:val="1"/>
          <w:i w:val="1"/>
          <w:iCs w:val="1"/>
          <w:color w:val="auto"/>
        </w:rPr>
        <w:t xml:space="preserve">Value proposition for creators: </w:t>
      </w:r>
      <w:r>
        <w:rPr>
          <w:rFonts w:ascii="Times New Roman" w:cs="Times New Roman" w:eastAsia="Times New Roman" w:hAnsi="Times New Roman"/>
          <w:sz w:val="15"/>
          <w:szCs w:val="15"/>
          <w:color w:val="auto"/>
        </w:rPr>
        <w:t>In the first quarter of 2024 the Company has launched its premium modding program through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which will allow</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publishing of modified content to the PC, Xbox and PlayStation platforms. This is revolutionary as these platforms were previously locked for modified content. Our proprietary technology will allow capable developers familiar with the cutting-edge Unreal Engine 5 to publish their creations onto console platforms with the click of a button. The premium mods program for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represents a forward-thinking approach to community engagement and rewards creators with an industry leading 50% of the revenue generated.</w:t>
      </w:r>
    </w:p>
    <w:p>
      <w:pPr>
        <w:spacing w:after="0" w:line="335" w:lineRule="exact"/>
        <w:rPr>
          <w:sz w:val="20"/>
          <w:szCs w:val="20"/>
          <w:color w:val="auto"/>
        </w:rPr>
      </w:pPr>
    </w:p>
    <w:p>
      <w:pPr>
        <w:jc w:val="both"/>
        <w:ind w:firstLine="276"/>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Collaborative Partnership</w:t>
      </w:r>
      <w:r>
        <w:rPr>
          <w:rFonts w:ascii="Times New Roman" w:cs="Times New Roman" w:eastAsia="Times New Roman" w:hAnsi="Times New Roman"/>
          <w:sz w:val="15"/>
          <w:szCs w:val="15"/>
          <w:color w:val="auto"/>
        </w:rPr>
        <w:t>: We provide capital, technological resources, customer service, marketing strategy and other services to our video game development partners. We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strategize with developers to customize marketing campaigns tailored to target markets. Our founder also provides developers with creative and other advice based on his deep expertise in the industry.</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6" w:name="page7"/>
    <w:bookmarkEnd w:id="6"/>
    <w:p>
      <w:pPr>
        <w:jc w:val="both"/>
        <w:ind w:firstLine="276"/>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Culture of Innovation</w:t>
      </w:r>
      <w:r>
        <w:rPr>
          <w:rFonts w:ascii="Times New Roman" w:cs="Times New Roman" w:eastAsia="Times New Roman" w:hAnsi="Times New Roman"/>
          <w:sz w:val="15"/>
          <w:szCs w:val="15"/>
          <w:color w:val="auto"/>
        </w:rPr>
        <w:t>: We believe high-quality experiences result from a combination of forward thinking and fearless creativity. We encourage our development teams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experiment with emerging technologies and unique fantasy twists.</w:t>
      </w:r>
    </w:p>
    <w:p>
      <w:pPr>
        <w:spacing w:after="0" w:line="124" w:lineRule="exact"/>
        <w:rPr>
          <w:sz w:val="20"/>
          <w:szCs w:val="20"/>
          <w:color w:val="auto"/>
        </w:rPr>
      </w:pPr>
    </w:p>
    <w:p>
      <w:pPr>
        <w:jc w:val="both"/>
        <w:ind w:firstLine="276"/>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Technology</w:t>
      </w:r>
      <w:r>
        <w:rPr>
          <w:rFonts w:ascii="Times New Roman" w:cs="Times New Roman" w:eastAsia="Times New Roman" w:hAnsi="Times New Roman"/>
          <w:sz w:val="15"/>
          <w:szCs w:val="15"/>
          <w:color w:val="auto"/>
        </w:rPr>
        <w:t>: Our developers have access to our advanced development infrastructure as well as our proprietary technology including our micro-influencer technology,</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which helps brands engage with previously untapped small- to mid-sized influencers.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Platform</w:t>
      </w:r>
    </w:p>
    <w:p>
      <w:pPr>
        <w:spacing w:after="0" w:line="200"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 xml:space="preserve">Our strategic flywheel is anchored by our dedication to delivering high-quality, compelling entertainment experiences and is driven by our capabilities in publishing, developing and creating proprietary technology. Growth in the number of published titles allows us to invest in new development teams and proprietary technology, which expand the number of titles we publish in a self-reinforcing loop. As the quality of our games increases, we are well-positioned to attract more users and more influencers. With increased influencers through our propriety micro-influencer platform,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xml:space="preserve"> we are able to reach a broader audience and increase user engagement within our games. This drives additional revenue, which we use to increase our developer network and to build proprietary technology. Our technology, along with our collaborative, innovative culture attracts talented developers, which in turn result in an increased number of high-quality games.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1487170</wp:posOffset>
            </wp:positionH>
            <wp:positionV relativeFrom="paragraph">
              <wp:posOffset>107950</wp:posOffset>
            </wp:positionV>
            <wp:extent cx="4175760" cy="1974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175760" cy="1974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276"/>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Publishing</w:t>
      </w:r>
      <w:r>
        <w:rPr>
          <w:rFonts w:ascii="Times New Roman" w:cs="Times New Roman" w:eastAsia="Times New Roman" w:hAnsi="Times New Roman"/>
          <w:sz w:val="15"/>
          <w:szCs w:val="15"/>
          <w:color w:val="auto"/>
        </w:rPr>
        <w:t>: We derive the majority of our revenue from titles we offer through licensing and publishing agreements. 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franchise is led by our strategic partnership with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Studio Wildcard. Our typical publishing cycle includes annual DLC releases for our major franchises, after which we repeat the same publishing cycle to attract new players and continue to entertain our existing players. We seek to bring new fantasy twists and genres to our players with innovative, creative content cultivated from strong partnerships with independent developers and published through our Wandering Wizard label.</w:t>
      </w:r>
    </w:p>
    <w:p>
      <w:pPr>
        <w:spacing w:after="0" w:line="145" w:lineRule="exact"/>
        <w:rPr>
          <w:sz w:val="20"/>
          <w:szCs w:val="20"/>
          <w:color w:val="auto"/>
        </w:rPr>
      </w:pPr>
    </w:p>
    <w:p>
      <w:pPr>
        <w:jc w:val="both"/>
        <w:ind w:firstLine="276"/>
        <w:spacing w:after="0" w:line="266" w:lineRule="auto"/>
        <w:rPr>
          <w:sz w:val="20"/>
          <w:szCs w:val="20"/>
          <w:color w:val="auto"/>
        </w:rPr>
      </w:pPr>
      <w:r>
        <w:rPr>
          <w:rFonts w:ascii="Times New Roman" w:cs="Times New Roman" w:eastAsia="Times New Roman" w:hAnsi="Times New Roman"/>
          <w:sz w:val="15"/>
          <w:szCs w:val="15"/>
          <w:b w:val="1"/>
          <w:bCs w:val="1"/>
          <w:i w:val="1"/>
          <w:iCs w:val="1"/>
          <w:color w:val="auto"/>
        </w:rPr>
        <w:t>Development</w:t>
      </w:r>
      <w:r>
        <w:rPr>
          <w:rFonts w:ascii="Times New Roman" w:cs="Times New Roman" w:eastAsia="Times New Roman" w:hAnsi="Times New Roman"/>
          <w:sz w:val="15"/>
          <w:szCs w:val="15"/>
          <w:color w:val="auto"/>
        </w:rPr>
        <w:t>: We also develop titles using a partnership approach in which we acquire ownership stakes in independent development teams. We preserve a development team’s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culture by allowing a high degree of autonomy in its operations, which we believe allows development teams to retain their creative license, while also extracting synergies by utilizing our shared resources including customer service and backend functions. Furthermore, we foster a culture of communication where employees at all levels at our partner studios are able to receive direct feedback from our CEO. We partnered with Donkey Crew to produce </w:t>
      </w:r>
      <w:r>
        <w:rPr>
          <w:rFonts w:ascii="Times New Roman" w:cs="Times New Roman" w:eastAsia="Times New Roman" w:hAnsi="Times New Roman"/>
          <w:sz w:val="15"/>
          <w:szCs w:val="15"/>
          <w:i w:val="1"/>
          <w:iCs w:val="1"/>
          <w:color w:val="auto"/>
        </w:rPr>
        <w:t>Last Oasis</w:t>
      </w:r>
      <w:r>
        <w:rPr>
          <w:rFonts w:ascii="Times New Roman" w:cs="Times New Roman" w:eastAsia="Times New Roman" w:hAnsi="Times New Roman"/>
          <w:sz w:val="15"/>
          <w:szCs w:val="15"/>
          <w:color w:val="auto"/>
        </w:rPr>
        <w:t xml:space="preserve">, a nomadic survival massively multiplayer online game (“MMO”) with melee combat conquests, and </w:t>
      </w:r>
      <w:r>
        <w:rPr>
          <w:rFonts w:ascii="Times New Roman" w:cs="Times New Roman" w:eastAsia="Times New Roman" w:hAnsi="Times New Roman"/>
          <w:sz w:val="15"/>
          <w:szCs w:val="15"/>
          <w:i w:val="1"/>
          <w:iCs w:val="1"/>
          <w:color w:val="auto"/>
        </w:rPr>
        <w:t>Bellwright</w:t>
      </w:r>
      <w:r>
        <w:rPr>
          <w:rFonts w:ascii="Times New Roman" w:cs="Times New Roman" w:eastAsia="Times New Roman" w:hAnsi="Times New Roman"/>
          <w:sz w:val="15"/>
          <w:szCs w:val="15"/>
          <w:color w:val="auto"/>
        </w:rPr>
        <w:t>, an open-world survival game set in medieval times and includes town building, resource management and combat strategy.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7" w:name="page8"/>
    <w:bookmarkEnd w:id="7"/>
    <w:p>
      <w:pPr>
        <w:jc w:val="both"/>
        <w:ind w:firstLine="276"/>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Technology</w:t>
      </w:r>
      <w:r>
        <w:rPr>
          <w:rFonts w:ascii="Times New Roman" w:cs="Times New Roman" w:eastAsia="Times New Roman" w:hAnsi="Times New Roman"/>
          <w:sz w:val="15"/>
          <w:szCs w:val="15"/>
          <w:color w:val="auto"/>
        </w:rPr>
        <w:t>: We are early adopters of the latest technology in our games and develop proprietary technology when necessary to address market opportunities. We maintain 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flexible infrastructure to efficiently develop virtual worlds with advanced rendering and atmospheric effects across a wide array of video game types. We developed a proprietary micro-influencer marketing platform,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to help game streamers and game companies reach a wider audience and diversify marketing spend. We work with our developers to create custom campaigns to optimize reach.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Key Strengths</w:t>
      </w:r>
    </w:p>
    <w:p>
      <w:pPr>
        <w:spacing w:after="0" w:line="196" w:lineRule="exact"/>
        <w:rPr>
          <w:sz w:val="20"/>
          <w:szCs w:val="20"/>
          <w:color w:val="auto"/>
        </w:rPr>
      </w:pPr>
    </w:p>
    <w:p>
      <w:pPr>
        <w:jc w:val="both"/>
        <w:ind w:firstLine="276"/>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Top-ranked category defining franchise with a track record of growth</w:t>
      </w:r>
      <w:r>
        <w:rPr>
          <w:rFonts w:ascii="Times New Roman" w:cs="Times New Roman" w:eastAsia="Times New Roman" w:hAnsi="Times New Roman"/>
          <w:sz w:val="15"/>
          <w:szCs w:val="15"/>
          <w:color w:val="auto"/>
        </w:rPr>
        <w:t xml:space="preserve">: Our dedication to our customers and innovative game development has resulted in our position as a top-ranked, category-defining franchise with a track record of growth. Our flagship franchise,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is a leader within the sandbox survival genre with over 94.8 million console and PC installs through December 31, 2024.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has been a top-25 selling game on the Steam platform by gross revenue each year we released an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DLC. As of December 31, 2024,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has been played for 3.9 billion hours since its release on the Steam platform.</w:t>
      </w:r>
    </w:p>
    <w:p>
      <w:pPr>
        <w:spacing w:after="0" w:line="145"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b w:val="1"/>
          <w:bCs w:val="1"/>
          <w:i w:val="1"/>
          <w:iCs w:val="1"/>
          <w:color w:val="auto"/>
        </w:rPr>
        <w:t>Proven expertise in creating successful gaming franchises</w:t>
      </w:r>
      <w:r>
        <w:rPr>
          <w:rFonts w:ascii="Times New Roman" w:cs="Times New Roman" w:eastAsia="Times New Roman" w:hAnsi="Times New Roman"/>
          <w:sz w:val="15"/>
          <w:szCs w:val="15"/>
          <w:color w:val="auto"/>
        </w:rPr>
        <w:t>: We have proven expertise in creating successful gaming franchises. We are a multi-platform publisher with over 15</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years of experience in creating culturally influential game titles, while demonstrating financial growth. As of December 31, 2024, we had 30 game titles. By recognizing the lucrative potential of the sandbox survival category at its nascent stages, we became a first mover in the category, and we now license and publish leading IP, including the global franchise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ARK: Survival Ascended, Bellwright, Atlas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Last Oasis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Dark and Light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Outlaws of the Old West</w:t>
      </w:r>
      <w:r>
        <w:rPr>
          <w:rFonts w:ascii="Times New Roman" w:cs="Times New Roman" w:eastAsia="Times New Roman" w:hAnsi="Times New Roman"/>
          <w:sz w:val="15"/>
          <w:szCs w:val="15"/>
          <w:color w:val="auto"/>
        </w:rPr>
        <w:t>. Our approach to the industry is to create a one-size-fits-all game to draw people into the overall sandbox survival genre. In order to retain players, we invest in game quality to generate additional interest, in addition to spending on advertising. Our collaborative relationships with video game development studios, industry leaders, technology providers and distribution platforms allow us to invest in promising video game projects and manage their growth into AAA video games and entertainment franchises. Our approach creates a continuous cycle of monetization opportunities across our gaming portfolio.</w:t>
      </w:r>
    </w:p>
    <w:p>
      <w:pPr>
        <w:spacing w:after="0" w:line="340" w:lineRule="exact"/>
        <w:rPr>
          <w:sz w:val="20"/>
          <w:szCs w:val="20"/>
          <w:color w:val="auto"/>
        </w:rPr>
      </w:pPr>
    </w:p>
    <w:p>
      <w:pPr>
        <w:jc w:val="both"/>
        <w:ind w:firstLine="276"/>
        <w:spacing w:after="0" w:line="264" w:lineRule="auto"/>
        <w:rPr>
          <w:sz w:val="20"/>
          <w:szCs w:val="20"/>
          <w:color w:val="auto"/>
        </w:rPr>
      </w:pPr>
      <w:r>
        <w:rPr>
          <w:rFonts w:ascii="Times New Roman" w:cs="Times New Roman" w:eastAsia="Times New Roman" w:hAnsi="Times New Roman"/>
          <w:sz w:val="15"/>
          <w:szCs w:val="15"/>
          <w:b w:val="1"/>
          <w:bCs w:val="1"/>
          <w:i w:val="1"/>
          <w:iCs w:val="1"/>
          <w:color w:val="auto"/>
        </w:rPr>
        <w:t>IP portfolio spanning across multiple media formats and technology platforms to captivate end user</w:t>
      </w:r>
      <w:r>
        <w:rPr>
          <w:rFonts w:ascii="Times New Roman" w:cs="Times New Roman" w:eastAsia="Times New Roman" w:hAnsi="Times New Roman"/>
          <w:sz w:val="15"/>
          <w:szCs w:val="15"/>
          <w:color w:val="auto"/>
        </w:rPr>
        <w:t>: We license and own an IP portfolio spanning across multiple media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formats and technology platforms to captivate end users. Our primary use of IP is to generate successful video games within and beyond the sandbox survival genre. Currently, our games are available on Xbox Live and Game Pass, PlayStation Network, Steam, Epic Games Store, the Apple App Store, the Google Play Store, My Nintendo Store and the Amazon Appstore, as well as through traditional retail channels. However, our vision for our valuable IP rights extend far beyond just gaming: our vision extends into media formats such as animation, TV, movies, eSports, and reality TV and interactive media, which we believe has tremendous potential. We have high aspirations across digital media and we have entered the animation and television industry with </w:t>
      </w:r>
      <w:r>
        <w:rPr>
          <w:rFonts w:ascii="Times New Roman" w:cs="Times New Roman" w:eastAsia="Times New Roman" w:hAnsi="Times New Roman"/>
          <w:sz w:val="15"/>
          <w:szCs w:val="15"/>
          <w:i w:val="1"/>
          <w:iCs w:val="1"/>
          <w:color w:val="auto"/>
        </w:rPr>
        <w:t>ARK, the Animated Series</w:t>
      </w:r>
      <w:r>
        <w:rPr>
          <w:rFonts w:ascii="Times New Roman" w:cs="Times New Roman" w:eastAsia="Times New Roman" w:hAnsi="Times New Roman"/>
          <w:sz w:val="15"/>
          <w:szCs w:val="15"/>
          <w:color w:val="auto"/>
        </w:rPr>
        <w:t xml:space="preserve"> in 2024.</w:t>
      </w:r>
    </w:p>
    <w:p>
      <w:pPr>
        <w:spacing w:after="0" w:line="151"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b w:val="1"/>
          <w:bCs w:val="1"/>
          <w:i w:val="1"/>
          <w:iCs w:val="1"/>
          <w:color w:val="auto"/>
        </w:rPr>
        <w:t>Collaborative development process between developers and management</w:t>
      </w:r>
      <w:r>
        <w:rPr>
          <w:rFonts w:ascii="Times New Roman" w:cs="Times New Roman" w:eastAsia="Times New Roman" w:hAnsi="Times New Roman"/>
          <w:sz w:val="15"/>
          <w:szCs w:val="15"/>
          <w:color w:val="auto"/>
        </w:rPr>
        <w:t>: We continue to evolve with the industry with our deep pipeline of leading video game franchises such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as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ARK: Survival Ascended, Atlas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Survivor Mercs, Last Oasis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Bellwright, Dark and Light</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Outlaws of the Old West</w:t>
      </w:r>
      <w:r>
        <w:rPr>
          <w:rFonts w:ascii="Times New Roman" w:cs="Times New Roman" w:eastAsia="Times New Roman" w:hAnsi="Times New Roman"/>
          <w:sz w:val="15"/>
          <w:szCs w:val="15"/>
          <w:color w:val="auto"/>
        </w:rPr>
        <w:t>. Our success in game development and in keeping up with industry trends is partially attributed to our collaborative relationships with video game development studios, industry leaders, technology providers and distribution platforms. Our cooperative development process provides for a proprietary scalable model to publish multiple AAA video games based on current trends. We are proud of our collaborative relationship with our developers, as we believe it is truly unique in our industry and one of our main differentiators. We offer developers an ecosystem that aligns incentives and creates an environment for creativity to thrive. In addition to wonderful ideas for games, we value partners who share our vision and culture. After a partnership is formed, we offer developers a direct line of communication to Mr. Shi, our Founder, Co-Chief Executive Officer, Chief Strategy Officer and Chairman, who is viewed as a pioneer in the video game industry and business world. We offer developers freedom by giving them access to the wide breadth of the Snail platform and resources so they can do what they do best: create.</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8" w:name="page9"/>
    <w:bookmarkEnd w:id="8"/>
    <w:p>
      <w:pPr>
        <w:jc w:val="both"/>
        <w:ind w:firstLine="276"/>
        <w:spacing w:after="0" w:line="262" w:lineRule="auto"/>
        <w:rPr>
          <w:sz w:val="20"/>
          <w:szCs w:val="20"/>
          <w:color w:val="auto"/>
        </w:rPr>
      </w:pPr>
      <w:r>
        <w:rPr>
          <w:rFonts w:ascii="Times New Roman" w:cs="Times New Roman" w:eastAsia="Times New Roman" w:hAnsi="Times New Roman"/>
          <w:sz w:val="15"/>
          <w:szCs w:val="15"/>
          <w:b w:val="1"/>
          <w:bCs w:val="1"/>
          <w:i w:val="1"/>
          <w:iCs w:val="1"/>
          <w:color w:val="auto"/>
        </w:rPr>
        <w:t>Innovative use and creation of next-gen technologies and platforms</w:t>
      </w:r>
      <w:r>
        <w:rPr>
          <w:rFonts w:ascii="Times New Roman" w:cs="Times New Roman" w:eastAsia="Times New Roman" w:hAnsi="Times New Roman"/>
          <w:sz w:val="15"/>
          <w:szCs w:val="15"/>
          <w:color w:val="auto"/>
        </w:rPr>
        <w:t>: We use innovative technology to serve our customers, allowing us to provide high-quality user experiences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and services. Our proprietary video game technology includes a versatile development pipeline tools, advanced rendering technology and advanced server and network operations, in addition to our use of currently accepted standard industry technologies. Additionally, our customizable development infrastructure provides a framework for efficiently developing all types of video game projects using advanced rendering technologies for realistic lighting, weather and atmospheric effects, for creating new types of virtual assets and for other effects that heighten artistic detail and increase player engagement. Our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premium mod program unlocks the power of Unreal Engine 5 for our player base to create limitless content and rewards their creativity through the most competitive revenue sharing models in the industry. Modders will be able to amplify their reach through this technology by publishing their mods across multiple platforms. Our micro-influencer business,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strives to build an influencer marketing platform for brands to directly engage with small to-midsized influencers, through which influencers can reach millions of video game consumers and generate additional revenue at a cost advantage.</w:t>
      </w:r>
    </w:p>
    <w:p>
      <w:pPr>
        <w:spacing w:after="0" w:line="152"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b w:val="1"/>
          <w:bCs w:val="1"/>
          <w:i w:val="1"/>
          <w:iCs w:val="1"/>
          <w:color w:val="auto"/>
        </w:rPr>
        <w:t>Visionary management team well versed in industry and business</w:t>
      </w:r>
      <w:r>
        <w:rPr>
          <w:rFonts w:ascii="Times New Roman" w:cs="Times New Roman" w:eastAsia="Times New Roman" w:hAnsi="Times New Roman"/>
          <w:sz w:val="15"/>
          <w:szCs w:val="15"/>
          <w:color w:val="auto"/>
        </w:rPr>
        <w:t>: We attribute much of our success to our visionary senior management and business development teams, which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have a deep understanding of games and global video markets and aim to build innovative products for gamers. Our Founder, Co-Chief Executive Officer, Chief Strategy Officer and Chairman, Mr. Shi, is also the founder and Chief Executive Officer of Suzhou Snail Digital Technology Co., Ltd. (“Suzhou Snail”), a related party, and is a pioneer in the video game industry and the sandbox survival genre. Mr. Shi is responsible for our overall vision, which has included adapting our business model for the global markets, focusing on premium games and investing in video game development and publishing in North America and Europe. Our founder and other members of our management and business development teams are seasoned gamers, who lead and provide insight into gaming development from a first-hand user’s perspective. We operate in an ecosystem in which our leaders employ a hands-on approach, as each developer is able to get direct contact with our founder and receive one-on-one feedback and mentorship.</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Growth Strategy</w:t>
      </w:r>
    </w:p>
    <w:p>
      <w:pPr>
        <w:spacing w:after="0" w:line="196"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 xml:space="preserve">Continue to grow our successful </w:t>
      </w:r>
      <w:r>
        <w:rPr>
          <w:rFonts w:ascii="Times New Roman" w:cs="Times New Roman" w:eastAsia="Times New Roman" w:hAnsi="Times New Roman"/>
          <w:sz w:val="15"/>
          <w:szCs w:val="15"/>
          <w:b w:val="1"/>
          <w:bCs w:val="1"/>
          <w:color w:val="auto"/>
        </w:rPr>
        <w:t>ARK</w:t>
      </w:r>
      <w:r>
        <w:rPr>
          <w:rFonts w:ascii="Times New Roman" w:cs="Times New Roman" w:eastAsia="Times New Roman" w:hAnsi="Times New Roman"/>
          <w:sz w:val="15"/>
          <w:szCs w:val="15"/>
          <w:b w:val="1"/>
          <w:bCs w:val="1"/>
          <w:i w:val="1"/>
          <w:iCs w:val="1"/>
          <w:color w:val="auto"/>
        </w:rPr>
        <w:t xml:space="preserve"> franchise</w:t>
      </w:r>
      <w:r>
        <w:rPr>
          <w:rFonts w:ascii="Times New Roman" w:cs="Times New Roman" w:eastAsia="Times New Roman" w:hAnsi="Times New Roman"/>
          <w:sz w:val="15"/>
          <w:szCs w:val="15"/>
          <w:color w:val="auto"/>
        </w:rPr>
        <w:t>: As one of the most creative and innovative companies in our industry, our primary strategy is to capitalize on our franchise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focus on delivering unique games and content, offering services that extend and enhance the experience, and connecting more players across more platforms. We believe the breadth and depth of our multi-platform, services offerings, and our use of multiple business models and distribution channels provide us with strategic advantages. We have established ourselves as a market leader based on our continued ability to release titles which rank in the top 20 of Steam sales and will continue to enhance our market-leading gaming franchises including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ARK: Survival Ascended, ARK: Ultimate Mobile Edition, Voyage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Bellwright, West Hunt</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PixArk</w:t>
      </w:r>
      <w:r>
        <w:rPr>
          <w:rFonts w:ascii="Times New Roman" w:cs="Times New Roman" w:eastAsia="Times New Roman" w:hAnsi="Times New Roman"/>
          <w:sz w:val="15"/>
          <w:szCs w:val="15"/>
          <w:color w:val="auto"/>
        </w:rPr>
        <w:t xml:space="preserve">. We focus on publishing high-quality content, regularly updating our games after launch to encourage social interactions, adding new content and features, and improving monetization. For example, we have released five paid DLCs since the original release of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to support further growth in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Furthermore, we have released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to revolutionize the </w:t>
      </w:r>
      <w:r>
        <w:rPr>
          <w:rFonts w:ascii="Times New Roman" w:cs="Times New Roman" w:eastAsia="Times New Roman" w:hAnsi="Times New Roman"/>
          <w:sz w:val="15"/>
          <w:szCs w:val="15"/>
          <w:i w:val="1"/>
          <w:iCs w:val="1"/>
          <w:color w:val="auto"/>
        </w:rPr>
        <w:t xml:space="preserve">ARK </w:t>
      </w:r>
      <w:r>
        <w:rPr>
          <w:rFonts w:ascii="Times New Roman" w:cs="Times New Roman" w:eastAsia="Times New Roman" w:hAnsi="Times New Roman"/>
          <w:sz w:val="15"/>
          <w:szCs w:val="15"/>
          <w:color w:val="auto"/>
        </w:rPr>
        <w:t>experience for our players through leveraging the Unreal Engine 5 and have implemented thorough quality of life revamps in all aspects of the game. We continue to release new</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DLCs such as </w:t>
      </w:r>
      <w:r>
        <w:rPr>
          <w:rFonts w:ascii="Times New Roman" w:cs="Times New Roman" w:eastAsia="Times New Roman" w:hAnsi="Times New Roman"/>
          <w:sz w:val="15"/>
          <w:szCs w:val="15"/>
          <w:i w:val="1"/>
          <w:iCs w:val="1"/>
          <w:color w:val="auto"/>
        </w:rPr>
        <w:t>Bob’s Tall Tales, Fantastic Tames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Astraeos</w:t>
      </w:r>
      <w:r>
        <w:rPr>
          <w:rFonts w:ascii="Times New Roman" w:cs="Times New Roman" w:eastAsia="Times New Roman" w:hAnsi="Times New Roman"/>
          <w:sz w:val="15"/>
          <w:szCs w:val="15"/>
          <w:color w:val="auto"/>
        </w:rPr>
        <w:t>, etc. to further enhance the player experience and growth of the ARK franchise. We will also continue to support the modding community through the premium mod program.</w:t>
      </w:r>
    </w:p>
    <w:p>
      <w:pPr>
        <w:spacing w:after="0" w:line="151"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b w:val="1"/>
          <w:bCs w:val="1"/>
          <w:i w:val="1"/>
          <w:iCs w:val="1"/>
          <w:color w:val="auto"/>
        </w:rPr>
        <w:t>Continue to build a strong pipeline of new content via Snail Games USA and our independent label, Wandering Wizard</w:t>
      </w:r>
      <w:r>
        <w:rPr>
          <w:rFonts w:ascii="Times New Roman" w:cs="Times New Roman" w:eastAsia="Times New Roman" w:hAnsi="Times New Roman"/>
          <w:sz w:val="15"/>
          <w:szCs w:val="15"/>
          <w:color w:val="auto"/>
        </w:rPr>
        <w:t>: Building on our strong established franchises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creating new franchises through compelling new content is at the core of our business. We are always seeking ways to expand our portfolio of franchises, launching new intellectual property or rolling out innovative platforms for gamers to remain engaged and have a unique experience. We endeavor to reach as many consumers as possible by offering our content on multiple platforms and delivering compelling experiences across multiple business models. Currently, we have seven console and PC games under development that are expected to be released in the next five years. Our independent label, Wandering Wizard, allows us to publish independent games of different graphical quality and different genres at a lower acquisition cost while utilizing our proven development and distribution strategies. Titles published under Wandering Wizard include </w:t>
      </w:r>
      <w:r>
        <w:rPr>
          <w:rFonts w:ascii="Times New Roman" w:cs="Times New Roman" w:eastAsia="Times New Roman" w:hAnsi="Times New Roman"/>
          <w:sz w:val="15"/>
          <w:szCs w:val="15"/>
          <w:i w:val="1"/>
          <w:iCs w:val="1"/>
          <w:color w:val="auto"/>
        </w:rPr>
        <w:t>West Hunt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Expedition Agartha, Survivor Mercs,</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Zombie Within</w:t>
      </w:r>
      <w:r>
        <w:rPr>
          <w:rFonts w:ascii="Times New Roman" w:cs="Times New Roman" w:eastAsia="Times New Roman" w:hAnsi="Times New Roman"/>
          <w:sz w:val="15"/>
          <w:szCs w:val="15"/>
          <w:color w:val="auto"/>
        </w:rPr>
        <w:t>. In addition to spending on advertising, we invest in the research and development of new games as a form of marketing to increase our exposure. We believe that utilizing resources in this manner allows us to better leverage our areas of developmental expertise before launching a title. Each new game serves as an opportunity to market ourselves, expose audiences to the sandbox survival genre, engage with existing players, and monetize our platform’s full breadth of opportunities.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9" w:name="page10"/>
    <w:bookmarkEnd w:id="9"/>
    <w:p>
      <w:pPr>
        <w:jc w:val="both"/>
        <w:ind w:firstLine="276"/>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 xml:space="preserve">Continue to expand </w:t>
      </w:r>
      <w:r>
        <w:rPr>
          <w:rFonts w:ascii="Times New Roman" w:cs="Times New Roman" w:eastAsia="Times New Roman" w:hAnsi="Times New Roman"/>
          <w:sz w:val="15"/>
          <w:szCs w:val="15"/>
          <w:b w:val="1"/>
          <w:bCs w:val="1"/>
          <w:color w:val="auto"/>
        </w:rPr>
        <w:t>NOIZ,</w:t>
      </w:r>
      <w:r>
        <w:rPr>
          <w:rFonts w:ascii="Times New Roman" w:cs="Times New Roman" w:eastAsia="Times New Roman" w:hAnsi="Times New Roman"/>
          <w:sz w:val="15"/>
          <w:szCs w:val="15"/>
          <w:b w:val="1"/>
          <w:bCs w:val="1"/>
          <w:i w:val="1"/>
          <w:iCs w:val="1"/>
          <w:color w:val="auto"/>
        </w:rPr>
        <w:t xml:space="preserve"> our micro-influencer marketing business, and use the platform to bolster our marketing initiatives and eCommerce revenue</w:t>
      </w:r>
      <w:r>
        <w:rPr>
          <w:rFonts w:ascii="Times New Roman" w:cs="Times New Roman" w:eastAsia="Times New Roman" w:hAnsi="Times New Roman"/>
          <w:sz w:val="15"/>
          <w:szCs w:val="15"/>
          <w:color w:val="auto"/>
        </w:rPr>
        <w:t>: We are focused on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reaching more players whenever and wherever they want to play. We believe that we can add value to our network by utilizing content creators and micro-influencers to connect to a world of play by offering an interactive platform for players to engage in. We created our proprietary, full-service marketing platform,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xml:space="preserve">, where we have direct relationships with influencers and save on third-party costs.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xml:space="preserve"> helps aspiring game streamers and game companies reach a wider audience, diversify marketing spend and income streams, and build their own brands easily and professionally at a large scale. Influencers can join the platform and play for free over a three day period.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xml:space="preserve"> provides speed and payment to influencers, in addition to speed in the execution of marketing campaigns since no large scale agencies are involved.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xml:space="preserve"> benefits all of our marketing and promotional initiatives and serves as a source of eCommerce revenue.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xml:space="preserve"> is designed so that clients can choose to work on campaigns on their own or directly with our creative campaign managers in an end-to-end managed campaign process, with 24/7 support, by paying a fee. The management team at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xml:space="preserve"> is comprised of eSports and gaming industry veterans and has worked with clients such as Square Enix, Sega, Stunlock Studios, Facebook, Sansar, TikTok, Bose, Softgiving, and Omaze.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xml:space="preserve"> directly contributes to our video game growth because each influencer’s stream of our games to their followers is a sales opportunity. Micro- and macro-influencers have taken advantage of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xml:space="preserve">’s unique program, through which they receive a portion of the revenue from the video games they help sell. Through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we can also collect data used to analyze new trends and self-market our products.</w:t>
      </w:r>
    </w:p>
    <w:p>
      <w:pPr>
        <w:spacing w:after="0" w:line="156" w:lineRule="exact"/>
        <w:rPr>
          <w:sz w:val="20"/>
          <w:szCs w:val="20"/>
          <w:color w:val="auto"/>
        </w:rPr>
      </w:pPr>
    </w:p>
    <w:p>
      <w:pPr>
        <w:jc w:val="both"/>
        <w:ind w:firstLine="276"/>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Continue investing in new technologies and platforms to efficiently capitalize on emerging trends</w:t>
      </w:r>
      <w:r>
        <w:rPr>
          <w:rFonts w:ascii="Times New Roman" w:cs="Times New Roman" w:eastAsia="Times New Roman" w:hAnsi="Times New Roman"/>
          <w:sz w:val="15"/>
          <w:szCs w:val="15"/>
          <w:color w:val="auto"/>
        </w:rPr>
        <w:t>: We provide a variety of digitally delivered products and games that are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played online and on mobile platforms, such as tablets and smartphones; as such, there are various opportunities for us to grow and enhance profitability. We will continue investing in new distribution channels such as streaming media, animation, television and eSports as opportunities in platform distribution as well as DLCs arise to expand our reach and grow our business. We invest in the development of interactive entertainment products for new distribution channels, which incorporate a new technology or business model that enables us to compete more effectively against our peers. For our future games, we ultimately aim to build a metaverse in which users can create their own gameplay content and interact in a virtual world with other players over a secured network. We intend to hold competitions where players can submit created content and receive rewards, with the potential of incorporation into a new map as DLC with the assistance of our development team. We continuously evaluate and integrate AI advancements into our development pipeline, leveraging emerging technologies to enhance efficiency, creativity, and overall productivity. As AI evolves, we are strategically adopting tools that optimize workflows and expand creative possibilities, including AI-driven image and video generation, AI-assisted photogrammetry for 3D models, AI-enhanced textures for realistic lighting, and AI-powered coding with large language models. These innovations are already driving significant productivity gains across all aspects of game development, allowing us to invest in the future while maintaining the handcrafted quality that defines our products.</w:t>
      </w:r>
    </w:p>
    <w:p>
      <w:pPr>
        <w:spacing w:after="0" w:line="156" w:lineRule="exact"/>
        <w:rPr>
          <w:sz w:val="20"/>
          <w:szCs w:val="20"/>
          <w:color w:val="auto"/>
        </w:rPr>
      </w:pPr>
    </w:p>
    <w:p>
      <w:pPr>
        <w:jc w:val="both"/>
        <w:ind w:firstLine="276"/>
        <w:spacing w:after="0" w:line="260" w:lineRule="auto"/>
        <w:rPr>
          <w:sz w:val="20"/>
          <w:szCs w:val="20"/>
          <w:color w:val="auto"/>
        </w:rPr>
      </w:pPr>
      <w:r>
        <w:rPr>
          <w:rFonts w:ascii="Times New Roman" w:cs="Times New Roman" w:eastAsia="Times New Roman" w:hAnsi="Times New Roman"/>
          <w:sz w:val="15"/>
          <w:szCs w:val="15"/>
          <w:b w:val="1"/>
          <w:bCs w:val="1"/>
          <w:i w:val="1"/>
          <w:iCs w:val="1"/>
          <w:color w:val="auto"/>
        </w:rPr>
        <w:t>Scale our operations through international market expansion and strategic acquisitions</w:t>
      </w:r>
      <w:r>
        <w:rPr>
          <w:rFonts w:ascii="Times New Roman" w:cs="Times New Roman" w:eastAsia="Times New Roman" w:hAnsi="Times New Roman"/>
          <w:sz w:val="15"/>
          <w:szCs w:val="15"/>
          <w:color w:val="auto"/>
        </w:rPr>
        <w:t>: In line with our growth strategy, we plan to complete acquisitions to expand our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gaming offerings, obtain talent, and expand into new markets. We continue to evaluate strategic acquisition opportunities in areas such as studios, publishers, and agencies. We may also pursue joint ventures or establish subsidiaries with strategic partners as well as make investments in interactive gaming and entertainment business as part of our long-term business strategy. The global market for interactive entertainment continues to grow, and we seek to increase our presence internationally, particularly in South America, where video game demand is expected to increase as the region advances in technology. We have existing relationships and customers in South America which we hope will continue to grow. We retain licensing rights to our intellectual properties in certain regions and intend to build on our existing licensing relationships and also continue to expand on license distribution strategies to grow our international business. As a result, we are actively exploring international strategic opportunities that fit our needs and culture. We are currently iterating on an updated interface and product model for NOIZ which we will be terming NOIZ 3.0. This will update our interface with our current base and provide our clients with a more versatile way to issue campaigns to NOIZ’s userbase. We also seek to expand our licensing opportunities to new platforms and other geographies. We are continuing to execute on our growth initiatives, where our strategy is to broaden the distribution of our licensing opportunities. We intend to continue to build on our licensing relationships and also continue to expand on distribution strategies to grow our business. Furthermore, the growth and development of electronic commerce will enable us to explore more licensing opportunities across various geographic regions.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5"/>
          <w:szCs w:val="15"/>
          <w:b w:val="1"/>
          <w:bCs w:val="1"/>
          <w:color w:val="auto"/>
        </w:rPr>
        <w:t>Our Games</w:t>
      </w:r>
    </w:p>
    <w:p>
      <w:pPr>
        <w:spacing w:after="0" w:line="196" w:lineRule="exact"/>
        <w:rPr>
          <w:sz w:val="20"/>
          <w:szCs w:val="20"/>
          <w:color w:val="auto"/>
        </w:rPr>
      </w:pPr>
    </w:p>
    <w:p>
      <w:pPr>
        <w:jc w:val="both"/>
        <w:ind w:right="20" w:firstLine="276"/>
        <w:spacing w:after="0" w:line="266" w:lineRule="auto"/>
        <w:rPr>
          <w:sz w:val="20"/>
          <w:szCs w:val="20"/>
          <w:color w:val="auto"/>
        </w:rPr>
      </w:pPr>
      <w:r>
        <w:rPr>
          <w:rFonts w:ascii="Times New Roman" w:cs="Times New Roman" w:eastAsia="Times New Roman" w:hAnsi="Times New Roman"/>
          <w:sz w:val="15"/>
          <w:szCs w:val="15"/>
          <w:b w:val="1"/>
          <w:bCs w:val="1"/>
          <w:color w:val="auto"/>
        </w:rPr>
        <w:t>ARK: Survival Evolved</w:t>
      </w:r>
      <w:r>
        <w:rPr>
          <w:rFonts w:ascii="Times New Roman" w:cs="Times New Roman" w:eastAsia="Times New Roman" w:hAnsi="Times New Roman"/>
          <w:sz w:val="15"/>
          <w:szCs w:val="15"/>
          <w:color w:val="auto"/>
        </w:rPr>
        <w:t>: is an action-adventure survival sandbox game set in an open-world environment with a dynamic day-night cycle. Players must survive being stranded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on an island filled with roaming dinosaurs and other prehistoric animals, natural hazards, and potentially hostile human players. The game released to Early Access in June 2015 and to retail in August 2017. The game was ranked #1 by market share within the sandbox survival genre, based on Steam sales, within one year of its release to Early Access. The game supports consoles (PS4, PS5, Xbox One, Xbox Series X/S, and Nintendo Switch), PCs and mobile (Android, iOS). We developed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in partnership with Studio Wildcard, and have released five expansion packs, or DLCs.</w:t>
      </w:r>
    </w:p>
    <w:p>
      <w:pPr>
        <w:spacing w:after="0" w:line="150" w:lineRule="exact"/>
        <w:rPr>
          <w:sz w:val="20"/>
          <w:szCs w:val="20"/>
          <w:color w:val="auto"/>
        </w:rPr>
      </w:pPr>
    </w:p>
    <w:p>
      <w:pPr>
        <w:ind w:left="820" w:hanging="275"/>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Scorched Earth</w:t>
      </w:r>
      <w:r>
        <w:rPr>
          <w:rFonts w:ascii="Times New Roman" w:cs="Times New Roman" w:eastAsia="Times New Roman" w:hAnsi="Times New Roman"/>
          <w:sz w:val="15"/>
          <w:szCs w:val="15"/>
          <w:color w:val="auto"/>
        </w:rPr>
        <w:t>. A desert map with minimum water and extreme weathers. The DLC was released on September 2016.</w:t>
      </w:r>
    </w:p>
    <w:p>
      <w:pPr>
        <w:spacing w:after="0" w:line="196" w:lineRule="exact"/>
        <w:rPr>
          <w:rFonts w:ascii="Times New Roman" w:cs="Times New Roman" w:eastAsia="Times New Roman" w:hAnsi="Times New Roman"/>
          <w:sz w:val="15"/>
          <w:szCs w:val="15"/>
          <w:color w:val="auto"/>
        </w:rPr>
      </w:pPr>
    </w:p>
    <w:p>
      <w:pPr>
        <w:ind w:left="820" w:hanging="275"/>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Aberration</w:t>
      </w:r>
      <w:r>
        <w:rPr>
          <w:rFonts w:ascii="Times New Roman" w:cs="Times New Roman" w:eastAsia="Times New Roman" w:hAnsi="Times New Roman"/>
          <w:sz w:val="15"/>
          <w:szCs w:val="15"/>
          <w:color w:val="auto"/>
        </w:rPr>
        <w:t>. A radiation style expansion pack to explore the mysterious underground world. The DLC was released on December 2017.</w:t>
      </w:r>
    </w:p>
    <w:p>
      <w:pPr>
        <w:spacing w:after="0" w:line="196" w:lineRule="exact"/>
        <w:rPr>
          <w:rFonts w:ascii="Times New Roman" w:cs="Times New Roman" w:eastAsia="Times New Roman" w:hAnsi="Times New Roman"/>
          <w:sz w:val="15"/>
          <w:szCs w:val="15"/>
          <w:color w:val="auto"/>
        </w:rPr>
      </w:pPr>
    </w:p>
    <w:p>
      <w:pPr>
        <w:ind w:left="820" w:hanging="275"/>
        <w:spacing w:after="0"/>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Extinction</w:t>
      </w:r>
      <w:r>
        <w:rPr>
          <w:rFonts w:ascii="Times New Roman" w:cs="Times New Roman" w:eastAsia="Times New Roman" w:hAnsi="Times New Roman"/>
          <w:sz w:val="15"/>
          <w:szCs w:val="15"/>
          <w:color w:val="auto"/>
        </w:rPr>
        <w:t>. A mechanical style expansion pack themed to fight against giant titans and save the post-apocalyptic earth. The DLC was released on November 2018.</w:t>
      </w:r>
    </w:p>
    <w:p>
      <w:pPr>
        <w:spacing w:after="0" w:line="196" w:lineRule="exact"/>
        <w:rPr>
          <w:rFonts w:ascii="Times New Roman" w:cs="Times New Roman" w:eastAsia="Times New Roman" w:hAnsi="Times New Roman"/>
          <w:sz w:val="15"/>
          <w:szCs w:val="15"/>
          <w:color w:val="auto"/>
        </w:rPr>
      </w:pPr>
    </w:p>
    <w:p>
      <w:pPr>
        <w:ind w:left="820" w:hanging="275"/>
        <w:spacing w:after="0" w:line="298" w:lineRule="auto"/>
        <w:tabs>
          <w:tab w:leader="none" w:pos="8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Genesis 1 &amp; 2</w:t>
      </w:r>
      <w:r>
        <w:rPr>
          <w:rFonts w:ascii="Times New Roman" w:cs="Times New Roman" w:eastAsia="Times New Roman" w:hAnsi="Times New Roman"/>
          <w:sz w:val="15"/>
          <w:szCs w:val="15"/>
          <w:color w:val="auto"/>
        </w:rPr>
        <w:t>. A mission-based gameplay DLC with the ability to explore new worlds and mysterious stories. The DLCs were released in February 2020 and in June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2021, respectively.</w:t>
      </w:r>
    </w:p>
    <w:p>
      <w:pPr>
        <w:spacing w:after="0" w:line="124" w:lineRule="exact"/>
        <w:rPr>
          <w:sz w:val="20"/>
          <w:szCs w:val="20"/>
          <w:color w:val="auto"/>
        </w:rPr>
      </w:pPr>
    </w:p>
    <w:p>
      <w:pPr>
        <w:jc w:val="both"/>
        <w:ind w:firstLine="276"/>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ARK: Survival Ascended: </w:t>
      </w:r>
      <w:r>
        <w:rPr>
          <w:rFonts w:ascii="Times New Roman" w:cs="Times New Roman" w:eastAsia="Times New Roman" w:hAnsi="Times New Roman"/>
          <w:sz w:val="15"/>
          <w:szCs w:val="15"/>
          <w:color w:val="auto"/>
        </w:rPr>
        <w:t>Uses the latest in videogame technology, Unreal Engine 5 (“UE5”), to deliver the next evolution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franchise.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reimagined from the ground up with updated artwork, high end graphics, new physics systems and quality of life revamps in every area of the game.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also includes cross-platform multiplayer and modding capabilities. Players who purchase the game can currently access the island, </w:t>
      </w:r>
      <w:r>
        <w:rPr>
          <w:rFonts w:ascii="Times New Roman" w:cs="Times New Roman" w:eastAsia="Times New Roman" w:hAnsi="Times New Roman"/>
          <w:sz w:val="15"/>
          <w:szCs w:val="15"/>
          <w:i w:val="1"/>
          <w:iCs w:val="1"/>
          <w:color w:val="auto"/>
        </w:rPr>
        <w:t>Scorched Earth, Aberration, and Extinction,</w:t>
      </w:r>
      <w:r>
        <w:rPr>
          <w:rFonts w:ascii="Times New Roman" w:cs="Times New Roman" w:eastAsia="Times New Roman" w:hAnsi="Times New Roman"/>
          <w:sz w:val="15"/>
          <w:szCs w:val="15"/>
          <w:color w:val="auto"/>
        </w:rPr>
        <w:t xml:space="preserve"> and will have access to </w:t>
      </w:r>
      <w:r>
        <w:rPr>
          <w:rFonts w:ascii="Times New Roman" w:cs="Times New Roman" w:eastAsia="Times New Roman" w:hAnsi="Times New Roman"/>
          <w:sz w:val="15"/>
          <w:szCs w:val="15"/>
          <w:i w:val="1"/>
          <w:iCs w:val="1"/>
          <w:color w:val="auto"/>
        </w:rPr>
        <w:t>ARK Genesis Parts 1 and 2</w:t>
      </w:r>
      <w:r>
        <w:rPr>
          <w:rFonts w:ascii="Times New Roman" w:cs="Times New Roman" w:eastAsia="Times New Roman" w:hAnsi="Times New Roman"/>
          <w:sz w:val="15"/>
          <w:szCs w:val="15"/>
          <w:color w:val="auto"/>
        </w:rPr>
        <w:t xml:space="preserve"> and more. The game currently supports consoles and PCs and was developed in partnership with Studio Wildcard and Grove Street Games.</w:t>
      </w:r>
    </w:p>
    <w:p>
      <w:pPr>
        <w:spacing w:after="0" w:line="145" w:lineRule="exact"/>
        <w:rPr>
          <w:sz w:val="20"/>
          <w:szCs w:val="20"/>
          <w:color w:val="auto"/>
        </w:rPr>
      </w:pPr>
    </w:p>
    <w:p>
      <w:pPr>
        <w:jc w:val="both"/>
        <w:ind w:right="20" w:firstLine="276"/>
        <w:spacing w:after="0" w:line="277" w:lineRule="auto"/>
        <w:rPr>
          <w:sz w:val="20"/>
          <w:szCs w:val="20"/>
          <w:color w:val="auto"/>
        </w:rPr>
      </w:pPr>
      <w:r>
        <w:rPr>
          <w:rFonts w:ascii="Times New Roman" w:cs="Times New Roman" w:eastAsia="Times New Roman" w:hAnsi="Times New Roman"/>
          <w:sz w:val="15"/>
          <w:szCs w:val="15"/>
          <w:b w:val="1"/>
          <w:bCs w:val="1"/>
          <w:color w:val="auto"/>
        </w:rPr>
        <w:t xml:space="preserve">ARK Ultimate Mobile Edition: </w:t>
      </w:r>
      <w:r>
        <w:rPr>
          <w:rFonts w:ascii="Times New Roman" w:cs="Times New Roman" w:eastAsia="Times New Roman" w:hAnsi="Times New Roman"/>
          <w:sz w:val="15"/>
          <w:szCs w:val="15"/>
          <w:color w:val="auto"/>
        </w:rPr>
        <w:t>A complete dinosaur survival experience tailored for iOS and Android mobile devices. This new free adaptation includes the massive content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from PC and console versions of ARK: Survival Evolved and its acclaimed Expansion Packs—Scorched Earth, Aberration, Extinction, Genesis Parts 1 &amp; 2, and fan-favorite maps like Ragnarok. With its debut, players can explore massive worlds, tame and train over 150 dinosaurs, and build and craft in an expansive multiplayer environment.</w:t>
      </w:r>
    </w:p>
    <w:p>
      <w:pPr>
        <w:spacing w:after="0" w:line="140" w:lineRule="exact"/>
        <w:rPr>
          <w:sz w:val="20"/>
          <w:szCs w:val="20"/>
          <w:color w:val="auto"/>
        </w:rPr>
      </w:pPr>
    </w:p>
    <w:p>
      <w:pPr>
        <w:jc w:val="both"/>
        <w:ind w:firstLine="276"/>
        <w:spacing w:after="0" w:line="277" w:lineRule="auto"/>
        <w:rPr>
          <w:sz w:val="20"/>
          <w:szCs w:val="20"/>
          <w:color w:val="auto"/>
        </w:rPr>
      </w:pPr>
      <w:r>
        <w:rPr>
          <w:rFonts w:ascii="Times New Roman" w:cs="Times New Roman" w:eastAsia="Times New Roman" w:hAnsi="Times New Roman"/>
          <w:sz w:val="15"/>
          <w:szCs w:val="15"/>
          <w:b w:val="1"/>
          <w:bCs w:val="1"/>
          <w:color w:val="auto"/>
        </w:rPr>
        <w:t>Bellwright</w:t>
      </w:r>
      <w:r>
        <w:rPr>
          <w:rFonts w:ascii="Times New Roman" w:cs="Times New Roman" w:eastAsia="Times New Roman" w:hAnsi="Times New Roman"/>
          <w:sz w:val="15"/>
          <w:szCs w:val="15"/>
          <w:color w:val="auto"/>
        </w:rPr>
        <w:t>: Developed in connection with our wholly owned subsidiary, Donkey Crew, Bellwright is an open-world strategy survival game based in the medieval period.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game offers a compelling blend of survival, strategy, combat, and town building in a richly imagined world. Players are challenged to build, sustain, and defend their town against the elements and adversaries all while building a rebellion force to take on the crown. Bellwright to launched in Early Access in the second quarter of 2024.</w:t>
      </w:r>
    </w:p>
    <w:p>
      <w:pPr>
        <w:spacing w:after="0" w:line="140" w:lineRule="exact"/>
        <w:rPr>
          <w:sz w:val="20"/>
          <w:szCs w:val="20"/>
          <w:color w:val="auto"/>
        </w:rPr>
      </w:pPr>
    </w:p>
    <w:p>
      <w:pPr>
        <w:jc w:val="both"/>
        <w:ind w:firstLine="276"/>
        <w:spacing w:after="0" w:line="270" w:lineRule="auto"/>
        <w:rPr>
          <w:sz w:val="20"/>
          <w:szCs w:val="20"/>
          <w:color w:val="auto"/>
        </w:rPr>
      </w:pPr>
      <w:r>
        <w:rPr>
          <w:rFonts w:ascii="Times New Roman" w:cs="Times New Roman" w:eastAsia="Times New Roman" w:hAnsi="Times New Roman"/>
          <w:sz w:val="15"/>
          <w:szCs w:val="15"/>
          <w:b w:val="1"/>
          <w:bCs w:val="1"/>
          <w:color w:val="auto"/>
        </w:rPr>
        <w:t>PixARK</w:t>
      </w:r>
      <w:r>
        <w:rPr>
          <w:rFonts w:ascii="Times New Roman" w:cs="Times New Roman" w:eastAsia="Times New Roman" w:hAnsi="Times New Roman"/>
          <w:sz w:val="15"/>
          <w:szCs w:val="15"/>
          <w:color w:val="auto"/>
        </w:rPr>
        <w:t>: An open-world, voxel type, survival sandbox game. To survive in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PixARK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world players must tame creatures, craft high tech and magical tools and build their bases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using cubes. The game has a robust character creator, an infinite number of voxel-based maps and procedurally generated quests making every </w:t>
      </w:r>
      <w:r>
        <w:rPr>
          <w:rFonts w:ascii="Times New Roman" w:cs="Times New Roman" w:eastAsia="Times New Roman" w:hAnsi="Times New Roman"/>
          <w:sz w:val="15"/>
          <w:szCs w:val="15"/>
          <w:i w:val="1"/>
          <w:iCs w:val="1"/>
          <w:color w:val="auto"/>
        </w:rPr>
        <w:t>PixARK</w:t>
      </w:r>
      <w:r>
        <w:rPr>
          <w:rFonts w:ascii="Times New Roman" w:cs="Times New Roman" w:eastAsia="Times New Roman" w:hAnsi="Times New Roman"/>
          <w:sz w:val="15"/>
          <w:szCs w:val="15"/>
          <w:color w:val="auto"/>
        </w:rPr>
        <w:t xml:space="preserve"> adventure unique to the player. Players can play on their own or band together to form tribes. The game was released by Early Access on Microsoft Windows and Xbox One, then in 2019 the full version was launched on Steam, PlayStation 4 and Nintendo Switch.</w:t>
      </w:r>
    </w:p>
    <w:p>
      <w:pPr>
        <w:spacing w:after="0" w:line="145"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color w:val="auto"/>
        </w:rPr>
        <w:t>Voyage Century Online</w:t>
      </w:r>
      <w:r>
        <w:rPr>
          <w:rFonts w:ascii="Times New Roman" w:cs="Times New Roman" w:eastAsia="Times New Roman" w:hAnsi="Times New Roman"/>
          <w:sz w:val="15"/>
          <w:szCs w:val="15"/>
          <w:color w:val="auto"/>
        </w:rPr>
        <w:t>: A free-to-play MMORPG set in the Age of Sail. Launched in 2007, the game focuses on maritime exploration, trading, naval battles, and empire-building.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Players can choose different professions such as merchants, explorers, or naval warriors, and engage in real-time ship combat, city sieges, and treasure hunting. The game features an open world based on real historical locations, with a strong emphasis on upgrading ships, crafting, and economic systems.</w:t>
      </w:r>
    </w:p>
    <w:p>
      <w:pPr>
        <w:spacing w:after="0" w:line="14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color w:val="auto"/>
        </w:rPr>
        <w:t>West Hunt</w:t>
      </w:r>
      <w:r>
        <w:rPr>
          <w:rFonts w:ascii="Times New Roman" w:cs="Times New Roman" w:eastAsia="Times New Roman" w:hAnsi="Times New Roman"/>
          <w:sz w:val="15"/>
          <w:szCs w:val="15"/>
          <w:color w:val="auto"/>
        </w:rPr>
        <w:t>: Launched in Early Access in June 2022 and v1.0 in March 2023, West Hunt is a multiplayer social deduction game set in the Wild West. Developed by NewGen, it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features 1v1 or team-based gameplay where one player takes on the role of an outlaw blending in with NPCs, while the other plays as a sheriff trying to identify and eliminate the criminal before time runs out. The outlaw must complete secret objectives without raising suspicion, while the sheriff uses clues and deduction to track them down.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Our Technology</w:t>
      </w:r>
    </w:p>
    <w:p>
      <w:pPr>
        <w:spacing w:after="0" w:line="200" w:lineRule="exact"/>
        <w:rPr>
          <w:sz w:val="20"/>
          <w:szCs w:val="20"/>
          <w:color w:val="auto"/>
        </w:rPr>
      </w:pPr>
    </w:p>
    <w:p>
      <w:pPr>
        <w:jc w:val="both"/>
        <w:ind w:right="20" w:firstLine="276"/>
        <w:spacing w:after="0" w:line="268" w:lineRule="auto"/>
        <w:rPr>
          <w:sz w:val="20"/>
          <w:szCs w:val="20"/>
          <w:color w:val="auto"/>
        </w:rPr>
      </w:pPr>
      <w:r>
        <w:rPr>
          <w:rFonts w:ascii="Times New Roman" w:cs="Times New Roman" w:eastAsia="Times New Roman" w:hAnsi="Times New Roman"/>
          <w:sz w:val="15"/>
          <w:szCs w:val="15"/>
          <w:color w:val="auto"/>
        </w:rPr>
        <w:t xml:space="preserve">We employ industry standard game engines for the majority of our games, which allows flexibility and accelerated game development. Our proprietary code modifies the game engines to fit the needs and features of our games as necessary, and for franchises like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we are able to leverage that proprietary code in the development of new DLCs for existing games and development of entirely new games. We retain ownership of all code developed for our proprietary engine, Flexi, which is currently being used to develop certain games in our pipeline with the expectation of launching to external developers in the near future.</w:t>
      </w:r>
    </w:p>
    <w:p>
      <w:pPr>
        <w:spacing w:after="0" w:line="147" w:lineRule="exact"/>
        <w:rPr>
          <w:sz w:val="20"/>
          <w:szCs w:val="20"/>
          <w:color w:val="auto"/>
        </w:rPr>
      </w:pPr>
    </w:p>
    <w:p>
      <w:pPr>
        <w:jc w:val="both"/>
        <w:ind w:right="20" w:firstLine="276"/>
        <w:spacing w:after="0" w:line="298" w:lineRule="auto"/>
        <w:rPr>
          <w:sz w:val="20"/>
          <w:szCs w:val="20"/>
          <w:color w:val="auto"/>
        </w:rPr>
      </w:pPr>
      <w:r>
        <w:rPr>
          <w:rFonts w:ascii="Times New Roman" w:cs="Times New Roman" w:eastAsia="Times New Roman" w:hAnsi="Times New Roman"/>
          <w:sz w:val="15"/>
          <w:szCs w:val="15"/>
          <w:color w:val="auto"/>
        </w:rPr>
        <w:t xml:space="preserve">We offer an industry-leading micro-influencer platform,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xml:space="preserve"> through which influencers can connect with brands in need. We continue to make technological enhancements to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with a focus on streamlining the process to connect brands with influencers, and facilitating and simplifying the agreements that need to be executed between the two parties.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5"/>
          <w:szCs w:val="15"/>
          <w:b w:val="1"/>
          <w:bCs w:val="1"/>
          <w:color w:val="auto"/>
        </w:rPr>
        <w:t>Our Competition</w:t>
      </w:r>
    </w:p>
    <w:p>
      <w:pPr>
        <w:spacing w:after="0" w:line="200" w:lineRule="exact"/>
        <w:rPr>
          <w:sz w:val="20"/>
          <w:szCs w:val="20"/>
          <w:color w:val="auto"/>
        </w:rPr>
      </w:pPr>
    </w:p>
    <w:p>
      <w:pPr>
        <w:jc w:val="both"/>
        <w:ind w:firstLine="276"/>
        <w:spacing w:after="0" w:line="264" w:lineRule="auto"/>
        <w:rPr>
          <w:sz w:val="20"/>
          <w:szCs w:val="20"/>
          <w:color w:val="auto"/>
        </w:rPr>
      </w:pPr>
      <w:r>
        <w:rPr>
          <w:rFonts w:ascii="Times New Roman" w:cs="Times New Roman" w:eastAsia="Times New Roman" w:hAnsi="Times New Roman"/>
          <w:sz w:val="15"/>
          <w:szCs w:val="15"/>
          <w:color w:val="auto"/>
        </w:rPr>
        <w:t>The interactive entertainment market is highly competitive and evolves rapidly as new games, content and features are introduced. We compete with other interactive entertainment companies such as Activision Blizzard, Inc., Electronic Arts Inc., Take-Two Interactive, Zynga, Ubisoft, Epic Games, Tencent, Netmarble, Sony, Microsoft and Nintendo primarily for game development on consoles, PCs and mobile devices. Across the sandbox survival game genre, we primarily compete with Embracer Group, Saber Group, Enand Global 7, FunCom, Axolot Games, and Facepunch Studios. We also face competition from other independent developer studios. Important factors in the video game development and publishing industries include innovation, creative and technical talent, game quality, brand recognition, platform compatibility, pricing, accessibility to distribution channels and customer service.</w:t>
      </w:r>
    </w:p>
    <w:p>
      <w:pPr>
        <w:spacing w:after="0" w:line="3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broader competitors include other providers of digital entertainment, such as film, television, social networking, streaming and music.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Regulatory Matters</w:t>
      </w:r>
    </w:p>
    <w:p>
      <w:pPr>
        <w:spacing w:after="0" w:line="200"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We are subject to various federal, state and international laws and regulations that affect companies conducting business on the Internet and mobile platforms, including those relating to privacy, use and protection of player and employee personal information and data (including the collection of data from minors), the Internet, behavioral tracking, mobile application, content, advertising and marketing activities (including sweepstakes, contests and giveaways) and anti-corruption. Additional laws in all of these areas are likely to be passed in the future, which could result in significant limitations on or changes to the ways in which we can collect, use, host, store or transmit the personal information and data of our customers or employees, communicate with our players and deliver products and services, which significantly increase our compliance costs. As our business expands to include new uses or collection of data that are subject to privacy or security regulations and our operations continue to expand across the globe, our compliance requirements and costs will increase and we may be subject to increased regulatory scrutiny.</w:t>
      </w:r>
    </w:p>
    <w:p>
      <w:pPr>
        <w:spacing w:after="0" w:line="156"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For more information regarding risks relating to data privacy and security, see Item 1A of Part I, “Risk Factors — Risks Related to Legal or Regulatory Compliance — Changing data privacy and security laws and regulations in the jurisdictions in which we or our consumers do business could increase the cost of our operations and subject us to possible sanctions, civil lawsuits (including class action or similar representative lawsuits) and other penalties; such laws and regulations are continually evolving. Our platform and service providers’ actual or perceived failure to comply with these laws and regulations could harm our business, financial condition and results of operations.”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Intellectual Property</w:t>
      </w:r>
    </w:p>
    <w:p>
      <w:pPr>
        <w:spacing w:after="0" w:line="200"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Similar to other interactive entertainment companies, our business is significantly dependent on the creation, acquisition, use and protection of intellectual property. Some of this intellectual property is in the form of software code, other technology, and trade secrets that we use to run our games. Other intellectual property includes copyrighted audio-visual elements that consumers can see, hear, and interact with when they are playing our games. Most of the intellectual property we use is licensed to us by third-party game developers. We obtain such intellectual property rights through licenses and service agreements, and such licenses may limit our use of such intellectual property to specific uses and for specific time periods. We seek to advance and maintain our business through both a combination of licensed and owned intellectual property.</w:t>
      </w:r>
    </w:p>
    <w:p>
      <w:pPr>
        <w:spacing w:after="0" w:line="153" w:lineRule="exact"/>
        <w:rPr>
          <w:sz w:val="20"/>
          <w:szCs w:val="20"/>
          <w:color w:val="auto"/>
        </w:rPr>
      </w:pPr>
    </w:p>
    <w:p>
      <w:pPr>
        <w:jc w:val="both"/>
        <w:ind w:firstLine="276"/>
        <w:spacing w:after="0" w:line="267" w:lineRule="auto"/>
        <w:rPr>
          <w:sz w:val="20"/>
          <w:szCs w:val="20"/>
          <w:color w:val="auto"/>
        </w:rPr>
      </w:pPr>
      <w:r>
        <w:rPr>
          <w:rFonts w:ascii="Times New Roman" w:cs="Times New Roman" w:eastAsia="Times New Roman" w:hAnsi="Times New Roman"/>
          <w:sz w:val="15"/>
          <w:szCs w:val="15"/>
          <w:color w:val="auto"/>
        </w:rPr>
        <w:t xml:space="preserve">As of December 31, 2024, we owned the following trademarks related to the business: 15 registered trademarks in the United States, two registered trademarks in non-U.S. jurisdictions, thirteen registered United States copyrights and one pending U.S. design patent application through one of our subsidiaries, which is scheduled to expire in 2033, assuming payment of all appropriate maintenance, renewal, annuity or other governmental fees. As of December 31, 2024, we did not have any pending trademark registration applications and we did not have any issued U.S. design patents. Additionally, we have registered domain names for websites that we use in our business, such as </w:t>
      </w:r>
      <w:r>
        <w:rPr>
          <w:rFonts w:ascii="Times New Roman" w:cs="Times New Roman" w:eastAsia="Times New Roman" w:hAnsi="Times New Roman"/>
          <w:sz w:val="15"/>
          <w:szCs w:val="15"/>
          <w:i w:val="1"/>
          <w:iCs w:val="1"/>
          <w:color w:val="auto"/>
        </w:rPr>
        <w:t>snailgamesusa.com</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playark.com.</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12" w:name="page13"/>
    <w:bookmarkEnd w:id="12"/>
    <w:p>
      <w:pPr>
        <w:jc w:val="both"/>
        <w:ind w:firstLine="276"/>
        <w:spacing w:after="0" w:line="266" w:lineRule="auto"/>
        <w:rPr>
          <w:sz w:val="20"/>
          <w:szCs w:val="20"/>
          <w:color w:val="auto"/>
        </w:rPr>
      </w:pPr>
      <w:r>
        <w:rPr>
          <w:rFonts w:ascii="Times New Roman" w:cs="Times New Roman" w:eastAsia="Times New Roman" w:hAnsi="Times New Roman"/>
          <w:sz w:val="15"/>
          <w:szCs w:val="15"/>
          <w:color w:val="auto"/>
        </w:rPr>
        <w:t xml:space="preserve">A majority of our revenue is derived from licensed intellectual property, such as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We license the intellectual property underlying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from SDE Inc. (“SDE”), the parent company of Studio Wildcard. SDE is controlled by the spouse of Mr. Shi, our Founder, Co-Chief Executive Officer, Chief Strategy Officer and Chairman. We entered into an original exclusive software license agreement with SDE in November 2015, for the rights to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subsequently, in December 2022, we amended the ARK1 License Agreement. The license fee has been restructured so that we will pay 45% of total revenue of </w:t>
      </w:r>
      <w:r>
        <w:rPr>
          <w:rFonts w:ascii="Times New Roman" w:cs="Times New Roman" w:eastAsia="Times New Roman" w:hAnsi="Times New Roman"/>
          <w:sz w:val="15"/>
          <w:szCs w:val="15"/>
          <w:i w:val="1"/>
          <w:iCs w:val="1"/>
          <w:color w:val="auto"/>
        </w:rPr>
        <w:t>ARK I</w:t>
      </w:r>
      <w:r>
        <w:rPr>
          <w:rFonts w:ascii="Times New Roman" w:cs="Times New Roman" w:eastAsia="Times New Roman" w:hAnsi="Times New Roman"/>
          <w:sz w:val="15"/>
          <w:szCs w:val="15"/>
          <w:color w:val="auto"/>
        </w:rPr>
        <w:t xml:space="preserve"> as a royalty instead of the $1.5 million monthly fee plus 25% of the total </w:t>
      </w:r>
      <w:r>
        <w:rPr>
          <w:rFonts w:ascii="Times New Roman" w:cs="Times New Roman" w:eastAsia="Times New Roman" w:hAnsi="Times New Roman"/>
          <w:sz w:val="15"/>
          <w:szCs w:val="15"/>
          <w:i w:val="1"/>
          <w:iCs w:val="1"/>
          <w:color w:val="auto"/>
        </w:rPr>
        <w:t>ARK I</w:t>
      </w:r>
      <w:r>
        <w:rPr>
          <w:rFonts w:ascii="Times New Roman" w:cs="Times New Roman" w:eastAsia="Times New Roman" w:hAnsi="Times New Roman"/>
          <w:sz w:val="15"/>
          <w:szCs w:val="15"/>
          <w:color w:val="auto"/>
        </w:rPr>
        <w:t xml:space="preserve"> revenue once the sequel,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is publicly released.</w:t>
      </w:r>
    </w:p>
    <w:p>
      <w:pPr>
        <w:spacing w:after="0" w:line="154" w:lineRule="exact"/>
        <w:rPr>
          <w:sz w:val="20"/>
          <w:szCs w:val="20"/>
          <w:color w:val="auto"/>
        </w:rPr>
      </w:pPr>
    </w:p>
    <w:p>
      <w:pPr>
        <w:jc w:val="both"/>
        <w:ind w:firstLine="276"/>
        <w:spacing w:after="0" w:line="260" w:lineRule="auto"/>
        <w:rPr>
          <w:sz w:val="20"/>
          <w:szCs w:val="20"/>
          <w:color w:val="auto"/>
        </w:rPr>
      </w:pPr>
      <w:r>
        <w:rPr>
          <w:rFonts w:ascii="Times New Roman" w:cs="Times New Roman" w:eastAsia="Times New Roman" w:hAnsi="Times New Roman"/>
          <w:sz w:val="15"/>
          <w:szCs w:val="15"/>
          <w:color w:val="auto"/>
        </w:rPr>
        <w:t xml:space="preserve">In March 2023, we amended the ARK1 License Agreement with SDE to include DLC prepayments. The Company will prepay a maximum of $5.0 million for each DLC, in whole or in part, in advance of a DLC release. No payment with respect to any DLC will exceed $5.0 million. In October 2023, we made an additional amendment to the ARK1 License Agreement to clarify the delineation of the </w:t>
      </w:r>
      <w:r>
        <w:rPr>
          <w:rFonts w:ascii="Times New Roman" w:cs="Times New Roman" w:eastAsia="Times New Roman" w:hAnsi="Times New Roman"/>
          <w:sz w:val="15"/>
          <w:szCs w:val="15"/>
          <w:i w:val="1"/>
          <w:iCs w:val="1"/>
          <w:color w:val="auto"/>
        </w:rPr>
        <w:t>ARK I</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monthly license fees, royalty percentages for each, and applicability of the $5.0 million DLC payments. Following the launch date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we will pay a monthly license fee of $2.0 million, which will be terminated upon the public release of </w:t>
      </w:r>
      <w:r>
        <w:rPr>
          <w:rFonts w:ascii="Times New Roman" w:cs="Times New Roman" w:eastAsia="Times New Roman" w:hAnsi="Times New Roman"/>
          <w:sz w:val="15"/>
          <w:szCs w:val="15"/>
          <w:i w:val="1"/>
          <w:iCs w:val="1"/>
          <w:color w:val="auto"/>
        </w:rPr>
        <w:t xml:space="preserve">ARK II. </w:t>
      </w:r>
      <w:r>
        <w:rPr>
          <w:rFonts w:ascii="Times New Roman" w:cs="Times New Roman" w:eastAsia="Times New Roman" w:hAnsi="Times New Roman"/>
          <w:sz w:val="15"/>
          <w:szCs w:val="15"/>
          <w:color w:val="auto"/>
        </w:rPr>
        <w:t>The $2.0 million monthly license fee replaces the $1.5 million monthly license fee we were previously paying for</w:t>
      </w:r>
      <w:r>
        <w:rPr>
          <w:rFonts w:ascii="Times New Roman" w:cs="Times New Roman" w:eastAsia="Times New Roman" w:hAnsi="Times New Roman"/>
          <w:sz w:val="15"/>
          <w:szCs w:val="15"/>
          <w:i w:val="1"/>
          <w:iCs w:val="1"/>
          <w:color w:val="auto"/>
        </w:rPr>
        <w:t xml:space="preserve"> ARK: Survival Evolved. </w:t>
      </w:r>
      <w:r>
        <w:rPr>
          <w:rFonts w:ascii="Times New Roman" w:cs="Times New Roman" w:eastAsia="Times New Roman" w:hAnsi="Times New Roman"/>
          <w:sz w:val="15"/>
          <w:szCs w:val="15"/>
          <w:color w:val="auto"/>
        </w:rPr>
        <w:t>Additionally, following the launch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we will pay 25% of the total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revenues as a monthly royalty and 40% of the total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revenue as a monthly royalty. The previously released 5 DLCs, mini-packs or add-ons to the 5 DLCs and any non-canonical maps on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are not subject to DLC payments required under the existing agreement. In 2024 and 2023, we incurred $24.0 million and $19.1 million, respectively, in license costs and $19.7 million and $14.1 million, respectively, in royalty costs pursuant to the ARK License Agreements.</w:t>
      </w:r>
    </w:p>
    <w:p>
      <w:pPr>
        <w:spacing w:after="0" w:line="157"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 xml:space="preserve">In addition to our primary licenses for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we are also party to other licensing agreements with Suzhou Snail, relating to the intellectual property for our current mobile and upcoming PC games. Under these license agreements, we receive an exclusive, sublicensable license to use, publish, distribute, market, operate and service games from third parties. The license agreements call for the developers to develop a certain number of titles for us, while we are responsible for the operation and launch of such games including the marketing, strategy, billing, and server maintenance for such games. In these agreements, payment terms will frequently include royalty payments to developers in the low to mid double-digit percentages range and will occasionally include up-front licensing payments and development payments based on scheduled deliverable milestones. Under these agreements, the developer will often own all of the intellectual property, and the agreements can be terminated for breach with a period to cure, for insolvency, or for our nonpayment. In 2024 and 2023, we accrued $0.7 million and $0.3 million, respectively, in license, royalty and development costs, which we record as accounts payable - related party.</w:t>
      </w:r>
    </w:p>
    <w:p>
      <w:pPr>
        <w:spacing w:after="0" w:line="155" w:lineRule="exact"/>
        <w:rPr>
          <w:sz w:val="20"/>
          <w:szCs w:val="20"/>
          <w:color w:val="auto"/>
        </w:rPr>
      </w:pPr>
    </w:p>
    <w:p>
      <w:pPr>
        <w:jc w:val="both"/>
        <w:ind w:right="20" w:firstLine="276"/>
        <w:spacing w:after="0" w:line="274" w:lineRule="auto"/>
        <w:rPr>
          <w:sz w:val="20"/>
          <w:szCs w:val="20"/>
          <w:color w:val="auto"/>
        </w:rPr>
      </w:pPr>
      <w:r>
        <w:rPr>
          <w:rFonts w:ascii="Times New Roman" w:cs="Times New Roman" w:eastAsia="Times New Roman" w:hAnsi="Times New Roman"/>
          <w:sz w:val="15"/>
          <w:szCs w:val="15"/>
          <w:color w:val="auto"/>
        </w:rPr>
        <w:t>Further, our products that play on consoles and mobile platforms include technology that is owned by the platform provider and is licensed non-exclusively to us for use in the relevant product. We also license technology from providers other than console manufacturers in developing our content and services. While we may have renewal rights for some licenses, our business is dependent on our ability to continue to obtain the intellectual property rights from the owners of these rights on reasonable terms and at reasonable rates.</w:t>
      </w:r>
    </w:p>
    <w:p>
      <w:pPr>
        <w:spacing w:after="0" w:line="146"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We are actively engaged in enforcement of our copyright, trademark, patent and trade secret rights against potential infringers of those rights along with other protective activities, including monitoring online channels for distribution of pirated copies and participating in various enforcement initiatives, education programs, and legislative activity around the world. For our PC products, we use technological protection measures to prevent piracy and the use of unauthorized copies of our products. For other platforms, the platform providers typically incorporate technological protections and other security measures in their platforms to prevent the use of unlicensed products on those platforms.</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For more information regarding risks relating to intellectual property, see Item 1A of Part I, “Risk Factors — Risks Related to Intellectual Property.”</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5"/>
          <w:szCs w:val="15"/>
          <w:b w:val="1"/>
          <w:bCs w:val="1"/>
          <w:color w:val="auto"/>
        </w:rPr>
        <w:t>Facilities</w:t>
      </w:r>
    </w:p>
    <w:p>
      <w:pPr>
        <w:spacing w:after="0" w:line="200"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Our principal executive office, which we own, is located at 12049 Jefferson Boulevard, Culver City, California 90230. Certain debt agreements are secured by our principal executive offices. We also lease additional facilities to support our operations. We believe our existing facilities are sufficient for our current needs. We may add new facilities and expand our existing facilities as we add employees and expand into new locations. We believe suitable additional space will be available as needed to accommodate our needs.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Human Capital Resources</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As of December 31, 2024, we had 149 full-time employees worldwide, of whom approximately 77% are based in North America and approximately 23% are based in Europe, the Middle East and Africa (“EMEA”) region. We have approximately 69% of our employees dedicated to technology and content development, 9% to marketing and 22% to general administration. We do not have any part-time employees, nor do we have any unions or collective bargaining agreements with any of our employees. We work to identify, attract and retain employees who are aligned with and will help us progress towards our mission, and we seek to provide competitive cash and equity compensation.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Corporate Information</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Snail Games USA, Inc. (“Snail Games USA”) was incorporated in the State of California on September 22, 2009. Snail, Inc. (“Snail”) was incorporated in the State of Delaware on January 11, 2022. Concurrently with our initial public offering in November 2022, Snail and Snail Games USA consummated transactions, as a result of which, (i) Snail became a holding company, with its principal asset consisting of all of the shares of common stock of Snail Games USA and (ii) Snail controls the business and affairs of Snail Games USA and its subsidiaries.</w:t>
      </w:r>
    </w:p>
    <w:p>
      <w:pPr>
        <w:spacing w:after="0" w:line="151" w:lineRule="exact"/>
        <w:rPr>
          <w:sz w:val="20"/>
          <w:szCs w:val="20"/>
          <w:color w:val="auto"/>
        </w:rPr>
      </w:pPr>
    </w:p>
    <w:p>
      <w:pPr>
        <w:jc w:val="both"/>
        <w:ind w:firstLine="276"/>
        <w:spacing w:after="0" w:line="286" w:lineRule="auto"/>
        <w:rPr>
          <w:sz w:val="20"/>
          <w:szCs w:val="20"/>
          <w:color w:val="auto"/>
        </w:rPr>
      </w:pPr>
      <w:r>
        <w:rPr>
          <w:rFonts w:ascii="Times New Roman" w:cs="Times New Roman" w:eastAsia="Times New Roman" w:hAnsi="Times New Roman"/>
          <w:sz w:val="15"/>
          <w:szCs w:val="15"/>
          <w:color w:val="auto"/>
        </w:rPr>
        <w:t xml:space="preserve">Our principal executive office is located at 12049 Jefferson Boulevard, Culver City, California 90230. Our telephone number at this address is (310) 988-0643. Our main website is </w:t>
      </w:r>
      <w:r>
        <w:rPr>
          <w:rFonts w:ascii="Times New Roman" w:cs="Times New Roman" w:eastAsia="Times New Roman" w:hAnsi="Times New Roman"/>
          <w:sz w:val="15"/>
          <w:szCs w:val="15"/>
          <w:i w:val="1"/>
          <w:iCs w:val="1"/>
          <w:color w:val="auto"/>
        </w:rPr>
        <w:t>https://investor.snail.com/</w:t>
      </w:r>
      <w:r>
        <w:rPr>
          <w:rFonts w:ascii="Times New Roman" w:cs="Times New Roman" w:eastAsia="Times New Roman" w:hAnsi="Times New Roman"/>
          <w:sz w:val="15"/>
          <w:szCs w:val="15"/>
          <w:color w:val="auto"/>
        </w:rPr>
        <w:t>. The information contained in, or accessible through, our website is not incorporated by reference in, and should not be considered part of, this Annual Report.</w:t>
      </w:r>
    </w:p>
    <w:p>
      <w:pPr>
        <w:spacing w:after="0" w:line="326" w:lineRule="exact"/>
        <w:rPr>
          <w:sz w:val="20"/>
          <w:szCs w:val="20"/>
          <w:color w:val="auto"/>
        </w:rPr>
      </w:pPr>
    </w:p>
    <w:p>
      <w:pPr>
        <w:jc w:val="both"/>
        <w:ind w:firstLine="276"/>
        <w:spacing w:after="0" w:line="234" w:lineRule="auto"/>
        <w:rPr>
          <w:sz w:val="20"/>
          <w:szCs w:val="20"/>
          <w:color w:val="auto"/>
        </w:rPr>
      </w:pPr>
      <w:r>
        <w:rPr>
          <w:rFonts w:ascii="Times New Roman" w:cs="Times New Roman" w:eastAsia="Times New Roman" w:hAnsi="Times New Roman"/>
          <w:sz w:val="15"/>
          <w:szCs w:val="15"/>
          <w:color w:val="auto"/>
        </w:rPr>
        <w:t xml:space="preserve">We have proprietary rights to trademarks, trade names and service marks appearing in this Annual Report that are important to our business. Solely for convenience, the trademarks, trade names and service marks may appear in this Annual Report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5"/>
          <w:szCs w:val="15"/>
          <w:color w:val="auto"/>
        </w:rPr>
        <w:t xml:space="preserve"> symbols, but any such references are not intended to indicate, in any way, that we forgo or will not assert, to the fullest extent under applicable law, our rights or the rights of the applicable licensors to these trademarks, trade names and service marks. All trademarks, trade names and service marks appearing in this Annual Report are the property of their respective owners.</w:t>
      </w:r>
    </w:p>
    <w:p>
      <w:pPr>
        <w:spacing w:after="0" w:line="171" w:lineRule="exact"/>
        <w:rPr>
          <w:sz w:val="20"/>
          <w:szCs w:val="20"/>
          <w:color w:val="auto"/>
        </w:rPr>
      </w:pPr>
    </w:p>
    <w:p>
      <w:pPr>
        <w:jc w:val="both"/>
        <w:ind w:firstLine="276"/>
        <w:spacing w:after="0" w:line="292" w:lineRule="auto"/>
        <w:rPr>
          <w:sz w:val="20"/>
          <w:szCs w:val="20"/>
          <w:color w:val="auto"/>
        </w:rPr>
      </w:pPr>
      <w:r>
        <w:rPr>
          <w:rFonts w:ascii="Times New Roman" w:cs="Times New Roman" w:eastAsia="Times New Roman" w:hAnsi="Times New Roman"/>
          <w:sz w:val="15"/>
          <w:szCs w:val="15"/>
          <w:color w:val="auto"/>
        </w:rPr>
        <w:t>We make our Annual Reports on Form 10-K, Quarterly Reports on Form 10-Q, Current Reports on Form 8-K, and amendments to those reports, available free of charge at our website as soon as reasonably practicable after they have been filed with the SEC.</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1A. Risk Factors.</w:t>
      </w:r>
    </w:p>
    <w:p>
      <w:pPr>
        <w:spacing w:after="0" w:line="200" w:lineRule="exact"/>
        <w:rPr>
          <w:sz w:val="20"/>
          <w:szCs w:val="20"/>
          <w:color w:val="auto"/>
        </w:rPr>
      </w:pPr>
    </w:p>
    <w:p>
      <w:pPr>
        <w:jc w:val="both"/>
        <w:ind w:firstLine="553"/>
        <w:spacing w:after="0" w:line="265" w:lineRule="auto"/>
        <w:rPr>
          <w:sz w:val="20"/>
          <w:szCs w:val="20"/>
          <w:color w:val="auto"/>
        </w:rPr>
      </w:pPr>
      <w:r>
        <w:rPr>
          <w:rFonts w:ascii="Times New Roman" w:cs="Times New Roman" w:eastAsia="Times New Roman" w:hAnsi="Times New Roman"/>
          <w:sz w:val="15"/>
          <w:szCs w:val="15"/>
          <w:color w:val="auto"/>
        </w:rPr>
        <w:t>A description of the risks and uncertainties associated with our business is set forth below. You should carefully consider the risks and uncertainties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153" w:lineRule="exact"/>
        <w:rPr>
          <w:sz w:val="20"/>
          <w:szCs w:val="20"/>
          <w:color w:val="auto"/>
        </w:rPr>
      </w:pPr>
    </w:p>
    <w:p>
      <w:pPr>
        <w:jc w:val="both"/>
        <w:ind w:firstLine="553"/>
        <w:spacing w:after="0" w:line="268" w:lineRule="auto"/>
        <w:rPr>
          <w:sz w:val="20"/>
          <w:szCs w:val="20"/>
          <w:color w:val="auto"/>
        </w:rPr>
      </w:pPr>
      <w:r>
        <w:rPr>
          <w:rFonts w:ascii="Times New Roman" w:cs="Times New Roman" w:eastAsia="Times New Roman" w:hAnsi="Times New Roman"/>
          <w:sz w:val="15"/>
          <w:szCs w:val="15"/>
          <w:color w:val="auto"/>
        </w:rPr>
        <w:t>Our business is subject to numerous risks and uncertainties, including those highlighted in this section titled Item 1A. “Risk Factors,” that represent challenges that we face in connection with the successful implementation of our strategy and growth of our business. The occurrence of one or more of the events or circumstances described in this section titled Item 1A. “Risk Factors,” alone or in combination with other events or circumstances, may have an adverse effect on our business, cash flows, financial condition and results of operations. Such risks include, but are not limited to, the following:</w:t>
      </w:r>
    </w:p>
    <w:p>
      <w:pPr>
        <w:spacing w:after="0" w:line="151" w:lineRule="exact"/>
        <w:rPr>
          <w:sz w:val="20"/>
          <w:szCs w:val="20"/>
          <w:color w:val="auto"/>
        </w:rPr>
      </w:pPr>
    </w:p>
    <w:p>
      <w:pPr>
        <w:ind w:left="540" w:hanging="271"/>
        <w:spacing w:after="0" w:line="292" w:lineRule="auto"/>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dependent on the future success of our ARK franchise, and we must continue to publish “hit” titles or sequels to such “hit” titles in order to compete successfully in our industry.</w:t>
      </w:r>
    </w:p>
    <w:p>
      <w:pPr>
        <w:spacing w:after="0" w:line="133" w:lineRule="exact"/>
        <w:rPr>
          <w:rFonts w:ascii="Times New Roman" w:cs="Times New Roman" w:eastAsia="Times New Roman" w:hAnsi="Times New Roman"/>
          <w:sz w:val="15"/>
          <w:szCs w:val="15"/>
          <w:color w:val="auto"/>
        </w:rPr>
      </w:pPr>
    </w:p>
    <w:p>
      <w:pPr>
        <w:ind w:left="540" w:right="20" w:hanging="271"/>
        <w:spacing w:after="0" w:line="292" w:lineRule="auto"/>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do not consistently deliver popular, high-quality content in a timely manner, if we are not successful in meaningfully expanding our existing franchise, or if consumers prefer products from our competitors, our business may be negatively impacted.</w:t>
      </w:r>
    </w:p>
    <w:p>
      <w:pPr>
        <w:spacing w:after="0" w:line="133" w:lineRule="exact"/>
        <w:rPr>
          <w:rFonts w:ascii="Times New Roman" w:cs="Times New Roman" w:eastAsia="Times New Roman" w:hAnsi="Times New Roman"/>
          <w:sz w:val="15"/>
          <w:szCs w:val="15"/>
          <w:color w:val="auto"/>
        </w:rPr>
      </w:pPr>
    </w:p>
    <w:p>
      <w:pPr>
        <w:jc w:val="both"/>
        <w:ind w:left="540" w:hanging="271"/>
        <w:spacing w:after="0" w:line="274" w:lineRule="auto"/>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license agreements to publish certain games, including games in our ARK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spacing w:after="0" w:line="14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depend on our key management and product development personnel.</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management team has limited experience managing a public company.</w:t>
      </w:r>
    </w:p>
    <w:p>
      <w:pPr>
        <w:spacing w:after="0" w:line="196" w:lineRule="exact"/>
        <w:rPr>
          <w:rFonts w:ascii="Times New Roman" w:cs="Times New Roman" w:eastAsia="Times New Roman" w:hAnsi="Times New Roman"/>
          <w:sz w:val="15"/>
          <w:szCs w:val="15"/>
          <w:color w:val="auto"/>
        </w:rPr>
      </w:pPr>
    </w:p>
    <w:p>
      <w:pPr>
        <w:ind w:left="540" w:hanging="271"/>
        <w:spacing w:after="0" w:line="292" w:lineRule="auto"/>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is subject to the risks of earthquakes, fire, floods, public health crises and other natural catastrophes and to interruption by man-made problems such as power disruptions, computer viruses, data security breaches or other incidents or terrorism.</w:t>
      </w:r>
    </w:p>
    <w:p>
      <w:pPr>
        <w:spacing w:after="0" w:line="133" w:lineRule="exact"/>
        <w:rPr>
          <w:rFonts w:ascii="Times New Roman" w:cs="Times New Roman" w:eastAsia="Times New Roman" w:hAnsi="Times New Roman"/>
          <w:sz w:val="15"/>
          <w:szCs w:val="15"/>
          <w:color w:val="auto"/>
        </w:rPr>
      </w:pPr>
    </w:p>
    <w:p>
      <w:pPr>
        <w:ind w:left="540" w:hanging="271"/>
        <w:spacing w:after="0" w:line="292" w:lineRule="auto"/>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industry is subject to rapid technological change, and if we do not adapt to, and appropriately allocate our resources among, emerging technologies and business models, our business may be negatively impacted.</w:t>
      </w:r>
    </w:p>
    <w:p>
      <w:pPr>
        <w:spacing w:after="0" w:line="156" w:lineRule="exact"/>
        <w:rPr>
          <w:rFonts w:ascii="Times New Roman" w:cs="Times New Roman" w:eastAsia="Times New Roman" w:hAnsi="Times New Roman"/>
          <w:sz w:val="15"/>
          <w:szCs w:val="15"/>
          <w:color w:val="auto"/>
        </w:rPr>
      </w:pPr>
    </w:p>
    <w:p>
      <w:pPr>
        <w:jc w:val="both"/>
        <w:ind w:left="540" w:hanging="271"/>
        <w:spacing w:after="0" w:line="274" w:lineRule="auto"/>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rely on third-party platforms, such as Xbox Live and Game Pass, PlayStation Network, Steam, Epic Games Store, the Apple App Store, the Google Play Store, My Nintendo Store and the Amazon Appstore, to distribute our games and collect revenues generated on such platforms and rely on third-party payment service providers to collect revenues generated on our own platforms.</w:t>
      </w:r>
    </w:p>
    <w:p>
      <w:pPr>
        <w:spacing w:after="0" w:line="146" w:lineRule="exact"/>
        <w:rPr>
          <w:rFonts w:ascii="Times New Roman" w:cs="Times New Roman" w:eastAsia="Times New Roman" w:hAnsi="Times New Roman"/>
          <w:sz w:val="15"/>
          <w:szCs w:val="15"/>
          <w:color w:val="auto"/>
        </w:rPr>
      </w:pPr>
    </w:p>
    <w:p>
      <w:pPr>
        <w:ind w:left="540" w:right="20" w:hanging="271"/>
        <w:spacing w:after="0" w:line="292" w:lineRule="auto"/>
        <w:tabs>
          <w:tab w:leader="none" w:pos="54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depend on servers and networks to operate our games with online features. If we were to lose functionality in any of these areas for any reason, our business may be negatively impacted.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14" w:name="page15"/>
    <w:bookmarkEnd w:id="14"/>
    <w:p>
      <w:pPr>
        <w:ind w:left="280" w:hanging="271"/>
        <w:spacing w:after="0" w:line="292" w:lineRule="auto"/>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may be unable to effectively manage the continued growth and the scope and complexity of our business, including our expansion into new business models that are untested and into adjacent business opportunities with large, established competitors.</w:t>
      </w:r>
    </w:p>
    <w:p>
      <w:pPr>
        <w:spacing w:after="0" w:line="133" w:lineRule="exact"/>
        <w:rPr>
          <w:rFonts w:ascii="Times New Roman" w:cs="Times New Roman" w:eastAsia="Times New Roman" w:hAnsi="Times New Roman"/>
          <w:sz w:val="15"/>
          <w:szCs w:val="15"/>
          <w:color w:val="auto"/>
        </w:rPr>
      </w:pPr>
    </w:p>
    <w:p>
      <w:pPr>
        <w:ind w:left="280" w:hanging="271"/>
        <w:spacing w:after="0"/>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interactive entertainment software industry is highly competitive.</w:t>
      </w:r>
    </w:p>
    <w:p>
      <w:pPr>
        <w:spacing w:after="0" w:line="196" w:lineRule="exact"/>
        <w:rPr>
          <w:rFonts w:ascii="Times New Roman" w:cs="Times New Roman" w:eastAsia="Times New Roman" w:hAnsi="Times New Roman"/>
          <w:sz w:val="15"/>
          <w:szCs w:val="15"/>
          <w:color w:val="auto"/>
        </w:rPr>
      </w:pPr>
    </w:p>
    <w:p>
      <w:pPr>
        <w:ind w:left="280" w:hanging="271"/>
        <w:spacing w:after="0"/>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subject to product development risks, which could result in delays and additional costs, and often times we must adapt to changes in software technologies.</w:t>
      </w:r>
    </w:p>
    <w:p>
      <w:pPr>
        <w:spacing w:after="0" w:line="196" w:lineRule="exact"/>
        <w:rPr>
          <w:rFonts w:ascii="Times New Roman" w:cs="Times New Roman" w:eastAsia="Times New Roman" w:hAnsi="Times New Roman"/>
          <w:sz w:val="15"/>
          <w:szCs w:val="15"/>
          <w:color w:val="auto"/>
        </w:rPr>
      </w:pPr>
    </w:p>
    <w:p>
      <w:pPr>
        <w:ind w:left="280" w:right="20" w:hanging="271"/>
        <w:spacing w:after="0" w:line="292" w:lineRule="auto"/>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spacing w:after="0" w:line="133" w:lineRule="exact"/>
        <w:rPr>
          <w:rFonts w:ascii="Times New Roman" w:cs="Times New Roman" w:eastAsia="Times New Roman" w:hAnsi="Times New Roman"/>
          <w:sz w:val="15"/>
          <w:szCs w:val="15"/>
          <w:color w:val="auto"/>
        </w:rPr>
      </w:pPr>
    </w:p>
    <w:p>
      <w:pPr>
        <w:ind w:left="280" w:right="20" w:hanging="271"/>
        <w:spacing w:after="0" w:line="292" w:lineRule="auto"/>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results of operations or reputation may be harmed as a result of objectionable consumer, or other third party-created content, or if our distributors, retailers, development, and licensing partners, or other third parties with whom we are affiliated, act in ways that put our brand at risk.</w:t>
      </w:r>
    </w:p>
    <w:p>
      <w:pPr>
        <w:spacing w:after="0" w:line="133" w:lineRule="exact"/>
        <w:rPr>
          <w:rFonts w:ascii="Times New Roman" w:cs="Times New Roman" w:eastAsia="Times New Roman" w:hAnsi="Times New Roman"/>
          <w:sz w:val="15"/>
          <w:szCs w:val="15"/>
          <w:color w:val="auto"/>
        </w:rPr>
      </w:pPr>
    </w:p>
    <w:p>
      <w:pPr>
        <w:ind w:left="280" w:hanging="271"/>
        <w:spacing w:after="0"/>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products or services we release may contain defects, bugs or errors.</w:t>
      </w:r>
    </w:p>
    <w:p>
      <w:pPr>
        <w:spacing w:after="0" w:line="196" w:lineRule="exact"/>
        <w:rPr>
          <w:rFonts w:ascii="Times New Roman" w:cs="Times New Roman" w:eastAsia="Times New Roman" w:hAnsi="Times New Roman"/>
          <w:sz w:val="15"/>
          <w:szCs w:val="15"/>
          <w:color w:val="auto"/>
        </w:rPr>
      </w:pPr>
    </w:p>
    <w:p>
      <w:pPr>
        <w:ind w:left="280" w:hanging="271"/>
        <w:spacing w:after="0"/>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External game developers may not meet product development schedules or otherwise fulfill their contractual obligations.</w:t>
      </w:r>
    </w:p>
    <w:p>
      <w:pPr>
        <w:spacing w:after="0" w:line="196" w:lineRule="exact"/>
        <w:rPr>
          <w:rFonts w:ascii="Times New Roman" w:cs="Times New Roman" w:eastAsia="Times New Roman" w:hAnsi="Times New Roman"/>
          <w:sz w:val="15"/>
          <w:szCs w:val="15"/>
          <w:color w:val="auto"/>
        </w:rPr>
      </w:pPr>
    </w:p>
    <w:p>
      <w:pPr>
        <w:ind w:left="280" w:right="20" w:hanging="271"/>
        <w:spacing w:after="0" w:line="292" w:lineRule="auto"/>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cybersecurity-related attack, significant data breach, or disruption of the information technology systems or networks on which we rely could negatively impact our business.</w:t>
      </w:r>
    </w:p>
    <w:p>
      <w:pPr>
        <w:spacing w:after="0" w:line="133" w:lineRule="exact"/>
        <w:rPr>
          <w:rFonts w:ascii="Times New Roman" w:cs="Times New Roman" w:eastAsia="Times New Roman" w:hAnsi="Times New Roman"/>
          <w:sz w:val="15"/>
          <w:szCs w:val="15"/>
          <w:color w:val="auto"/>
        </w:rPr>
      </w:pPr>
    </w:p>
    <w:p>
      <w:pPr>
        <w:ind w:left="280" w:right="20" w:hanging="271"/>
        <w:spacing w:after="0" w:line="292" w:lineRule="auto"/>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do not successfully invest in, establish and maintain awareness of our brand and games or if we incur excessive expenses promoting and maintaining our brand or our games, our business, financial condition, results of operations or reputation could be harmed.</w:t>
      </w:r>
    </w:p>
    <w:p>
      <w:pPr>
        <w:spacing w:after="0" w:line="133" w:lineRule="exact"/>
        <w:rPr>
          <w:rFonts w:ascii="Times New Roman" w:cs="Times New Roman" w:eastAsia="Times New Roman" w:hAnsi="Times New Roman"/>
          <w:sz w:val="15"/>
          <w:szCs w:val="15"/>
          <w:color w:val="auto"/>
        </w:rPr>
      </w:pPr>
    </w:p>
    <w:p>
      <w:pPr>
        <w:ind w:left="280" w:hanging="271"/>
        <w:spacing w:after="0"/>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operating results may fluctuate from quarter to quarter, which makes our future results difficult to predict.</w:t>
      </w:r>
    </w:p>
    <w:p>
      <w:pPr>
        <w:spacing w:after="0" w:line="196" w:lineRule="exact"/>
        <w:rPr>
          <w:rFonts w:ascii="Times New Roman" w:cs="Times New Roman" w:eastAsia="Times New Roman" w:hAnsi="Times New Roman"/>
          <w:sz w:val="15"/>
          <w:szCs w:val="15"/>
          <w:color w:val="auto"/>
        </w:rPr>
      </w:pPr>
    </w:p>
    <w:p>
      <w:pPr>
        <w:ind w:left="280" w:right="20" w:hanging="271"/>
        <w:spacing w:after="0" w:line="292" w:lineRule="auto"/>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have experienced rapid growth and expect to invest in our growth for the foreseeable future. If we fail to manage our growth effectively, then our business, operating results and financial condition would be adversely affected.</w:t>
      </w:r>
    </w:p>
    <w:p>
      <w:pPr>
        <w:spacing w:after="0" w:line="133" w:lineRule="exact"/>
        <w:rPr>
          <w:rFonts w:ascii="Times New Roman" w:cs="Times New Roman" w:eastAsia="Times New Roman" w:hAnsi="Times New Roman"/>
          <w:sz w:val="15"/>
          <w:szCs w:val="15"/>
          <w:color w:val="auto"/>
        </w:rPr>
      </w:pPr>
    </w:p>
    <w:p>
      <w:pPr>
        <w:ind w:left="280" w:hanging="271"/>
        <w:spacing w:after="0" w:line="292" w:lineRule="auto"/>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general economic conditions decline, demand for our games could decline. In addition, our business is vulnerable to changing economic conditions and to other factors that adversely affect the gaming industry, which could negatively impact our business.</w:t>
      </w:r>
    </w:p>
    <w:p>
      <w:pPr>
        <w:spacing w:after="0" w:line="133" w:lineRule="exact"/>
        <w:rPr>
          <w:rFonts w:ascii="Times New Roman" w:cs="Times New Roman" w:eastAsia="Times New Roman" w:hAnsi="Times New Roman"/>
          <w:sz w:val="15"/>
          <w:szCs w:val="15"/>
          <w:color w:val="auto"/>
        </w:rPr>
      </w:pPr>
    </w:p>
    <w:p>
      <w:pPr>
        <w:ind w:left="280" w:hanging="271"/>
        <w:spacing w:after="0"/>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factors, domestically and internationally, may adversely affect our business, financial condition, and results of operations.</w:t>
      </w:r>
    </w:p>
    <w:p>
      <w:pPr>
        <w:spacing w:after="0" w:line="196" w:lineRule="exact"/>
        <w:rPr>
          <w:rFonts w:ascii="Times New Roman" w:cs="Times New Roman" w:eastAsia="Times New Roman" w:hAnsi="Times New Roman"/>
          <w:sz w:val="15"/>
          <w:szCs w:val="15"/>
          <w:color w:val="auto"/>
        </w:rPr>
      </w:pPr>
    </w:p>
    <w:p>
      <w:pPr>
        <w:ind w:left="280" w:hanging="271"/>
        <w:spacing w:after="0"/>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utilize artificial intelligence (“AI”), which could expose us to liability or adversely affect our business.</w:t>
      </w:r>
    </w:p>
    <w:p>
      <w:pPr>
        <w:spacing w:after="0" w:line="196" w:lineRule="exact"/>
        <w:rPr>
          <w:rFonts w:ascii="Times New Roman" w:cs="Times New Roman" w:eastAsia="Times New Roman" w:hAnsi="Times New Roman"/>
          <w:sz w:val="15"/>
          <w:szCs w:val="15"/>
          <w:color w:val="auto"/>
        </w:rPr>
      </w:pPr>
    </w:p>
    <w:p>
      <w:pPr>
        <w:ind w:left="280" w:hanging="271"/>
        <w:spacing w:after="0" w:line="292" w:lineRule="auto"/>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are unable to protect the intellectual property relating to our material software, the commercial value of our products will be adversely affected, and our competitive position could be harmed.</w:t>
      </w:r>
    </w:p>
    <w:p>
      <w:pPr>
        <w:spacing w:after="0" w:line="133" w:lineRule="exact"/>
        <w:rPr>
          <w:rFonts w:ascii="Times New Roman" w:cs="Times New Roman" w:eastAsia="Times New Roman" w:hAnsi="Times New Roman"/>
          <w:sz w:val="15"/>
          <w:szCs w:val="15"/>
          <w:color w:val="auto"/>
        </w:rPr>
      </w:pPr>
    </w:p>
    <w:p>
      <w:pPr>
        <w:ind w:left="280" w:right="20" w:hanging="271"/>
        <w:spacing w:after="0" w:line="292" w:lineRule="auto"/>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we infringe, misappropriate, or otherwise violate or are alleged to infringe, misappropriate or otherwise violate the intellectual property rights of third parties, our business could be adversely affected.</w:t>
      </w:r>
    </w:p>
    <w:p>
      <w:pPr>
        <w:spacing w:after="0" w:line="133" w:lineRule="exact"/>
        <w:rPr>
          <w:rFonts w:ascii="Times New Roman" w:cs="Times New Roman" w:eastAsia="Times New Roman" w:hAnsi="Times New Roman"/>
          <w:sz w:val="15"/>
          <w:szCs w:val="15"/>
          <w:color w:val="auto"/>
        </w:rPr>
      </w:pPr>
    </w:p>
    <w:p>
      <w:pPr>
        <w:ind w:left="280" w:hanging="271"/>
        <w:spacing w:after="0"/>
        <w:tabs>
          <w:tab w:leader="none" w:pos="28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debt obligations with short term durations that are coming due within one year.</w:t>
      </w:r>
    </w:p>
    <w:p>
      <w:pPr>
        <w:spacing w:after="0" w:line="21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16510</wp:posOffset>
            </wp:positionV>
            <wp:extent cx="715264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000"/>
          </w:cols>
          <w:pgMar w:left="580" w:top="609" w:right="319" w:bottom="1440" w:gutter="0" w:footer="0" w:header="0"/>
        </w:sectPr>
      </w:pPr>
    </w:p>
    <w:bookmarkStart w:id="15" w:name="page16"/>
    <w:bookmarkEnd w:id="15"/>
    <w:p>
      <w:pPr>
        <w:jc w:val="both"/>
        <w:ind w:left="540" w:hanging="271"/>
        <w:spacing w:after="0" w:line="274" w:lineRule="auto"/>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a “controlled company” under the corporate governance rules of Nasdaq and, as a result, qualify for and rely on exemptions from certain corporate governance requirements. Since we elected to rely on the exemptions available to a “controlled company,” you do not have the same protections afforded to stockholders of companies that are subject to such corporate governance requirements.</w:t>
      </w:r>
    </w:p>
    <w:p>
      <w:pPr>
        <w:spacing w:after="0" w:line="146" w:lineRule="exact"/>
        <w:rPr>
          <w:rFonts w:ascii="Times New Roman" w:cs="Times New Roman" w:eastAsia="Times New Roman" w:hAnsi="Times New Roman"/>
          <w:sz w:val="15"/>
          <w:szCs w:val="15"/>
          <w:color w:val="auto"/>
        </w:rPr>
      </w:pPr>
    </w:p>
    <w:p>
      <w:pPr>
        <w:ind w:left="540" w:right="20" w:hanging="271"/>
        <w:spacing w:after="0" w:line="292" w:lineRule="auto"/>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Mr. Shi, our Founder, Co-Chief Executive Officer, Chief Strategy Officer and Chairman, controls us, and his ownership of our common stock prevents you and other stockholders from influencing significant decisions.</w:t>
      </w:r>
    </w:p>
    <w:p>
      <w:pPr>
        <w:spacing w:after="0" w:line="133" w:lineRule="exact"/>
        <w:rPr>
          <w:rFonts w:ascii="Times New Roman" w:cs="Times New Roman" w:eastAsia="Times New Roman" w:hAnsi="Times New Roman"/>
          <w:sz w:val="15"/>
          <w:szCs w:val="15"/>
          <w:color w:val="auto"/>
        </w:rPr>
      </w:pPr>
    </w:p>
    <w:p>
      <w:pPr>
        <w:ind w:left="540" w:hanging="271"/>
        <w:spacing w:after="0" w:line="292" w:lineRule="auto"/>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cannot guarantee that our Share Repurchase Program will be fully implemented, nor that it will enhance stockholder value, and share repurchases could affect the price of our Class A common stock.</w:t>
      </w:r>
    </w:p>
    <w:p>
      <w:pPr>
        <w:spacing w:after="0" w:line="133"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realization of the Company’s deferred tax assets is contingent upon the Company’s upcoming new game releases to generate sufficient taxable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Our Business and Industry</w:t>
      </w:r>
    </w:p>
    <w:p>
      <w:pPr>
        <w:spacing w:after="0" w:line="196"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are dependent on the future success of our ARK franchise, and we must continue to publish “hit” titles or sequels to such “hit” titles in order to compete successfully in our industry.</w:t>
      </w:r>
    </w:p>
    <w:p>
      <w:pPr>
        <w:spacing w:after="0" w:line="124"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i w:val="1"/>
          <w:iCs w:val="1"/>
          <w:color w:val="auto"/>
        </w:rPr>
        <w:t xml:space="preserve">ARK </w:t>
      </w:r>
      <w:r>
        <w:rPr>
          <w:rFonts w:ascii="Times New Roman" w:cs="Times New Roman" w:eastAsia="Times New Roman" w:hAnsi="Times New Roman"/>
          <w:sz w:val="15"/>
          <w:szCs w:val="15"/>
          <w:color w:val="auto"/>
        </w:rPr>
        <w:t>is a “hit” product and has historically accounted for a substantial portion of our revenue. The</w:t>
      </w:r>
      <w:r>
        <w:rPr>
          <w:rFonts w:ascii="Times New Roman" w:cs="Times New Roman" w:eastAsia="Times New Roman" w:hAnsi="Times New Roman"/>
          <w:sz w:val="15"/>
          <w:szCs w:val="15"/>
          <w:i w:val="1"/>
          <w:iCs w:val="1"/>
          <w:color w:val="auto"/>
        </w:rPr>
        <w:t xml:space="preserve"> ARK </w:t>
      </w:r>
      <w:r>
        <w:rPr>
          <w:rFonts w:ascii="Times New Roman" w:cs="Times New Roman" w:eastAsia="Times New Roman" w:hAnsi="Times New Roman"/>
          <w:sz w:val="15"/>
          <w:szCs w:val="15"/>
          <w:color w:val="auto"/>
        </w:rPr>
        <w:t>franchise contributed 85.1% of our net revenue for the year ended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December 31, 2024, and our five best-selling franchises (including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which may change year over year, in the aggregate accounted for 94.0% of our net revenue for the year ended December 31, 2024. If we fail to continue to develop and sell new commercially successful “hit” titles or sequels to such “hit” titles or experience any delays in product releases or disruptions following the commercial release of our “hit” titles or their sequels, our revenue and profits may decrease substantially, and we may incur losses. In addition, competition in our industry is intense and a relatively small number of hit titles account for a large portion of total revenue in our industry. Hit products offered by our competitors may take a larger share of consumer spending than we anticipate, which could cause revenue generated from our products to fall below our expectations. If our competitors develop more successful products or services at lower price points or based on payment models perceived as offering better value, or if we do not continue to develop consistently high-quality and well-received products and services, our revenue and profitability may decline.</w:t>
      </w:r>
    </w:p>
    <w:p>
      <w:pPr>
        <w:spacing w:after="0" w:line="15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we do not consistently deliver popular, high-quality content in a timely manner, if we are not successful in meaningfully expanding our existing franchise, or if consumers prefer products from our competitors, our business may be negatively impacted.</w:t>
      </w:r>
    </w:p>
    <w:p>
      <w:pPr>
        <w:spacing w:after="0" w:line="128" w:lineRule="exact"/>
        <w:rPr>
          <w:sz w:val="20"/>
          <w:szCs w:val="20"/>
          <w:color w:val="auto"/>
        </w:rPr>
      </w:pPr>
    </w:p>
    <w:p>
      <w:pPr>
        <w:jc w:val="both"/>
        <w:ind w:firstLine="276"/>
        <w:spacing w:after="0" w:line="258" w:lineRule="auto"/>
        <w:rPr>
          <w:sz w:val="20"/>
          <w:szCs w:val="20"/>
          <w:color w:val="auto"/>
        </w:rPr>
      </w:pPr>
      <w:r>
        <w:rPr>
          <w:rFonts w:ascii="Times New Roman" w:cs="Times New Roman" w:eastAsia="Times New Roman" w:hAnsi="Times New Roman"/>
          <w:sz w:val="15"/>
          <w:szCs w:val="15"/>
          <w:color w:val="auto"/>
        </w:rPr>
        <w:t>Consumer preferences for games are usually cyclical and difficult to predict. Even the most successful games can lose consumer audiences over time, and remaining popular is increasingly dependent on the games being refreshed with new content or other enhancements. In order to remain competitive and maximize the chances that consumers select our products as opposed to the various entertainment options available to them and with which we compete, we must continuously develop new products or new content for, or other enhancements to, our existing products. These products or enhancements may not be well-received by consumers, even if well-reviewed and of high quality. Our competitors include very large corporations with significantly greater financial, marketing and product development resources than we have and many smaller competitors, particularly on the mobile platform.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Further, competitors may develop content that imitates or competes with our best-selling games, potentially reducing our sales or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high-quality and well-received games or enhancements to those games, if our marketing fails to resonate with our consumers, if we are not successful in meaningfully expanding our franchises further on the mobile platform or if consumers lose interest in a genre of games we produce, our revenues and profit margins could decline. In addition, our own best-selling products could compete with our other games, reducing sales for those other games. Further, a failure by us to develop a high-quality product, or our development of a product that is otherwise not well-received, could potentially result in additional expenditures to respond to consumer demands, harm our reputation, and increase the likelihood that our future products will not be well-received. The increased importance of DLC to our business amplifies these risks, as DLC for poorly-received games typically generates lower-than-expected sales. The increased demand for consistent enhancements to our products also requires a greater allocation of financial resources to those products.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6" w:name="page17"/>
    <w:bookmarkEnd w:id="16"/>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Additionally, 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if our games or services, such as our proprietary online gaming service, do not function as consumers expect, whether because they fail to function as advertised or otherwise, our sales may suffer. The risk that this may occur is particularly pronounced with respect to our games with online features because they involve ongoing consumer expectations, which we may not be able to consistently satisfy. Our games with online features are also frequently updated, increasing the risk that a game may contain significant errors, or “bugs.” If any of these issues occur, consumers may stop playing the game and may be less likely to return to the game as often in the future, which may negatively impact our business.</w:t>
      </w:r>
    </w:p>
    <w:p>
      <w:pPr>
        <w:spacing w:after="0" w:line="156" w:lineRule="exact"/>
        <w:rPr>
          <w:sz w:val="20"/>
          <w:szCs w:val="20"/>
          <w:color w:val="auto"/>
        </w:rPr>
      </w:pPr>
    </w:p>
    <w:p>
      <w:pPr>
        <w:jc w:val="both"/>
        <w:ind w:right="20" w:firstLine="276"/>
        <w:spacing w:after="0" w:line="274" w:lineRule="auto"/>
        <w:rPr>
          <w:sz w:val="20"/>
          <w:szCs w:val="20"/>
          <w:color w:val="auto"/>
        </w:rPr>
      </w:pPr>
      <w:r>
        <w:rPr>
          <w:rFonts w:ascii="Times New Roman" w:cs="Times New Roman" w:eastAsia="Times New Roman" w:hAnsi="Times New Roman"/>
          <w:sz w:val="15"/>
          <w:szCs w:val="15"/>
          <w:color w:val="auto"/>
        </w:rPr>
        <w:t>Further, delays in product releases or disruptions following the commercial release of one or more new products could negatively impact our business and reputation and could cause our results of operations to be materially different from expectations. If we fail to release our products in a timely manner, or if we are unable to continue to extend the life of existing games by adding features and functionality that will encourage continued engagement with the game, our business may be negatively impacted.</w:t>
      </w:r>
    </w:p>
    <w:p>
      <w:pPr>
        <w:spacing w:after="0" w:line="146"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Additionally, the amount of lead time and cost involved in the development of high-quality products is increasing, and the longer the lead time involved in developing a product and the greater the allocation of financial resources to such product, the more critical it is that we accurately predict consumer demand for such product. If our future products do not achieve expected consumer acceptance or generate sufficient revenues upon introduction, we may not be able to recover the substantial up-front development and marketing costs associated with those products.</w:t>
      </w:r>
    </w:p>
    <w:p>
      <w:pPr>
        <w:spacing w:after="0" w:line="147"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rely on license agreements to publish certain games, including games in our ARK franchise. Failure to renew our existing content licenses on favorable terms or at all or to obtain additional licenses would impair our ability to introduce new games, improvements or enhancements or to continue to offer our current games, which would materially harm our business, results of operations, financial condition and prospects.</w:t>
      </w:r>
    </w:p>
    <w:p>
      <w:pPr>
        <w:spacing w:after="0" w:line="144" w:lineRule="exact"/>
        <w:rPr>
          <w:sz w:val="20"/>
          <w:szCs w:val="20"/>
          <w:color w:val="auto"/>
        </w:rPr>
      </w:pPr>
    </w:p>
    <w:p>
      <w:pPr>
        <w:jc w:val="both"/>
        <w:ind w:firstLine="276"/>
        <w:spacing w:after="0" w:line="259" w:lineRule="auto"/>
        <w:rPr>
          <w:sz w:val="20"/>
          <w:szCs w:val="20"/>
          <w:color w:val="auto"/>
        </w:rPr>
      </w:pPr>
      <w:r>
        <w:rPr>
          <w:rFonts w:ascii="Times New Roman" w:cs="Times New Roman" w:eastAsia="Times New Roman" w:hAnsi="Times New Roman"/>
          <w:sz w:val="15"/>
          <w:szCs w:val="15"/>
          <w:color w:val="auto"/>
        </w:rPr>
        <w:t xml:space="preserve">We license certain intellectual property rights from third parties, including related parties, and in the future, we may enter into additional agreements that provide us with licenses to valuable intellectual property rights or technology. In particular, we license intellectual property rights related to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from SDE, the parent company of Studio Wildcard, which is also an entity that is owned and controlled by the spouse of our Founder, Co-Chief Executive Officer, Chief Strategy Officer and Chairman, Mr. Shi. We entered into an original exclusive software license agreement with SDE in November 2015, for the rights to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subsequently entered into the amended and restated ARK1 License Agreement. In December 2022 and October 2023, we amended the ARK1 License Agreement. The terms of our license agreements with SDE may differ from those terms which would be negotiated with independent parties. In addition, we may have disputes with SDE that may impact our business, results of operations, financial condition and/or prospects.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contributed 85.1% of our net revenue for the year ended December 31, 2024. Even if our games that are dependent on third-party license agreements remain popular, any of our licensors could decide not to renew our existing license agreements or not to license additional intellectual property rights to us and instead license to our competitors or develop and publish its own games or other applications, competing with us in the marketplace. Moreover, many of our licensors develop games for other platforms and may have significant experience and development resources available to them should they decide to compete with us rather than license to us. For additional information concerning our license arrangements, including licensing agreements with affiliated third parties, see Item 1 of Part I, “Business—Intellectual Property,” included in this Annual Report for the fiscal year ended December 31,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7" w:name="page18"/>
    <w:bookmarkEnd w:id="17"/>
    <w:p>
      <w:pPr>
        <w:jc w:val="both"/>
        <w:ind w:firstLine="276"/>
        <w:spacing w:after="0" w:line="259" w:lineRule="auto"/>
        <w:rPr>
          <w:sz w:val="20"/>
          <w:szCs w:val="20"/>
          <w:color w:val="auto"/>
        </w:rPr>
      </w:pPr>
      <w:r>
        <w:rPr>
          <w:rFonts w:ascii="Times New Roman" w:cs="Times New Roman" w:eastAsia="Times New Roman" w:hAnsi="Times New Roman"/>
          <w:sz w:val="15"/>
          <w:szCs w:val="15"/>
          <w:color w:val="auto"/>
        </w:rPr>
        <w:t xml:space="preserve">Failure to maintain or renew our existing material licenses or to obtain additional licenses could impair our ability to introduce new games and new content or to continue to offer our current games, which could materially harm our business, results of operations and financial condition. If we breach our obligations under existing or future licenses, we may be required to pay damages and our licensors may have the right to terminate the license or change an exclusive license to a non-exclusive license. Termination of our license agreements by a material licensor, such as SDE, would cause us to lose valuable rights, such as the rights to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and would inhibit our ability to commercialize future games, which would harm our business, results of operations and financial condition. In addition, certain intellectual property rights may be licensed to us on a non-exclusive basis. The owners of nonexclusively licensed intellectual property rights would be free to license such rights to third parties, including our competitors, on terms that may be superior to those offered to us, which could place us at a competitive disadvantage. Moreover, our licensors may own or control intellectual property rights that have not been licensed to us and, as a result, we may be subject to claims, regardless of their merit, that we are infringing or otherwise violating the licensor’s rights. In addition, the agreements under which we license intellectual property rights or technology from third parties and related parties are generally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Any of the foregoing could harm our competitive position, business, financial condition, results of operations and prospects.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depend on our key management and product development personnel.</w:t>
      </w:r>
    </w:p>
    <w:p>
      <w:pPr>
        <w:spacing w:after="0" w:line="200" w:lineRule="exact"/>
        <w:rPr>
          <w:sz w:val="20"/>
          <w:szCs w:val="20"/>
          <w:color w:val="auto"/>
        </w:rPr>
      </w:pPr>
    </w:p>
    <w:p>
      <w:pPr>
        <w:jc w:val="both"/>
        <w:ind w:right="20" w:firstLine="276"/>
        <w:spacing w:after="0" w:line="292" w:lineRule="auto"/>
        <w:rPr>
          <w:sz w:val="20"/>
          <w:szCs w:val="20"/>
          <w:color w:val="auto"/>
        </w:rPr>
      </w:pPr>
      <w:r>
        <w:rPr>
          <w:rFonts w:ascii="Times New Roman" w:cs="Times New Roman" w:eastAsia="Times New Roman" w:hAnsi="Times New Roman"/>
          <w:sz w:val="15"/>
          <w:szCs w:val="15"/>
          <w:color w:val="auto"/>
        </w:rPr>
        <w:t xml:space="preserve">Our continued success will depend to a significant extent on our senior management team and maintaining positive relationships with our games’ developers, including Studio Wildcard, and the product development personnel responsible for content creation and development of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w:t>
      </w:r>
    </w:p>
    <w:p>
      <w:pPr>
        <w:spacing w:after="0" w:line="133"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On April 15, 2024, Jim S. Tsai notified the Company of his decision to resign from his position as the Chief Executive Officer of the Company and all of the Company’s subsidiaries, including, Snail Games USA, Inc., with such resignation effective April 15, 2024; however, Mr. Tsai remained with the Company for a 30-day transition period. In conjunction with Mr. Tsai’s resignation as the Company’s Chief Executive Officer, the Company appointed Hai Shi and Xuedong (Tony) Tian to serve as the Company’s new Co-Chief Executive Officers, effective April 15, 2024. We are highly dependent on the expertise, skill and knowledge of Mr. Shi, our Founder, Co-Chief Executive Officer, Chief Strategy Officer and Chairman, Mr. Tian, our other Co-Chief Executive Officer, and Mr. Peter Kang, our Vice President and Director of Business Development and Operations.</w:t>
      </w:r>
    </w:p>
    <w:p>
      <w:pPr>
        <w:spacing w:after="0" w:line="153"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The loss of the services of any or all of these executive officers, or certain key product development personnel, including those employed by studio partners, such as Studio Wildcard, could significantly harm our business. In addition, if one or more key employees were to join a competitor or form a competing company, we may lose additional personnel, experience material interruptions in product development, delays in bringing products to market and difficulties in our relationships with licensors, suppliers and customers, which would significantly harm our business. Failure to continue to attract and retain qualified management and creative personnel could adversely affect our business and prospects.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Our management team has limited experience managing a public company.</w:t>
      </w:r>
    </w:p>
    <w:p>
      <w:pPr>
        <w:spacing w:after="0" w:line="200"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Most members of our management team have limited experience managing a publicly traded company, interacting with public company investors and regulators and complying with the increasingly complex laws pertaining to public companies. Our management team may not successfully or efficiently manage our transition to being a public company subject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impact our business, operating results and financial condition.</w:t>
      </w:r>
    </w:p>
    <w:p>
      <w:pPr>
        <w:spacing w:after="0" w:line="14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business is subject to the risks of earthquakes, fire, floods, public health crises and other natural catastrophes and to interruption by man-made problems such as power disruptions, computer viruses, data security breaches or other incidents, war or terrorism.</w:t>
      </w:r>
    </w:p>
    <w:p>
      <w:pPr>
        <w:spacing w:after="0" w:line="128" w:lineRule="exact"/>
        <w:rPr>
          <w:sz w:val="20"/>
          <w:szCs w:val="20"/>
          <w:color w:val="auto"/>
        </w:rPr>
      </w:pPr>
    </w:p>
    <w:p>
      <w:pPr>
        <w:jc w:val="both"/>
        <w:ind w:firstLine="276"/>
        <w:spacing w:after="0" w:line="260" w:lineRule="auto"/>
        <w:rPr>
          <w:sz w:val="20"/>
          <w:szCs w:val="20"/>
          <w:color w:val="auto"/>
        </w:rPr>
      </w:pPr>
      <w:r>
        <w:rPr>
          <w:rFonts w:ascii="Times New Roman" w:cs="Times New Roman" w:eastAsia="Times New Roman" w:hAnsi="Times New Roman"/>
          <w:sz w:val="15"/>
          <w:szCs w:val="15"/>
          <w:color w:val="auto"/>
        </w:rPr>
        <w:t>Our corporate headquarters is located in Culver City, California. Additionally, we rely on third-party infrastructure, enterprise applications and internal technology systems for our development, marketing, operational support and sales activities. The West Coast of the United States, where our corporate headquarters are located, contains active earthquake zones and has been subject to numerous devastating wildfires and associated electrical blackouts. In the event of a catastrophic event, including a natural disaster such as an earthquake, hurricane, fire, flood, tsunami or tornado, or other catastrophic event such as power loss, telecommunications failure, software or hardware malfunction, cyber-attack, war, terrorist attack or incident of mass violence in the Los Angeles area or elsewhere where our operations are located or where certain other systems and applications that we rely on are hosted, we may be unable to continue our operations and may endure significant system interruptions, reputational harm, delays in our application development, lengthy interruptions in our platform, breaches of data security and loss of critical data, all of which could have an adverse effect on our future operating results. In addition, natural disasters, cyber-attacks, escalation of geopolitical tensions, including as a result of escalations in the ongoing conflict between Russia and Ukraine or Israel and Hamas, acts of terrorism, public health crises, such as pandemics and epidemics, or other catastrophic events could cause disruptions in our or our customers’ businesses, national economies or the world economy as a whole.</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8" w:name="page19"/>
    <w:bookmarkEnd w:id="18"/>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industry is subject to rapid technological change, and if we do not adapt to, and appropriately allocate our resources among, emerging technologies and business models, our business may be negatively impacted.</w:t>
      </w:r>
    </w:p>
    <w:p>
      <w:pPr>
        <w:spacing w:after="0" w:line="128"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color w:val="auto"/>
        </w:rPr>
        <w:t>Technology changes rapidly in the interactive entertainment industry. We must continually anticipate and adapt to emerging technologies, such as cloud-based game streaming, and business models, such as free-to-play and subscription-based access to a portfolio of interactive content, to stay competitive. Forecasting the financial impact of these rapidly changing technologies and business models is inherently uncertain and volatile. Supporting a new technology or business model may require partnering with a new platform, business, or technology partner, which may be on terms that are less favorable to us than those for more traditional technologies or business models. If we invest in the development of interactive entertainment products for distribution channels that incorporate a new technology or business model that does not achieve significant commercial success, whether because of competition or otherwise, we may not recover the often substantial up-front costs of developing and marketing those products, or recover the opportunity cost of diverting management and financial resources away from other products or opportunities. Further, our competitors may adapt to an emerging technology or business model more quickly or effectively than we do, creating products that are technologically superior to ours, more appealing to consumers, or both.</w:t>
      </w:r>
    </w:p>
    <w:p>
      <w:pPr>
        <w:spacing w:after="0" w:line="158"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If, on the other hand, we elect not to pursue the development of products incorporating a new technology, or otherwise elect not to pursue new business models that achieve significant commercial success, it may have adverse consequences. It may take significant time and expenditures to shift product development resources to that technology or business model, and it may be more difficult to compete against existing products incorporating that technology or using that business model.</w:t>
      </w:r>
    </w:p>
    <w:p>
      <w:pPr>
        <w:spacing w:after="0" w:line="146"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In addition, the pace of change in product offerings and consumer tastes in the electronics and digital gaming areas is great and this pace of change is expected to accelerate as artificial intelligence is further incorporated into the development of games. If a digital game fails to gain consumer acceptance early in its life cycle, there are limited opportunities to gain such acceptance through secondary launches or distribution through alternative platforms. This pace of change or lack of consumer acceptance means that the window in which a digital gaming product can achieve and maintain consumer interest may be even shorter than traditional toys and games.</w:t>
      </w:r>
    </w:p>
    <w:p>
      <w:pPr>
        <w:spacing w:after="0" w:line="14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rely on third-party platforms, such as Xbox Live and Game Pass, PlayStation Network, Steam, Epic Games Store, My Nintendo Store, the Apple App Store, the Google Play Store, and the Amazon Appstore, to distribute our games and collect revenues generated on such platforms and rely on third-party payment service providers to collect revenues generated on our own platforms.</w:t>
      </w:r>
    </w:p>
    <w:p>
      <w:pPr>
        <w:spacing w:after="0" w:line="144"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color w:val="auto"/>
        </w:rPr>
        <w:t>Our games are primarily purchased, accessed and operated through Xbox Live and Game Pass, PlayStation Network, Steam, Epic Games Store, My Nintendo Store, and in the case of our mobile games, the Apple App Store, the Google Play Store and the Amazon Appstore. Substantially all of the games, DLC and in-game virtual items that we sell are purchased using the payment processing systems of these platforms and, for the year ended December 31, 2024, 94.6% of our revenues were generated through Xbox Live and Game Pass, PlayStation Network, Steam, Epic Games Store, My Nintendo Store, the Apple App Store, the Google Play Store, and the Amazon Appstore. Consequently, our expansion and prospects depend on our continued relationships with these providers, and any other emerging platform providers that are widely adopted by our target players. In addition, having such a large portion of our total net revenues concentrated in a few counterparties reduces our negotiating leverage. We are subject to the standard terms and conditions that these platform providers have for game developers, which govern the content, promotion, distribution, operation of games and other applications on their platforms, as well as the terms of the payment processing services provided by the platforms, and which the platform providers can change unilaterally on short notice or without notice. As such, our business would be harmed if:</w:t>
      </w:r>
    </w:p>
    <w:p>
      <w:pPr>
        <w:spacing w:after="0" w:line="342" w:lineRule="exact"/>
        <w:rPr>
          <w:sz w:val="20"/>
          <w:szCs w:val="20"/>
          <w:color w:val="auto"/>
        </w:rPr>
      </w:pPr>
    </w:p>
    <w:p>
      <w:pPr>
        <w:ind w:left="540" w:hanging="271"/>
        <w:spacing w:after="0"/>
        <w:tabs>
          <w:tab w:leader="none" w:pos="540"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 providers discontinue or limit our access to their platforms;</w:t>
      </w:r>
    </w:p>
    <w:p>
      <w:pPr>
        <w:spacing w:after="0" w:line="196" w:lineRule="exact"/>
        <w:rPr>
          <w:rFonts w:ascii="Times New Roman" w:cs="Times New Roman" w:eastAsia="Times New Roman" w:hAnsi="Times New Roman"/>
          <w:sz w:val="15"/>
          <w:szCs w:val="15"/>
          <w:color w:val="auto"/>
        </w:rPr>
      </w:pPr>
    </w:p>
    <w:p>
      <w:pPr>
        <w:ind w:left="5540" w:right="1240" w:hanging="5271"/>
        <w:spacing w:after="0" w:line="410" w:lineRule="auto"/>
        <w:tabs>
          <w:tab w:leader="none" w:pos="538"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governments or private parties, such as internet providers, impose bandwidth restrictions, increase charges or restrict or prohibit access to those platforms;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715264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19" w:name="page20"/>
    <w:bookmarkEnd w:id="19"/>
    <w:p>
      <w:pPr>
        <w:ind w:left="540" w:hanging="271"/>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increase the fees they charge us;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modify their algorithms, communication channels available to developers, respective terms of service or other policies;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decline in popularity;</w:t>
      </w:r>
    </w:p>
    <w:p>
      <w:pPr>
        <w:spacing w:after="0" w:line="196" w:lineRule="exact"/>
        <w:rPr>
          <w:rFonts w:ascii="Times New Roman" w:cs="Times New Roman" w:eastAsia="Times New Roman" w:hAnsi="Times New Roman"/>
          <w:sz w:val="15"/>
          <w:szCs w:val="15"/>
          <w:color w:val="auto"/>
        </w:rPr>
      </w:pPr>
    </w:p>
    <w:p>
      <w:pPr>
        <w:ind w:left="540" w:right="20" w:hanging="271"/>
        <w:spacing w:after="0" w:line="292" w:lineRule="auto"/>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adopt changes or updates to their technology that impede integration with other software systems or otherwise require us to modify our technology or update our games in order to ensure players can continue to access our games and content with ease;</w:t>
      </w:r>
    </w:p>
    <w:p>
      <w:pPr>
        <w:spacing w:after="0" w:line="133"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elect or are required to change how they label free-to-play games or take payment for in-game purchases;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platforms block or limit access to the genres of games that we provide in any jurisdiction;</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platform experiences a bankruptcy or other form of insolvency event; or</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unable to comply with the platform providers’ terms of service.</w:t>
      </w:r>
    </w:p>
    <w:p>
      <w:pPr>
        <w:spacing w:after="0" w:line="196"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Moreover, if our platform providers do not perform their obligations in accordance with our platform agreements or otherwise meet our business requirements, we could be adversely impacted. For example, in the past, some of these platform providers have experienced outages for short periods of time, unexpectedly changed their terms or conditions, or experienced issues with their features that permit our players to purchase games or in-game virtual items. In addition, if we do not adhere to the terms and conditions of our platform providers, the platform providers may take actions to limit the operations of, suspend or remove our games from the platform, and/or we may be exposed to liability or litigation. For example, in August 2020, Epic Games, Inc. (“Epic Games”), attempted to bypass Apple and Google’s payment systems for in-game purchases with an update that allowed users to make purchases directly through Epic Games in its game, Fortnite. Apple and Google promptly removed Fortnite from their respective app stores, and Apple filed a lawsuit seeking injunctive relief to block the use of Epic Games’ payment system and sought monetary damages to recover funds made while the updated version of Fortnite was active.</w:t>
      </w:r>
    </w:p>
    <w:p>
      <w:pPr>
        <w:spacing w:after="0" w:line="156" w:lineRule="exact"/>
        <w:rPr>
          <w:sz w:val="20"/>
          <w:szCs w:val="20"/>
          <w:color w:val="auto"/>
        </w:rPr>
      </w:pPr>
    </w:p>
    <w:p>
      <w:pPr>
        <w:jc w:val="both"/>
        <w:ind w:right="20" w:firstLine="276"/>
        <w:spacing w:after="0" w:line="274" w:lineRule="auto"/>
        <w:rPr>
          <w:sz w:val="20"/>
          <w:szCs w:val="20"/>
          <w:color w:val="auto"/>
        </w:rPr>
      </w:pPr>
      <w:r>
        <w:rPr>
          <w:rFonts w:ascii="Times New Roman" w:cs="Times New Roman" w:eastAsia="Times New Roman" w:hAnsi="Times New Roman"/>
          <w:sz w:val="15"/>
          <w:szCs w:val="15"/>
          <w:color w:val="auto"/>
        </w:rPr>
        <w:t>If any such events described above occur on a short-term or long-term basis, or if these third-party platforms and online payment service providers otherwise experience issues that impact the ability of players to download or access our games, access social features, or make in-game purchases, it would have a material adverse effect on our brands and reputation, as well as our business, financial condition and results of operations.</w:t>
      </w:r>
    </w:p>
    <w:p>
      <w:pPr>
        <w:spacing w:after="0" w:line="14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depend on servers and networks to operate our games with online features. If we were to lose functionality in any of these areas for any reason, our business may be negatively impacted.</w:t>
      </w:r>
    </w:p>
    <w:p>
      <w:pPr>
        <w:spacing w:after="0" w:line="128"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color w:val="auto"/>
        </w:rPr>
        <w:t>Our business relies on the continuous operation of servers, the vast majority of which are owned and operated by third parties. Although we strive to maintain more than sufficient server capacity, and provide for active redundancy in the event of limited hardware failure, any broad-based catastrophic server malfunction, a significant service-disrupting attack or intrusion by hackers that circumvents security measures, a failure of disaster recovery service or the failure of a company on which we are relying for server capacity to provide that capacity for whatever reason would likely degrade or interrupt the functionality of our games with online features, and could prevent the operation of such games altogether, any of which could result in the loss of sales for, or in, such games. The risk is particularly pronounced with respect to our multiplayer game services, which rely on systems hosted in a hybrid of data centers across the world as well as cloud providers. Further, insufficient server capacity, in particular during times of peak player activity corresponding with the release of new games or DLC, could affect our ability to provide game services, which could negatively impact our business. Conversely, if we overestimate the amount of server capacity required by our business, we may incur additional operating costs.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32" w:right="319" w:bottom="1440" w:gutter="0" w:footer="0" w:header="0"/>
        </w:sectPr>
      </w:pPr>
    </w:p>
    <w:bookmarkStart w:id="20" w:name="page21"/>
    <w:bookmarkEnd w:id="20"/>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We also rely on platforms and networks operated by third parties, such as Xbox Live and Game Pass, PlayStation Network, Steam, My Nintendo Store and Epic Games Store for the sale and digital delivery of downloadable console and PC game content, the functionality of our games with online features. Similarly, we rely on those platforms and networks, as well as the continued operation of the Apple App Store, the Google Play Store and the Amazon Appstore for our free-to-play games. An extended interruption to any of these services could adversely affect our ability to sell and distribute our digital products and operate our games with online features, which could result in a loss of revenue and otherwise negatively impact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Risk of Service Disruptions Due to Large-Scale Distributed Denial-of-Service (DDoS) Attacks</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Our online game servers are vulnerable to Distributed Denial-of-Service (“DDoS) attacks, we are increasingly targeted by large-scale DDoS attacks, which have, at times, overwhelmed our game servers despite our implementation of advanced DDoS protection measures, it can disrupt gameplay, impact players experience, and harm our reputation. Recently, we have experienced waves of exceptionally large DDoS attacks that exceeded our mitigation capacity, causing prolonged server outages and disrupting player access to our games.</w:t>
      </w:r>
    </w:p>
    <w:p>
      <w:pPr>
        <w:spacing w:after="0" w:line="15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5"/>
          <w:szCs w:val="15"/>
          <w:color w:val="auto"/>
        </w:rPr>
        <w:t>If we are unable to effectively prevent or mitigate future DDoS attacks, our services may experience repeated disruptions, negatively impacting the player experience, damaging our reputation, and leading to decreased user engagement and retention. Additionally, prolonged downtime could result in lost revenue, increased customer support costs, and potential refunds. Furthermore, as cyber threats continue to evolve in complexity and scale, strengthening our defenses may require significant additional investment in infrastructure, third-party security services, or other protective measures. If such attacks persist or escalate, they could materially and adversely affect our business, financial condition, and results of operations.</w:t>
      </w:r>
    </w:p>
    <w:p>
      <w:pPr>
        <w:spacing w:after="0" w:line="334"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may be unable to effectively manage the continued growth and the scope and complexity of our business, including our expansion into new business models that are untested and into adjacent business opportunities with large, established competitors.</w:t>
      </w:r>
    </w:p>
    <w:p>
      <w:pPr>
        <w:spacing w:after="0" w:line="128"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 xml:space="preserve">In recent years, we have experienced significant growth in the scope and complexity of our business. From time to time we seek to establish and implement new business models, including eSports offerings, our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xml:space="preserve"> influencer platform and animation ventures. Forecasting the success of any new business model is inherently uncertain and depends on a number of factors both within and outside of our control. Our actual revenue and profit for these businesses may be significantly greater or less than our forecasts. In addition, these new business models could fail, resulting in the loss of our investment in the development and infrastructure needed to support these new business models, as well as the opportunity cost of diverting management and financial resources away from more successful and established businesses. While we anticipate growth in these areas of our business, consumer demand is difficult to predict as a result of a number of factors, including satisfaction with our products and services, our ability to provide engaging products and services, reliability of our infrastructure and the infrastructure of our partners, pricing, the actual or perceived security of our and our partners’ information technology systems and reductions in consumer spending levels.</w:t>
      </w:r>
    </w:p>
    <w:p>
      <w:pPr>
        <w:spacing w:after="0" w:line="340"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We do not know to what extent these and any future expansions into new business models will be successful. Further, even if successful, our aspirations for growth in our core businesses and these adjacent businesses could create significant challenges for our management, operational, and financial resources. If not managed effectively, this growth could result in the over-extension of our operating infrastructure, and our management systems, information technology systems, and internal controls and procedures may not be adequate to support this growth. Failure by these new businesses or failure to adequately manage our growth in any of these ways may damage our brand or otherwise negatively impact our core business. Further, the success of these new businesses is largely contingent on the success of our underlying franchises and as such, a decline in the popularity of a franchise may impact the success of the new businesses adjacent to that franchise.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interactive entertainment software industry is highly competitive.</w:t>
      </w:r>
    </w:p>
    <w:p>
      <w:pPr>
        <w:spacing w:after="0" w:line="200"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color w:val="auto"/>
        </w:rPr>
        <w:t>We compete for the sale of interactive entertainment software with Sony and Microsoft, each of which is a large developer and marketer of software for its own platforms. We also compete with game publishers, such as Activision Blizzard, Inc., Electronic Arts Inc., Take-Two Interactive, Ubisoft, Epic Games, Tencent, Zynga, Netmarble, Sony, Microsoft and Nintendo primarily for game development on consoles, PCs and mobile devices. Across the sandbox survival game genre, we primarily compete with Embracer Group, Saber Group, Enand Global 7, FunCom, Axolot Games and Facepunch Studios. As our business is dependent upon our ability to develop hit titles, which require increasing budgets for development and marketing, the availability of significant financial resources has become a major competitive factor in developing and marketing software games. Some of our competitors have greater financial, technical, personnel and other resources than we do and are able to finance larger budgets for development and marketing and make higher offers to licensors and developers for commercially desirable properties. Our titles also compete with other forms of entertainment, such as social media and casual games, in addition to film, television and audio and video products featuring similar themes, online computer programs and other entertainment, which may be less expensive or provide other advantages to consumers.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21" w:name="page22"/>
    <w:bookmarkEnd w:id="21"/>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A number of software publishers who compete with us have developed and commercialized or are currently developing online games. As technological advances significantly increase the availability of online games and as consumer acceptance of online gaming grows substantially, it could result in a decline in our platform-based software sales and negatively affect sales of such products.</w:t>
      </w:r>
    </w:p>
    <w:p>
      <w:pPr>
        <w:spacing w:after="0" w:line="146"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Additionally, we compete with other forms of entertainment and leisure activities. While we monitor general market conditions, significant shifts in consumer demand that could materially alter public preferences for different forms of entertainment and leisure activities are difficult to predict. Failure to adequately identify and adapt to these competitive pressures could have a negative impact on our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product development risks, which could result in delays and additional costs, and often times we must adapt to changes in software technologies.</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We depend on our internal development studios and related-party developers to develop new interactive entertainment software within anticipated release schedules and cost projections. Our development costs can be substantial. If we or our related-party developers experience unanticipated development delays, financial difficulties or additional costs, for example, as a result of the increasing costs due to inflation or the ongoing geopolitical conflicts, we may not be able to release titles according to our schedule and at budgeted costs. There can be no assurance that our products will be sufficiently successful so that we can recoup these costs or make a profit on these products.</w:t>
      </w:r>
    </w:p>
    <w:p>
      <w:pPr>
        <w:spacing w:after="0" w:line="151"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Additionally, in order to stay competitive, our internal development studios must anticipate and adapt to rapid technological changes affecting software development, such as cloud-based game streaming. Any inability to respond to technological advances and implement new technologies could render our products obsolete or less marketable. Further, the failure to pursue the development of new technology, platforms, or business models that obtain meaningful commercial success in a timely manner may negatively affect our business, resulting in increased production or development costs and more strenuous competition.</w:t>
      </w:r>
    </w:p>
    <w:p>
      <w:pPr>
        <w:spacing w:after="0" w:line="14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business is subject to our ability to develop commercially successful products for the current video game platforms, which may not generate immediate or near-term revenues, and as a result, our business and operating results may be more volatile and difficult to predict during console transitions than during other times.</w:t>
      </w:r>
    </w:p>
    <w:p>
      <w:pPr>
        <w:spacing w:after="0" w:line="128"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We derive most of our revenue from publishing video games on third-party platform providers, such as Xbox Live and Game Pass, PlayStation Network, Steam, Epic Games Store, the Apple App Store, the Google Play Store, My Nintendo Store and the Amazon Appstore, which, in the aggregate, comprised 94.6% of our net revenue by product platform for the year ended December 31, 2024. The success of our business is subject to the continued popularity of these platforms and our ability to develop commercially successful products for these platforms.</w:t>
      </w:r>
    </w:p>
    <w:p>
      <w:pPr>
        <w:spacing w:after="0" w:line="151"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Historically, when next generation consoles are announced or introduced into the market, consumers have typically reduced their purchases of products for prior-generation consoles in anticipation of purchasing a next-generation console and products for that console. During these periods, sales of the products we publish may decline until new platforms achieve wide consumer acceptance. Console transitions may have a comparable impact on sales of DLC, amplifying the impact on our revenues. This decline may not be offset by increased sales of products for the next-generation consoles. In addition, as console hardware moves through its life cycle, hardware manufacturers typically enact price reductions, and decreasing prices may put downward pressure on software prices. During console transitions, we may simultaneously incur costs both in continuing to develop and market new titles for prior-generation video game platforms, which may not sell at premium prices, and also in developing products for next-generation platforms, which may not generate immediate or near-term revenues. As a result, our business and operating results may be more volatile and difficult to predict during console transitions than during other times.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22" w:name="page23"/>
    <w:bookmarkEnd w:id="22"/>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results of operations or reputation may be harmed as a result of objectionable consumer, or other third party-created content, or if our distributors, retailers, development and licensing partners, or other third parties with whom we are affiliated, act in ways that put our brand at risk.</w:t>
      </w:r>
    </w:p>
    <w:p>
      <w:pPr>
        <w:spacing w:after="0" w:line="128"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Certain of our games support collaborative online features that allow consumers to communicate with one another and post narrative comments, in real time, that are visible to other consumers. Additionally, certain of our games allow consumers to create and share “user-generated content” that is visible to other consumers. From time to time, objectionable and offensive consumer content may be distributed within our games and on our broadcasts through these features or to gaming websites or other sites or forums with online chat features or that otherwise allow consumers to post comments. We may be subject to lawsuits, governmental regulation or restrictions, and consumer backlash (including decreased sales and harmed reputation), as a result of consumers posting offensive content.</w:t>
      </w:r>
    </w:p>
    <w:p>
      <w:pPr>
        <w:spacing w:after="0" w:line="153"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In many cases, our business partners and other third party affiliates are given access to sensitive and proprietary information or control over our intellectual property to provide services and support to our team. These third parties may misappropriate or misuse our information or intellectual property and engage in unauthorized use of it. Further, the failure of these third parties to provide adequate services and technologies or to adequately maintain or update their services and technologies could result in a disruption to our business operations or an adverse effect on our reputation and may negatively impact our business. At the same time, if the media, consumers or employees raise any concerns about our actions vis-à-vis third parties, including consumers who play our games, this could also harm our business, results of operations or our reputation.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products or services we release may contain defects, bugs or errors.</w:t>
      </w:r>
    </w:p>
    <w:p>
      <w:pPr>
        <w:spacing w:after="0" w:line="200"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Our products and services contain or rely upon extremely complex software programs and are difficult to develop and distribute. We have quality controls in place to detect defects, bugs or other errors in our products and services before they are released. Nonetheless, these quality controls are subject to human error, overriding and resource or technical constraints. In addition, the effectiveness of our quality controls and preventative measures may be negatively affected by the distribution of our workforce resulting from, among other things, the COVID-19 pandemic. As such, these quality controls and preventative measures may not be effective in detecting all defects, bugs or errors in our products and services before they have been released into the marketplace. In such an event, the technological reliability and stability of our products and services could be below our standards and the standards of our players, and our reputation, brand and sales could be adversely affected. In addition, we could be required to, or may find it necessary to, offer a refund for the product or service, suspend the availability or sale of the product or service or expend significant resources to cure the defect, bug or error each of which could significantly harm our business and operating results.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External game developers may not meet product development schedules or otherwise fulfill their contractual obligations.</w:t>
      </w:r>
    </w:p>
    <w:p>
      <w:pPr>
        <w:spacing w:after="0" w:line="200"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We are heavily reliant upon contracts with external game developers to develop our games or distribute our games. While we maintain contractual protections, we have less control over the product development schedules of games developed by external developers. We depend on their ability to meet product development schedules which could be negatively affected by, among other things, the distributed workforce model resulting from the COVID-19 pandemic or the loss of key development personnel. In addition, disputes occasionally arise with external developers, including with respect to game content, launch timing, achievement of certain milestones, the game development timeline, marketing campaigns, contractual terms and interpretation of such terms. If we have disputes with external developers or they cannot meet product development schedules, acquire certain approvals or are otherwise unable or unwilling to fulfill their contractual obligations to us, we may delay or cancel previously announced games, alter our launch schedule or experience increased costs and expenses, which could result in a delay or significant shortfall in anticipated revenue, harm our profitability and reputation and cause our financial results to be materially affected.</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5"/>
          <w:szCs w:val="15"/>
          <w:b w:val="1"/>
          <w:bCs w:val="1"/>
          <w:i w:val="1"/>
          <w:iCs w:val="1"/>
          <w:color w:val="auto"/>
        </w:rPr>
        <w:t>Any cybersecurity-related attack, significant data breach or disruption of the information technology systems or networks on which we rely could negatively impact our business.</w:t>
      </w:r>
    </w:p>
    <w:p>
      <w:pPr>
        <w:spacing w:after="0" w:line="200" w:lineRule="exact"/>
        <w:rPr>
          <w:sz w:val="20"/>
          <w:szCs w:val="20"/>
          <w:color w:val="auto"/>
        </w:rPr>
      </w:pPr>
    </w:p>
    <w:p>
      <w:pPr>
        <w:jc w:val="both"/>
        <w:ind w:firstLine="276"/>
        <w:spacing w:after="0" w:line="258" w:lineRule="auto"/>
        <w:rPr>
          <w:sz w:val="20"/>
          <w:szCs w:val="20"/>
          <w:color w:val="auto"/>
        </w:rPr>
      </w:pPr>
      <w:r>
        <w:rPr>
          <w:rFonts w:ascii="Times New Roman" w:cs="Times New Roman" w:eastAsia="Times New Roman" w:hAnsi="Times New Roman"/>
          <w:sz w:val="15"/>
          <w:szCs w:val="15"/>
          <w:color w:val="auto"/>
        </w:rPr>
        <w:t>In the course of our day-to-day business, we and third parties operating on our behalf and from which we license certain intellectual property create, store, and/or use commercially sensitive information, such as the source code and game assets for our interactive entertainment software products and sensitive and confidential information with respect to our customers, consumers, and employees. Our ability to effectively manage our business and coordinate the manufacturing, sourcing, distribution and sale of our interactive entertainment software products depends significantly on the reliability and capacity of these systems. We are critically dependent on the integrity, security and consistent operations of these systems. A malicious cybersecurity-related attack, intrusion or disruption by hackers (including through spyware, ransomware, viruses, phishing, denial of service and similar attacks) or other breach of the systems on which such source code and assets, account information (including personal information) and other sensitive data is stored could lead to piracy of our software, fraudulent activity, disclosure or misappropriation of, or access to, our customers’, consumers’ or employees’ personal information, or our own business data. Such incidents could also lead to product code-base and game distribution platform exploitation, should undetected viruses, spyware, or other malware be inserted into our products, services, or networks, or systems used by our consumers. We have implemented cybersecurity programs and the tools, technologies, processes, and procedures intended to secure our data and systems, and prevent and detect unauthorized access to, or loss of, our data, or the data of our customers, consumers or employees. However, because these cyberattacks may remain undetected for prolonged periods of time and the techniques used by criminal hackers and other third parties to breach systems are constantly evolving, change frequently and we may be unable to anticipate these techniques or implement adequate preventative measures. A data intrusion into a server for a game with online features or for our proprietary online gaming service could also disrupt the operation of such game or platform. If we are subject to cybersecurity breaches, or a security-related incident that materially disrupts the availability of our products and services, we may have a loss in sales or subscriptions or be forced to pay damages or incur other costs, including from the implementation of additional cyber and physical security measures, or suffer reputational damage. If there were a public perception that our data protection measures are inadequate, whether or not the case, it could result in reputational damage and potential harm to our business relationships or the public perception of our business model. In addition, such cybersecurity breaches may subject us to legal claims or proceedings, like individual claims and regulatory investigations and actions, including fines, especially if there is loss, disclosure, or misappropriation of, or access to, our customers’ personal information or other sensitive information, or there is otherwise an intrusion into our customers’ privacy.</w:t>
      </w:r>
    </w:p>
    <w:p>
      <w:pPr>
        <w:spacing w:after="0" w:line="15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we do not successfully invest in, establish and maintain awareness of our brand and games or if we incur excessive expenses promoting and maintaining our brand or our games, our business, financial condition, results of operations or reputation could be harmed.</w:t>
      </w:r>
    </w:p>
    <w:p>
      <w:pPr>
        <w:spacing w:after="0" w:line="128"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We believe that establishing and maintaining our brand is critical to maintaining and creating favorable relationships with players, platform providers, advertisers and content licensors, as well as competing for key talent. Increasing awareness of our brand and recognition of our games is particularly important in connection with our strategic focus on in-licensing games successfully cross-promoting such games. In addition, globalizing and extending our brand and recognition of our games requires significant investment and extensive management time to execute successfully. Although we make significant sales and marketing expenditures in connection with the launch of our games, these efforts may not succeed in increasing awareness of our brand or the new games. If we fail to increase and maintain brand awareness and consumer recognition of our games, our potential revenues could be limited, our costs could increase and our business, financial condition, results of operations or reputation could suffer.</w:t>
      </w:r>
    </w:p>
    <w:p>
      <w:pPr>
        <w:spacing w:after="0" w:line="156"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In addition, if a game contains objectionable content or the messaging functionality of our games is abused, we could experience damage to our reputation and brand. Despite reasonable precautions, some consumers may be offended by certain game content, including user-generated content, the third-party advertisements displayed in our mobile games, or by treatment of other users. If consumers believe that a game we published or third-party advertisement displayed in a game contains objectionable content, it could harm our brand and consumers could refuse to play it and could pressure the platform providers to remove the game from their platforms. For example, we rely on third-party advertising partners to display advertisements within our mobile games, and may experience in the future instances where offensive or objectionable content has been displayed in our games through our advertising partners. While this may violate the terms of our agreements with these advertising partners, our reputation and player experience may suffer. Furthermore, steps that we may take in response to such instances, such as temporarily or permanently shutting off access of such advertising partner to our network, may negatively impact our revenue in such period.</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24" w:name="page25"/>
    <w:bookmarkEnd w:id="24"/>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Our operating results may fluctuate from quarter to quarter, which makes our future results difficult to predict.</w:t>
      </w:r>
    </w:p>
    <w:p>
      <w:pPr>
        <w:spacing w:after="0" w:line="200" w:lineRule="exact"/>
        <w:rPr>
          <w:sz w:val="20"/>
          <w:szCs w:val="20"/>
          <w:color w:val="auto"/>
        </w:rPr>
      </w:pPr>
    </w:p>
    <w:p>
      <w:pPr>
        <w:jc w:val="both"/>
        <w:ind w:left="8" w:firstLine="276"/>
        <w:spacing w:after="0" w:line="265" w:lineRule="auto"/>
        <w:rPr>
          <w:sz w:val="20"/>
          <w:szCs w:val="20"/>
          <w:color w:val="auto"/>
        </w:rPr>
      </w:pPr>
      <w:r>
        <w:rPr>
          <w:rFonts w:ascii="Times New Roman" w:cs="Times New Roman" w:eastAsia="Times New Roman" w:hAnsi="Times New Roman"/>
          <w:sz w:val="15"/>
          <w:szCs w:val="15"/>
          <w:color w:val="auto"/>
        </w:rPr>
        <w:t>Our quarterly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w:t>
      </w:r>
    </w:p>
    <w:p>
      <w:pPr>
        <w:spacing w:after="0" w:line="153" w:lineRule="exact"/>
        <w:rPr>
          <w:sz w:val="20"/>
          <w:szCs w:val="20"/>
          <w:color w:val="auto"/>
        </w:rPr>
      </w:pPr>
    </w:p>
    <w:p>
      <w:pPr>
        <w:ind w:left="268" w:hanging="268"/>
        <w:spacing w:after="0"/>
        <w:tabs>
          <w:tab w:leader="none" w:pos="268"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maintain and grow our player base;</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retain and increase revenue from existing customers;</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introduce new features and functionalities and enhance existing features and functionalities;</w:t>
      </w:r>
    </w:p>
    <w:p>
      <w:pPr>
        <w:spacing w:after="0" w:line="196" w:lineRule="exact"/>
        <w:rPr>
          <w:rFonts w:ascii="Times New Roman" w:cs="Times New Roman" w:eastAsia="Times New Roman" w:hAnsi="Times New Roman"/>
          <w:sz w:val="15"/>
          <w:szCs w:val="15"/>
          <w:color w:val="auto"/>
        </w:rPr>
      </w:pPr>
    </w:p>
    <w:p>
      <w:pPr>
        <w:ind w:left="268" w:right="20" w:hanging="268"/>
        <w:spacing w:after="0" w:line="292" w:lineRule="auto"/>
        <w:tabs>
          <w:tab w:leader="none" w:pos="268"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ability to respond to competitive developments, including pricing changes and the introduction of new products and features by our competitors, or the emergence of new competitors;</w:t>
      </w:r>
    </w:p>
    <w:p>
      <w:pPr>
        <w:spacing w:after="0" w:line="133"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seasonal purchasing patterns of our consumers;</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impact of downtime or defects in our game and reputational harm;</w:t>
      </w:r>
    </w:p>
    <w:p>
      <w:pPr>
        <w:spacing w:after="0" w:line="196" w:lineRule="exact"/>
        <w:rPr>
          <w:rFonts w:ascii="Times New Roman" w:cs="Times New Roman" w:eastAsia="Times New Roman" w:hAnsi="Times New Roman"/>
          <w:sz w:val="15"/>
          <w:szCs w:val="15"/>
          <w:color w:val="auto"/>
        </w:rPr>
      </w:pPr>
    </w:p>
    <w:p>
      <w:pPr>
        <w:ind w:left="268" w:hanging="268"/>
        <w:spacing w:after="0" w:line="292" w:lineRule="auto"/>
        <w:tabs>
          <w:tab w:leader="none" w:pos="268"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to financial accounting standards and the interpretation of those standards that may affect the way we recognize and report our financial results, including changes in accounting rules governing recognition of revenue;</w:t>
      </w:r>
    </w:p>
    <w:p>
      <w:pPr>
        <w:spacing w:after="0" w:line="133"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 economic and political conditions and government regulations in the countries where we currently operate or plan to expand;</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decisions by us to incur additional expenses, such as increases in sales and marketing or research and development; and</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 costs to attract, onboard, retain and motivate qualified personnel.</w:t>
      </w:r>
    </w:p>
    <w:p>
      <w:pPr>
        <w:spacing w:after="0" w:line="196" w:lineRule="exact"/>
        <w:rPr>
          <w:sz w:val="20"/>
          <w:szCs w:val="20"/>
          <w:color w:val="auto"/>
        </w:rPr>
      </w:pPr>
    </w:p>
    <w:p>
      <w:pPr>
        <w:jc w:val="both"/>
        <w:ind w:left="8" w:firstLine="276"/>
        <w:spacing w:after="0" w:line="268" w:lineRule="auto"/>
        <w:rPr>
          <w:sz w:val="20"/>
          <w:szCs w:val="20"/>
          <w:color w:val="auto"/>
        </w:rPr>
      </w:pPr>
      <w:r>
        <w:rPr>
          <w:rFonts w:ascii="Times New Roman" w:cs="Times New Roman" w:eastAsia="Times New Roman" w:hAnsi="Times New Roman"/>
          <w:sz w:val="15"/>
          <w:szCs w:val="15"/>
          <w:color w:val="auto"/>
        </w:rPr>
        <w:t>The impact of one or more of the foregoing and other factors may cause our operating results to vary significantly. As such, we believe that quarter-to-quarter comparisons of our operating results may not be meaningful and should not be relied upon as an indication of future performance. The variability and unpredictability of our operating results could result in our failure to meet our expectations or those of analysts that cover us or investors with respect to revenue or other operating results for a particular period. If we fail to meet or exceed such expectations, then the trading price of our Class A common stock could fall substantially, and we could face costly lawsuits, including securities class action suits.</w:t>
      </w:r>
    </w:p>
    <w:p>
      <w:pPr>
        <w:spacing w:after="0" w:line="147" w:lineRule="exact"/>
        <w:rPr>
          <w:sz w:val="20"/>
          <w:szCs w:val="20"/>
          <w:color w:val="auto"/>
        </w:rPr>
      </w:pPr>
    </w:p>
    <w:p>
      <w:pPr>
        <w:jc w:val="both"/>
        <w:ind w:left="8"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have experienced rapid growth and expect to invest in our growth for the foreseeable future. If we fail to manage our growth effectively, then our business, operating results and financial condition would be adversely affected.</w:t>
      </w:r>
    </w:p>
    <w:p>
      <w:pPr>
        <w:spacing w:after="0" w:line="128" w:lineRule="exact"/>
        <w:rPr>
          <w:sz w:val="20"/>
          <w:szCs w:val="20"/>
          <w:color w:val="auto"/>
        </w:rPr>
      </w:pPr>
    </w:p>
    <w:p>
      <w:pPr>
        <w:jc w:val="both"/>
        <w:ind w:left="8" w:right="20" w:firstLine="276"/>
        <w:spacing w:after="0" w:line="274" w:lineRule="auto"/>
        <w:rPr>
          <w:sz w:val="20"/>
          <w:szCs w:val="20"/>
          <w:color w:val="auto"/>
        </w:rPr>
      </w:pPr>
      <w:r>
        <w:rPr>
          <w:rFonts w:ascii="Times New Roman" w:cs="Times New Roman" w:eastAsia="Times New Roman" w:hAnsi="Times New Roman"/>
          <w:sz w:val="15"/>
          <w:szCs w:val="15"/>
          <w:color w:val="auto"/>
        </w:rPr>
        <w:t>We have experienced rapid growth in recent periods, and we expect to continue to invest broadly across our organization to support our growth.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w:t>
      </w:r>
    </w:p>
    <w:p>
      <w:pPr>
        <w:spacing w:after="0" w:line="146" w:lineRule="exact"/>
        <w:rPr>
          <w:sz w:val="20"/>
          <w:szCs w:val="20"/>
          <w:color w:val="auto"/>
        </w:rPr>
      </w:pPr>
    </w:p>
    <w:p>
      <w:pPr>
        <w:jc w:val="both"/>
        <w:ind w:left="8" w:firstLine="276"/>
        <w:spacing w:after="0" w:line="265" w:lineRule="auto"/>
        <w:rPr>
          <w:sz w:val="20"/>
          <w:szCs w:val="20"/>
          <w:color w:val="auto"/>
        </w:rPr>
      </w:pPr>
      <w:r>
        <w:rPr>
          <w:rFonts w:ascii="Times New Roman" w:cs="Times New Roman" w:eastAsia="Times New Roman" w:hAnsi="Times New Roman"/>
          <w:sz w:val="15"/>
          <w:szCs w:val="15"/>
          <w:color w:val="auto"/>
        </w:rPr>
        <w:t>Failure to manage growth effectively could result in difficulty or delays in attracting new players, declines in quality or player satisfaction and demand for our games, increases in costs, difficulties in introducing new products and features or enhancing our offerings, loss of customers or consumers, difficulties in attracting or retaining talent or other operational difficulties, any of which could adversely affect our business, operating results and financial condition. Effectively managing our growth may also be more difficult to accomplish the longer that our employees, our customers and the overall economy is impacted by rising interest rates, inflation, uncertainties related to government fiscal and tax policies, including changes in tax rates, duties, tariffs, or other restrictions, sovereign debt crises, and other economic factors and the ongoing conflicts in Ukraine and Gaza.</w:t>
      </w:r>
    </w:p>
    <w:p>
      <w:pPr>
        <w:spacing w:after="0" w:line="1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5264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5" w:right="319" w:bottom="1440" w:gutter="0" w:footer="0" w:header="0"/>
        </w:sectPr>
      </w:pPr>
    </w:p>
    <w:bookmarkStart w:id="25" w:name="page26"/>
    <w:bookmarkEnd w:id="25"/>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User metrics and other estimates are subject to inherent challenges in measurement, and real or perceived inaccuracies in those metrics could harm our business, revenue and financial results.</w:t>
      </w:r>
    </w:p>
    <w:p>
      <w:pPr>
        <w:spacing w:after="0" w:line="128"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We intend to regularly review our engagement metrics, including the number of our active users, paying users, and other measures to evaluate growth trends, performance and to make informed strategic decisions. These metrics are calculated using internal company data and have not been validated by an independent third party. While these numbers are based on what we currently believe to be reasonable estimates for the applicable period of measurement, there are inherent challenges in measuring, thus metrics calculations may be inaccurate, and we may not be able to identify those inaccuracies. In addition, we may implement new methodologies for calculating these metrics, which may result in the metrics changing or decreasing from prior periods or not being comparable to prior periods.</w:t>
      </w:r>
    </w:p>
    <w:p>
      <w:pPr>
        <w:spacing w:after="0" w:line="14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Expansion of the Company’s operations into new products, services and technologies, including content categories, is inherently risky and may subject it to additional business, legal, financial and competitive risks.</w:t>
      </w:r>
    </w:p>
    <w:p>
      <w:pPr>
        <w:spacing w:after="0" w:line="128"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Expansion of the Company’s operations and its marketplace into additional products and services, such as short film drama involve numerous risks and challenges, including potential new competition, increased capital requirements and increased marketing spent to achieve customer awareness of these new products and services. Growth into additional content, product and service areas may require changes to the Company’s existing business model and cost structure and modifications to its infrastructure and may expose the Company to new regulatory and legal risks, any of which may require expertise in areas in which the Company has little or no experience. There is no guarantee that the Company will be able to generate sufficient revenue from sales of such products and services to offset the costs of developing, acquiring, managing and monetizing such products and services and the Company’s business may be adversely affected.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our efforts to attract and retain users are not successful, our business will be adversely affected.</w:t>
      </w:r>
    </w:p>
    <w:p>
      <w:pPr>
        <w:spacing w:after="0" w:line="200"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Our short film revenue is derived from in-app currency spend. We must continually add users and convert them to paying users. The video streaming business is new to us and our ability to penetrate and grow our user base may fluctuate. Our ability to attract and retain users and convert them to paying users will depend in part on our ability to consistently provide our users in countries around the globe with compelling content choices that keep our users engaged with our service, effectively drive conversation around our content and service, as well as provide quality experience for choosing and enjoying our short film dramas. Furthermore, the relative service levels, content offerings, pricing and related features of competitors to our service may adversely impact on our ability to attract and retain users. Competitors include other entertainment video providers, such as linear television, and streaming entertainment providers.</w:t>
      </w:r>
    </w:p>
    <w:p>
      <w:pPr>
        <w:spacing w:after="0" w:line="156" w:lineRule="exact"/>
        <w:rPr>
          <w:sz w:val="20"/>
          <w:szCs w:val="20"/>
          <w:color w:val="auto"/>
        </w:rPr>
      </w:pPr>
    </w:p>
    <w:p>
      <w:pPr>
        <w:jc w:val="both"/>
        <w:ind w:right="20" w:firstLine="276"/>
        <w:spacing w:after="0" w:line="292" w:lineRule="auto"/>
        <w:rPr>
          <w:sz w:val="20"/>
          <w:szCs w:val="20"/>
          <w:color w:val="auto"/>
        </w:rPr>
      </w:pPr>
      <w:r>
        <w:rPr>
          <w:rFonts w:ascii="Times New Roman" w:cs="Times New Roman" w:eastAsia="Times New Roman" w:hAnsi="Times New Roman"/>
          <w:sz w:val="15"/>
          <w:szCs w:val="15"/>
          <w:color w:val="auto"/>
        </w:rPr>
        <w:t>Paying user growth is also impacted by adverse macroeconomic conditions, including inflation, may also adversely impact our ability to attract and retain paying users our business will be adversely affected.</w:t>
      </w:r>
    </w:p>
    <w:p>
      <w:pPr>
        <w:spacing w:after="0" w:line="12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we do not continuously provide value to our users, including making improvements to our service in a manner that is favorably received by them, our revenue, results of operations and business will be adversely affected.</w:t>
      </w:r>
    </w:p>
    <w:p>
      <w:pPr>
        <w:spacing w:after="0" w:line="128"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If consumers do not perceive our service offering to be of value, including if we introduce new or adjust existing features, adjust pricing or service offerings, or change the mix of content in a manner that is not favorably received by them, we may not be able to attract and retain paying users, and accordingly, our revenue, including revenue per paying user, and results of operations may be adversely affected.</w:t>
      </w:r>
    </w:p>
    <w:p>
      <w:pPr>
        <w:spacing w:after="0" w:line="146" w:lineRule="exact"/>
        <w:rPr>
          <w:sz w:val="20"/>
          <w:szCs w:val="20"/>
          <w:color w:val="auto"/>
        </w:rPr>
      </w:pPr>
    </w:p>
    <w:p>
      <w:pPr>
        <w:jc w:val="both"/>
        <w:ind w:right="20" w:firstLine="276"/>
        <w:spacing w:after="0" w:line="292" w:lineRule="auto"/>
        <w:rPr>
          <w:sz w:val="20"/>
          <w:szCs w:val="20"/>
          <w:color w:val="auto"/>
        </w:rPr>
      </w:pPr>
      <w:r>
        <w:rPr>
          <w:rFonts w:ascii="Times New Roman" w:cs="Times New Roman" w:eastAsia="Times New Roman" w:hAnsi="Times New Roman"/>
          <w:sz w:val="15"/>
          <w:szCs w:val="15"/>
          <w:color w:val="auto"/>
        </w:rPr>
        <w:t>We may, from time to time, adjust our in-app pricing, or our pricing model itself. Any adjustments we make may not be well received by our users and could negatively impact our ability to attract and retain paying users, and as a result, our ability to grow our business will be adversely affected.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26" w:name="page27"/>
    <w:bookmarkEnd w:id="26"/>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If we fail to grow and maintain our active user base, our business, financial condition and operating results may be materially and adversely affected.</w:t>
      </w:r>
    </w:p>
    <w:p>
      <w:pPr>
        <w:spacing w:after="0" w:line="200" w:lineRule="exact"/>
        <w:rPr>
          <w:sz w:val="20"/>
          <w:szCs w:val="20"/>
          <w:color w:val="auto"/>
        </w:rPr>
      </w:pPr>
    </w:p>
    <w:p>
      <w:pPr>
        <w:jc w:val="both"/>
        <w:ind w:left="8" w:firstLine="276"/>
        <w:spacing w:after="0" w:line="274" w:lineRule="auto"/>
        <w:rPr>
          <w:sz w:val="20"/>
          <w:szCs w:val="20"/>
          <w:color w:val="auto"/>
        </w:rPr>
      </w:pPr>
      <w:r>
        <w:rPr>
          <w:rFonts w:ascii="Times New Roman" w:cs="Times New Roman" w:eastAsia="Times New Roman" w:hAnsi="Times New Roman"/>
          <w:sz w:val="15"/>
          <w:szCs w:val="15"/>
          <w:color w:val="auto"/>
        </w:rPr>
        <w:t>The size of our active user base with our products are critical to our success. We are new to the short film drama business. Our financial performance has been and will continue to be significantly affected by our ability to grow and engage our active user base. In addition, we may fail to maintain or increase our user base or our users’ engagement if, among other things:</w:t>
      </w:r>
    </w:p>
    <w:p>
      <w:pPr>
        <w:spacing w:after="0" w:line="146" w:lineRule="exact"/>
        <w:rPr>
          <w:sz w:val="20"/>
          <w:szCs w:val="20"/>
          <w:color w:val="auto"/>
        </w:rPr>
      </w:pPr>
    </w:p>
    <w:p>
      <w:pPr>
        <w:ind w:left="268" w:hanging="268"/>
        <w:spacing w:after="0"/>
        <w:tabs>
          <w:tab w:leader="none" w:pos="26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fail to innovate or develop new products and services that provide relevant content and satisfactory experience;</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fail to produce new dramas that are attractive to our users;</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fail to respond to or adopt evolving technologies for product development on a timely and cost-effective basis;</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fail to successfully market and monetize our existing and new mobile applications throughout their life cycles;</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fail to maintain or improve our technology infrastructure and security measures designed to protect our users’ personal privacy and cyber security;</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lose users to competing products and services or due to concerns related to personal privacy and cyber security or other reasons;</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fail to successfully implement our strategies related to the continued expansion of our global user base; or</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we are required by existing or new laws, regulations or government policies to implement changes to our products or services that are adverse to our business.</w:t>
      </w:r>
    </w:p>
    <w:p>
      <w:pPr>
        <w:spacing w:after="0" w:line="1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We utilize artificial intelligence (“AI”), which could expose us to liability or adversely affect our business.</w:t>
      </w:r>
    </w:p>
    <w:p>
      <w:pPr>
        <w:spacing w:after="0" w:line="200" w:lineRule="exact"/>
        <w:rPr>
          <w:sz w:val="20"/>
          <w:szCs w:val="20"/>
          <w:color w:val="auto"/>
        </w:rPr>
      </w:pPr>
    </w:p>
    <w:p>
      <w:pPr>
        <w:jc w:val="both"/>
        <w:ind w:left="8" w:firstLine="276"/>
        <w:spacing w:after="0" w:line="259" w:lineRule="auto"/>
        <w:rPr>
          <w:sz w:val="20"/>
          <w:szCs w:val="20"/>
          <w:color w:val="auto"/>
        </w:rPr>
      </w:pPr>
      <w:r>
        <w:rPr>
          <w:rFonts w:ascii="Times New Roman" w:cs="Times New Roman" w:eastAsia="Times New Roman" w:hAnsi="Times New Roman"/>
          <w:sz w:val="15"/>
          <w:szCs w:val="15"/>
          <w:color w:val="auto"/>
        </w:rPr>
        <w:t>We have integrated, or are in the process of integrating, artificial intelligence (“AI”) into various aspects of our business operations. These include, but are not limited to, customer service automation, data analytics, game development, and generation of resources. We evaluate and adapt our AI strategies to optimize operational efficiency and enhance customer experiences. We have made and expect to continue to make investments in AI, including software acquisitions, development of proprietary algorithms, and talent recruitment. These investments are expected to drive innovation, improve operational efficiencies, and contribute to long-term growth. While AI presents substantial opportunities, it also poses certain risks. These include reliance on complex algorithms, potential biases in AI decision-making, cybersecurity threats, and regulatory changes. If the AI tools that we use are deficient, inaccurate or controversial, we could incur operational inefficiencies, competitive harm, legal liability, brand or reputational harm, or other adverse impacts on our business and financial results. If we do not have sufficient rights to use the data or other material or content on which the AI tools we use rely, we also may incur liability through the violation of applicable laws and regulations, third-party intellectual property, privacy or other rights, or contracts to which we are a party. We seek to mitigate these risks through regular audits, risk assessments, review of privacy standards, security protocols, monitoring, and adaptive AI models. The integration of AI technologies has also led to changes in workforce requirements. We invest in employee training and development to adapt to AI-driven changes. While AI automates certain tasks, it also creates new roles and opportunities within our organization. We anticipate that AI will play an increasingly significant role in our operations and strategy. Ongoing investments and research in AI are expected to yield new capabilities and efficiencies, aligning with our long-term vision for innovation and growth.</w:t>
      </w:r>
    </w:p>
    <w:p>
      <w:pPr>
        <w:spacing w:after="0" w:line="16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5264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5" w:right="319" w:bottom="1440" w:gutter="0" w:footer="0" w:header="0"/>
        </w:sectPr>
      </w:pPr>
    </w:p>
    <w:bookmarkStart w:id="27" w:name="page28"/>
    <w:bookmarkEnd w:id="27"/>
    <w:p>
      <w:pPr>
        <w:jc w:val="both"/>
        <w:ind w:left="8" w:firstLine="276"/>
        <w:spacing w:after="0" w:line="262" w:lineRule="auto"/>
        <w:rPr>
          <w:sz w:val="20"/>
          <w:szCs w:val="20"/>
          <w:color w:val="auto"/>
        </w:rPr>
      </w:pPr>
      <w:r>
        <w:rPr>
          <w:rFonts w:ascii="Times New Roman" w:cs="Times New Roman" w:eastAsia="Times New Roman" w:hAnsi="Times New Roman"/>
          <w:sz w:val="15"/>
          <w:szCs w:val="15"/>
          <w:color w:val="auto"/>
        </w:rPr>
        <w:t>In addition, regulation of AI is rapidly evolving worldwide as legislators and regulators are increasingly focused on these powerful emerging technologies. The technologies underlying AI and its uses are subject to a variety of laws and regulations, including intellectual property, data privacy and security, consumer protection, competition, and equal opportunity laws, and are expected to be subject to increased regulation and new laws or new applications of existing laws and regulations. AI is the subject of ongoing review by various U.S. governmental and regulatory agencies, and various U.S. states and other foreign jurisdictions are applying, or are considering applying, their platform moderation, cybersecurity, and data protection laws and regulations to AI or are considering general legal frameworks for AI. We may not be able to anticipate how to respond to these rapidly evolving frameworks, and we may need to expend resources to adjust our operations or offerings in certain jurisdictions if the legal frameworks are inconsistent across jurisdictions. Furthermore, because AI technology itself is highly complex and rapidly developing, it is not possible to predict all of the legal, operational or technological risks that may arise relating to the use of AI.</w:t>
      </w:r>
    </w:p>
    <w:p>
      <w:pPr>
        <w:spacing w:after="0" w:line="336" w:lineRule="exact"/>
        <w:rPr>
          <w:sz w:val="20"/>
          <w:szCs w:val="20"/>
          <w:color w:val="auto"/>
        </w:rPr>
      </w:pPr>
    </w:p>
    <w:p>
      <w:pPr>
        <w:jc w:val="both"/>
        <w:ind w:left="8"/>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Failure to meet Nasdaq’s continued listing requirements could result in the delisting of our Class A common stock, negatively impact the price of our Class A common stock and negatively impact our ability to raise additional capital.</w:t>
      </w:r>
    </w:p>
    <w:p>
      <w:pPr>
        <w:spacing w:after="0" w:line="128"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color w:val="auto"/>
        </w:rPr>
        <w:t>On June 27, 2024, we received a deficiency letter from the Listing Qualifications Department (the “Staff”) of the Nasdaq Stock Market (“Nasdaq”) notifying us that, for thirty</w:t>
      </w:r>
    </w:p>
    <w:p>
      <w:pPr>
        <w:spacing w:after="0" w:line="26" w:lineRule="exact"/>
        <w:rPr>
          <w:sz w:val="20"/>
          <w:szCs w:val="20"/>
          <w:color w:val="auto"/>
        </w:rPr>
      </w:pPr>
    </w:p>
    <w:p>
      <w:pPr>
        <w:jc w:val="both"/>
        <w:ind w:left="8" w:right="20" w:hanging="8"/>
        <w:spacing w:after="0" w:line="260" w:lineRule="auto"/>
        <w:tabs>
          <w:tab w:leader="none" w:pos="311"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consecutive business days (from May 10, 2024 to June 26, 2024), the bid price for our Class A common stock had closed below the minimum $1.00 per share requirement for continued inclusion on the Nasdaq Capital Market pursuant to Nasdaq Listing Rule 5550(a)(2) (the “Bid Price Rule”). In accordance with Nasdaq rules, we were provided an initial period of 180 calendar days, or until December 24, 2024 (the “Compliance Date”), to regain compliance with the Bid Price Rule. The Staff informed the Company that if, at any time before the Compliance Date, the bid price for the Class A common stock closed at $1.00 or more for a minimum of ten (10) consecutive business days, the Staff would provide written notification to the Company that it complied with the Bid Price Rule and the matter will be closed.</w:t>
      </w:r>
    </w:p>
    <w:p>
      <w:pPr>
        <w:spacing w:after="0" w:line="157" w:lineRule="exact"/>
        <w:rPr>
          <w:sz w:val="20"/>
          <w:szCs w:val="20"/>
          <w:color w:val="auto"/>
        </w:rPr>
      </w:pPr>
    </w:p>
    <w:p>
      <w:pPr>
        <w:jc w:val="both"/>
        <w:ind w:left="8" w:firstLine="276"/>
        <w:spacing w:after="0" w:line="274" w:lineRule="auto"/>
        <w:rPr>
          <w:sz w:val="20"/>
          <w:szCs w:val="20"/>
          <w:color w:val="auto"/>
        </w:rPr>
      </w:pPr>
      <w:r>
        <w:rPr>
          <w:rFonts w:ascii="Times New Roman" w:cs="Times New Roman" w:eastAsia="Times New Roman" w:hAnsi="Times New Roman"/>
          <w:sz w:val="15"/>
          <w:szCs w:val="15"/>
          <w:color w:val="auto"/>
        </w:rPr>
        <w:t>On October 18, 2024, Nasdaq notified the Company that the Staff had determined that for ten (10) consecutive business days, from October 4, 2024, to October 17, 2024, the closing bid price of our Class A common stock has been at $1.00 per share or greater. Accordingly, the Staff informed us that we had regained compliance with Nasdaq Listing Rule 5550(a)(2) and this matter is now closed.</w:t>
      </w:r>
    </w:p>
    <w:p>
      <w:pPr>
        <w:spacing w:after="0" w:line="146" w:lineRule="exact"/>
        <w:rPr>
          <w:sz w:val="20"/>
          <w:szCs w:val="20"/>
          <w:color w:val="auto"/>
        </w:rPr>
      </w:pPr>
    </w:p>
    <w:p>
      <w:pPr>
        <w:jc w:val="both"/>
        <w:ind w:left="8" w:firstLine="276"/>
        <w:spacing w:after="0" w:line="260" w:lineRule="auto"/>
        <w:rPr>
          <w:sz w:val="20"/>
          <w:szCs w:val="20"/>
          <w:color w:val="auto"/>
        </w:rPr>
      </w:pPr>
      <w:r>
        <w:rPr>
          <w:rFonts w:ascii="Times New Roman" w:cs="Times New Roman" w:eastAsia="Times New Roman" w:hAnsi="Times New Roman"/>
          <w:sz w:val="15"/>
          <w:szCs w:val="15"/>
          <w:color w:val="auto"/>
        </w:rPr>
        <w:t>If at any time we do not satisfy the continued listing requirements of the Nasdaq, including compliance with the Bid Price Rule, within the time frame granted by Nasdaq, our Class A common stock will be delisted from the Nasdaq. Any perception that we may not regain compliance or a delisting of our Class A common stock by Nasdaq could adversely affect our ability to attract new investors, decrease the liquidity of the outstanding shares of our Class A common stock, reduce the price at which such shares trade and increase the transaction costs inherent in trading such shares with overall negative effects for our stockholder. In addition, delisting of our Class A common stock from Nasdaq could deter broker-dealers from making a market in or otherwise seeking or generating interest in our Class A common stock, and might deter certain institutions and persons from investing in our Class A common stock. In addition, if our Class A common stock was delisted, our Class A common stock would be subject to rules that impose additional sales practice requirements on broker-dealers who sell our securities. The additional burdens imposed upon broker-dealers by these requirements could discourage broker-dealers from effecting transactions in our Class A common stock. This would adversely affect the ability of investors to trade our Class A common stock and would adversely affect the value of our Class A common stock. These factors could contribute to lower prices and larger spreads in the bid and ask prices for our Class A common stock.</w:t>
      </w:r>
    </w:p>
    <w:p>
      <w:pPr>
        <w:spacing w:after="0" w:line="161" w:lineRule="exact"/>
        <w:rPr>
          <w:sz w:val="20"/>
          <w:szCs w:val="20"/>
          <w:color w:val="auto"/>
        </w:rPr>
      </w:pPr>
    </w:p>
    <w:p>
      <w:pPr>
        <w:jc w:val="both"/>
        <w:ind w:left="8" w:firstLine="276"/>
        <w:spacing w:after="0" w:line="265" w:lineRule="auto"/>
        <w:rPr>
          <w:sz w:val="20"/>
          <w:szCs w:val="20"/>
          <w:color w:val="auto"/>
        </w:rPr>
      </w:pPr>
      <w:r>
        <w:rPr>
          <w:rFonts w:ascii="Times New Roman" w:cs="Times New Roman" w:eastAsia="Times New Roman" w:hAnsi="Times New Roman"/>
          <w:sz w:val="15"/>
          <w:szCs w:val="15"/>
          <w:color w:val="auto"/>
        </w:rPr>
        <w:t>The National Securities Markets Improvement Act of 1996, which is a federal statute, prevents or preempts the states from regulating the sale of certain securities, which are referred to as “covered securities.” Because our Class A common stock is listed on Nasdaq, our shares of Class A common stock are “covered securities”. Although the states are preempted from regulating the sale of covered securities, the federal statute does allow the states to investigate companies if there is a suspicion of fraud, and, if there is a finding of fraudulent activity, then the states can regulate or bar the sale of covered securities in a particular case. Further, if we were to be delisted from Nasdaq, our shares of Class A common stock would cease to be recognized as covered securities and we would be subject to regulation in each state in which we offer our securities.</w:t>
      </w:r>
    </w:p>
    <w:p>
      <w:pPr>
        <w:spacing w:after="0" w:line="153" w:lineRule="exact"/>
        <w:rPr>
          <w:sz w:val="20"/>
          <w:szCs w:val="20"/>
          <w:color w:val="auto"/>
        </w:rPr>
      </w:pPr>
    </w:p>
    <w:p>
      <w:pPr>
        <w:jc w:val="both"/>
        <w:ind w:left="8" w:firstLine="276"/>
        <w:spacing w:after="0" w:line="274" w:lineRule="auto"/>
        <w:rPr>
          <w:sz w:val="20"/>
          <w:szCs w:val="20"/>
          <w:color w:val="auto"/>
        </w:rPr>
      </w:pPr>
      <w:r>
        <w:rPr>
          <w:rFonts w:ascii="Times New Roman" w:cs="Times New Roman" w:eastAsia="Times New Roman" w:hAnsi="Times New Roman"/>
          <w:sz w:val="15"/>
          <w:szCs w:val="15"/>
          <w:color w:val="auto"/>
        </w:rPr>
        <w:t>As mentioned above, in the event of a delisting, we would take actions to restore our compliance with the Nasdaq listing requirements, but we can provide no assurance that any such action taken by us would allow our Class A common stock to become listed again, stabilize the market price or improve the liquidity of our Class A common stock or prevent our Class A common stock from meeting the mandatory Nasdaq listing requirements.</w:t>
      </w:r>
    </w:p>
    <w:p>
      <w:pPr>
        <w:spacing w:after="0" w:line="1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Risks Related to Intellectual Property</w:t>
      </w:r>
    </w:p>
    <w:p>
      <w:pPr>
        <w:spacing w:after="0" w:line="196" w:lineRule="exact"/>
        <w:rPr>
          <w:sz w:val="20"/>
          <w:szCs w:val="20"/>
          <w:color w:val="auto"/>
        </w:rPr>
      </w:pPr>
    </w:p>
    <w:p>
      <w:pPr>
        <w:jc w:val="both"/>
        <w:ind w:left="8"/>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we are unable to protect the intellectual property relating to our material software, the commercial value of our products will be adversely affected, and our competitive position could be harmed.</w:t>
      </w:r>
    </w:p>
    <w:p>
      <w:pPr>
        <w:spacing w:after="0" w:line="128" w:lineRule="exact"/>
        <w:rPr>
          <w:sz w:val="20"/>
          <w:szCs w:val="20"/>
          <w:color w:val="auto"/>
        </w:rPr>
      </w:pPr>
    </w:p>
    <w:p>
      <w:pPr>
        <w:jc w:val="both"/>
        <w:ind w:left="8" w:firstLine="276"/>
        <w:spacing w:after="0" w:line="260" w:lineRule="auto"/>
        <w:rPr>
          <w:sz w:val="20"/>
          <w:szCs w:val="20"/>
          <w:color w:val="auto"/>
        </w:rPr>
      </w:pPr>
      <w:r>
        <w:rPr>
          <w:rFonts w:ascii="Times New Roman" w:cs="Times New Roman" w:eastAsia="Times New Roman" w:hAnsi="Times New Roman"/>
          <w:sz w:val="15"/>
          <w:szCs w:val="15"/>
          <w:color w:val="auto"/>
        </w:rPr>
        <w:t>We are highly reliant upon in-licensed intellectual property and developing proprietary software, where we have obtained the rights to publish and distribute software developed by third parties and related parties. We and our licensors attempt to protect our software and production techniques under patent, copyright, trademark and trade secret laws as well as through contractual restrictions on disclosure, copying and distribution. Nonetheless, our software is susceptible to piracy and unauthorized copying, and third parties may potentially exploit, misappropriate or otherwise violate our intellectual property and proprietary information, causing significant reputational damage. Unauthorized third parties, for example, may be able to copy or to reverse engineer our software to obtain and use programming or production techniques that we regard as proprietary. Well-organized piracy operations have also proliferated in recent years, resulting in the ability to download pirated copies of our software over the Internet. Although we attempt to incorporate protective measures into our software, piracy of our products could negatively affect our future profitability. In addition, “cheating” programs or other unauthorized software tools and modifications that enable consumers to cheat in games harm the experience of players who play fairly and could negatively impact the volume of microtransactions or purchases of DLC. Also, vulnerabilities in the design of our applications and of the platforms upon which they run could be discovered after their release. This may lead to lost revenues from paying consumers or increased cost of developing technological measures to respond to these vulnerabilities, either of which could negatively affect our business.</w:t>
      </w:r>
    </w:p>
    <w:p>
      <w:pPr>
        <w:spacing w:after="0" w:line="15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5264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9" w:right="319" w:bottom="1440" w:gutter="0" w:footer="0" w:header="0"/>
        </w:sectPr>
      </w:pPr>
    </w:p>
    <w:bookmarkStart w:id="28" w:name="page29"/>
    <w:bookmarkEnd w:id="28"/>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we infringe, misappropriate, or otherwise violate or are alleged to infringe, misappropriate or otherwise violate the intellectual property rights of third parties, our business could be adversely affected.</w:t>
      </w:r>
    </w:p>
    <w:p>
      <w:pPr>
        <w:spacing w:after="0" w:line="128"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color w:val="auto"/>
        </w:rPr>
        <w:t>As our industry grows, we may be subject to an increasing amount of litigation that is common in the software industry based on allegations of infringement or other alleged violations of patent, copyright, or trademarks. In addition, we believe that interactive entertainment software will increasingly become the subject of claims that such software infringes on the intellectual property rights of others with both the growth of online functionality and advances in technology, game content and software graphics as games become more realistic. From time to time, we may receive notices from third parties or be named in lawsuits by third parties alleging infringement of their proprietary rights. Although we believe that our software and technologies and the software and technologies of third-party developers and publishers with whom we have contractual relations do not and will not infringe or violate proprietary rights of others, it is possible that infringement of proprietary rights of others may occur. Any claims of infringement, with or without merit, could be time-consuming, costly and difficult to defend. Moreover, intellectual property litigation or claims could require us to discontinue the distribution of products, obtain a license or redesign our products, which could result in additional substantial costs and material delays.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are unable to protect the confidentiality of our trade secrets, our business and competitive position would be harmed.</w:t>
      </w:r>
    </w:p>
    <w:p>
      <w:pPr>
        <w:spacing w:after="0" w:line="200" w:lineRule="exact"/>
        <w:rPr>
          <w:sz w:val="20"/>
          <w:szCs w:val="20"/>
          <w:color w:val="auto"/>
        </w:rPr>
      </w:pPr>
    </w:p>
    <w:p>
      <w:pPr>
        <w:jc w:val="both"/>
        <w:ind w:firstLine="276"/>
        <w:spacing w:after="0" w:line="259" w:lineRule="auto"/>
        <w:rPr>
          <w:sz w:val="20"/>
          <w:szCs w:val="20"/>
          <w:color w:val="auto"/>
        </w:rPr>
      </w:pPr>
      <w:r>
        <w:rPr>
          <w:rFonts w:ascii="Times New Roman" w:cs="Times New Roman" w:eastAsia="Times New Roman" w:hAnsi="Times New Roman"/>
          <w:sz w:val="15"/>
          <w:szCs w:val="15"/>
          <w:color w:val="auto"/>
        </w:rPr>
        <w:t>We rely on trade secrets and proprietary knowledge to protect our unpatented know-how, expertise, technology and other proprietary information and to maintain our competitive position. We enter into nondisclosure and confidentiality agreements with our employees and independent contractors regarding our trade secrets and proprietary information in order to limit access to, and disclosure and use of, our trade secrets and proprietary information. Nevertheless, we cannot guarantee that we have entered into such agreements with each party that may have or has had access to our trade secrets or proprietary information. Furthermore, trade secrets are difficult to protect. We cannot assure you that the obligation to maintain the confidentiality of our trade secrets and proprietary information will be honored.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Monitoring unauthorized disclosure is difficult, and we do not know whether the steps we have taken to prevent such disclosure are, or will be, adequate. If we were to enforce a claim that a third party had illegally obtained and was using our trade secrets, it would be expensive and time-consuming, and the outcome would be unpredictable. If any of our trade secrets were to be lawfully obtained or independently developed by a competitor or other third party, we would have no right to prevent them, or those to whom they communicate it, from using that technology or information to compete with us. If any of our material trade secrets were to be disclosed to or independently developed by a competitor, our competitive position would be harmed. In general, any loss of trade secret protection or other unpatented proprietary rights could harm our business, financial condition, results of operations, and prospects.</w:t>
      </w:r>
    </w:p>
    <w:p>
      <w:pPr>
        <w:spacing w:after="0" w:line="34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may be subject to claims that our employees, consultants or advisors have wrongfully used or disclosed alleged trade secrets of their current or former employers or claims asserting ownership of what we regard as our own intellectual property.</w:t>
      </w:r>
    </w:p>
    <w:p>
      <w:pPr>
        <w:spacing w:after="0" w:line="128"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color w:val="auto"/>
        </w:rPr>
        <w:t>Many of our employees, consultants and advisors are currently or were previously employed at other companies in our field, including our competitors or potential competitors. Many of them executed proprietary rights, non-disclosure and/or non-competition agreements in connection with such previous employment or engagement. Although we try to ensure that our employees, consultants, and advisors do not use the intellectual property rights, proprietary information know-how or trade secrets of others in their work for us, we may be subject to claims that we or they have, inadvertently or otherwise, used, infringed, misappropriated or otherwise violated intellectual property rights, or disclosed the alleged trade secrets or other proprietary information, of any such individual’s current or former employer. Litigation may be necessary to defend against these claims. Any litigation or the threat of litigation may adversely affect our ability to hire employees or engage consultants and contractors. A loss of key personnel or their work product could hamper or prevent us from developing and commercializing products and product candidates, which could harm our business.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29" w:name="page30"/>
    <w:bookmarkEnd w:id="29"/>
    <w:p>
      <w:pPr>
        <w:jc w:val="both"/>
        <w:ind w:left="8" w:firstLine="276"/>
        <w:spacing w:after="0" w:line="265" w:lineRule="auto"/>
        <w:rPr>
          <w:sz w:val="20"/>
          <w:szCs w:val="20"/>
          <w:color w:val="auto"/>
        </w:rPr>
      </w:pPr>
      <w:r>
        <w:rPr>
          <w:rFonts w:ascii="Times New Roman" w:cs="Times New Roman" w:eastAsia="Times New Roman" w:hAnsi="Times New Roman"/>
          <w:sz w:val="15"/>
          <w:szCs w:val="15"/>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develops and/or reduces to practice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Any of the foregoing could harm our competitive position, business, financial condition, results of operations and prospects.</w:t>
      </w:r>
    </w:p>
    <w:p>
      <w:pPr>
        <w:spacing w:after="0" w:line="153" w:lineRule="exact"/>
        <w:rPr>
          <w:sz w:val="20"/>
          <w:szCs w:val="20"/>
          <w:color w:val="auto"/>
        </w:rPr>
      </w:pPr>
    </w:p>
    <w:p>
      <w:pPr>
        <w:jc w:val="both"/>
        <w:ind w:left="8" w:firstLine="311"/>
        <w:spacing w:after="0" w:line="268" w:lineRule="auto"/>
        <w:rPr>
          <w:sz w:val="20"/>
          <w:szCs w:val="20"/>
          <w:color w:val="auto"/>
        </w:rPr>
      </w:pPr>
      <w:r>
        <w:rPr>
          <w:rFonts w:ascii="Times New Roman" w:cs="Times New Roman" w:eastAsia="Times New Roman" w:hAnsi="Times New Roman"/>
          <w:sz w:val="15"/>
          <w:szCs w:val="15"/>
          <w:color w:val="auto"/>
        </w:rPr>
        <w:t>Accordingly, if we fail in prosecuting or defending any such claims, we may be required to pay monetary damages, and we may also lose valuable intellectual property rights or personnel, which could harm our competitive position and prospects. Such intellectual property rights could be awarded to a third-party, and we could be required to obtain a license from such third-party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We may become involved in lawsuits to protect or enforce our intellectual property, which could be expensive, time-consuming and unsuccessful.</w:t>
      </w:r>
    </w:p>
    <w:p>
      <w:pPr>
        <w:spacing w:after="0" w:line="200" w:lineRule="exact"/>
        <w:rPr>
          <w:sz w:val="20"/>
          <w:szCs w:val="20"/>
          <w:color w:val="auto"/>
        </w:rPr>
      </w:pPr>
    </w:p>
    <w:p>
      <w:pPr>
        <w:jc w:val="both"/>
        <w:ind w:left="8" w:right="20" w:firstLine="276"/>
        <w:spacing w:after="0" w:line="267" w:lineRule="auto"/>
        <w:rPr>
          <w:sz w:val="20"/>
          <w:szCs w:val="20"/>
          <w:color w:val="auto"/>
        </w:rPr>
      </w:pPr>
      <w:r>
        <w:rPr>
          <w:rFonts w:ascii="Times New Roman" w:cs="Times New Roman" w:eastAsia="Times New Roman" w:hAnsi="Times New Roman"/>
          <w:sz w:val="15"/>
          <w:szCs w:val="15"/>
          <w:color w:val="auto"/>
        </w:rPr>
        <w:t>Third parties, including our competitors, could be infringing, misappropriating or otherwise violating our owned and licensed trademarks, trade secrets or other intellectual property rights. Monitoring unauthorized use of our intellectual property is difficult, time-consuming and costly. The steps we have taken to protect our proprietary rights may not be adequate to enforce our rights against infringement, misappropriation or other violation of our intellectual property. We may not be able to detect unauthorized use of, or take appropriate steps to enforce, our intellectual property rights. Any inability to meaningfully enforce our intellectual property rights could harm our ability to compete and reduce demand for our games.</w:t>
      </w:r>
    </w:p>
    <w:p>
      <w:pPr>
        <w:spacing w:after="0" w:line="338" w:lineRule="exact"/>
        <w:rPr>
          <w:sz w:val="20"/>
          <w:szCs w:val="20"/>
          <w:color w:val="auto"/>
        </w:rPr>
      </w:pPr>
    </w:p>
    <w:p>
      <w:pPr>
        <w:jc w:val="both"/>
        <w:ind w:left="8" w:right="20" w:firstLine="276"/>
        <w:spacing w:after="0" w:line="292" w:lineRule="auto"/>
        <w:rPr>
          <w:sz w:val="20"/>
          <w:szCs w:val="20"/>
          <w:color w:val="auto"/>
        </w:rPr>
      </w:pPr>
      <w:r>
        <w:rPr>
          <w:rFonts w:ascii="Times New Roman" w:cs="Times New Roman" w:eastAsia="Times New Roman" w:hAnsi="Times New Roman"/>
          <w:sz w:val="15"/>
          <w:szCs w:val="15"/>
          <w:color w:val="auto"/>
        </w:rPr>
        <w:t>In the future, we may make claims of infringement or misappropriation against third parties, or make claims that third-party intellectual property rights are invalid or unenforceable. These claims could:</w:t>
      </w:r>
    </w:p>
    <w:p>
      <w:pPr>
        <w:spacing w:after="0" w:line="133" w:lineRule="exact"/>
        <w:rPr>
          <w:sz w:val="20"/>
          <w:szCs w:val="20"/>
          <w:color w:val="auto"/>
        </w:rPr>
      </w:pPr>
    </w:p>
    <w:p>
      <w:pPr>
        <w:ind w:left="268" w:hanging="268"/>
        <w:spacing w:after="0"/>
        <w:tabs>
          <w:tab w:leader="none" w:pos="268"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cause us to incur greater costs and expenses in the protection of our intellectual property;</w:t>
      </w:r>
    </w:p>
    <w:p>
      <w:pPr>
        <w:spacing w:after="0" w:line="196" w:lineRule="exact"/>
        <w:rPr>
          <w:rFonts w:ascii="Times New Roman" w:cs="Times New Roman" w:eastAsia="Times New Roman" w:hAnsi="Times New Roman"/>
          <w:sz w:val="15"/>
          <w:szCs w:val="15"/>
          <w:color w:val="auto"/>
        </w:rPr>
      </w:pPr>
    </w:p>
    <w:p>
      <w:pPr>
        <w:ind w:left="268" w:hanging="268"/>
        <w:spacing w:after="0" w:line="292" w:lineRule="auto"/>
        <w:tabs>
          <w:tab w:leader="none" w:pos="268"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potentially negatively impact our intellectual property rights, for example, by causing one or more of our intellectual property rights to be ruled or rendered unenforceable or invalid; or</w:t>
      </w:r>
    </w:p>
    <w:p>
      <w:pPr>
        <w:spacing w:after="0" w:line="133" w:lineRule="exact"/>
        <w:rPr>
          <w:rFonts w:ascii="Times New Roman" w:cs="Times New Roman" w:eastAsia="Times New Roman" w:hAnsi="Times New Roman"/>
          <w:sz w:val="15"/>
          <w:szCs w:val="15"/>
          <w:color w:val="auto"/>
        </w:rPr>
      </w:pPr>
    </w:p>
    <w:p>
      <w:pPr>
        <w:jc w:val="both"/>
        <w:ind w:left="268" w:right="20" w:hanging="268"/>
        <w:spacing w:after="0" w:line="268" w:lineRule="auto"/>
        <w:tabs>
          <w:tab w:leader="none" w:pos="268"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divert our technical personnel’s or management’s attention and our resources. In any lawsuit we bring to enforce our intellectual property rights, a court may refuse to stop the other party from using the technology at issue on grounds that our intellectual property rights do not cover the technology in question, are not valid, or otherwise not enforceable against such other party. Further, in such proceedings, the defendant could counterclaim that our intellectual property is invalid or unenforceable and the court may agree, in which case we could lose valuable intellectual property rights. The outcome in any such lawsuit is unpredictable.</w:t>
      </w:r>
    </w:p>
    <w:p>
      <w:pPr>
        <w:spacing w:after="0" w:line="151" w:lineRule="exact"/>
        <w:rPr>
          <w:sz w:val="20"/>
          <w:szCs w:val="20"/>
          <w:color w:val="auto"/>
        </w:rPr>
      </w:pPr>
    </w:p>
    <w:p>
      <w:pPr>
        <w:jc w:val="both"/>
        <w:ind w:left="8" w:firstLine="276"/>
        <w:spacing w:after="0" w:line="260" w:lineRule="auto"/>
        <w:rPr>
          <w:sz w:val="20"/>
          <w:szCs w:val="20"/>
          <w:color w:val="auto"/>
        </w:rPr>
      </w:pPr>
      <w:r>
        <w:rPr>
          <w:rFonts w:ascii="Times New Roman" w:cs="Times New Roman" w:eastAsia="Times New Roman" w:hAnsi="Times New Roman"/>
          <w:sz w:val="15"/>
          <w:szCs w:val="15"/>
          <w:color w:val="auto"/>
        </w:rPr>
        <w:t>Litigation or other legal proceedings relating to intellectual property claims, even if resolved in our favor,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Class A common stock or cause reputational harm.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intellectual property proceedings could harm our ability to compete in the marketplace. In addition, because of the substantial amount of discovery required in connection with intellectual property litigation, there is a risk that some of our confidential information or trade secrets could be compromised by disclosure during this type of litigation. Any of the foregoing could harm our competitive position, business, financial condition, results of operations and prospects. For more information, see Item 3 of Part I, “Legal Proceedings.”</w:t>
      </w:r>
    </w:p>
    <w:p>
      <w:pPr>
        <w:spacing w:after="0" w:line="1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5264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9"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5"/>
          <w:szCs w:val="15"/>
          <w:b w:val="1"/>
          <w:bCs w:val="1"/>
          <w:i w:val="1"/>
          <w:iCs w:val="1"/>
          <w:color w:val="auto"/>
        </w:rPr>
        <w:t>We or our licensors may not be able to enforce our intellectual property rights throughout the world.</w:t>
      </w:r>
    </w:p>
    <w:p>
      <w:pPr>
        <w:spacing w:after="0" w:line="200" w:lineRule="exact"/>
        <w:rPr>
          <w:sz w:val="20"/>
          <w:szCs w:val="20"/>
          <w:color w:val="auto"/>
        </w:rPr>
      </w:pPr>
    </w:p>
    <w:p>
      <w:pPr>
        <w:jc w:val="both"/>
        <w:ind w:firstLine="276"/>
        <w:spacing w:after="0" w:line="259" w:lineRule="auto"/>
        <w:rPr>
          <w:sz w:val="20"/>
          <w:szCs w:val="20"/>
          <w:color w:val="auto"/>
        </w:rPr>
      </w:pPr>
      <w:r>
        <w:rPr>
          <w:rFonts w:ascii="Times New Roman" w:cs="Times New Roman" w:eastAsia="Times New Roman" w:hAnsi="Times New Roman"/>
          <w:sz w:val="15"/>
          <w:szCs w:val="15"/>
          <w:color w:val="auto"/>
        </w:rPr>
        <w:t>We or our licensors may be required to protect our proprietary technology and content in an increasing number of jurisdictions, a process that is expensive and may not be successful, or which we or our licensors may not pursue in every location due to costs, complexities or other reasons. Filing, prosecuting, maintaining, defending, and enforcing our owned or in-licensed intellectual property rights in all jurisdictions throughout the world would be prohibitively expensive, and our intellectual property rights in some jurisdictions outside the United States may be less extensive than those in the United States. Competitors may use our technologies in jurisdictions where we have not obtained intellectual property protection to develop their own games and, further, may export otherwise infringing, misappropriating, or otherwise violating games to territories where we have intellectual property protection, but enforcement is not as strong as that in the United States. These games may compete with our games, and our intellectual property rights may not be effective or sufficient to prevent such competition. In addition, the laws of some foreign jurisdictions do not protect proprietary rights to the same extent as the laws of the United States, and many companies have encountered significant challenges in establishing and enforcing their proprietary rights outside of the United States. These challenges can be caused by the absence or inconsistency of the application of rules and methods for the establishment and enforcement of intellectual property rights outside of the United States. In addition, the legal systems of some jurisdictions, particularly developing countries, do not favor the enforcement of intellectual property protection. This could make it difficult for us to stop the infringement, misappropriation or other violation of our intellectual property rights. Accordingly, we or our licensors may choose not to seek protection in certain jurisdictions, and we will not have the benefit of protection in such jurisdictions. Proceedings to enforce our intellectual property rights in foreign jurisdictions could result in substantial costs and divert our efforts and attention from other aspects of our business. Accordingly, our or our licensors’ efforts to protect our intellectual property rights in such jurisdictions may be inadequate. In addition, changes in the law and legal decisions by courts in the United States and foreign jurisdictions may affect our ability to obtain adequate protection for our games and other technologies and the enforcement of intellectual property rights. Any of the foregoing could harm our competitive position, business, financial condition, results of operations and prospects.</w:t>
      </w:r>
    </w:p>
    <w:p>
      <w:pPr>
        <w:spacing w:after="0" w:line="15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b w:val="1"/>
          <w:bCs w:val="1"/>
          <w:i w:val="1"/>
          <w:iCs w:val="1"/>
          <w:color w:val="auto"/>
        </w:rPr>
        <w:t>If our trademarks and trade names are not adequately protected, we may not be able to build name recognition in our markets of interest and our competitive position may be harmed.</w:t>
      </w:r>
    </w:p>
    <w:p>
      <w:pPr>
        <w:spacing w:after="0" w:line="363"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color w:val="auto"/>
        </w:rPr>
        <w:t>The registered or unregistered trademarks or trade names that we own or license may be challenged, infringed, circumvented, declared generic, lapsed or determined to be infringing on or dilutive of other trademarks. We may not be able to protect our rights in these trademarks and trade names, which we need in order to build name recognition. In addition, third parties have filed, and may in the future file, for registration of trademarks similar or identical to our owned or licensed trademarks, thereby impeding our ability to build brand identity and possibly leading to market confusion. If such third parties succeed in registering or developing common law rights in such trademarks, and if we are not successful in challenging such third-party rights, we may not be able to use these trademarks to develop brand recognition of our games. In addition, there could be potential trade name or trademark infringement claims brought by owners of other registered trademarks or trademarks that incorporate variations of our registered or unregistered owned or licensed trademarks or trade names. If we are unable to establish or protect our trademarks and trade names, or if we are unable to build name recognition based on our owned or licensed trademarks and trade names, we may not be able to compete effectively, which could harm our competitive position, business, financial condition, results of operations and prospects.</w:t>
      </w:r>
    </w:p>
    <w:p>
      <w:pPr>
        <w:spacing w:after="0" w:line="15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28"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We use open source software in connection with some of the games and services we offer and may continue to use open source software in the future. Some open source software licenses require users who distribute open source software as part of their software to publicly disclose all or part of the source code to such software or make available any derivative works of the open source code on unfavorable terms or at no cost. The terms of various open source licenses have not been interpreted by courts, and there is a risk that such licenses could be construed in a manner that imposes unanticipated conditions or restrictions on our use of the open source software. Were it determined that our use was not in compliance with a particular license, we may be required to release our proprietary source code, pay damages for breach of contract, re-engineer our games or products, discontinue distribution in the event re-engineering cannot be accomplished on a timely basis, or take other remedial action that may divert resources away from our game development efforts, any of which could negatively impact our business.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5"/>
          <w:szCs w:val="15"/>
          <w:b w:val="1"/>
          <w:bCs w:val="1"/>
          <w:color w:val="auto"/>
        </w:rPr>
        <w:t>Risks Related to Legal or Regulatory Compliance</w:t>
      </w:r>
    </w:p>
    <w:p>
      <w:pPr>
        <w:spacing w:after="0" w:line="1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Changing data privacy and security laws and regulations in the jurisdictions in which we or our consumers do business could increase the cost of our operations and subject us to possible sanctions, civil lawsuits (including class action or similar representative lawsuits) and other penalties; such laws and regulations are continually evolving. Our platform and service providers’ actual or perceived failure to comply with these laws and regulations could harm our business financial condition and results of operations.</w:t>
      </w:r>
    </w:p>
    <w:p>
      <w:pPr>
        <w:spacing w:after="0" w:line="144"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We collect, process, store, use and share data in our operations. While our business receives limited, if any, personal information of our end users from our platform providers, we may elect to collect such information in the future. Our business and the business of our platform providers are therefore subject to a number of federal, state, local and foreign laws, regulations, regulatory codes and guidelines governing data privacy, data protection and security, including with respect to the collection, storage, use, processing, transmission, sharing and protection of personal information. Such laws, regulations, regulatory codes and guidelines may be inconsistent across jurisdictions or conflict with other rules.</w:t>
      </w:r>
    </w:p>
    <w:p>
      <w:pPr>
        <w:spacing w:after="0" w:line="151" w:lineRule="exact"/>
        <w:rPr>
          <w:sz w:val="20"/>
          <w:szCs w:val="20"/>
          <w:color w:val="auto"/>
        </w:rPr>
      </w:pPr>
    </w:p>
    <w:p>
      <w:pPr>
        <w:jc w:val="both"/>
        <w:ind w:firstLine="276"/>
        <w:spacing w:after="0" w:line="258" w:lineRule="auto"/>
        <w:rPr>
          <w:sz w:val="20"/>
          <w:szCs w:val="20"/>
          <w:color w:val="auto"/>
        </w:rPr>
      </w:pPr>
      <w:r>
        <w:rPr>
          <w:rFonts w:ascii="Times New Roman" w:cs="Times New Roman" w:eastAsia="Times New Roman" w:hAnsi="Times New Roman"/>
          <w:sz w:val="15"/>
          <w:szCs w:val="15"/>
          <w:color w:val="auto"/>
        </w:rPr>
        <w:t>The legislative and regulatory landscapes for data privacy and security continue to evolve in jurisdictions worldwide, with an increasing focus on privacy and data protection issues with the potential to affect our business. In the United States, such privacy and data security laws and regulations include federal laws and regulations like the federal Controlling the Assault of Non-Solicited Pornography and Marketing Act, the Telephone Consumer Protection Act, the Do-Not-Call Implementation Act, and rules and regulations promulgated under the authority of the Federal Trade Commission and state laws like the California Consumer Privacy Act (“CCPA”) and the varying data breach notification laws that have been enacted in all 50 U.S. states and the District of Columbia. The CCPA, which became effective on January 1, 2020 and became enforceable by the California Attorney General on July 1, 2020, along with related regulations that came into force on August 14, 2020, provides additional individual privacy rights for California residents and places increased data privacy and security obligations on entities handling certain personal information of California residents and households. Among other things, the CCPA expands rights related to such individual’s personal information, including the right to access and require deletion of their personal information, opt out of certain personal information sharing, and receive detailed information about how their personal information is collected, used, and shared by covered business. Many of the CCPA’s requirements as applied to personal information obtained in a business to business context, as well as personal information of a business’s personnel and related individuals, were subject to a moratorium that expired on January 1, 2023. The CCPA provides for civil penalties for violations, as well as a private right of action and statutory damages for security breaches that may increase security breach litigation. The effects of the CCPA are significant and have required, and could continue to require, us to modify our data collection or processing practices and policies and to incur substantial costs and expenses in an effort to comply. Some observers have noted that the CCPA could mark the beginning of a trend toward more stringent state privacy legislation in the U.S., which could increase our potential liability and adversely affect our business. Further, in November 2020, California voters passed the California Privacy Rights Act (“CPRA”). The CPRA, which came into effect in most material respects on January 1, 2023 with a one-year look back period, significantly amended and expanded existing CCPA requirements, including, among other things, by introducing additional obligations such as data minimization and storage limitations on the sharing of personal information for cross on text behavioral advertising and on the use of “sensitive” personal information, granting additional rights to consumers, such as correction of personal information and additional opt-out rights, and creating a new entity, the California Privacy Protection Agency, to implement and enforce the law and impose administrative fines. There currently are a number of additional proposals related to data privacy or security pending before federal, state, and foreign legislative and regulatory bodies, including in a number of U.S. states considering comprehensive consumer protection laws. States such as Virginia, Colorado, Utah and Connecticut have passed comprehensive data privacy laws that have become effective, or will become effective in the near future. Such legislation may add complexity, variation in requirements, restrictions and potential legal risk, require additional investment in resources to compliance programs, and could impact strategies and availability of previously useful data and could result in increased compliance costs and/or changes in business practices and policies.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32" w:name="page33"/>
    <w:bookmarkEnd w:id="32"/>
    <w:p>
      <w:pPr>
        <w:jc w:val="both"/>
        <w:ind w:firstLine="276"/>
        <w:spacing w:after="0" w:line="258" w:lineRule="auto"/>
        <w:rPr>
          <w:sz w:val="20"/>
          <w:szCs w:val="20"/>
          <w:color w:val="auto"/>
        </w:rPr>
      </w:pPr>
      <w:r>
        <w:rPr>
          <w:rFonts w:ascii="Times New Roman" w:cs="Times New Roman" w:eastAsia="Times New Roman" w:hAnsi="Times New Roman"/>
          <w:sz w:val="15"/>
          <w:szCs w:val="15"/>
          <w:color w:val="auto"/>
        </w:rPr>
        <w:t>Many of the other jurisdictions where we or our customers do business, including the EU, also have restrictive laws and regulations dealing with the processing of personal information. In addition to regulating the processing of personal information within the relevant jurisdictions, these legal requirements often also apply to the processing of personal information outside these jurisdictions, where there is some specified link to the relevant jurisdiction. For example, the European Union’s Regulation (EU) 2016/679 of the European Parliament and of the Council of 27 April 2016 on the protection of natural persons with regard to the processing of personal data and on the free movement of such data, and repealing Directive 95/46/EC (the “General Data Protection Regulation” or “GDPR”) became effective in May 2018, imposes strict requirements on controllers and processors of personal data in the European Economic Area (“EEA”), including, for example, higher standards for obtaining consent from individuals to process their personal data, more robust disclosures to individuals and a strengthened individual data rights regime, greater control for data subjects (including the “right to be forgotten” and data portability) and shortened timelines for data breach notifications. The GDPR created new compliance obligations applicable to our business and our platform and service providers, which could require us to self-determine how to interpret and implement these obligations, change our business practices and expose us to lawsuits (including class action or similar representative lawsuits) by consumers or consumer organizations for alleged breach of data protection laws. Failure to comply with the requirements of GDPR may result in significant fines of up to €20,000,000 or up to 4% of the total worldwide annual turnover of the preceding financial year, whichever is higher, and other administrative penalties. The United Kingdom operates a separate but similar regime to the European Union with which we will have to comply and that allows for fines of up to the greater of £17.5 million or 4% of the total worldwide annual turn over of the preceding financial year. Further, beginning January 1, 2021, we have been required to comply with the GDPR and also the United Kingdom GDPR (“UK GDPR”), which, together with the amended United Kingdom Data Protection Act 2018, retains the GDPR in United Kingdom national law. The relationship between the United Kingdom and the European Union in relation to certain aspects of data protection law remains unclear, and it is unclear how the United Kingdom’s data protection laws and regulations will develop in the medium to longer term, and how data transfers to and from the United Kingdom will be regulated in the long term. For example, while the EU Commission has adopted an adequacy decision in favor of the United Kingdom, enabling data transfers from European Union member states to the United Kingdom without additional safeguards, the decision will automatically expire in June 2025 unless the EU Commission re-assesses and renews/extends it. These changes may lead to additional costs and increase our overall risk exposure.</w:t>
      </w:r>
    </w:p>
    <w:p>
      <w:pPr>
        <w:spacing w:after="0" w:line="348" w:lineRule="exact"/>
        <w:rPr>
          <w:sz w:val="20"/>
          <w:szCs w:val="20"/>
          <w:color w:val="auto"/>
        </w:rPr>
      </w:pPr>
    </w:p>
    <w:p>
      <w:pPr>
        <w:jc w:val="both"/>
        <w:ind w:firstLine="276"/>
        <w:spacing w:after="0" w:line="259" w:lineRule="auto"/>
        <w:rPr>
          <w:sz w:val="20"/>
          <w:szCs w:val="20"/>
          <w:color w:val="auto"/>
        </w:rPr>
      </w:pPr>
      <w:r>
        <w:rPr>
          <w:rFonts w:ascii="Times New Roman" w:cs="Times New Roman" w:eastAsia="Times New Roman" w:hAnsi="Times New Roman"/>
          <w:sz w:val="15"/>
          <w:szCs w:val="15"/>
          <w:color w:val="auto"/>
        </w:rPr>
        <w:t>Recent legal developments also have created compliance uncertainty regarding the transfer of personal information from the U.K. and EEA to certain locations outside of the U.K. and EEA where we or our clients operate or conduct business. In July 2020, the Court of Justice of the European Union (“CJEU”) ruled the EU-US Privacy Shield Framework, one of the primary safeguards that allowed U.S. companies to import personal data from the EU to the U.S., was invalid. The CJEU’s decision also raised questions about whether the most commonly used mechanism for cross-border transfers of personal data out of the EEA, namely, the European Commission’s Standard Contractual Clauses, can lawfully be used for personal data transfers from the EU to the U.S. or other third countries the European Commission has determined do not provide adequate data protections under their laws. On June 4, 2021, the European Commission published new Standard Contractual Clauses (which became effective on June 27, 2021), which impose on companies additional obligations relating to data transfers, including in the transfer, to implement additional security measures and update internal privacy practices. If we elect to rely on the new Standard Contractual Clauses for applicable data transfers, we may be required to incur significant time and resources to update our contractual arrangements and to comply with new obligations. If we are unable to implement a valid mechanism for personal data transfers from the EEA, we could face increased exposure to regulatory actions, substantial fines and injunctions against processing personal data from the EEA. As discussed above, these same considerations must currently be taken into account with regard to the UK GDPR as well. Additionally, other countries outside of the EU have enacted or are considering enacting similar cross order data transfer restrictions and laws requiring local data residency, which could increase the cost and complexity of delivering our services and operating our business. The type of challenges we face in the EU and U.K. will likely also arise in other jurisdictions that adopt regulatory frameworks of equivalent complexity. Accordingly, any actual or perceived failure to comply with these laws and regulations could harm our business, financial condition and results of operations.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33" w:name="page34"/>
    <w:bookmarkEnd w:id="33"/>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business and products are subject to potential legislation and other governmental restrictions. The adoption of such proposed legislation and restrictions could limit the retail market for our products.</w:t>
      </w:r>
    </w:p>
    <w:p>
      <w:pPr>
        <w:spacing w:after="0" w:line="128"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Several proposals have been made for federal legislation to regulate our industry. Such proposals seek to prohibit the sale of products containing certain content included in some of our games. If any such proposals are enacted into law, it may limit the potential market for some of our games in the United States, and adversely affect our business, financial condition and operating results. Other countries have adopted laws regulating content both in packaged games and those transmitted over the Internet that are stricter than current U.S. law. While no such laws are currently in place in the United States, the adoption into law of such legislation in jurisdictions in which we do significant business could severely limit the retail market for some of our games.</w:t>
      </w:r>
    </w:p>
    <w:p>
      <w:pPr>
        <w:spacing w:after="0" w:line="153"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On August 30, 2021, China’s National Press and Publication Administration announced a new regulation that required online gaming companies limit their services provided to minors to one hour per day on Fridays, Saturdays, Sundays and public holidays. We continue to assess the impact this new regulation may have on our results of operations however, at this time, the impact of this new regulation remains uncertain.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government regulations relating to the Internet could have a negative impact on our business.</w:t>
      </w:r>
    </w:p>
    <w:p>
      <w:pPr>
        <w:spacing w:after="0" w:line="200"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We rely on our consumers’ access to significant levels of Internet bandwidth for the sale and digital delivery of our content and the functionality of our games with online features. Changes in laws or regulations that adversely affect the growth, popularity, or use of the Internet, including laws affecting “net neutrality” or measures enacted in certain jurisdictions as a result of the COVID-19 pandemic, could decrease the demand for our products and services or increase our cost of doing business.</w:t>
      </w:r>
    </w:p>
    <w:p>
      <w:pPr>
        <w:spacing w:after="0" w:line="146"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Although certain jurisdictions have implemented laws and regulations intended to prevent Internet service providers from discriminating against particular types of legal traffic on their networks, other jurisdictions may lack such laws and regulations or repeal existing laws or regulations. For example, on December 14, 2017, the Federal Communications Commission voted to repeal net neutrality regulations in the United States, and, following that decision, several states enacted net neutrality regulations. Given the uncertainty around these rules, including changing interpretations, amendments or repeal, coupled with the potentially significant political and economic power of local Internet service providers and the relatively significant level of Internet bandwidth access our products and services require, we could experience discriminatory or anti-competitive practices that could impede our growth, cause us to incur additional expenses, or otherwise negatively affect our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may be involved in legal proceedings that have a negative impact on our business.</w:t>
      </w:r>
    </w:p>
    <w:p>
      <w:pPr>
        <w:spacing w:after="0" w:line="200"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From time to time, we have been, and in the future may be, involved in claims, suits, investigations, audits and proceedings arising in the ordinary course of our business, including with respect to labor and employment, intellectual property, competition and antitrust, regulatory, tax, privacy and/or commercial matters. In addition, negative consumer sentiment about our business practices may result in inquiries or investigations from regulatory agencies and consumer groups, as well as litigation.</w:t>
      </w:r>
    </w:p>
    <w:p>
      <w:pPr>
        <w:spacing w:after="0" w:line="146" w:lineRule="exact"/>
        <w:rPr>
          <w:sz w:val="20"/>
          <w:szCs w:val="20"/>
          <w:color w:val="auto"/>
        </w:rPr>
      </w:pPr>
    </w:p>
    <w:p>
      <w:pPr>
        <w:jc w:val="both"/>
        <w:ind w:right="20" w:firstLine="276"/>
        <w:spacing w:after="0" w:line="268" w:lineRule="auto"/>
        <w:rPr>
          <w:sz w:val="20"/>
          <w:szCs w:val="20"/>
          <w:color w:val="auto"/>
        </w:rPr>
      </w:pPr>
      <w:r>
        <w:rPr>
          <w:rFonts w:ascii="Times New Roman" w:cs="Times New Roman" w:eastAsia="Times New Roman" w:hAnsi="Times New Roman"/>
          <w:sz w:val="15"/>
          <w:szCs w:val="15"/>
          <w:color w:val="auto"/>
        </w:rPr>
        <w:t>Claims, suits, investigations, audits and proceedings are inherently difficult to predict, and their results are subject to significant uncertainties, many of which are outside of our control. Regardless of the outcome, such legal proceedings can have a negative impact on us due to reputational harm, legal costs, diversion of management resources and other factors. It is also possible that a resolution of one or more such proceedings could result in substantial settlements, judgments, fines or penalties, injunctions, criminal sanctions, consent decrees or orders preventing us from offering certain features, functionalities, products or services, requiring us to change our development process or other business practices.</w:t>
      </w:r>
    </w:p>
    <w:p>
      <w:pPr>
        <w:spacing w:after="0" w:line="151"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There is also inherent uncertainty in determining reserves for these matters. Significant judgment is required in the analysis of these matters, including assessing the probability of potential outcomes and determining whether a potential exposure can be reasonably estimated. In making these determinations, we, in consultation with outside counsel, examine the relevant facts and circumstances on a quarterly basis assuming, as applicable, a combination of settlement and litigated outcomes and strategies. Further, it may take time to develop factors on which reasonable judgments and estimates can be based.</w:t>
      </w:r>
    </w:p>
    <w:p>
      <w:pPr>
        <w:spacing w:after="0" w:line="151"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We regard our software as proprietary and rely on a variety of methods, including a combination of copyright, patent, trademark and trade secret laws, and employee and third-party non-disclosure and invention assignment agreements, to protect our proprietary rights. We own or license various copyrights, patents, trademarks and trade secrets. The process of registering and protecting these rights in various jurisdictions is expensive and time-consuming. Further, we are aware that some unauthorized copying and piracy occurs, and if a significantly greater amount of unauthorized copying or piracy of our software products were to occur, it could negatively impact our business. We also cannot be certain that existing intellectual property laws will provide adequate protection for our products in connection with emerging technologies or that we will be able to effectively protect our intellectual property through litigation and other means.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5"/>
          <w:szCs w:val="15"/>
          <w:b w:val="1"/>
          <w:bCs w:val="1"/>
          <w:color w:val="auto"/>
        </w:rPr>
        <w:t>Financial and Economic Risks</w:t>
      </w:r>
    </w:p>
    <w:p>
      <w:pPr>
        <w:spacing w:after="0" w:line="19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general economic conditions decline, demand for our games could decline. In addition, our business is vulnerable to changing economic conditions and to other factors that adversely affect the gaming industry, which could negatively impact our business.</w:t>
      </w:r>
    </w:p>
    <w:p>
      <w:pPr>
        <w:spacing w:after="0" w:line="128"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color w:val="auto"/>
        </w:rPr>
        <w:t>In-game purchases involve discretionary spending on the part of consumers. Consumers are generally more willing to make discretionary purchases, including purchases of games and services like ours, during periods in which favorable economic conditions prevail. As a result, our games may be sensitive to general economic conditions and economic cycles. A reduction or shift in domestic or international consumer spending could result in an increase in our marketing and promotional expenses, in an effort to offset that reduction, and could negatively impact our business. Discretionary spending on entertainment activities could further decline for reasons beyond our control, such as natural disasters, acts of war, pandemics, terrorism, transportation disruptions or the results of adverse weather conditions. Additionally, disposable income available for discretionary spending may be reduced by unemployment, higher housing, energy, interest or other costs, or where the actual or perceived wealth of customers has decreased because of circumstances such as lower residential real estate values, increased foreclosure rates, inflation, increased tax rates or other economic disruptions. Any prolonged or significant decrease in consumer spending on entertainment activities could result in reduced play levels and decreased spending on our games, and could adversely impact our results of operations, cash flows and financial condition.</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 economic factors, domestically and internationally, may adversely affect our business, financial condition, and results of operations.</w:t>
      </w:r>
    </w:p>
    <w:p>
      <w:pPr>
        <w:spacing w:after="0" w:line="200"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Higher energy and gasoline costs, inflation, levels of unemployment, healthcare costs, consumer debt levels, foreign-currency exchange rates, unsettled financial markets, weaknesses in housing and real estate markets, reduced consumer confidence, changes and uncertainties related to government fiscal and tax policies including changes in tax rates, duties, tariffs, or other restrictions, sovereign debt crises, and other economic factors could adversely affect demand for our products, require a change in product mix, or impact the cost of or ability to purchase inventory. Additionally, actions in various countries, particularly China and the United States, have created uncertainty with respect to tariff impacts on the costs of some of our merchandise. The degree of our exposure is dependent on (among other things) the type of goods, rates imposed, and timing of the tariffs. The impact to our business, including net sales and gross margin, will be influenced in part by merchandising and pricing strategies in response to potential cost increases by us and our competitors. While these potential impacts are uncertain, they could have an adverse affect on our business, financial condition and results of operations.</w:t>
      </w:r>
    </w:p>
    <w:p>
      <w:pPr>
        <w:spacing w:after="0" w:line="156"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Prices of certain commodities, including gasoline and consumable goods used in manufacturing and our warehouse retail operations, are historically volatile and are subject to fluctuations arising from changes in domestic and international supply and demand, labor costs, competition, market speculation, government regulations, taxes and periodic delays in delivery. Rapid and significant changes in commodity prices and our ability and desire to pass them through to our customers may affect our sales and profit margins. These factors could also increase our merchandise costs and selling, general and administrative expenses, and otherwise adversely affect our operations and financial results. General economic conditions can also be affected by changes to the U.S.’s participation in, withdrawal out of, renegotiation of certain international trade agreements or other major trade related issues, including the non-renewal of expiring favorable tariffs granted to developing countries, tariff quotas and retaliatory tariffs, trade sanctions, new or onerous trade restrictions, embargoes and other stringent government controls.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5"/>
          <w:szCs w:val="15"/>
          <w:b w:val="1"/>
          <w:bCs w:val="1"/>
          <w:i w:val="1"/>
          <w:iCs w:val="1"/>
          <w:color w:val="auto"/>
        </w:rPr>
        <w:t>Tariffs may cause cost increases and disruptions in technical R&amp;D operations.</w:t>
      </w:r>
    </w:p>
    <w:p>
      <w:pPr>
        <w:spacing w:after="0" w:line="200" w:lineRule="exact"/>
        <w:rPr>
          <w:sz w:val="20"/>
          <w:szCs w:val="20"/>
          <w:color w:val="auto"/>
        </w:rPr>
      </w:pPr>
    </w:p>
    <w:p>
      <w:pPr>
        <w:jc w:val="both"/>
        <w:ind w:firstLine="276"/>
        <w:spacing w:after="0" w:line="264" w:lineRule="auto"/>
        <w:rPr>
          <w:sz w:val="20"/>
          <w:szCs w:val="20"/>
          <w:color w:val="auto"/>
        </w:rPr>
      </w:pPr>
      <w:r>
        <w:rPr>
          <w:rFonts w:ascii="Times New Roman" w:cs="Times New Roman" w:eastAsia="Times New Roman" w:hAnsi="Times New Roman"/>
          <w:sz w:val="15"/>
          <w:szCs w:val="15"/>
          <w:color w:val="auto"/>
        </w:rPr>
        <w:t>We rely substantially on third-party providers located in China and Europe to support our technical research and development initiatives. As a result, a significant portion of our R&amp;D functions, including critical technical development and software engineering, are outsourced internationally. Recent and potential future trade policy changes, including the imposition or extension of tariffs on imported goods and services from China and Europe pose a material risk to our cost structure. Such tariffs may increase the costs of components, services, and skilled labor sourced from these regions, potentially resulting in higher operating expenses and reduced profit margins. In addition, tariff-induced supply chain disruptions could delay project timelines and necessitate a re-evaluation of our global outsourcing strategy, thereby adversely affecting our competitive position and financial performance.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Changes in tax laws or tax rulings, or the examination of our tax positions, could materially affect our financial condition and results of operations.</w:t>
      </w:r>
    </w:p>
    <w:p>
      <w:pPr>
        <w:spacing w:after="0" w:line="200"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the tax benefits that we intend to eventually take advantage of could be undermined due to changing tax laws, both in the United States and in other applicable jurisdictions. In addition, the taxing authorities in the United States and other jurisdictions where we do business regularly examine income and other tax returns and we expect that they may examine our income and other tax returns. The ultimate outcome of these examinations cannot be predicted with certainty.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Tax law or tax rate changes could affect our effective tax rate and future profitability.</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Our effective tax rate was 25.7% for the year ended December 31, 2024 and 20.9% for the year ended December 31, 2023. In general, changes in applicable U.S. federal and state and foreign tax laws and regulations, or their interpretation and application, including the possibility of retroactive effect, could affect our tax expense. In addition, taxing authorities in many jurisdictions in which we operate may propose changes to their tax laws and regulations. These potential changes could have a material impact on our effective tax rate, long-term tax planning and financial results.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The realization of the Company’s deferred tax assets is contingent upon the Company’s upcoming new game releases to generate sufficient taxable income.</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The Company assesses the need for valuation allowances against deferred tax assets based on estimates and judgements about future taxable income. In the event the Company’s game releases are delayed, are ill received, or do not meet the Company’s estimates, the deferred tax assets may not be realizable. As such, the Company may need to record a valuation allowance to reflect the likelihood that the deferred tax assets will not be realized, which could have a material impact on our financial position. See Note 13 - Income Taxes to our audited consolidated financial statements included in this Annual Report.</w:t>
      </w:r>
    </w:p>
    <w:p>
      <w:pPr>
        <w:spacing w:after="0" w:line="14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reported financial results could be significantly impacted by changes in financial accounting standards or by the application of existing or future accounting standards to our business as it evolves.</w:t>
      </w:r>
    </w:p>
    <w:p>
      <w:pPr>
        <w:spacing w:after="0" w:line="128"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Our reported financial results are impacted by the accounting policies promulgated by the SEC and national accounting standards bodies and the methods, estimates and judgments that we use in applying our accounting policies. Policies affecting revenue recognition have affected, and could further significantly affect, the way we report revenues related to our products and services. We recognize a majority of the revenues from video games that include an online service on a deferred basis over an estimated service period for such games. In addition, we defer the cost of revenues of those products. Further, as we increase our DLC and add new features to our online services, our estimate of the service period may change, and we could be required to recognize revenues, and defer related costs, over a shorter or longer period of time. As we enhance, expand and diversify our business and product offerings, the application of existing or future financial accounting standards, particularly those relating to the way we account for revenues and income taxes, could have a significant impact on our reported net revenues, net income and earnings per share under generally accepted accounting principles in the United States in any given period.</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36" w:name="page37"/>
    <w:bookmarkEnd w:id="36"/>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The Company has debt obligations with short term durations that are coming due within one year.</w:t>
      </w:r>
    </w:p>
    <w:p>
      <w:pPr>
        <w:spacing w:after="0" w:line="200" w:lineRule="exact"/>
        <w:rPr>
          <w:sz w:val="20"/>
          <w:szCs w:val="20"/>
          <w:color w:val="auto"/>
        </w:rPr>
      </w:pPr>
    </w:p>
    <w:p>
      <w:pPr>
        <w:jc w:val="both"/>
        <w:ind w:left="8" w:firstLine="276"/>
        <w:spacing w:after="0" w:line="274" w:lineRule="auto"/>
        <w:rPr>
          <w:sz w:val="20"/>
          <w:szCs w:val="20"/>
          <w:color w:val="auto"/>
        </w:rPr>
      </w:pPr>
      <w:r>
        <w:rPr>
          <w:rFonts w:ascii="Times New Roman" w:cs="Times New Roman" w:eastAsia="Times New Roman" w:hAnsi="Times New Roman"/>
          <w:sz w:val="15"/>
          <w:szCs w:val="15"/>
          <w:color w:val="auto"/>
        </w:rPr>
        <w:t xml:space="preserve">We have significant debt obligations coming due within one year. Our current revolving loan has a balance of $3.0 million as of December 31, 2024, and is due for repayment on June 30, 2025. The Company intends to extend the revolving loan and renew our short-term note debt arrangement and faces the risk that we will be unable to. See Note 12 - </w:t>
      </w:r>
      <w:r>
        <w:rPr>
          <w:rFonts w:ascii="Times New Roman" w:cs="Times New Roman" w:eastAsia="Times New Roman" w:hAnsi="Times New Roman"/>
          <w:sz w:val="15"/>
          <w:szCs w:val="15"/>
          <w:i w:val="1"/>
          <w:iCs w:val="1"/>
          <w:color w:val="auto"/>
        </w:rPr>
        <w:t xml:space="preserve">Revolving Loan, Short Term Note and Long-Term Debt </w:t>
      </w:r>
      <w:r>
        <w:rPr>
          <w:rFonts w:ascii="Times New Roman" w:cs="Times New Roman" w:eastAsia="Times New Roman" w:hAnsi="Times New Roman"/>
          <w:sz w:val="15"/>
          <w:szCs w:val="15"/>
          <w:color w:val="auto"/>
        </w:rPr>
        <w:t>to our audited consolidated financial statements included in this Annual Report.</w:t>
      </w:r>
    </w:p>
    <w:p>
      <w:pPr>
        <w:spacing w:after="0" w:line="1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Risks Related to Our Corporate Structure</w:t>
      </w:r>
    </w:p>
    <w:p>
      <w:pPr>
        <w:spacing w:after="0" w:line="196" w:lineRule="exact"/>
        <w:rPr>
          <w:sz w:val="20"/>
          <w:szCs w:val="20"/>
          <w:color w:val="auto"/>
        </w:rPr>
      </w:pPr>
    </w:p>
    <w:p>
      <w:pPr>
        <w:jc w:val="both"/>
        <w:ind w:left="8"/>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are a “controlled company” under the corporate governance rules of Nasdaq and, as a result, qualify for and rely on exemptions from certain corporate governance requirements. Since we elected to rely on the exemptions available to a “controlled company,” you do not have the same protections afforded to stockholders of companies that are subject to such corporate governance requirements.</w:t>
      </w:r>
    </w:p>
    <w:p>
      <w:pPr>
        <w:spacing w:after="0" w:line="144" w:lineRule="exact"/>
        <w:rPr>
          <w:sz w:val="20"/>
          <w:szCs w:val="20"/>
          <w:color w:val="auto"/>
        </w:rPr>
      </w:pPr>
    </w:p>
    <w:p>
      <w:pPr>
        <w:jc w:val="both"/>
        <w:ind w:left="8" w:right="20" w:firstLine="276"/>
        <w:spacing w:after="0" w:line="272" w:lineRule="auto"/>
        <w:rPr>
          <w:sz w:val="20"/>
          <w:szCs w:val="20"/>
          <w:color w:val="auto"/>
        </w:rPr>
      </w:pPr>
      <w:r>
        <w:rPr>
          <w:rFonts w:ascii="Times New Roman" w:cs="Times New Roman" w:eastAsia="Times New Roman" w:hAnsi="Times New Roman"/>
          <w:sz w:val="15"/>
          <w:szCs w:val="15"/>
          <w:color w:val="auto"/>
        </w:rPr>
        <w:t>Our controlling stockholder, Founder, Co-Chief Executive Officer, Chief Strategy Officer and Chairman, Mr. Shi, controls a majority of our outstanding common stock. As a result, we are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corporate governance requirements, including:</w:t>
      </w:r>
    </w:p>
    <w:p>
      <w:pPr>
        <w:spacing w:after="0" w:line="335" w:lineRule="exact"/>
        <w:rPr>
          <w:sz w:val="20"/>
          <w:szCs w:val="20"/>
          <w:color w:val="auto"/>
        </w:rPr>
      </w:pPr>
    </w:p>
    <w:p>
      <w:pPr>
        <w:ind w:left="268" w:hanging="268"/>
        <w:spacing w:after="0"/>
        <w:tabs>
          <w:tab w:leader="none" w:pos="268"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requirement that a majority of its board of directors consist of independent directors;</w:t>
      </w:r>
    </w:p>
    <w:p>
      <w:pPr>
        <w:spacing w:after="0" w:line="196" w:lineRule="exact"/>
        <w:rPr>
          <w:rFonts w:ascii="Times New Roman" w:cs="Times New Roman" w:eastAsia="Times New Roman" w:hAnsi="Times New Roman"/>
          <w:sz w:val="15"/>
          <w:szCs w:val="15"/>
          <w:color w:val="auto"/>
        </w:rPr>
      </w:pPr>
    </w:p>
    <w:p>
      <w:pPr>
        <w:ind w:left="268" w:right="20" w:hanging="268"/>
        <w:spacing w:after="0" w:line="292" w:lineRule="auto"/>
        <w:tabs>
          <w:tab w:leader="none" w:pos="268"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requirement that its director nominations be made, or recommended to the full board of directors, by its independent directors or by a nominations committee that is comprised entirely of independent directors and that it adopts a written charter or board resolution addressing the nominations process; and</w:t>
      </w:r>
    </w:p>
    <w:p>
      <w:pPr>
        <w:spacing w:after="0" w:line="133" w:lineRule="exact"/>
        <w:rPr>
          <w:rFonts w:ascii="Times New Roman" w:cs="Times New Roman" w:eastAsia="Times New Roman" w:hAnsi="Times New Roman"/>
          <w:sz w:val="15"/>
          <w:szCs w:val="15"/>
          <w:color w:val="auto"/>
        </w:rPr>
      </w:pPr>
    </w:p>
    <w:p>
      <w:pPr>
        <w:ind w:left="268" w:right="20" w:hanging="268"/>
        <w:spacing w:after="0" w:line="292" w:lineRule="auto"/>
        <w:tabs>
          <w:tab w:leader="none" w:pos="268"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requirement that it has a compensation committee that is composed entirely of independent directors with a written charter addressing the committee’s purpose and responsibilities.</w:t>
      </w:r>
    </w:p>
    <w:p>
      <w:pPr>
        <w:spacing w:after="0" w:line="133" w:lineRule="exact"/>
        <w:rPr>
          <w:sz w:val="20"/>
          <w:szCs w:val="20"/>
          <w:color w:val="auto"/>
        </w:rPr>
      </w:pPr>
    </w:p>
    <w:p>
      <w:pPr>
        <w:jc w:val="both"/>
        <w:ind w:left="8" w:firstLine="276"/>
        <w:spacing w:after="0" w:line="274" w:lineRule="auto"/>
        <w:rPr>
          <w:sz w:val="20"/>
          <w:szCs w:val="20"/>
          <w:color w:val="auto"/>
        </w:rPr>
      </w:pPr>
      <w:r>
        <w:rPr>
          <w:rFonts w:ascii="Times New Roman" w:cs="Times New Roman" w:eastAsia="Times New Roman" w:hAnsi="Times New Roman"/>
          <w:sz w:val="15"/>
          <w:szCs w:val="15"/>
          <w:color w:val="auto"/>
        </w:rPr>
        <w:t>We elected to rely on these exemptions. As a result, our board of directors does not have a majority of independent directors, our compensation committee does not consist entirely of independent directors and our directors are not nominated or selected by independent directors. Accordingly, you do not have the same protections afforded to stockholders of companies that are subject to all of the corporate governance requirements of the Nasdaq rules.</w:t>
      </w:r>
    </w:p>
    <w:p>
      <w:pPr>
        <w:spacing w:after="0" w:line="142" w:lineRule="exact"/>
        <w:rPr>
          <w:sz w:val="20"/>
          <w:szCs w:val="20"/>
          <w:color w:val="auto"/>
        </w:rPr>
      </w:pPr>
    </w:p>
    <w:p>
      <w:pPr>
        <w:jc w:val="both"/>
        <w:ind w:left="8"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Mr. Shi, our Founder, Co-Chief Executive Officer, Chief Strategy Officer and Chairman, controls us, and his ownership of our common stock prevents you and other stockholders from influencing significant decisions.</w:t>
      </w:r>
    </w:p>
    <w:p>
      <w:pPr>
        <w:spacing w:after="0" w:line="128" w:lineRule="exact"/>
        <w:rPr>
          <w:sz w:val="20"/>
          <w:szCs w:val="20"/>
          <w:color w:val="auto"/>
        </w:rPr>
      </w:pPr>
    </w:p>
    <w:p>
      <w:pPr>
        <w:jc w:val="both"/>
        <w:ind w:left="8" w:firstLine="276"/>
        <w:spacing w:after="0" w:line="265" w:lineRule="auto"/>
        <w:rPr>
          <w:sz w:val="20"/>
          <w:szCs w:val="20"/>
          <w:color w:val="auto"/>
        </w:rPr>
      </w:pPr>
      <w:r>
        <w:rPr>
          <w:rFonts w:ascii="Times New Roman" w:cs="Times New Roman" w:eastAsia="Times New Roman" w:hAnsi="Times New Roman"/>
          <w:sz w:val="15"/>
          <w:szCs w:val="15"/>
          <w:color w:val="auto"/>
        </w:rPr>
        <w:t>Mr. Shi controls shares representing a majority of our combined voting power. As long as Mr. Shi continues to control shares representing a majority of our voting power, he will generally be able to determine the outcome of all corporate actions requiring stockholder approval, including the election and removal of directors (unless supermajority approval of such matter is required by applicable law and our amended and restated certificate of incorporation). In the ordinary course of his business activities, Mr. Shi may engage in activities where his interests may not be the same as, or may conflict with, the interests of our other stockholders. Even if Mr. Shi were to control less than a majority of our voting power, he may be able to influence the outcome of corporate actions so long as he controls a significant portion of our voting power.</w:t>
      </w:r>
    </w:p>
    <w:p>
      <w:pPr>
        <w:spacing w:after="0" w:line="1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5264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5" w:right="319" w:bottom="1440" w:gutter="0" w:footer="0" w:header="0"/>
        </w:sectPr>
      </w:pPr>
    </w:p>
    <w:bookmarkStart w:id="37" w:name="page38"/>
    <w:bookmarkEnd w:id="37"/>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Our stockholders are not able to affect the outcome of any stockholder vote while Mr. Shi controls the majority of our voting power (or, in the case of removal of directors, two-thirds of our voting power). Due to his ownership and rights under our amended and restated certificate of incorporation and our amended and restated bylaws, Mr. Shi controls, subject to applicable law, the composition of our board of directors, which in turn controls all matters affecting us, including, among other things:</w:t>
      </w:r>
    </w:p>
    <w:p>
      <w:pPr>
        <w:spacing w:after="0" w:line="146" w:lineRule="exact"/>
        <w:rPr>
          <w:sz w:val="20"/>
          <w:szCs w:val="20"/>
          <w:color w:val="auto"/>
        </w:rPr>
      </w:pPr>
    </w:p>
    <w:p>
      <w:pPr>
        <w:ind w:left="820" w:right="20" w:hanging="275"/>
        <w:spacing w:after="0" w:line="266" w:lineRule="auto"/>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determination with respect to our business direction and policies, including the appointment and removal of officers and, in the event of a vacancy on our board of directors, additional or replacement directors;</w:t>
      </w:r>
    </w:p>
    <w:p>
      <w:pPr>
        <w:ind w:left="820" w:hanging="275"/>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determinations with respect to mergers, business combinations or dispositions of assets;</w:t>
      </w:r>
    </w:p>
    <w:p>
      <w:pPr>
        <w:spacing w:after="0" w:line="11" w:lineRule="exact"/>
        <w:rPr>
          <w:rFonts w:ascii="Times New Roman" w:cs="Times New Roman" w:eastAsia="Times New Roman" w:hAnsi="Times New Roman"/>
          <w:sz w:val="15"/>
          <w:szCs w:val="15"/>
          <w:color w:val="auto"/>
        </w:rPr>
      </w:pPr>
    </w:p>
    <w:p>
      <w:pPr>
        <w:ind w:left="820" w:hanging="275"/>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determination of our management policies;</w:t>
      </w:r>
    </w:p>
    <w:p>
      <w:pPr>
        <w:spacing w:after="0" w:line="11" w:lineRule="exact"/>
        <w:rPr>
          <w:rFonts w:ascii="Times New Roman" w:cs="Times New Roman" w:eastAsia="Times New Roman" w:hAnsi="Times New Roman"/>
          <w:sz w:val="15"/>
          <w:szCs w:val="15"/>
          <w:color w:val="auto"/>
        </w:rPr>
      </w:pPr>
    </w:p>
    <w:p>
      <w:pPr>
        <w:ind w:left="820" w:hanging="275"/>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determination of the composition of the committees on our board of directors;</w:t>
      </w:r>
    </w:p>
    <w:p>
      <w:pPr>
        <w:spacing w:after="0" w:line="11" w:lineRule="exact"/>
        <w:rPr>
          <w:rFonts w:ascii="Times New Roman" w:cs="Times New Roman" w:eastAsia="Times New Roman" w:hAnsi="Times New Roman"/>
          <w:sz w:val="15"/>
          <w:szCs w:val="15"/>
          <w:color w:val="auto"/>
        </w:rPr>
      </w:pPr>
    </w:p>
    <w:p>
      <w:pPr>
        <w:ind w:left="820" w:hanging="275"/>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financing policy;</w:t>
      </w:r>
    </w:p>
    <w:p>
      <w:pPr>
        <w:spacing w:after="0" w:line="11" w:lineRule="exact"/>
        <w:rPr>
          <w:rFonts w:ascii="Times New Roman" w:cs="Times New Roman" w:eastAsia="Times New Roman" w:hAnsi="Times New Roman"/>
          <w:sz w:val="15"/>
          <w:szCs w:val="15"/>
          <w:color w:val="auto"/>
        </w:rPr>
      </w:pPr>
    </w:p>
    <w:p>
      <w:pPr>
        <w:ind w:left="820" w:hanging="275"/>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compensation and benefit programs and other human resources policy decisions;</w:t>
      </w:r>
    </w:p>
    <w:p>
      <w:pPr>
        <w:spacing w:after="0" w:line="11" w:lineRule="exact"/>
        <w:rPr>
          <w:rFonts w:ascii="Times New Roman" w:cs="Times New Roman" w:eastAsia="Times New Roman" w:hAnsi="Times New Roman"/>
          <w:sz w:val="15"/>
          <w:szCs w:val="15"/>
          <w:color w:val="auto"/>
        </w:rPr>
      </w:pPr>
    </w:p>
    <w:p>
      <w:pPr>
        <w:ind w:left="820" w:hanging="275"/>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to any other agreements that may adversely affect us;</w:t>
      </w:r>
    </w:p>
    <w:p>
      <w:pPr>
        <w:spacing w:after="0" w:line="11" w:lineRule="exact"/>
        <w:rPr>
          <w:rFonts w:ascii="Times New Roman" w:cs="Times New Roman" w:eastAsia="Times New Roman" w:hAnsi="Times New Roman"/>
          <w:sz w:val="15"/>
          <w:szCs w:val="15"/>
          <w:color w:val="auto"/>
        </w:rPr>
      </w:pPr>
    </w:p>
    <w:p>
      <w:pPr>
        <w:ind w:left="820" w:hanging="275"/>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payment of dividends on our common stock; and</w:t>
      </w:r>
    </w:p>
    <w:p>
      <w:pPr>
        <w:spacing w:after="0" w:line="11" w:lineRule="exact"/>
        <w:rPr>
          <w:rFonts w:ascii="Times New Roman" w:cs="Times New Roman" w:eastAsia="Times New Roman" w:hAnsi="Times New Roman"/>
          <w:sz w:val="15"/>
          <w:szCs w:val="15"/>
          <w:color w:val="auto"/>
        </w:rPr>
      </w:pPr>
    </w:p>
    <w:p>
      <w:pPr>
        <w:ind w:left="820" w:hanging="275"/>
        <w:spacing w:after="0"/>
        <w:tabs>
          <w:tab w:leader="none" w:pos="82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determinations with respect to our tax returns.</w:t>
      </w:r>
    </w:p>
    <w:p>
      <w:pPr>
        <w:spacing w:after="0" w:line="182" w:lineRule="exact"/>
        <w:rPr>
          <w:sz w:val="20"/>
          <w:szCs w:val="20"/>
          <w:color w:val="auto"/>
        </w:rPr>
      </w:pPr>
    </w:p>
    <w:p>
      <w:pPr>
        <w:jc w:val="both"/>
        <w:ind w:right="20" w:firstLine="276"/>
        <w:spacing w:after="0" w:line="274" w:lineRule="auto"/>
        <w:rPr>
          <w:sz w:val="20"/>
          <w:szCs w:val="20"/>
          <w:color w:val="auto"/>
        </w:rPr>
      </w:pPr>
      <w:r>
        <w:rPr>
          <w:rFonts w:ascii="Times New Roman" w:cs="Times New Roman" w:eastAsia="Times New Roman" w:hAnsi="Times New Roman"/>
          <w:sz w:val="15"/>
          <w:szCs w:val="15"/>
          <w:color w:val="auto"/>
        </w:rPr>
        <w:t>In addition, the concentration of Mr. Shi’s ownership could also discourage others from making tender offers, which could prevent holders from receiving a premium for their common stock. Because Mr. Shi’s interests may differ from ours or from those of our other stockholders, actions that he takes with respect to us, as our controlling stockholder, may not be favorable to us or to you or our other stockholders.</w:t>
      </w:r>
    </w:p>
    <w:p>
      <w:pPr>
        <w:spacing w:after="0" w:line="14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Mr. Shi, our Founder, Co-Chief Executive Officer, Chief Strategy Officer and Chairman, is a Chinese national. For so long as a Chinese individual continues to exercise majority voting control over us, changes in U.S. and Chinese laws in the future may make it more difficult for us to operate as a publicly traded company in the United States.</w:t>
      </w:r>
    </w:p>
    <w:p>
      <w:pPr>
        <w:spacing w:after="0" w:line="128" w:lineRule="exact"/>
        <w:rPr>
          <w:sz w:val="20"/>
          <w:szCs w:val="20"/>
          <w:color w:val="auto"/>
        </w:rPr>
      </w:pPr>
    </w:p>
    <w:p>
      <w:pPr>
        <w:jc w:val="both"/>
        <w:ind w:firstLine="276"/>
        <w:spacing w:after="0" w:line="260" w:lineRule="auto"/>
        <w:rPr>
          <w:sz w:val="20"/>
          <w:szCs w:val="20"/>
          <w:color w:val="auto"/>
        </w:rPr>
      </w:pPr>
      <w:r>
        <w:rPr>
          <w:rFonts w:ascii="Times New Roman" w:cs="Times New Roman" w:eastAsia="Times New Roman" w:hAnsi="Times New Roman"/>
          <w:sz w:val="15"/>
          <w:szCs w:val="15"/>
          <w:color w:val="auto"/>
        </w:rPr>
        <w:t>Future developments in U.S. and Chinese laws may restrict our ability or willingness to operate as a publicly traded company in the United States for so long as Mr. Shi, who is a Chinese national, or other Chinese investors, continue to beneficially own a significant percentage of our outstanding shares of common stock. The relations between the United States and China are constantly changing. During his administration, President Donald J. Trump issued a memorandum directing the President’s Working Group on Financial Markets to convene to discuss the risks faced by U.S. investors in Chinese companies and issued several executive orders restricting the operations of Chinese companies, such as the company that owns TikTok, in the United States. Additionally, the federal government has recently proposed legislation intended to protect American investments in Chinese companies. President In addition, various equity-based research organizations have published reports on Chinese companies after examining their corporate governance practices, related party transactions, sales practices and financial statements, and these reports have led to special investigations and listing suspensions on U.S. national exchanges. While we are not a Chinese company, any similar scrutiny of us, regardless of its merit, could have an adverse effect upon our business, including our results of operations, financial condition, cash flows and prospects. Additionally, should we be the subject of or indirectly covered by new legislation or executive orders addressed at protecting American investments in Chinese or Chinese-owned companies, our revenues and profitability would be materially reduced, and our business and results of operations would be seriously harmed.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5"/>
          <w:szCs w:val="15"/>
          <w:b w:val="1"/>
          <w:bCs w:val="1"/>
          <w:i w:val="1"/>
          <w:iCs w:val="1"/>
          <w:color w:val="auto"/>
        </w:rPr>
        <w:t>The Committee on Foreign Investment in the United States may modify, delay or prevent our future acquisition or investment activities.</w:t>
      </w:r>
    </w:p>
    <w:p>
      <w:pPr>
        <w:spacing w:after="0" w:line="200" w:lineRule="exact"/>
        <w:rPr>
          <w:sz w:val="20"/>
          <w:szCs w:val="20"/>
          <w:color w:val="auto"/>
        </w:rPr>
      </w:pPr>
    </w:p>
    <w:p>
      <w:pPr>
        <w:jc w:val="both"/>
        <w:ind w:firstLine="276"/>
        <w:spacing w:after="0" w:line="259" w:lineRule="auto"/>
        <w:rPr>
          <w:sz w:val="20"/>
          <w:szCs w:val="20"/>
          <w:color w:val="auto"/>
        </w:rPr>
      </w:pPr>
      <w:r>
        <w:rPr>
          <w:rFonts w:ascii="Times New Roman" w:cs="Times New Roman" w:eastAsia="Times New Roman" w:hAnsi="Times New Roman"/>
          <w:sz w:val="15"/>
          <w:szCs w:val="15"/>
          <w:color w:val="auto"/>
        </w:rPr>
        <w:t>For so long as Mr. Shi retains a material ownership interest in us, we will be deemed a “foreign person” under the regulations relating to the Committee on Foreign Investment in the United States (“CFIUS”). As such, acquisitions of or investments in U.S. businesses or foreign businesses with U.S. subsidiaries that we may wish to pursue may be subject to CFIUS review, the scope of which was expanded by the Foreign Investment Risk Review Modernization Act of 2018 (“FIRRMA”) to include certain non-passive, non-controlling investments (including certain investments in entities that hold or process personal information about U.S. nationals), certain acquisitions of real estate even with no underlying U.S. business, transactions designed or intended to evade or circumvent CFIUS jurisdiction and any transaction resulting in a “change in the rights” of a foreign person in a U.S. business if that change could result in either control of the business or a covered non-controlling investment. FIRRMA also subjects certain categories of investments to mandatory filings. If a particular proposed acquisition or investment in a U.S. business falls within CFIUS’s jurisdiction, we may determine that we are required to make a mandatory filing or that we will submit to CFIUS review on a voluntary basis, or to proceed with the transaction without submitting to CFIUS and risk CFIUS intervention, before or after closing the transaction. CFIUS may decide to block or delay an acquisition or investment by us, impose conditions with respect to such acquisition or investment or order us to divest all or a portion of a U.S. business that we acquired without first obtaining CFIUS approval, which may limit the attractiveness of or prevent us from pursuing certain acquisitions or investments that we believe would otherwise be beneficial to us and our stockholders. Our inability to complete acquisitions and integrate those businesses successfully could limit our growth or disrupt our plans and operations. In addition, among other things, FIRRMA authorizes CFIUS to prescribe regulations defining “foreign person” differently in different contexts, which could result in less favorable treatment for investments and acquisitions by companies from countries of “special concern.” If CFIUS were to promulgate regulations imposing additional burdens on acquisition and investment activities involving China or Chinese investor-controlled entities, our ability to consummate transactions falling within CFIUS’s jurisdiction that might otherwise be beneficial to us and our stockholders would be hindered.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General Risk Factors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are subject to risks related to corporate and social responsibility and reputation.</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Many factors influence our reputation including the perception held by our customers, business partners and other key stakeholders. Our business faces increasing scrutiny related to environmental, social and governance activities. We risk damage to our reputation if we fail to act responsibly in a number of areas, such as diversity and inclusion, environmental stewardship, supply chain management, climate change, workplace conduct, human rights and philanthropy. Any harm to our reputation could impact employee engagement and retention and the willingness of customers and our partners to do business with us, which could have a material adverse effect on our business, results of operations and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We cannot predict the impact our dual class structure may have on the market price of our Class A common stock.</w:t>
      </w:r>
    </w:p>
    <w:p>
      <w:pPr>
        <w:spacing w:after="0" w:line="200" w:lineRule="exact"/>
        <w:rPr>
          <w:sz w:val="20"/>
          <w:szCs w:val="20"/>
          <w:color w:val="auto"/>
        </w:rPr>
      </w:pPr>
    </w:p>
    <w:p>
      <w:pPr>
        <w:jc w:val="both"/>
        <w:ind w:firstLine="276"/>
        <w:spacing w:after="0" w:line="260" w:lineRule="auto"/>
        <w:rPr>
          <w:sz w:val="20"/>
          <w:szCs w:val="20"/>
          <w:color w:val="auto"/>
        </w:rPr>
      </w:pPr>
      <w:r>
        <w:rPr>
          <w:rFonts w:ascii="Times New Roman" w:cs="Times New Roman" w:eastAsia="Times New Roman" w:hAnsi="Times New Roman"/>
          <w:sz w:val="15"/>
          <w:szCs w:val="15"/>
          <w:color w:val="auto"/>
        </w:rPr>
        <w:t>We cannot predict whether our dual class structure will result in a lower or more volatile market price of our Class A common stock or in adverse publicity or other adverse consequences. For example, certain index providers have restrictions on including companies with multiple-class share structures in certain of their indexes.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these policies, our dual class capital structure would make us ineligible for inclusion in certain indices, and as a result, mutual funds, exchange-traded funds, and other investment vehicles that attempt to passively track those indices will not be investing in our stock. Because of our dual class structure, we will likely be excluded from certain of these indexes and we cannot assure you that other stock indexes will not take similar actions.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57"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Securities analysts may not publish favorable research or reports about our business or may publish no information at all, which could cause our stock price or trading volume to decline.</w:t>
      </w:r>
    </w:p>
    <w:p>
      <w:pPr>
        <w:spacing w:after="0" w:line="128"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Our stock price and trading volume may be heavily influenced by the way analysts and investors interpret our financial information and other disclosures. If securities or industry analysts do not publish research or reports about our business, delay publishing reports about our business, or publish negative reports about our business, regardless of accuracy, our Class A common stock price and trading volume could decline.</w:t>
      </w:r>
    </w:p>
    <w:p>
      <w:pPr>
        <w:spacing w:after="0" w:line="146" w:lineRule="exact"/>
        <w:rPr>
          <w:sz w:val="20"/>
          <w:szCs w:val="20"/>
          <w:color w:val="auto"/>
        </w:rPr>
      </w:pPr>
    </w:p>
    <w:p>
      <w:pPr>
        <w:jc w:val="both"/>
        <w:ind w:firstLine="276"/>
        <w:spacing w:after="0" w:line="264" w:lineRule="auto"/>
        <w:rPr>
          <w:sz w:val="20"/>
          <w:szCs w:val="20"/>
          <w:color w:val="auto"/>
        </w:rPr>
      </w:pPr>
      <w:r>
        <w:rPr>
          <w:rFonts w:ascii="Times New Roman" w:cs="Times New Roman" w:eastAsia="Times New Roman" w:hAnsi="Times New Roman"/>
          <w:sz w:val="15"/>
          <w:szCs w:val="15"/>
          <w:color w:val="auto"/>
        </w:rPr>
        <w:t>The trading market for our Class A common stock is influenced to some extent by the research and reports that industry or financial analysts publish about us and our business. We do not control these analysts. As a newly public company, we may be slow to attract research coverage and the analysts who publish information about our Class A common stock may have relatively little experience with us or our industry, which could affect their ability to accurately forecast our results and could make it more likely that we fail to meet their estimates. If any of the analysts who cover us provide inaccurate or unfavorable research or issue an adverse opinion regarding our stock price, our stock price could decline. If one or more of these analysts cease coverage of us or fail to publish reports covering us regularly, we could lose visibility in the market, which in turn could cause our stock price or trading volume to decline.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39" w:name="page40"/>
    <w:bookmarkEnd w:id="39"/>
    <w:p>
      <w:pPr>
        <w:jc w:val="both"/>
        <w:ind w:firstLine="276"/>
        <w:spacing w:after="0" w:line="292" w:lineRule="auto"/>
        <w:rPr>
          <w:sz w:val="20"/>
          <w:szCs w:val="20"/>
          <w:color w:val="auto"/>
        </w:rPr>
      </w:pPr>
      <w:r>
        <w:rPr>
          <w:rFonts w:ascii="Times New Roman" w:cs="Times New Roman" w:eastAsia="Times New Roman" w:hAnsi="Times New Roman"/>
          <w:sz w:val="15"/>
          <w:szCs w:val="15"/>
          <w:color w:val="auto"/>
        </w:rPr>
        <w:t>Even if our Class A common stock is actively covered by analysts, we do not have any control over the analysts or the measures that analysts or investors may rely upon to forecast our future results. Over-reliance by analysts or investors on any particular metric to forecast our future results may lead to forecasts that differ significantly from our own.</w:t>
      </w:r>
    </w:p>
    <w:p>
      <w:pPr>
        <w:spacing w:after="0" w:line="129" w:lineRule="exact"/>
        <w:rPr>
          <w:sz w:val="20"/>
          <w:szCs w:val="20"/>
          <w:color w:val="auto"/>
        </w:rPr>
      </w:pPr>
    </w:p>
    <w:p>
      <w:pPr>
        <w:jc w:val="both"/>
        <w:ind w:firstLine="4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our estimates or judgments relating to our critical accounting policies are based on assumptions that change or prove to be incorrect, our results of operations could fall below our publicly announced guidance or the expectations of securities analysts and investors, resulting in a decline in the market price of our Class A common stock.</w:t>
      </w:r>
    </w:p>
    <w:p>
      <w:pPr>
        <w:spacing w:after="0" w:line="128"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The preparation of financial statements in conformity with generally accepted accounting principles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revenues and expenses that are not readily apparent from other sources. If our assumptions change or if actual circumstances differ from our assumptions, our results of operations may be adversely affected and could fall below our publicly announced guidance or the expectations of securities analysts and investors, resulting in a decline in the market price of our Class A common stock.</w:t>
      </w:r>
    </w:p>
    <w:p>
      <w:pPr>
        <w:spacing w:after="0" w:line="149"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cannot guarantee that our share repurchase program will be fully implemented or it will enhance stockholder value, and share repurchases could affect the price of our Class A common stock.</w:t>
      </w:r>
    </w:p>
    <w:p>
      <w:pPr>
        <w:spacing w:after="0" w:line="128"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In November 2022, our board of directors authorized a share repurchase program of up to $5 million of our outstanding Class A common stock (the “Share Repurchase Program”), which does not have a fixed expiration date. Share repurchases under the program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at the discretion of management and in accordance with applicable federal securities laws and other applicable legal requirements and Nasdaq listing rules. The timing, pricing, and size of share repurchases will depend on a number of factors, including, but not limited to, price, corporate and regulatory requirements, and general market and economic conditions. As of December 31, 2024, approximately $1.3 million of the Share Repurchase Program remains available for future repurchases. The Share Repurchase Program does not obligate us to repurchase any dollar amount or number of shares, and the program may be suspended or discontinued at any time, which may result in a decrease in the price of our Class A common stock.</w:t>
      </w:r>
    </w:p>
    <w:p>
      <w:pPr>
        <w:spacing w:after="0" w:line="340"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Repurchases under our Share Repurchase Program will decrease the number of outstanding shares of our Class A common stock and therefore could affect the price of our Class A common stock and increase its volatility. The existence of our Share Repurchase Program could also cause the price of our Class A common stock to be higher than it would be in the absence of such a program and could reduce the market liquidity for our Class A common stock. Additionally, repurchases under our Share Repurchase Program will diminish our cash reserves, which could impact our ability to further develop our business and service our indebtedness. There can be no assurance that any share repurchases will enhance stockholder value because the market price of our Class A common stock may decline below the levels at which we repurchased such shares. Any failure to repurchase shares after we have announced our intention to do so may negatively impact our reputation and investor confidence in us and may negatively impact our Class A common stock price. Although our Share Repurchase Program is intended to enhance long-term stockholder value, short-term price fluctuations could reduce the program’s effectiveness.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40" w:name="page41"/>
    <w:bookmarkEnd w:id="40"/>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Provisions in our amended and restated certificate of incorporation and bylaws and under Delaware law could make an acquisition of us more difficult and may prevent attempts by our stockholders to replace or remove our current management.</w:t>
      </w:r>
    </w:p>
    <w:p>
      <w:pPr>
        <w:spacing w:after="0" w:line="128"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Class A common stock, thereby depressing the market price of our Class A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Because we do not anticipate paying any cash dividends on our capital stock in the foreseeable future, capital appreciation, if any, will be your sole source of gain.</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We currently intend to retain all of our future earnings, if any, to finance the growth and development of our business. Any determination to pay dividends in the future will be at the discretion of our board of directors and may be restricted by our credit facilities or any future debt or preferred securities or future debt agreements we may enter into. As a result, capital appreciation, if any, of our Class A common stock will be your sole source of gain for the foreseeable future. See Part II, Item 5 “Market for Registrant’s Common Equity, Related Stockholder Matters and Issuer Purchases of Equity Securities</w:t>
      </w: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color w:val="auto"/>
        </w:rPr>
        <w:t>Dividend Policy” for a more detailed description of our dividend policy.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If we default on our credit obligations, our operations may be interrupted, and our business could be seriously harmed.</w:t>
      </w:r>
    </w:p>
    <w:p>
      <w:pPr>
        <w:spacing w:after="0" w:line="200" w:lineRule="exact"/>
        <w:rPr>
          <w:sz w:val="20"/>
          <w:szCs w:val="20"/>
          <w:color w:val="auto"/>
        </w:rPr>
      </w:pPr>
    </w:p>
    <w:p>
      <w:pPr>
        <w:jc w:val="both"/>
        <w:ind w:right="20" w:firstLine="276"/>
        <w:spacing w:after="0" w:line="292" w:lineRule="auto"/>
        <w:rPr>
          <w:sz w:val="20"/>
          <w:szCs w:val="20"/>
          <w:color w:val="auto"/>
        </w:rPr>
      </w:pPr>
      <w:r>
        <w:rPr>
          <w:rFonts w:ascii="Times New Roman" w:cs="Times New Roman" w:eastAsia="Times New Roman" w:hAnsi="Times New Roman"/>
          <w:sz w:val="15"/>
          <w:szCs w:val="15"/>
          <w:color w:val="auto"/>
        </w:rPr>
        <w:t>We have a credit facility that we may draw on to finance our operations and other corporate purposes. If we default on these credit obligations, our lenders may accelerate the debt and/or foreclose on property securing the debt.</w:t>
      </w:r>
    </w:p>
    <w:p>
      <w:pPr>
        <w:spacing w:after="0" w:line="133"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If any of these events occur, our operations may be interrupted and our ability to fund our operations or obligations, as well as our business, could be seriously harmed. In addition, our credit facility contains operating covenants, including maintenance of certain financial ratios. Our ability to comply with these covenants may be affected by events beyond our control, and breaches of these covenants have in the past, and could in the future, result in a default under the credit facility and any future financial agreements into which we may enter. If not waived, defaults could cause our outstanding indebtedness under our credit facility and any future financing agreements that we may enter into to become immediately due and payable. For more information on our credit facility, see Item 7 of Part II, “Management’s Discussion and Analysis of Financial Condition and Results of Operations - Liquidity and Capital Resources.”</w:t>
      </w:r>
    </w:p>
    <w:p>
      <w:pPr>
        <w:spacing w:after="0" w:line="152"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28"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develop and refine our internal control over financial reporting. Some members of our management team have limited or no experience managing a publicly traded company, interacting with public company investors, and complying with the increasingly complex laws pertaining to public companies, and we have limited accounting and financial reporting personnel and other resources with which to address our internal controls and related procedures.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41" w:name="page42"/>
    <w:bookmarkEnd w:id="41"/>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56"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Further,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or internal control over financial reporting could also cause investors to lose confidence in the accuracy and completeness of our reported financial and other information, which would likely have a negative effect on the trading price of our Class A common stock. In addition, if we are unable to continue to meet these requirements, we may not be able to remain listed on the Nasdaq. As a public company, we are required to provide an annual management report on the effectiveness of our internal control over financial reporting commencing with our second Annual Report on Form 10-K.</w:t>
      </w:r>
    </w:p>
    <w:p>
      <w:pPr>
        <w:spacing w:after="0" w:line="156"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Our independent registered public accounting firm is not required to formally attest to the effectiveness of our internal control over financial reporting until the later of (1) our second Annual Report on Form 10-K or (2) the Annual Report on Form 10-K for the first year we no longer qualify as an emerging growth company.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 In addition, we could become subject to investigations by the stock exchange on which our securities are listed, the SEC or other regulatory authorities, which could require additional financial and management resources. These events could have a material and adverse effect on our business, results of operations, financial condition and prospects.</w:t>
      </w:r>
    </w:p>
    <w:p>
      <w:pPr>
        <w:spacing w:after="0" w:line="15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We identified material weaknesses in our internal control over financial reporting and we may identify additional material weaknesses in the future that may cause us to fail to meet our reporting obligations or result in material misstatements of our financial statements. If we do not effectively remediate the material weaknesses or if we otherwise fail to maintain effective internal control over financial reporting, we may not be able to accurately and timely report our financial results.</w:t>
      </w:r>
    </w:p>
    <w:p>
      <w:pPr>
        <w:spacing w:after="0" w:line="144"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Our management is likewise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53"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Our management identified a material weakness in our internal control over financial reporting involving the failure to properly value the fair value of warrants related to the convertible notes and equity line of credit. See Part II, Item 9A, “Controls and Procedures,” in this Annual Report for information regarding the identified material weaknesses and our actions to date to remediate the material weakness. As a result of the material weakness, our management has concluded that our internal control over financial reporting were not effective as of December 31, 2024.</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42" w:name="page43"/>
    <w:bookmarkEnd w:id="42"/>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We are taking steps to remediate the material weakness, which include to enhancing our financial reporting close control procedures by implementing additional reviews of fair value measurements and hiring appropriate valuation experts as needed. However, our efforts to remediate the material weakness may not be effective in preventing a future material weakness in our internal control over financial reporting. If we do not effectively remediate the material weakness or if we otherwise fail to maintain effective internal control over financial reporting, we may not be able to accurately and timely report our financial results, which could cause our reported financial results to be materially misstated, result in the loss of investor confidence and cause the market price of our Class A common stock to decline.</w:t>
      </w:r>
    </w:p>
    <w:p>
      <w:pPr>
        <w:spacing w:after="0" w:line="153" w:lineRule="exact"/>
        <w:rPr>
          <w:sz w:val="20"/>
          <w:szCs w:val="20"/>
          <w:color w:val="auto"/>
        </w:rPr>
      </w:pPr>
    </w:p>
    <w:p>
      <w:pPr>
        <w:jc w:val="both"/>
        <w:ind w:right="20" w:firstLine="276"/>
        <w:spacing w:after="0" w:line="286" w:lineRule="auto"/>
        <w:rPr>
          <w:sz w:val="20"/>
          <w:szCs w:val="20"/>
          <w:color w:val="auto"/>
        </w:rPr>
      </w:pPr>
      <w:r>
        <w:rPr>
          <w:rFonts w:ascii="Times New Roman" w:cs="Times New Roman" w:eastAsia="Times New Roman" w:hAnsi="Times New Roman"/>
          <w:sz w:val="15"/>
          <w:szCs w:val="15"/>
          <w:color w:val="auto"/>
        </w:rPr>
        <w:t>We can give no assurance that the measures we have taken or plans to take in the future will remediate the material weakness identified or that any additional material weakness or restatements of financial results will not arise in the future due to a failure to implement and maintain adequate internal control over financial reporting or circumvention of these controls.</w:t>
      </w:r>
    </w:p>
    <w:p>
      <w:pPr>
        <w:spacing w:after="0" w:line="32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b w:val="1"/>
          <w:bCs w:val="1"/>
          <w:i w:val="1"/>
          <w:iCs w:val="1"/>
          <w:color w:val="auto"/>
        </w:rPr>
        <w:t>Our amended and restated certificate of incorporation provides that the Court of Chancery of the State of Delaware (or, if the Court of Chancery does not have jurisdiction, another State court in Delaware or the U.S. District Court for the District of Delaware) is the sole and exclusive forum for substantially all disputes between us and our stockholders, which could limit our stockholders’ abilities to obtain a favorable judicial forum for disputes with us or our directors, officers or employees.</w:t>
      </w:r>
    </w:p>
    <w:p>
      <w:pPr>
        <w:spacing w:after="0" w:line="144" w:lineRule="exact"/>
        <w:rPr>
          <w:sz w:val="20"/>
          <w:szCs w:val="20"/>
          <w:color w:val="auto"/>
        </w:rPr>
      </w:pPr>
    </w:p>
    <w:p>
      <w:pPr>
        <w:jc w:val="both"/>
        <w:ind w:firstLine="276"/>
        <w:spacing w:after="0" w:line="259" w:lineRule="auto"/>
        <w:rPr>
          <w:sz w:val="20"/>
          <w:szCs w:val="20"/>
          <w:color w:val="auto"/>
        </w:rPr>
      </w:pPr>
      <w:r>
        <w:rPr>
          <w:rFonts w:ascii="Times New Roman" w:cs="Times New Roman" w:eastAsia="Times New Roman" w:hAnsi="Times New Roman"/>
          <w:sz w:val="15"/>
          <w:szCs w:val="15"/>
          <w:color w:val="auto"/>
        </w:rPr>
        <w:t>Our amended and restated certificate of incorporation specifies that, unless we consent in writing to the selection of an alternative forum, to the fullest extent permitted by law, the Court of Chancery of the State of Delaware is the sole and exclusive forum for most legal actions involving actions brought against us by stockholders; provided that, the exclusive forum provision will not apply to suits brought to enforce any liability or duty created by the Exchange Act or any other claim for which the U.S.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certificate of incorporation also provides that the federal district courts of the United States of America is the exclusive forum for the resolution of any complaint asserting a cause of action against us or any of our directors, officers, employees or agents and arising under the Securities Act of 1933, as amended (the “Securities Act”). 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However, these provisions may have the effect of discouraging lawsuits against our directors and officers.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amended and restated certificate of incorporation to be inapplicable or unenforceable in such action.</w:t>
      </w:r>
    </w:p>
    <w:p>
      <w:pPr>
        <w:spacing w:after="0" w:line="15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are an “emerging growth company,” and the reduced disclosure requirements applicable to emerging growth companies may make our Class A common stock less attractive to investors.</w:t>
      </w:r>
    </w:p>
    <w:p>
      <w:pPr>
        <w:spacing w:after="0" w:line="128"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We are an “emerging growth company,” as defined in the JOBS Act. We could continue to be considered an emerging growth company for up to five years, although we would lose that status sooner if our annual gross revenues exceed $1.235 billion, if we issue more than $1.0 billion in nonconvertible debt in a three-year period or if the fair value of our Class A common stock held by non-affiliates exceeds $700.0 million (and we have been a public company for at least 12 months and have filed at least one Annual Report on Form 10-K). For the fiscal year ended December 31, 2024, our total net revenue was $84.5 million.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43" w:name="page44"/>
    <w:bookmarkEnd w:id="43"/>
    <w:p>
      <w:pPr>
        <w:jc w:val="both"/>
        <w:ind w:right="20" w:firstLine="276"/>
        <w:spacing w:after="0" w:line="265" w:lineRule="auto"/>
        <w:rPr>
          <w:sz w:val="20"/>
          <w:szCs w:val="20"/>
          <w:color w:val="auto"/>
        </w:rPr>
      </w:pPr>
      <w:r>
        <w:rPr>
          <w:rFonts w:ascii="Times New Roman" w:cs="Times New Roman" w:eastAsia="Times New Roman" w:hAnsi="Times New Roman"/>
          <w:sz w:val="15"/>
          <w:szCs w:val="15"/>
          <w:color w:val="auto"/>
        </w:rPr>
        <w:t>For as long as we continue to be an emerging growth company, we may take advantage of exemptions from various reporting requirements that are applicable to other public companies that are not emerging growth companies, including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It is unclear whether investors will find our Class A common stock less attractive because we may rely on these exemptions. If some investors find our Class A common stock less attractive as a result, there may be a less active trading market for our Class A common stock and the trading price of our Class A common stock may be more volatile.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Risks Related to Convertible Notes and Equity Line Credit Financing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Investors who buy shares in the convertible notes and equity line credit financing offering at different times will likely pay different prices.</w:t>
      </w:r>
    </w:p>
    <w:p>
      <w:pPr>
        <w:spacing w:after="0" w:line="200"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Investors who purchase shares of common stock at different times will likely pay different prices, and so may experience different levels of dilution and different outcomes in their investment results. In connection with the Equity Line of Credit Financing, we will have discretion, subject to market demand, to vary the timing, prices, and numbers of shares of common stock sold to the Equity Line Investor. Similarly, the Equity Line Investor may sell such shares of common stock at different times and at different prices. Investors may experience a decline in the value of the shares they purchase from the Equity Line Investor because of sales made by us in future transactions to the Equity Line Investor at prices lower than the prices they paid. Sales to the Equity Line Investor by us could result in substantial dilution to the interests of other holders of our Class A common stock. Additionally, the sale of a substantial number of shares of our Class A common stock to the Equity Line Investor, or the anticipation of such sales, could make it more difficult for us to sell equity or equity-related securities in the future at a time and at a price that we might otherwise wish to effect sales, which could have a materially adverse effect on our business and operations.</w:t>
      </w:r>
    </w:p>
    <w:p>
      <w:pPr>
        <w:spacing w:after="0" w:line="336"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Our management will have broad discretion over the use of the net proceeds from our sale of shares of common stock to the Equity Line Investor, and you may not agree with how we use the proceeds and the proceeds may not be invested successfully.</w:t>
      </w:r>
    </w:p>
    <w:p>
      <w:pPr>
        <w:spacing w:after="0" w:line="128" w:lineRule="exact"/>
        <w:rPr>
          <w:sz w:val="20"/>
          <w:szCs w:val="20"/>
          <w:color w:val="auto"/>
        </w:rPr>
      </w:pPr>
    </w:p>
    <w:p>
      <w:pPr>
        <w:jc w:val="both"/>
        <w:ind w:firstLine="276"/>
        <w:spacing w:after="0" w:line="267" w:lineRule="auto"/>
        <w:rPr>
          <w:sz w:val="20"/>
          <w:szCs w:val="20"/>
          <w:color w:val="auto"/>
        </w:rPr>
      </w:pPr>
      <w:r>
        <w:rPr>
          <w:rFonts w:ascii="Times New Roman" w:cs="Times New Roman" w:eastAsia="Times New Roman" w:hAnsi="Times New Roman"/>
          <w:sz w:val="15"/>
          <w:szCs w:val="15"/>
          <w:color w:val="auto"/>
        </w:rPr>
        <w:t>Our management will have broad discretion with respect to the use of proceeds from the sale of any shares of our common stock to the Equity Line Investor. You will be relying on the judgment of our management regarding the application of the proceeds from the sale of any shares of our common stock to the Equity Line Investor. The results and effectiveness of the use of proceeds are uncertain, and we could spend the proceeds in ways that you do not agree with or that do not improve our results of operations or enhance the value of our common stock. Our failure to apply these funds effectively could harm our business, delay the development of our pipeline product candidates and cause the price of our common stock to decline.</w:t>
      </w:r>
    </w:p>
    <w:p>
      <w:pPr>
        <w:spacing w:after="0" w:line="334"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5"/>
          <w:szCs w:val="15"/>
          <w:b w:val="1"/>
          <w:bCs w:val="1"/>
          <w:i w:val="1"/>
          <w:iCs w:val="1"/>
          <w:color w:val="auto"/>
        </w:rPr>
        <w:t>We may require additional financing to sustain our operations, without which we may not be able to continue operations, and the terms of subsequent financings may adversely impact our stockholders.</w:t>
      </w:r>
    </w:p>
    <w:p>
      <w:pPr>
        <w:spacing w:after="0" w:line="128" w:lineRule="exact"/>
        <w:rPr>
          <w:sz w:val="20"/>
          <w:szCs w:val="20"/>
          <w:color w:val="auto"/>
        </w:rPr>
      </w:pPr>
    </w:p>
    <w:p>
      <w:pPr>
        <w:jc w:val="both"/>
        <w:ind w:right="20" w:firstLine="276"/>
        <w:spacing w:after="0" w:line="292" w:lineRule="auto"/>
        <w:rPr>
          <w:sz w:val="20"/>
          <w:szCs w:val="20"/>
          <w:color w:val="auto"/>
        </w:rPr>
      </w:pPr>
      <w:r>
        <w:rPr>
          <w:rFonts w:ascii="Times New Roman" w:cs="Times New Roman" w:eastAsia="Times New Roman" w:hAnsi="Times New Roman"/>
          <w:sz w:val="15"/>
          <w:szCs w:val="15"/>
          <w:color w:val="auto"/>
        </w:rPr>
        <w:t>We may direct the Equity Line Investor to purchase up to $5,000,000 worth of shares of our Class A common stock under the Equity Line Purchase Agreement until December 31, 2025, in amounts up to $1,000,000 in shares of our Class A common stock depending on market prices.</w:t>
      </w:r>
    </w:p>
    <w:p>
      <w:pPr>
        <w:spacing w:after="0" w:line="133"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color w:val="auto"/>
        </w:rPr>
        <w:t>Our ability to sell shares to the Equity Line Investor and obtain funds under the Equity Line Purchase Agreement is limited by the terms and conditions in the Equity Line Purchase Agreement, including restrictions on the amounts we may sell to the Equity Line Investor at any one time, and a limitation on our ability to sell shares to the Equity Line Investor to the extent that it would cause the Equity Line Investor to beneficially own more than 9.99% of our outstanding shares of Class A common stock. Additionally, we will only be able to sell or issue to the Equity Line Investor (subject to certain reductions and other adjustments pursuant to the Equity Line Purchase Agreement, the “Exchange Cap”) in total under the Equity Line Purchase Agreement, which is equal to 19.99% of the aggregate number of shares of Class A common stock outstanding prior to execution of the Equity Line Purchase Agreement, unless stockholder approval is obtained to issue in excess of such amount. Therefore, we may not in the future have access to the full amount available to us under the Equity Line Purchase Agreement, depending on the price of our Class A common stock. In addition, any amounts we sell under the Equity Line Purchase Agreement may not satisfy all of our funding needs, even if we are able and choose to sell and issue all of our Class A common stock currently registered.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44" w:name="page45"/>
    <w:bookmarkEnd w:id="44"/>
    <w:p>
      <w:pPr>
        <w:jc w:val="both"/>
        <w:ind w:firstLine="276"/>
        <w:spacing w:after="0" w:line="260" w:lineRule="auto"/>
        <w:rPr>
          <w:sz w:val="20"/>
          <w:szCs w:val="20"/>
          <w:color w:val="auto"/>
        </w:rPr>
      </w:pPr>
      <w:r>
        <w:rPr>
          <w:rFonts w:ascii="Times New Roman" w:cs="Times New Roman" w:eastAsia="Times New Roman" w:hAnsi="Times New Roman"/>
          <w:sz w:val="15"/>
          <w:szCs w:val="15"/>
          <w:color w:val="auto"/>
        </w:rPr>
        <w:t>The extent we rely on the Equity Line Investor as a source of funding will depend on a number of factors including the prevailing market price of our Class A common stock and the extent to which we are able to secure working capital from other sources. If obtaining sufficient funding from the Equity Line Investor were to prove unavailable or prohibitively dilutive, we will need to secure another source of funding in order to satisfy our working capital needs. Even if we sell all $5,000,000 in shares of our Class A common stock under the Equity Line Purchase Agreement to the Equity Line Investor, we may still need additional capital to finance our future plans and working capital needs, and we may have to raise funds through the issuance of equity or debt securities. Depending on the type and the terms of any financing we pursue, stockholders’ rights and the value of their investment in our Class A common stock could be reduced. A financing could involve one or more types of securities including Class A common stock, convertible debt, or warrants to acquire Class A common stock. These securities could be issued at or below the then prevailing market price for our Class A common stock. If the issuance of new securities results in diminished rights to holders of our Class A common stock, the market price of our Class A common stock could be negatively impacted. Should the financing we require to sustain our working capital needs be unavailable or prohibitively expensive when we require it, the consequences could be a material adverse effect on our business, operating results, financial condition, and prospects.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1B. Unresolved Staff Comments.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1C. Cybersecurity Risk Management, Strategy and Governance.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Cybersecurity Risk Management</w:t>
      </w:r>
    </w:p>
    <w:p>
      <w:pPr>
        <w:spacing w:after="0" w:line="200"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Due to the nature of our business, we face a variety of potential cybersecurity risks that are ever evolving and include unauthorized access to our systems and data, disruption of our online game services, theft of intellectual property, and third-party risks as a result of our use of various third party service providers and cloud service providers. The Company’s risks related to our end user data is borne by our platform partners as we do not maintain any sensitive information of our players within our infrastructure. There have been no cybersecurity threat events identified during the year ended December 31, 2024, which have resulted in a material incident, or are reasonably likely to result in a material impact on our business strategy, results of operations or financial condition. For more information regarding risks relating to intellectual property and cybersecurity related attacks, see Item 1A of Part I, “Risk Factors — Risks Related to Intellectual Property” and “Risk Factors — Risks Related to Our Business and Industry” of this Annual Report.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Cybersecurity Strategy</w:t>
      </w:r>
    </w:p>
    <w:p>
      <w:pPr>
        <w:spacing w:after="0" w:line="200"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We are working towards the implementation of relevant controls within the National Institute of Standards and Technology (“NIST”) Cybersecurity Framework to better address cybersecurity threats and we actively maintain a risk management plan that outlines the processes and procedures we use to identify, assess, mitigate and respond to cybersecurity risks. The plan is designed to protect the Company’s assets and safeguard the confidentiality, integrity and availability of its data and operations. Our cybersecurity risk management plan is integrated into the Company’s overall risk management process and establishes a clear framework with roles and responsibilities for managing cybersecurity risks. The Company currently uses a variety of security controls, including but not limited to firewalls, intrusion detection systems, data encryption in transit and at rest, and multi-factor authentication. We provide regular training to our employees and educate them on cybersecurity risks and best practices to mitigate these risks. The Company also maintains a comprehensive incident response plan to detect, respond to, assess the materiality of, and recover from cybersecurity incidents effectively.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5"/>
          <w:szCs w:val="15"/>
          <w:b w:val="1"/>
          <w:bCs w:val="1"/>
          <w:color w:val="auto"/>
        </w:rPr>
        <w:t>Cybersecurity Governance</w:t>
      </w:r>
    </w:p>
    <w:p>
      <w:pPr>
        <w:spacing w:after="0" w:line="200"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color w:val="auto"/>
        </w:rPr>
        <w:t>The Company’s executive management considers cybersecurity risk and other information technology risk as part of its risk oversight and has the ultimate responsibility for overseeing our cybersecurity strategy. Furthermore, during the year ended December 31, 2024, we have bolstered our Board of Directors through the appointment of a Director with an extensive history in cybersecurity and a deep understanding of cybersecurity threats which may have a material impact on our business and the video game industry as a whole. Our Director of IT holds operational responsibility for cybersecurity and maintains a suite of industry-standard tools to consistent confidentiality, integrity and availability of Company systems and data. Suspicious activity within Company networks and systems are investigated and assessed by the Director of IT and then reported to the executive management team. Verified incidents are also communicated to the Board of Directors. On a quarterly basis, the Director of IT reports cybersecurity monitoring updates to the CEO, coordinates with our newly appointed Board Member to implement our information technology and cybersecurity programs, as well as with our HR Manager to ensure that the Company’s employees have the adequate training on cybersecurity best practices.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2. Properties.</w:t>
      </w:r>
    </w:p>
    <w:p>
      <w:pPr>
        <w:spacing w:after="0" w:line="200"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As of December 31, 2024, we lease approximately 16,900 square feet of office space located in Beverly Hills, California under an operating lease that expires on November 13, 2025. We also own a two-story office building consisting of approximately 5,910 square feet of office space on 7,163 square feet of land in Culver City, California. We believe that these facilities are sufficient to meet our current and anticipated needs in the near term and that additional space can be obtained on commercially reasonable terms as needed.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3. Legal Proceedings.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See Item 8 of Part II, “Consolidated Financial Statements—Note 18—Commitments and Contingencies-Litigation.”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4. Mine Safety Disclosures.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 applicable.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 II</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5. Market for Registrant’s Common Equity, Related Stockholder Matters and Issuer Purchases of Equity Securities.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Market Information for Class A Common Stock</w:t>
      </w:r>
    </w:p>
    <w:p>
      <w:pPr>
        <w:spacing w:after="0" w:line="20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auto"/>
        </w:rPr>
        <w:t>Our Class A common stock is listed on the Nasdaq Capital Market and trades under the symbol “SNAL”. Public trading of our stock began on November 10, 2022. Prior to that, there was no public market for our Class A common stock.</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5"/>
          <w:szCs w:val="15"/>
          <w:b w:val="1"/>
          <w:bCs w:val="1"/>
          <w:color w:val="auto"/>
        </w:rPr>
        <w:t>Holders of Record</w:t>
      </w:r>
    </w:p>
    <w:p>
      <w:pPr>
        <w:spacing w:after="0" w:line="200" w:lineRule="exact"/>
        <w:rPr>
          <w:sz w:val="20"/>
          <w:szCs w:val="20"/>
          <w:color w:val="auto"/>
        </w:rPr>
      </w:pPr>
    </w:p>
    <w:p>
      <w:pPr>
        <w:jc w:val="both"/>
        <w:ind w:right="20" w:firstLine="276"/>
        <w:spacing w:after="0" w:line="292" w:lineRule="auto"/>
        <w:rPr>
          <w:sz w:val="20"/>
          <w:szCs w:val="20"/>
          <w:color w:val="auto"/>
        </w:rPr>
      </w:pPr>
      <w:r>
        <w:rPr>
          <w:rFonts w:ascii="Times New Roman" w:cs="Times New Roman" w:eastAsia="Times New Roman" w:hAnsi="Times New Roman"/>
          <w:sz w:val="15"/>
          <w:szCs w:val="15"/>
          <w:color w:val="auto"/>
        </w:rPr>
        <w:t>The approximate number of record holders of our Class A common stock as of March 20, 2025 was three, including Equiniti Trust Company, LLC, which holds shares of our Class A common stock on behalf of an indeterminate number of beneficial owners. The number of record holders of our Class B common stock as of March 20, 2025 was two.</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Dividend Policy</w:t>
      </w:r>
    </w:p>
    <w:p>
      <w:pPr>
        <w:spacing w:after="0" w:line="200"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We currently intend to retain all available funds and any future earnings, if any, to fund the development and expansion of our business and we do not anticipate paying any cash dividends in the foreseeable future. Except for a one-time special dividend in connection with our distribution of the Shareholder Loan (as defined herein), we have not paid any cash dividends.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In addition, our ability to pay cash dividends is currently restricted by the terms of our credit facilities. Our ability to pay cash dividends on our capital stock in the future may also be limited by the terms of any preferred securities we may issue or agreements governing any additional indebtedness we may incur.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Stock Performance Graph</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As a “smaller reporting company” as defined by Item 10 of Regulation S-K, the Company is not required to provide this information.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Unregistered Sales of Equity Securities and Use of Proceeds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issued the following securities that were not registered under the Securities Act.</w:t>
      </w:r>
    </w:p>
    <w:p>
      <w:pPr>
        <w:spacing w:after="0" w:line="196"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On November 14, 2022, concurrently with the initial public offering (“IPO”) of our Class A common stock, and pursuant to the certain reorganization transactions, the pre-IPO stockholders of Snail Games USA collectively exchanged 500,000 shares of SGUSA common stock for 6,251,420 shares of our Class A common stock and 28,748,580 shares of our Class B common stock. The Company did not issue any securities that were not registered under the Securities Act during the year ended December 31, 2024.</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foregoing transactions were exempt from registration under the Securities Act, in reliance on Section 4(a)(2) of the Act.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Purchases of Equity Securities by the Issuer and Affiliated Purchasers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Approximate Dollar</w:t>
            </w:r>
          </w:p>
        </w:tc>
      </w:tr>
      <w:tr>
        <w:trPr>
          <w:trHeight w:val="184"/>
        </w:trPr>
        <w:tc>
          <w:tcPr>
            <w:tcW w:w="4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Shares Purchased as</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Value of Shares that</w:t>
            </w:r>
          </w:p>
        </w:tc>
      </w:tr>
      <w:tr>
        <w:trPr>
          <w:trHeight w:val="184"/>
        </w:trPr>
        <w:tc>
          <w:tcPr>
            <w:tcW w:w="4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Part of Publicly</w:t>
            </w:r>
          </w:p>
        </w:tc>
        <w:tc>
          <w:tcPr>
            <w:tcW w:w="10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May Yet Be</w:t>
            </w:r>
          </w:p>
        </w:tc>
      </w:tr>
      <w:tr>
        <w:trPr>
          <w:trHeight w:val="184"/>
        </w:trPr>
        <w:tc>
          <w:tcPr>
            <w:tcW w:w="4280" w:type="dxa"/>
            <w:vAlign w:val="bottom"/>
          </w:tcPr>
          <w:p>
            <w:pPr>
              <w:spacing w:after="0"/>
              <w:rPr>
                <w:sz w:val="16"/>
                <w:szCs w:val="16"/>
                <w:color w:val="auto"/>
              </w:rPr>
            </w:pPr>
          </w:p>
        </w:tc>
        <w:tc>
          <w:tcPr>
            <w:tcW w:w="1820" w:type="dxa"/>
            <w:vAlign w:val="bottom"/>
            <w:gridSpan w:val="2"/>
          </w:tcPr>
          <w:p>
            <w:pPr>
              <w:ind w:left="200"/>
              <w:spacing w:after="0"/>
              <w:rPr>
                <w:sz w:val="20"/>
                <w:szCs w:val="20"/>
                <w:color w:val="auto"/>
              </w:rPr>
            </w:pPr>
            <w:r>
              <w:rPr>
                <w:rFonts w:ascii="Times New Roman" w:cs="Times New Roman" w:eastAsia="Times New Roman" w:hAnsi="Times New Roman"/>
                <w:sz w:val="15"/>
                <w:szCs w:val="15"/>
                <w:b w:val="1"/>
                <w:bCs w:val="1"/>
                <w:color w:val="auto"/>
              </w:rPr>
              <w:t>Total Number of</w:t>
            </w:r>
          </w:p>
        </w:tc>
        <w:tc>
          <w:tcPr>
            <w:tcW w:w="100" w:type="dxa"/>
            <w:vAlign w:val="bottom"/>
          </w:tcPr>
          <w:p>
            <w:pPr>
              <w:spacing w:after="0"/>
              <w:rPr>
                <w:sz w:val="16"/>
                <w:szCs w:val="16"/>
                <w:color w:val="auto"/>
              </w:rPr>
            </w:pPr>
          </w:p>
        </w:tc>
        <w:tc>
          <w:tcPr>
            <w:tcW w:w="1720" w:type="dxa"/>
            <w:vAlign w:val="bottom"/>
            <w:gridSpan w:val="2"/>
          </w:tcPr>
          <w:p>
            <w:pPr>
              <w:ind w:left="20"/>
              <w:spacing w:after="0"/>
              <w:rPr>
                <w:sz w:val="20"/>
                <w:szCs w:val="20"/>
                <w:color w:val="auto"/>
              </w:rPr>
            </w:pPr>
            <w:r>
              <w:rPr>
                <w:rFonts w:ascii="Times New Roman" w:cs="Times New Roman" w:eastAsia="Times New Roman" w:hAnsi="Times New Roman"/>
                <w:sz w:val="15"/>
                <w:szCs w:val="15"/>
                <w:b w:val="1"/>
                <w:bCs w:val="1"/>
                <w:color w:val="auto"/>
              </w:rPr>
              <w:t>Average Price Paid</w:t>
            </w:r>
          </w:p>
        </w:tc>
        <w:tc>
          <w:tcPr>
            <w:tcW w:w="178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Announced Plans or</w:t>
            </w:r>
          </w:p>
        </w:tc>
        <w:tc>
          <w:tcPr>
            <w:tcW w:w="15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Purchased under the</w:t>
            </w:r>
          </w:p>
        </w:tc>
      </w:tr>
      <w:tr>
        <w:trPr>
          <w:trHeight w:val="203"/>
        </w:trPr>
        <w:tc>
          <w:tcPr>
            <w:tcW w:w="4280" w:type="dxa"/>
            <w:vAlign w:val="bottom"/>
          </w:tcPr>
          <w:p>
            <w:pPr>
              <w:spacing w:after="0"/>
              <w:rPr>
                <w:sz w:val="17"/>
                <w:szCs w:val="17"/>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Shares Purchased</w:t>
            </w:r>
          </w:p>
        </w:tc>
        <w:tc>
          <w:tcPr>
            <w:tcW w:w="100" w:type="dxa"/>
            <w:vAlign w:val="bottom"/>
          </w:tcPr>
          <w:p>
            <w:pPr>
              <w:spacing w:after="0"/>
              <w:rPr>
                <w:sz w:val="17"/>
                <w:szCs w:val="17"/>
                <w:color w:val="auto"/>
              </w:rPr>
            </w:pPr>
          </w:p>
        </w:tc>
        <w:tc>
          <w:tcPr>
            <w:tcW w:w="1720" w:type="dxa"/>
            <w:vAlign w:val="bottom"/>
            <w:gridSpan w:val="2"/>
          </w:tcPr>
          <w:p>
            <w:pPr>
              <w:ind w:left="320"/>
              <w:spacing w:after="0"/>
              <w:rPr>
                <w:sz w:val="20"/>
                <w:szCs w:val="20"/>
                <w:color w:val="auto"/>
              </w:rPr>
            </w:pPr>
            <w:r>
              <w:rPr>
                <w:rFonts w:ascii="Times New Roman" w:cs="Times New Roman" w:eastAsia="Times New Roman" w:hAnsi="Times New Roman"/>
                <w:sz w:val="15"/>
                <w:szCs w:val="15"/>
                <w:b w:val="1"/>
                <w:bCs w:val="1"/>
                <w:color w:val="auto"/>
              </w:rPr>
              <w:t>per Share</w:t>
            </w:r>
          </w:p>
        </w:tc>
        <w:tc>
          <w:tcPr>
            <w:tcW w:w="178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Programs</w:t>
            </w: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Plans or Programs</w:t>
            </w:r>
          </w:p>
        </w:tc>
      </w:tr>
      <w:tr>
        <w:trPr>
          <w:trHeight w:val="176"/>
        </w:trPr>
        <w:tc>
          <w:tcPr>
            <w:tcW w:w="4280" w:type="dxa"/>
            <w:vAlign w:val="bottom"/>
            <w:tcBorders>
              <w:bottom w:val="single" w:sz="8" w:color="CCEEFF"/>
            </w:tcBorders>
          </w:tcPr>
          <w:p>
            <w:pPr>
              <w:spacing w:after="0"/>
              <w:rPr>
                <w:sz w:val="15"/>
                <w:szCs w:val="15"/>
                <w:color w:val="auto"/>
              </w:rPr>
            </w:pPr>
          </w:p>
        </w:tc>
        <w:tc>
          <w:tcPr>
            <w:tcW w:w="148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3500" w:type="dxa"/>
            <w:vAlign w:val="bottom"/>
            <w:tcBorders>
              <w:top w:val="single" w:sz="8" w:color="auto"/>
              <w:bottom w:val="single" w:sz="8" w:color="auto"/>
            </w:tcBorders>
            <w:gridSpan w:val="4"/>
          </w:tcPr>
          <w:p>
            <w:pPr>
              <w:ind w:left="220"/>
              <w:spacing w:after="0"/>
              <w:rPr>
                <w:sz w:val="20"/>
                <w:szCs w:val="20"/>
                <w:color w:val="auto"/>
              </w:rPr>
            </w:pPr>
            <w:r>
              <w:rPr>
                <w:rFonts w:ascii="Times New Roman" w:cs="Times New Roman" w:eastAsia="Times New Roman" w:hAnsi="Times New Roman"/>
                <w:sz w:val="15"/>
                <w:szCs w:val="15"/>
                <w:b w:val="1"/>
                <w:bCs w:val="1"/>
                <w:color w:val="auto"/>
              </w:rPr>
              <w:t>In thousands, except per share amounts</w:t>
            </w:r>
          </w:p>
        </w:tc>
        <w:tc>
          <w:tcPr>
            <w:tcW w:w="100" w:type="dxa"/>
            <w:vAlign w:val="bottom"/>
            <w:tcBorders>
              <w:top w:val="single" w:sz="8" w:color="auto"/>
              <w:bottom w:val="single" w:sz="8" w:color="auto"/>
            </w:tcBorders>
          </w:tcPr>
          <w:p>
            <w:pPr>
              <w:spacing w:after="0"/>
              <w:rPr>
                <w:sz w:val="15"/>
                <w:szCs w:val="15"/>
                <w:color w:val="auto"/>
              </w:rPr>
            </w:pPr>
          </w:p>
        </w:tc>
        <w:tc>
          <w:tcPr>
            <w:tcW w:w="1360" w:type="dxa"/>
            <w:vAlign w:val="bottom"/>
            <w:tcBorders>
              <w:top w:val="single" w:sz="8" w:color="auto"/>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r>
      <w:tr>
        <w:trPr>
          <w:trHeight w:val="17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Period</w:t>
            </w:r>
          </w:p>
        </w:tc>
        <w:tc>
          <w:tcPr>
            <w:tcW w:w="14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January 2024</w:t>
            </w:r>
          </w:p>
        </w:tc>
        <w:tc>
          <w:tcPr>
            <w:tcW w:w="182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February 2024</w:t>
            </w:r>
          </w:p>
        </w:tc>
        <w:tc>
          <w:tcPr>
            <w:tcW w:w="18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March 2024</w:t>
            </w:r>
          </w:p>
        </w:tc>
        <w:tc>
          <w:tcPr>
            <w:tcW w:w="182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April 2024</w:t>
            </w:r>
          </w:p>
        </w:tc>
        <w:tc>
          <w:tcPr>
            <w:tcW w:w="18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May 2024</w:t>
            </w:r>
          </w:p>
        </w:tc>
        <w:tc>
          <w:tcPr>
            <w:tcW w:w="182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June 2024</w:t>
            </w:r>
          </w:p>
        </w:tc>
        <w:tc>
          <w:tcPr>
            <w:tcW w:w="18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July 2024</w:t>
            </w:r>
          </w:p>
        </w:tc>
        <w:tc>
          <w:tcPr>
            <w:tcW w:w="182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August 2024</w:t>
            </w:r>
          </w:p>
        </w:tc>
        <w:tc>
          <w:tcPr>
            <w:tcW w:w="18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September 2024</w:t>
            </w:r>
          </w:p>
        </w:tc>
        <w:tc>
          <w:tcPr>
            <w:tcW w:w="182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October 2024</w:t>
            </w:r>
          </w:p>
        </w:tc>
        <w:tc>
          <w:tcPr>
            <w:tcW w:w="18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November 2024</w:t>
            </w:r>
          </w:p>
        </w:tc>
        <w:tc>
          <w:tcPr>
            <w:tcW w:w="1820" w:type="dxa"/>
            <w:vAlign w:val="bottom"/>
            <w:gridSpan w:val="2"/>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720" w:type="dxa"/>
            <w:vAlign w:val="bottom"/>
            <w:gridSpan w:val="2"/>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1460" w:type="dxa"/>
            <w:vAlign w:val="bottom"/>
            <w:gridSpan w:val="2"/>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December 2024</w:t>
            </w:r>
          </w:p>
        </w:tc>
        <w:tc>
          <w:tcPr>
            <w:tcW w:w="182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5"/>
                <w:szCs w:val="15"/>
                <w:color w:val="auto"/>
              </w:rPr>
              <w:t>—</w:t>
            </w:r>
          </w:p>
        </w:tc>
        <w:tc>
          <w:tcPr>
            <w:tcW w:w="17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428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480" w:type="dxa"/>
            <w:vAlign w:val="bottom"/>
            <w:tcBorders>
              <w:top w:val="single" w:sz="8" w:color="auto"/>
              <w:bottom w:val="single" w:sz="8" w:color="auto"/>
            </w:tcBorders>
          </w:tcPr>
          <w:p>
            <w:pPr>
              <w:ind w:left="1320"/>
              <w:spacing w:after="0"/>
              <w:rPr>
                <w:sz w:val="20"/>
                <w:szCs w:val="20"/>
                <w:color w:val="auto"/>
              </w:rPr>
            </w:pPr>
            <w:r>
              <w:rPr>
                <w:rFonts w:ascii="Times New Roman" w:cs="Times New Roman" w:eastAsia="Times New Roman" w:hAnsi="Times New Roman"/>
                <w:sz w:val="15"/>
                <w:szCs w:val="15"/>
                <w:color w:val="auto"/>
                <w:w w:val="93"/>
              </w:rPr>
              <w:t>—</w:t>
            </w:r>
          </w:p>
        </w:tc>
        <w:tc>
          <w:tcPr>
            <w:tcW w:w="3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80" w:type="dxa"/>
            <w:vAlign w:val="bottom"/>
            <w:tcBorders>
              <w:top w:val="single" w:sz="8" w:color="auto"/>
              <w:bottom w:val="single" w:sz="8" w:color="auto"/>
            </w:tcBorders>
          </w:tcPr>
          <w:p>
            <w:pPr>
              <w:ind w:left="1220"/>
              <w:spacing w:after="0"/>
              <w:rPr>
                <w:sz w:val="20"/>
                <w:szCs w:val="20"/>
                <w:color w:val="auto"/>
              </w:rPr>
            </w:pPr>
            <w:r>
              <w:rPr>
                <w:rFonts w:ascii="Times New Roman" w:cs="Times New Roman" w:eastAsia="Times New Roman" w:hAnsi="Times New Roman"/>
                <w:sz w:val="15"/>
                <w:szCs w:val="15"/>
                <w:color w:val="auto"/>
                <w:w w:val="93"/>
              </w:rPr>
              <w:t>—</w:t>
            </w:r>
          </w:p>
        </w:tc>
        <w:tc>
          <w:tcPr>
            <w:tcW w:w="340" w:type="dxa"/>
            <w:vAlign w:val="bottom"/>
          </w:tcPr>
          <w:p>
            <w:pPr>
              <w:spacing w:after="0"/>
              <w:rPr>
                <w:sz w:val="16"/>
                <w:szCs w:val="16"/>
                <w:color w:val="auto"/>
              </w:rPr>
            </w:pPr>
          </w:p>
        </w:tc>
        <w:tc>
          <w:tcPr>
            <w:tcW w:w="1460" w:type="dxa"/>
            <w:vAlign w:val="bottom"/>
            <w:tcBorders>
              <w:top w:val="single" w:sz="8" w:color="auto"/>
              <w:bottom w:val="single" w:sz="8" w:color="auto"/>
            </w:tcBorders>
          </w:tcPr>
          <w:p>
            <w:pPr>
              <w:ind w:left="1300"/>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36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5"/>
                <w:szCs w:val="15"/>
                <w:color w:val="auto"/>
                <w:w w:val="93"/>
              </w:rPr>
              <w:t>—</w:t>
            </w:r>
          </w:p>
        </w:tc>
        <w:tc>
          <w:tcPr>
            <w:tcW w:w="100" w:type="dxa"/>
            <w:vAlign w:val="bottom"/>
          </w:tcPr>
          <w:p>
            <w:pPr>
              <w:spacing w:after="0"/>
              <w:rPr>
                <w:sz w:val="16"/>
                <w:szCs w:val="16"/>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3"/>
        </w:trPr>
        <w:tc>
          <w:tcPr>
            <w:tcW w:w="42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5"/>
                <w:szCs w:val="15"/>
                <w:color w:val="auto"/>
              </w:rPr>
              <w:t>43</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5" w:right="319" w:bottom="1440" w:gutter="0" w:footer="0" w:header="0"/>
        </w:sectPr>
      </w:pPr>
    </w:p>
    <w:bookmarkStart w:id="47" w:name="page48"/>
    <w:bookmarkEnd w:id="47"/>
    <w:p>
      <w:pPr>
        <w:jc w:val="both"/>
        <w:ind w:firstLine="276"/>
        <w:spacing w:after="0" w:line="261" w:lineRule="auto"/>
        <w:rPr>
          <w:sz w:val="20"/>
          <w:szCs w:val="20"/>
          <w:color w:val="auto"/>
        </w:rPr>
      </w:pPr>
      <w:r>
        <w:rPr>
          <w:rFonts w:ascii="Times New Roman" w:cs="Times New Roman" w:eastAsia="Times New Roman" w:hAnsi="Times New Roman"/>
          <w:sz w:val="15"/>
          <w:szCs w:val="15"/>
          <w:color w:val="auto"/>
        </w:rPr>
        <w:t>On November 10, 2022, our board of directors authorized a Share Repurchase Program under which we may repurchase up to $5 million in outstanding shares of our Class A common stock, subject to ongoing compliance with Nasdaq listing rules. The program does not have a fixed expiration date. The share repurchases may be made from time to time through open market transactions, block trades, privately negotiated transactions or otherwise and are subject to market and business conditions, levels of available liquidity, cash requirements for other purposes, regulatory, and other relevant factors. All share repurchases settled in the fiscal years ended December 31, 2024 and 2023 were open market transactions. As of December 31, 2024,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 For more information regarding the Share Repurchase Program refer to Note 2—</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to our consolidated financial statements included in this Annual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6. [Reserved.]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7. Management’s Discussion and Analysis of Financial Condition and Results of Operations.</w:t>
      </w:r>
    </w:p>
    <w:p>
      <w:pPr>
        <w:spacing w:after="0" w:line="196" w:lineRule="exact"/>
        <w:rPr>
          <w:sz w:val="20"/>
          <w:szCs w:val="20"/>
          <w:color w:val="auto"/>
        </w:rPr>
      </w:pPr>
    </w:p>
    <w:p>
      <w:pPr>
        <w:jc w:val="both"/>
        <w:ind w:firstLine="276"/>
        <w:spacing w:after="0" w:line="270" w:lineRule="auto"/>
        <w:rPr>
          <w:sz w:val="20"/>
          <w:szCs w:val="20"/>
          <w:color w:val="auto"/>
        </w:rPr>
      </w:pPr>
      <w:r>
        <w:rPr>
          <w:rFonts w:ascii="Times New Roman" w:cs="Times New Roman" w:eastAsia="Times New Roman" w:hAnsi="Times New Roman"/>
          <w:sz w:val="15"/>
          <w:szCs w:val="15"/>
          <w:i w:val="1"/>
          <w:iCs w:val="1"/>
          <w:color w:val="auto"/>
        </w:rPr>
        <w:t>The following discussion and analysis should be read in conjunction with our consolidated financial statements and the related notes included elsewhere in this Annual Report on Form 10-K (the “Annual Report”). This discussion and analysis contains forward-looking statements that involve certain risks and uncertainties. Our actual results could differ materially from those discussed in these statements. Factors that could cause or contribute to these differences include those discussed below and elsewhere in this Annual Report, particularly under “Risk Factors,” in Part I, Item 1A of this Annual Report, and the “Cautionary Statement Regarding Forward-Looking Statements” section of this Annual Report</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Overview</w:t>
      </w:r>
    </w:p>
    <w:p>
      <w:pPr>
        <w:spacing w:after="0" w:line="200" w:lineRule="exact"/>
        <w:rPr>
          <w:sz w:val="20"/>
          <w:szCs w:val="20"/>
          <w:color w:val="auto"/>
        </w:rPr>
      </w:pPr>
    </w:p>
    <w:p>
      <w:pPr>
        <w:jc w:val="both"/>
        <w:ind w:firstLine="276"/>
        <w:spacing w:after="0" w:line="260" w:lineRule="auto"/>
        <w:rPr>
          <w:sz w:val="20"/>
          <w:szCs w:val="20"/>
          <w:color w:val="auto"/>
        </w:rPr>
      </w:pPr>
      <w:r>
        <w:rPr>
          <w:rFonts w:ascii="Times New Roman" w:cs="Times New Roman" w:eastAsia="Times New Roman" w:hAnsi="Times New Roman"/>
          <w:sz w:val="15"/>
          <w:szCs w:val="15"/>
          <w:color w:val="auto"/>
        </w:rPr>
        <w:t xml:space="preserve">Our mission is to provide high-quality entertainment experiences to audiences around the world. We are a leading, global independent developer and publisher of interactive digital entertainment for consumers around the world. We have built a premier portfolio of premium games designed for use on a variety of platforms, including consoles, PCs, and mobile devices.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has been a top-25 selling game on the Steam platform by gross revenue in each year we released an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DLC. Our expertise in technology, in-game ecosystems and monetization of online multiplayer games has enabled us to assemble a broad portfolio of intellectual property across multiple media formats and technology platforms. Our flagship franchise from which we generate the substantial majority of our revenues,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is a leader within the sandbox survival genre with 94.8 million console and PC installs through December 31, 2024 and repeated releases within the top-25 selling games on the Steam platform. See below for discussion of key performance metrics and non-GAAP measures. During the fiscal year ended December 31, 2024,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combined for an average total of 213,000 daily active users (“DAUs”) on the Steam and Epic platforms, as compared to 416,479 in the fiscal year ended December 31, 2023. We define “daily active users” as the number of unique users who play any given game on any given day. For the years ended December 31, 2024 and 2023, we generated 85.1% and 87.8%, respectively, of our revenues from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w:t>
      </w:r>
    </w:p>
    <w:p>
      <w:pPr>
        <w:spacing w:after="0" w:line="161"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 xml:space="preserve">Our dedication to providing audiences with high-quality entertainment experiences utilizing the latest gaming technology has produced strong user engagement, continued revenue growth, and increased cash flows. Through December 31, 2024,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game has been played for 3.9 billion hours with an average playing time per user of 162.1 hours and with the top 21.3% of all players spending over 100 hours in the game, according to data from the Steam platform. For the years ended December 31, 2024 and 2023, our net revenue was $84.5 million and $60.9 million, respectively. During the year ended December 31, 2024, approximately 42.4% of our revenue came from consoles, 48.1% from PC and 5.5% from mobile platforms as compared to 43.7% from consoles, 43.4% from PC and 9.6% from mobile platforms during the year ended December 31, 2023. For the year ended December 31, 2024 we had a net income of $1.8 million, as compared to net loss of $9.1 million for the year ended December 31, 2023.</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5"/>
          <w:szCs w:val="15"/>
          <w:b w:val="1"/>
          <w:bCs w:val="1"/>
          <w:color w:val="auto"/>
        </w:rPr>
        <w:t>Key Factors Affecting Our Business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There are a number of factors that affect the performance of our business, and the comparability of our results from period to period, including:</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Investments in our content strategy</w:t>
      </w:r>
    </w:p>
    <w:p>
      <w:pPr>
        <w:spacing w:after="0" w:line="200"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 xml:space="preserve">We continuously evaluate and invest in content strategy to improve and innovate our games and features and to develop current technological platforms. We are currently actively investing in expanding our gaming pipeline as well as developing media and eSports content related to our gaming intellectual property. We also continue to invest to grow our micro-influencer platform, </w:t>
      </w:r>
      <w:r>
        <w:rPr>
          <w:rFonts w:ascii="Times New Roman" w:cs="Times New Roman" w:eastAsia="Times New Roman" w:hAnsi="Times New Roman"/>
          <w:sz w:val="15"/>
          <w:szCs w:val="15"/>
          <w:i w:val="1"/>
          <w:iCs w:val="1"/>
          <w:color w:val="auto"/>
        </w:rPr>
        <w:t>NOIZ</w:t>
      </w:r>
      <w:r>
        <w:rPr>
          <w:rFonts w:ascii="Times New Roman" w:cs="Times New Roman" w:eastAsia="Times New Roman" w:hAnsi="Times New Roman"/>
          <w:sz w:val="15"/>
          <w:szCs w:val="15"/>
          <w:color w:val="auto"/>
        </w:rPr>
        <w:t>, by attracting new influencers and brand customers. We have established a new division internally under the Interactive Films brand. This division will focus on creating content in the vertical short film segment of the digital entertainment market. The mobile application has already soft launched on iOS and Android platforms. We have released thirty-one short film dramas to date and expect a consistent roll out of new short film dramas.</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Growth of user base</w:t>
      </w:r>
    </w:p>
    <w:p>
      <w:pPr>
        <w:spacing w:after="0" w:line="200"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 xml:space="preserve">We have experienced significant growth in our number of downloads over the last several years. We have sold 49.9 million units between January 1, 2016 and December 31, 2024. During the year ended December 31, 2024, we sold 4.7 million units compared to 6.3 million in the year ended December 31, 2023. Our video games provide highly engaging, differentiated entertainment experiences where the combination of challenge and progress drives player engagement, high average player times, and long-term franchise value. The success of our franchise hinges on our ability to keep our current players engaged while also growing our user base by innovating our platform and monetizing new offerings. The degree to which gamers are willing to engage with our platform is driven by our ability to create interactive and unique content that will enhance the game-play experience. We sell DLCs which are supplementary to our master games and expand the gaming universe to continuously evolve the game and retain players. Our master games are the base versions of a specific title, for example,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is our master game and </w:t>
      </w:r>
      <w:r>
        <w:rPr>
          <w:rFonts w:ascii="Times New Roman" w:cs="Times New Roman" w:eastAsia="Times New Roman" w:hAnsi="Times New Roman"/>
          <w:sz w:val="15"/>
          <w:szCs w:val="15"/>
          <w:i w:val="1"/>
          <w:iCs w:val="1"/>
          <w:color w:val="auto"/>
        </w:rPr>
        <w:t>ARK: Genesis</w:t>
      </w:r>
      <w:r>
        <w:rPr>
          <w:rFonts w:ascii="Times New Roman" w:cs="Times New Roman" w:eastAsia="Times New Roman" w:hAnsi="Times New Roman"/>
          <w:sz w:val="15"/>
          <w:szCs w:val="15"/>
          <w:color w:val="auto"/>
        </w:rPr>
        <w:t xml:space="preserve"> is a DLC.</w:t>
      </w:r>
    </w:p>
    <w:p>
      <w:pPr>
        <w:spacing w:after="0" w:line="156"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While we believe we have a significant opportunity to grow our installed base, we anticipate that our overall user growth rate will fluctuate over time as we continue to release new master games and companion DLCs. Download rates and user engagement may increase or decrease based on other factors such as growth in console, PC and mobile games, ability to release content, market effectively and distribute to users.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Investments in our technology platform</w:t>
      </w:r>
    </w:p>
    <w:p>
      <w:pPr>
        <w:spacing w:after="0" w:line="200"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color w:val="auto"/>
        </w:rPr>
        <w:t xml:space="preserve">We are focused on innovation and technology leadership in order to maintain our competitive advantage. We spend a portion of our capital on our research and development platform to continuously improve our technological offerings and gaming platform. Our proprietary video game technology includes a versatile game engine, development pipeline tools, advanced rendering technology and advanced server and network operations. Continued investment in improving the technology behind our existing gaming platforms as well as developing new software tools for new product offerings is important to maintaining our strategic goals, developer and creator talent, and financial objectives. For us to continue providing cutting-edge technology to our users and bringing digital interactive entertainment to market, we must also continue to invest in developmental and creative resources. For our users, we regularly invest in user-friendly features and enhance user experience in our games and platforms. As our industry moves towards increased use of cloud gaming and gaming as a service technology, our ability to bring interactive technologies to market will be an increasingly important part of our business. To accompany our entry into the vertical short film market, we have developed a distribution platform, the </w:t>
      </w:r>
      <w:r>
        <w:rPr>
          <w:rFonts w:ascii="Times New Roman" w:cs="Times New Roman" w:eastAsia="Times New Roman" w:hAnsi="Times New Roman"/>
          <w:sz w:val="15"/>
          <w:szCs w:val="15"/>
          <w:i w:val="1"/>
          <w:iCs w:val="1"/>
          <w:color w:val="auto"/>
        </w:rPr>
        <w:t>Salty TV</w:t>
      </w:r>
      <w:r>
        <w:rPr>
          <w:rFonts w:ascii="Times New Roman" w:cs="Times New Roman" w:eastAsia="Times New Roman" w:hAnsi="Times New Roman"/>
          <w:sz w:val="15"/>
          <w:szCs w:val="15"/>
          <w:color w:val="auto"/>
        </w:rPr>
        <w:t xml:space="preserve"> mobile application that allows users to access the content on demand.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49" w:name="page50"/>
    <w:bookmarkEnd w:id="49"/>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Ability to release content, market effectively through cross media and expand the gaming group</w:t>
      </w:r>
    </w:p>
    <w:p>
      <w:pPr>
        <w:spacing w:after="0" w:line="200"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Establishing and maintaining a loyal network of players for our premium games is vital for our business and drives revenue growth. To grow and maintain our player base, we invest in developing new games to attract and engage players, and in providing existing audiences with proven content in the form of new DLCs. In the near-term, we may increase spending on original content creation with new studios, and on sales and marketing as a percentage of revenue to grow our player network. The scale of our player base is determined by a number of factors, including our ability to strengthen player engagement by producing content that players play regularly and our effectiveness in attracting new players, both of which may in turn affect our financial performance.</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Strategic relationship with developers, Studio Wildcard &amp; Suzhou Snail</w:t>
      </w:r>
    </w:p>
    <w:p>
      <w:pPr>
        <w:spacing w:after="0" w:line="200"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 xml:space="preserve">We have grown and expect to continue to grow our business by collaborating with game studios that we believe can benefit from our team’s decades of experience developing successful games. We have strategic relationships with many developer studios that create original content for us. The relationships allow for valuable knowledge sharing between Suzhou Snail, a related party, and the developer studios. We enjoy a long-term relationship with Studio Wildcard, a related party, which develops our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We have an exclusive license with Studio Wildcard for rights to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and we work with them and our other studio developer partners to provide ongoing support across numerous aspects of game development. Our financial results may be affected by our relationship with game studios, including Studio Wildcard, and our ability to create self-developed titles.</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Relationship with third party distribution platforms</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We derive nearly all of our revenue from third-party distribution platforms, these include but are not limited to, Xbox Live and Game Pass, PlayStation Network, Steam, Epic Games Store, the Apple App Store, the Google Play Store, My Nintendo Store and the Amazon Appstore. These digital distribution platforms have policies that may impact our reachability to our potential audience, including the discretion to amend their terms of service, which could affect our current operations and our financial performance. As we expand to new markets, we anticipate similar relationships with additional distribution partners that could similarly impact our performance.</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Seasonality</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We experience fluctuations in quarterly and annual operating results as a result of the timing of the introduction of new titles, variations in sales of titles developed for particular platforms, market acceptance of our titles, development and promotional activities relating to the introduction of new titles, releases of expansion packs and DLCs, and to coincide with the global holiday season in the fourth and first quarters of each year. Seasonality in our revenue also tends to coincide with promotional cycles on platforms, typically on a quarterly basis.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Recent Developments</w:t>
      </w:r>
    </w:p>
    <w:p>
      <w:pPr>
        <w:spacing w:after="0" w:line="200"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In December 2024, we released the highly anticipated next-gen ARK mobile game, ARK Ultimate Mobile Edition on iOS and Android platforms. In the launch month, over 2 million users downloaded the mobile game across the two mobile platforms. In an effort to further broaden our game portfolio. In 2024, we acquired eleven games through our gaming network and partners. We expect to release nine acquired games in 2025. A few notable titles include Honeycomb: The World Beyond – A sci-fi survival adventure where players assume the role of a bioengineer navigating the mysterious planet Sota7, Echoes of Elysium – an airship survival RPG set in a breathtaking procedural world of mystery and discovery, and Robots at Midnight – a retro-futuristic action-RPG aiming to captivate players with its dynamic gameplay and immersive storytelling.</w:t>
      </w:r>
    </w:p>
    <w:p>
      <w:pPr>
        <w:spacing w:after="0" w:line="153"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To bring more entertainment to our users, we have soft launched a short film mobile application on iOS and Android platforms. The short film mobile application, SaltyTV, brings exclusive, original stories from heart-racing thrillers to jaw-dropping romances to our viewers. We have released thirty-nine short film dramas to date and expect a consistent roll out of new short film dramas throughout 2025 and beyond.</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5"/>
          <w:szCs w:val="15"/>
          <w:b w:val="1"/>
          <w:bCs w:val="1"/>
          <w:color w:val="auto"/>
        </w:rPr>
        <w:t>Components of Results of Operations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200"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color w:val="auto"/>
        </w:rPr>
        <w:t>We primarily derive revenue from the sale of our games through various gaming platforms. Through these platforms, users can download our games and, for certain games, purchase virtual items to enhance their game-playing experience. We offer certain software products through third-party digital storefronts, such as Xbox Live and Game Pass, PlayStation Network, Steam, Epic Games Store, the Apple App Store, the Google Play Store, My Nintendo Store and the Amazon Appstore, and certain retail distributors. For sales arrangements through Xbox Live and Game Pass, PlayStation Network, Steam, Epic Game Stores, My Nintendo Store and retail distributors, the digital platforms and distributors have discretion in establishing the price for the specified good or service, and we have determined we are the agent in the sales transaction to the end user and therefore report revenue on a net basis based on the consideration received from the digital storefront. For sales arrangements through the Apple App Store and the Google Play Store, we have discretion in establishing the price for the specified good or service and have determined that we are the principal to the end user and therefore report revenue on a gross basis. Mobile platform fees charged by these digital storefronts are expensed as incurred and reported within cost of revenue as merchant fees.</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We record deferred revenue when payments are due or received in advance of the fulfillment of our associated performance obligations.</w:t>
      </w:r>
    </w:p>
    <w:p>
      <w:pPr>
        <w:spacing w:after="0" w:line="19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200" w:lineRule="exact"/>
        <w:rPr>
          <w:sz w:val="20"/>
          <w:szCs w:val="20"/>
          <w:color w:val="auto"/>
        </w:rPr>
      </w:pPr>
    </w:p>
    <w:p>
      <w:pPr>
        <w:jc w:val="both"/>
        <w:ind w:right="20" w:firstLine="276"/>
        <w:spacing w:after="0" w:line="274" w:lineRule="auto"/>
        <w:rPr>
          <w:sz w:val="20"/>
          <w:szCs w:val="20"/>
          <w:color w:val="auto"/>
        </w:rPr>
      </w:pPr>
      <w:r>
        <w:rPr>
          <w:rFonts w:ascii="Times New Roman" w:cs="Times New Roman" w:eastAsia="Times New Roman" w:hAnsi="Times New Roman"/>
          <w:sz w:val="15"/>
          <w:szCs w:val="15"/>
          <w:color w:val="auto"/>
        </w:rPr>
        <w:t xml:space="preserve">Cost of revenues includes license royalty fees, merchant fees, engine fees, server and database cost centers, game licenses and license right amortization. For a description of our licensing arrangements, please see Note 2 -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to our consolidated financial statements included in this Annual Report. We generally expect cost of revenues to fluctuate proportionately with revenues.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w:t>
      </w:r>
    </w:p>
    <w:p>
      <w:pPr>
        <w:spacing w:after="0" w:line="200"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General and administrative expenses include rent expense, salaries, stock-based compensation, legal and professional expenses, administrative internet and server expenses, contract costs, insurance expenses, license and permits, other taxes and travel expenses. We expect salaries and wages to increase as we increase headcount as we expand our product offerings. Stock-based compensation will be recorded within research and development and general and administrative expense. We also record legal settlement expenses as components of general and administrative expenses. We expect general and administrative expenses will increase in absolute dollars due to the additional administrative and regulatory burden of becoming and operating as a public company and the inflationary pressures of recent years.</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200"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Research and development consists primarily of consulting expenses and salaries and wages devoted towards the development of new games and related technologies and development costs outsourced through Suzhou Snail. We do not fund or enter into arrangements relating to the research and development activities from third-party developers from whom we license games. We expect our research and development to increase as we develop new content, games or technologies.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marketing</w:t>
      </w:r>
    </w:p>
    <w:p>
      <w:pPr>
        <w:spacing w:after="0" w:line="200" w:lineRule="exact"/>
        <w:rPr>
          <w:sz w:val="20"/>
          <w:szCs w:val="20"/>
          <w:color w:val="auto"/>
        </w:rPr>
      </w:pPr>
    </w:p>
    <w:p>
      <w:pPr>
        <w:jc w:val="both"/>
        <w:ind w:right="20" w:firstLine="276"/>
        <w:spacing w:after="0" w:line="268" w:lineRule="auto"/>
        <w:rPr>
          <w:sz w:val="20"/>
          <w:szCs w:val="20"/>
          <w:color w:val="auto"/>
        </w:rPr>
      </w:pPr>
      <w:r>
        <w:rPr>
          <w:rFonts w:ascii="Times New Roman" w:cs="Times New Roman" w:eastAsia="Times New Roman" w:hAnsi="Times New Roman"/>
          <w:sz w:val="15"/>
          <w:szCs w:val="15"/>
          <w:color w:val="auto"/>
        </w:rPr>
        <w:t>Advertising and marketing consists of costs related to advertising and user acquisition efforts, including payments to third-party marketing agencies. We occasionally offer our early access trial, through which we sell our games that are in development and testing. The early access trial allows us to both monetize and receive feedback on how to improve our games over time. We plan to continue to invest in advertising and marketing to retain and acquire players. However, sales and marketing expenses may fluctuate as a percentage of revenues depending on the timing and efficiency of our marketing efforts.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51" w:name="page52"/>
    <w:bookmarkEnd w:id="51"/>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Provision for (benefit from) income taxes</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provision for income taxes consists of current income taxes in the various jurisdictions where we are subject to taxation, primarily the United States, as well as deferred income taxes reflecting the net tax effects of temporary differences between the carrying amounts of assets and liabilities in each of these jurisdictions for financial reporting purposes and the amounts used for income tax purposes. Under current U.S. tax law, the federal statutory tax rate applicable to corporations is 21%. Our effective tax rate of 25.7% differed from the federal statutory rate of 21% primarily due to the foreign research and development deduction, permanent differences, change in valuation allowance, and change in warrant valuation.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Results of Operations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Comparison of the year ended December 31, 2024 versus the year ended December 31,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80" w:type="dxa"/>
            <w:vAlign w:val="bottom"/>
            <w:gridSpan w:val="3"/>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Years ended</w:t>
            </w: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3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0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7"/>
        </w:trPr>
        <w:tc>
          <w:tcPr>
            <w:tcW w:w="3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40" w:type="dxa"/>
            <w:vAlign w:val="bottom"/>
            <w:gridSpan w:val="2"/>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6"/>
        </w:trPr>
        <w:tc>
          <w:tcPr>
            <w:tcW w:w="3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net</w:t>
            </w:r>
          </w:p>
        </w:tc>
        <w:tc>
          <w:tcPr>
            <w:tcW w:w="2200" w:type="dxa"/>
            <w:vAlign w:val="bottom"/>
            <w:gridSpan w:val="2"/>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84.5</w:t>
            </w:r>
          </w:p>
        </w:tc>
        <w:tc>
          <w:tcPr>
            <w:tcW w:w="4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60.9</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23.6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38.7%</w:t>
            </w:r>
          </w:p>
        </w:tc>
      </w:tr>
      <w:tr>
        <w:trPr>
          <w:trHeight w:val="196"/>
        </w:trPr>
        <w:tc>
          <w:tcPr>
            <w:tcW w:w="3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Cost of revenues</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54.2</w:t>
            </w:r>
          </w:p>
        </w:tc>
        <w:tc>
          <w:tcPr>
            <w:tcW w:w="420" w:type="dxa"/>
            <w:vAlign w:val="bottom"/>
          </w:tcPr>
          <w:p>
            <w:pPr>
              <w:spacing w:after="0"/>
              <w:rPr>
                <w:sz w:val="17"/>
                <w:szCs w:val="17"/>
                <w:color w:val="auto"/>
              </w:rPr>
            </w:pPr>
          </w:p>
        </w:tc>
        <w:tc>
          <w:tcPr>
            <w:tcW w:w="1340" w:type="dxa"/>
            <w:vAlign w:val="bottom"/>
            <w:gridSpan w:val="2"/>
          </w:tcPr>
          <w:p>
            <w:pPr>
              <w:jc w:val="right"/>
              <w:ind w:right="243"/>
              <w:spacing w:after="0"/>
              <w:rPr>
                <w:sz w:val="20"/>
                <w:szCs w:val="20"/>
                <w:color w:val="auto"/>
              </w:rPr>
            </w:pPr>
            <w:r>
              <w:rPr>
                <w:rFonts w:ascii="Times New Roman" w:cs="Times New Roman" w:eastAsia="Times New Roman" w:hAnsi="Times New Roman"/>
                <w:sz w:val="15"/>
                <w:szCs w:val="15"/>
                <w:color w:val="auto"/>
              </w:rPr>
              <w:t>48.3</w:t>
            </w:r>
          </w:p>
        </w:tc>
        <w:tc>
          <w:tcPr>
            <w:tcW w:w="320" w:type="dxa"/>
            <w:vAlign w:val="bottom"/>
          </w:tcPr>
          <w:p>
            <w:pPr>
              <w:spacing w:after="0"/>
              <w:rPr>
                <w:sz w:val="17"/>
                <w:szCs w:val="17"/>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5.9</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12.3%</w:t>
            </w:r>
          </w:p>
        </w:tc>
      </w:tr>
      <w:tr>
        <w:trPr>
          <w:trHeight w:val="176"/>
        </w:trPr>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11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30.3</w:t>
            </w:r>
          </w:p>
        </w:tc>
        <w:tc>
          <w:tcPr>
            <w:tcW w:w="3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12.6</w:t>
            </w: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17.7</w:t>
            </w:r>
          </w:p>
        </w:tc>
        <w:tc>
          <w:tcPr>
            <w:tcW w:w="3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140.0</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3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1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1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12.9</w:t>
            </w:r>
          </w:p>
        </w:tc>
        <w:tc>
          <w:tcPr>
            <w:tcW w:w="4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15.8</w:t>
            </w: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(2.9)</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(18.6)%</w:t>
            </w:r>
          </w:p>
        </w:tc>
      </w:tr>
      <w:tr>
        <w:trPr>
          <w:trHeight w:val="184"/>
        </w:trPr>
        <w:tc>
          <w:tcPr>
            <w:tcW w:w="3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1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11.6</w:t>
            </w:r>
          </w:p>
        </w:tc>
        <w:tc>
          <w:tcPr>
            <w:tcW w:w="420" w:type="dxa"/>
            <w:vAlign w:val="bottom"/>
          </w:tcPr>
          <w:p>
            <w:pPr>
              <w:spacing w:after="0"/>
              <w:rPr>
                <w:sz w:val="16"/>
                <w:szCs w:val="16"/>
                <w:color w:val="auto"/>
              </w:rPr>
            </w:pPr>
          </w:p>
        </w:tc>
        <w:tc>
          <w:tcPr>
            <w:tcW w:w="1340" w:type="dxa"/>
            <w:vAlign w:val="bottom"/>
            <w:gridSpan w:val="2"/>
          </w:tcPr>
          <w:p>
            <w:pPr>
              <w:jc w:val="right"/>
              <w:ind w:right="243"/>
              <w:spacing w:after="0"/>
              <w:rPr>
                <w:sz w:val="20"/>
                <w:szCs w:val="20"/>
                <w:color w:val="auto"/>
              </w:rPr>
            </w:pPr>
            <w:r>
              <w:rPr>
                <w:rFonts w:ascii="Times New Roman" w:cs="Times New Roman" w:eastAsia="Times New Roman" w:hAnsi="Times New Roman"/>
                <w:sz w:val="15"/>
                <w:szCs w:val="15"/>
                <w:color w:val="auto"/>
              </w:rPr>
              <w:t>5.1</w:t>
            </w:r>
          </w:p>
        </w:tc>
        <w:tc>
          <w:tcPr>
            <w:tcW w:w="320" w:type="dxa"/>
            <w:vAlign w:val="bottom"/>
          </w:tcPr>
          <w:p>
            <w:pPr>
              <w:spacing w:after="0"/>
              <w:rPr>
                <w:sz w:val="16"/>
                <w:szCs w:val="16"/>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6.5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130.3%</w:t>
            </w:r>
          </w:p>
        </w:tc>
      </w:tr>
      <w:tr>
        <w:trPr>
          <w:trHeight w:val="184"/>
        </w:trPr>
        <w:tc>
          <w:tcPr>
            <w:tcW w:w="3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Advertising and marketing</w:t>
            </w:r>
          </w:p>
        </w:tc>
        <w:tc>
          <w:tcPr>
            <w:tcW w:w="1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1.5</w:t>
            </w:r>
          </w:p>
        </w:tc>
        <w:tc>
          <w:tcPr>
            <w:tcW w:w="4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1.6</w:t>
            </w: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(0.1)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96"/>
        </w:trPr>
        <w:tc>
          <w:tcPr>
            <w:tcW w:w="312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0.4</w:t>
            </w:r>
          </w:p>
        </w:tc>
        <w:tc>
          <w:tcPr>
            <w:tcW w:w="420" w:type="dxa"/>
            <w:vAlign w:val="bottom"/>
          </w:tcPr>
          <w:p>
            <w:pPr>
              <w:spacing w:after="0"/>
              <w:rPr>
                <w:sz w:val="17"/>
                <w:szCs w:val="17"/>
                <w:color w:val="auto"/>
              </w:rPr>
            </w:pPr>
          </w:p>
        </w:tc>
        <w:tc>
          <w:tcPr>
            <w:tcW w:w="1340" w:type="dxa"/>
            <w:vAlign w:val="bottom"/>
            <w:gridSpan w:val="2"/>
          </w:tcPr>
          <w:p>
            <w:pPr>
              <w:jc w:val="right"/>
              <w:ind w:right="243"/>
              <w:spacing w:after="0"/>
              <w:rPr>
                <w:sz w:val="20"/>
                <w:szCs w:val="20"/>
                <w:color w:val="auto"/>
              </w:rPr>
            </w:pPr>
            <w:r>
              <w:rPr>
                <w:rFonts w:ascii="Times New Roman" w:cs="Times New Roman" w:eastAsia="Times New Roman" w:hAnsi="Times New Roman"/>
                <w:sz w:val="15"/>
                <w:szCs w:val="15"/>
                <w:color w:val="auto"/>
              </w:rPr>
              <w:t>0.4</w:t>
            </w:r>
          </w:p>
        </w:tc>
        <w:tc>
          <w:tcPr>
            <w:tcW w:w="320" w:type="dxa"/>
            <w:vAlign w:val="bottom"/>
          </w:tcPr>
          <w:p>
            <w:pPr>
              <w:spacing w:after="0"/>
              <w:rPr>
                <w:sz w:val="17"/>
                <w:szCs w:val="17"/>
                <w:color w:val="auto"/>
              </w:rPr>
            </w:pPr>
          </w:p>
        </w:tc>
        <w:tc>
          <w:tcPr>
            <w:tcW w:w="14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(29.7)%</w:t>
            </w:r>
          </w:p>
        </w:tc>
      </w:tr>
      <w:tr>
        <w:trPr>
          <w:trHeight w:val="176"/>
        </w:trPr>
        <w:tc>
          <w:tcPr>
            <w:tcW w:w="312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116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spacing w:after="0"/>
              <w:rPr>
                <w:sz w:val="15"/>
                <w:szCs w:val="15"/>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26.4</w:t>
            </w:r>
          </w:p>
        </w:tc>
        <w:tc>
          <w:tcPr>
            <w:tcW w:w="3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22.9</w:t>
            </w:r>
          </w:p>
        </w:tc>
        <w:tc>
          <w:tcPr>
            <w:tcW w:w="3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3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r>
      <w:tr>
        <w:trPr>
          <w:trHeight w:val="187"/>
        </w:trPr>
        <w:tc>
          <w:tcPr>
            <w:tcW w:w="312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Income (loss) from operations</w:t>
            </w:r>
          </w:p>
        </w:tc>
        <w:tc>
          <w:tcPr>
            <w:tcW w:w="1160" w:type="dxa"/>
            <w:vAlign w:val="bottom"/>
          </w:tcPr>
          <w:p>
            <w:pPr>
              <w:spacing w:after="0"/>
              <w:rPr>
                <w:sz w:val="16"/>
                <w:szCs w:val="16"/>
                <w:color w:val="auto"/>
              </w:rPr>
            </w:pPr>
          </w:p>
        </w:tc>
        <w:tc>
          <w:tcPr>
            <w:tcW w:w="104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3.9</w:t>
            </w:r>
          </w:p>
        </w:tc>
        <w:tc>
          <w:tcPr>
            <w:tcW w:w="320" w:type="dxa"/>
            <w:vAlign w:val="bottom"/>
          </w:tcPr>
          <w:p>
            <w:pPr>
              <w:spacing w:after="0"/>
              <w:rPr>
                <w:sz w:val="16"/>
                <w:szCs w:val="16"/>
                <w:color w:val="auto"/>
              </w:rPr>
            </w:pPr>
          </w:p>
        </w:tc>
        <w:tc>
          <w:tcPr>
            <w:tcW w:w="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(10.3</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3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14.2</w:t>
            </w:r>
          </w:p>
        </w:tc>
        <w:tc>
          <w:tcPr>
            <w:tcW w:w="320" w:type="dxa"/>
            <w:vAlign w:val="bottom"/>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137.8</w:t>
            </w:r>
          </w:p>
        </w:tc>
        <w:tc>
          <w:tcPr>
            <w:tcW w:w="1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w:t>
            </w:r>
          </w:p>
        </w:tc>
      </w:tr>
      <w:tr>
        <w:trPr>
          <w:trHeight w:val="20"/>
        </w:trPr>
        <w:tc>
          <w:tcPr>
            <w:tcW w:w="3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43"/>
        </w:trPr>
        <w:tc>
          <w:tcPr>
            <w:tcW w:w="3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w:t>
            </w: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5" w:right="319" w:bottom="1440" w:gutter="0" w:footer="0" w:header="0"/>
        </w:sectPr>
      </w:pPr>
    </w:p>
    <w:bookmarkStart w:id="52" w:name="page53"/>
    <w:bookmarkEnd w:id="52"/>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Revenues</w:t>
      </w:r>
    </w:p>
    <w:p>
      <w:pPr>
        <w:spacing w:after="0" w:line="200"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 xml:space="preserve">Net revenues for the year ended December 31, 2024 increased by $23.6 million, or 38.7%, compared to the year ended December 31, 2023. The increase in net revenues was due to an increase in recognition of deferred revenues of $32.2 million related to the Ark franchise, an increase in sales </w:t>
      </w:r>
      <w:r>
        <w:rPr>
          <w:rFonts w:ascii="Times New Roman" w:cs="Times New Roman" w:eastAsia="Times New Roman" w:hAnsi="Times New Roman"/>
          <w:sz w:val="15"/>
          <w:szCs w:val="15"/>
          <w:i w:val="1"/>
          <w:iCs w:val="1"/>
          <w:color w:val="auto"/>
        </w:rPr>
        <w:t>Bellwright</w:t>
      </w:r>
      <w:r>
        <w:rPr>
          <w:rFonts w:ascii="Times New Roman" w:cs="Times New Roman" w:eastAsia="Times New Roman" w:hAnsi="Times New Roman"/>
          <w:sz w:val="15"/>
          <w:szCs w:val="15"/>
          <w:color w:val="auto"/>
        </w:rPr>
        <w:t xml:space="preserve"> of $5.9 million, partially offset by a decrease in total Ark sales of $13.0 million, a decrease in Ark Mobile sales of $1.0 million and a decrease in the Company’s other titles of $0.7 million.</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Cost of revenues for the year ended December 31, 2024 increased by $5.9 million, or 12.3%, compared to the year ended December 31, 2023.</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Cost of revenues for the years ended December 31, 2024 and 2023 comprised the following:</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780" w:type="dxa"/>
            <w:vAlign w:val="bottom"/>
            <w:gridSpan w:val="3"/>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Years ended</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3"/>
        </w:trPr>
        <w:tc>
          <w:tcPr>
            <w:tcW w:w="3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3"/>
          </w:tcPr>
          <w:p>
            <w:pPr>
              <w:jc w:val="right"/>
              <w:ind w:right="66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4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7"/>
        </w:trPr>
        <w:tc>
          <w:tcPr>
            <w:tcW w:w="3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640" w:type="dxa"/>
            <w:vAlign w:val="bottom"/>
            <w:gridSpan w:val="3"/>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6"/>
        </w:trPr>
        <w:tc>
          <w:tcPr>
            <w:tcW w:w="3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8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license royalties - related parties</w:t>
            </w:r>
          </w:p>
        </w:tc>
        <w:tc>
          <w:tcPr>
            <w:tcW w:w="1900" w:type="dxa"/>
            <w:vAlign w:val="bottom"/>
            <w:gridSpan w:val="2"/>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19.9</w:t>
            </w:r>
          </w:p>
        </w:tc>
        <w:tc>
          <w:tcPr>
            <w:tcW w:w="102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14.4</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5.5</w:t>
            </w: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38.3%</w:t>
            </w:r>
          </w:p>
        </w:tc>
      </w:tr>
      <w:tr>
        <w:trPr>
          <w:trHeight w:val="184"/>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Software license royalties</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0.6</w:t>
            </w:r>
          </w:p>
        </w:tc>
        <w:tc>
          <w:tcPr>
            <w:tcW w:w="1020" w:type="dxa"/>
            <w:vAlign w:val="bottom"/>
          </w:tcPr>
          <w:p>
            <w:pPr>
              <w:spacing w:after="0"/>
              <w:rPr>
                <w:sz w:val="16"/>
                <w:szCs w:val="16"/>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1.1</w:t>
            </w:r>
          </w:p>
        </w:tc>
        <w:tc>
          <w:tcPr>
            <w:tcW w:w="3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(0.5)</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(49.1)%</w:t>
            </w:r>
          </w:p>
        </w:tc>
      </w:tr>
      <w:tr>
        <w:trPr>
          <w:trHeight w:val="18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License and amortization - related parties</w:t>
            </w:r>
          </w:p>
        </w:tc>
        <w:tc>
          <w:tcPr>
            <w:tcW w:w="8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24.0</w:t>
            </w:r>
          </w:p>
        </w:tc>
        <w:tc>
          <w:tcPr>
            <w:tcW w:w="10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20.5</w:t>
            </w: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3.5</w:t>
            </w:r>
          </w:p>
        </w:tc>
        <w:tc>
          <w:tcPr>
            <w:tcW w:w="1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17.1%</w:t>
            </w:r>
          </w:p>
        </w:tc>
      </w:tr>
      <w:tr>
        <w:trPr>
          <w:trHeight w:val="184"/>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Merchant fees</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0.9</w:t>
            </w:r>
          </w:p>
        </w:tc>
        <w:tc>
          <w:tcPr>
            <w:tcW w:w="1020" w:type="dxa"/>
            <w:vAlign w:val="bottom"/>
          </w:tcPr>
          <w:p>
            <w:pPr>
              <w:spacing w:after="0"/>
              <w:rPr>
                <w:sz w:val="16"/>
                <w:szCs w:val="16"/>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1.4</w:t>
            </w:r>
          </w:p>
        </w:tc>
        <w:tc>
          <w:tcPr>
            <w:tcW w:w="3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(0.5)</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(34.9)%</w:t>
            </w:r>
          </w:p>
        </w:tc>
      </w:tr>
      <w:tr>
        <w:trPr>
          <w:trHeight w:val="184"/>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Engine fees</w:t>
            </w:r>
          </w:p>
        </w:tc>
        <w:tc>
          <w:tcPr>
            <w:tcW w:w="8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3.8</w:t>
            </w:r>
          </w:p>
        </w:tc>
        <w:tc>
          <w:tcPr>
            <w:tcW w:w="10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4.3</w:t>
            </w:r>
          </w:p>
        </w:tc>
        <w:tc>
          <w:tcPr>
            <w:tcW w:w="32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(0.5)</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w:t>
            </w:r>
          </w:p>
        </w:tc>
      </w:tr>
      <w:tr>
        <w:trPr>
          <w:trHeight w:val="184"/>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Internet, server and data center</w:t>
            </w:r>
          </w:p>
        </w:tc>
        <w:tc>
          <w:tcPr>
            <w:tcW w:w="8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4.9</w:t>
            </w:r>
          </w:p>
        </w:tc>
        <w:tc>
          <w:tcPr>
            <w:tcW w:w="1020" w:type="dxa"/>
            <w:vAlign w:val="bottom"/>
          </w:tcPr>
          <w:p>
            <w:pPr>
              <w:spacing w:after="0"/>
              <w:rPr>
                <w:sz w:val="16"/>
                <w:szCs w:val="16"/>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6.5</w:t>
            </w:r>
          </w:p>
        </w:tc>
        <w:tc>
          <w:tcPr>
            <w:tcW w:w="3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(1.6)</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(23.3)%</w:t>
            </w:r>
          </w:p>
        </w:tc>
      </w:tr>
      <w:tr>
        <w:trPr>
          <w:trHeight w:val="196"/>
        </w:trPr>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Costs related to other revenues</w:t>
            </w:r>
          </w:p>
        </w:tc>
        <w:tc>
          <w:tcPr>
            <w:tcW w:w="8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0.1</w:t>
            </w:r>
          </w:p>
        </w:tc>
        <w:tc>
          <w:tcPr>
            <w:tcW w:w="10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0.1</w:t>
            </w:r>
          </w:p>
        </w:tc>
        <w:tc>
          <w:tcPr>
            <w:tcW w:w="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1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(56.5)%</w:t>
            </w:r>
          </w:p>
        </w:tc>
      </w:tr>
      <w:tr>
        <w:trPr>
          <w:trHeight w:val="187"/>
        </w:trPr>
        <w:tc>
          <w:tcPr>
            <w:tcW w:w="342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860" w:type="dxa"/>
            <w:vAlign w:val="bottom"/>
          </w:tcPr>
          <w:p>
            <w:pPr>
              <w:spacing w:after="0"/>
              <w:rPr>
                <w:sz w:val="16"/>
                <w:szCs w:val="16"/>
                <w:color w:val="auto"/>
              </w:rPr>
            </w:pPr>
          </w:p>
        </w:tc>
        <w:tc>
          <w:tcPr>
            <w:tcW w:w="1040" w:type="dxa"/>
            <w:vAlign w:val="bottom"/>
            <w:tcBorders>
              <w:top w:val="single" w:sz="8" w:color="auto"/>
            </w:tcBorders>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54.2</w:t>
            </w:r>
          </w:p>
        </w:tc>
        <w:tc>
          <w:tcPr>
            <w:tcW w:w="320" w:type="dxa"/>
            <w:vAlign w:val="bottom"/>
          </w:tcPr>
          <w:p>
            <w:pPr>
              <w:spacing w:after="0"/>
              <w:rPr>
                <w:sz w:val="16"/>
                <w:szCs w:val="16"/>
                <w:color w:val="auto"/>
              </w:rPr>
            </w:pPr>
          </w:p>
        </w:tc>
        <w:tc>
          <w:tcPr>
            <w:tcW w:w="1020" w:type="dxa"/>
            <w:vAlign w:val="bottom"/>
            <w:tcBorders>
              <w:top w:val="single" w:sz="8" w:color="auto"/>
            </w:tcBorders>
          </w:tcPr>
          <w:p>
            <w:pPr>
              <w:jc w:val="right"/>
              <w:ind w:right="863"/>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48.3</w:t>
            </w:r>
          </w:p>
        </w:tc>
        <w:tc>
          <w:tcPr>
            <w:tcW w:w="320" w:type="dxa"/>
            <w:vAlign w:val="bottom"/>
          </w:tcPr>
          <w:p>
            <w:pPr>
              <w:spacing w:after="0"/>
              <w:rPr>
                <w:sz w:val="16"/>
                <w:szCs w:val="16"/>
                <w:color w:val="auto"/>
              </w:rPr>
            </w:pPr>
          </w:p>
        </w:tc>
        <w:tc>
          <w:tcPr>
            <w:tcW w:w="320" w:type="dxa"/>
            <w:vAlign w:val="bottom"/>
            <w:tcBorders>
              <w:top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w:t>
            </w:r>
          </w:p>
        </w:tc>
        <w:tc>
          <w:tcPr>
            <w:tcW w:w="320" w:type="dxa"/>
            <w:vAlign w:val="bottom"/>
          </w:tcPr>
          <w:p>
            <w:pPr>
              <w:spacing w:after="0"/>
              <w:rPr>
                <w:sz w:val="16"/>
                <w:szCs w:val="16"/>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w w:val="79"/>
              </w:rPr>
              <w:t>%</w:t>
            </w:r>
          </w:p>
        </w:tc>
      </w:tr>
      <w:tr>
        <w:trPr>
          <w:trHeight w:val="20"/>
        </w:trPr>
        <w:tc>
          <w:tcPr>
            <w:tcW w:w="3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 xml:space="preserve">The increase in cost of revenues for the year ended December 31, 2024 was due to an increase of $5.5 million in software license royalties – related parties, a result of increased deferred royalty recognition related to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an increase of $3.5 million in license and amortization – related parties due to the increased license fee paid to SDE partially offset by lower amortization expense due to a lower depreciable base of intangible assets in 2024, a decrease in engine fees of $0.5 million, decrease in internet, server and data center fees of $1.6 million, a decrease in merchant fees of $0.5 million and a decrease in software license royalties of $0.5 million.</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expenses</w:t>
      </w:r>
    </w:p>
    <w:p>
      <w:pPr>
        <w:spacing w:after="0" w:line="200"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General and administrative expenses for the year ended December 31, 2024 decreased by $2.9 million, or 18.6%, compared to the year ended December 31, 2023. The decrease in general and administrative expenses was due to a decrease in salaries and wages of $1.3 million due to the reversal of $0.9 million in previously expensed stock based compensation, a decrease in legal and professional expenses of $1.1 million, a decrease in bad debt expense of $0.6 million, a decrease in administrative internet and server costs of $0.4 million, and a decrease in expenses of $0.4 million for SEC filing fees, investor relations, NASDAQ listing fees and compliance expenses; partially offset by an increase in non-income related taxes of $0.4 million and general office expenses of $0.2 million.</w:t>
      </w:r>
    </w:p>
    <w:p>
      <w:pPr>
        <w:spacing w:after="0" w:line="14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 expenses</w:t>
      </w:r>
    </w:p>
    <w:p>
      <w:pPr>
        <w:spacing w:after="0" w:line="200"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 xml:space="preserve">Research and development expenses for the year ended December 31, 2024 increased by $6.5 million, or 130.3%, compared to the year ended December 31, 2023. The increase in research and development expenses was due to the outsourced development of </w:t>
      </w:r>
      <w:r>
        <w:rPr>
          <w:rFonts w:ascii="Times New Roman" w:cs="Times New Roman" w:eastAsia="Times New Roman" w:hAnsi="Times New Roman"/>
          <w:sz w:val="15"/>
          <w:szCs w:val="15"/>
          <w:i w:val="1"/>
          <w:iCs w:val="1"/>
          <w:color w:val="auto"/>
        </w:rPr>
        <w:t>For the Stars</w:t>
      </w:r>
      <w:r>
        <w:rPr>
          <w:rFonts w:ascii="Times New Roman" w:cs="Times New Roman" w:eastAsia="Times New Roman" w:hAnsi="Times New Roman"/>
          <w:sz w:val="15"/>
          <w:szCs w:val="15"/>
          <w:color w:val="auto"/>
        </w:rPr>
        <w:t xml:space="preserve"> and project </w:t>
      </w:r>
      <w:r>
        <w:rPr>
          <w:rFonts w:ascii="Times New Roman" w:cs="Times New Roman" w:eastAsia="Times New Roman" w:hAnsi="Times New Roman"/>
          <w:sz w:val="15"/>
          <w:szCs w:val="15"/>
          <w:i w:val="1"/>
          <w:iCs w:val="1"/>
          <w:color w:val="auto"/>
        </w:rPr>
        <w:t>Aether</w:t>
      </w:r>
      <w:r>
        <w:rPr>
          <w:rFonts w:ascii="Times New Roman" w:cs="Times New Roman" w:eastAsia="Times New Roman" w:hAnsi="Times New Roman"/>
          <w:sz w:val="15"/>
          <w:szCs w:val="15"/>
          <w:color w:val="auto"/>
        </w:rPr>
        <w:t xml:space="preserve"> paid through Suzhou Snail and increased internal research and development salaries as we continue to build our internal development team</w:t>
      </w:r>
      <w:r>
        <w:rPr>
          <w:rFonts w:ascii="Times New Roman" w:cs="Times New Roman" w:eastAsia="Times New Roman" w:hAnsi="Times New Roman"/>
          <w:sz w:val="15"/>
          <w:szCs w:val="15"/>
          <w:i w:val="1"/>
          <w:iCs w:val="1"/>
          <w:color w:val="auto"/>
        </w:rPr>
        <w:t>.</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marketing expenses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Advertising and marketing expenses for the year ended December 31, 2024 decreased by $0.1 million, or 3.7%, compared to the year ended December 31, 2023.</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53" w:name="page54"/>
    <w:bookmarkEnd w:id="53"/>
    <w:tbl>
      <w:tblPr>
        <w:tblLayout w:type="fixed"/>
        <w:tblInd w:w="8" w:type="dxa"/>
        <w:tblCellMar>
          <w:top w:w="0" w:type="dxa"/>
          <w:left w:w="0" w:type="dxa"/>
          <w:bottom w:w="0" w:type="dxa"/>
          <w:right w:w="0" w:type="dxa"/>
        </w:tblCellMar>
      </w:tblPr>
      <w:tr>
        <w:trPr>
          <w:trHeight w:val="203"/>
        </w:trPr>
        <w:tc>
          <w:tcPr>
            <w:tcW w:w="3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Factors Affecting Net Income (Loss)</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50"/>
        </w:trPr>
        <w:tc>
          <w:tcPr>
            <w:tcW w:w="3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0" w:type="dxa"/>
            <w:vAlign w:val="bottom"/>
            <w:gridSpan w:val="2"/>
          </w:tcPr>
          <w:p>
            <w:pPr>
              <w:jc w:val="center"/>
              <w:ind w:right="563"/>
              <w:spacing w:after="0"/>
              <w:rPr>
                <w:sz w:val="20"/>
                <w:szCs w:val="20"/>
                <w:color w:val="auto"/>
              </w:rPr>
            </w:pPr>
            <w:r>
              <w:rPr>
                <w:rFonts w:ascii="Times New Roman" w:cs="Times New Roman" w:eastAsia="Times New Roman" w:hAnsi="Times New Roman"/>
                <w:sz w:val="15"/>
                <w:szCs w:val="15"/>
                <w:b w:val="1"/>
                <w:bCs w:val="1"/>
                <w:color w:val="auto"/>
              </w:rPr>
              <w:t>Years ended</w:t>
            </w: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3"/>
        </w:trPr>
        <w:tc>
          <w:tcPr>
            <w:tcW w:w="3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2"/>
          </w:tcPr>
          <w:p>
            <w:pPr>
              <w:jc w:val="center"/>
              <w:ind w:right="54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4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7"/>
        </w:trPr>
        <w:tc>
          <w:tcPr>
            <w:tcW w:w="3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620" w:type="dxa"/>
            <w:vAlign w:val="bottom"/>
          </w:tcPr>
          <w:p>
            <w:pPr>
              <w:spacing w:after="0"/>
              <w:rPr>
                <w:sz w:val="16"/>
                <w:szCs w:val="16"/>
                <w:color w:val="auto"/>
              </w:rPr>
            </w:pPr>
          </w:p>
        </w:tc>
        <w:tc>
          <w:tcPr>
            <w:tcW w:w="118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52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58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6"/>
        </w:trPr>
        <w:tc>
          <w:tcPr>
            <w:tcW w:w="3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gridSpan w:val="3"/>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15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income</w:t>
            </w:r>
          </w:p>
        </w:tc>
        <w:tc>
          <w:tcPr>
            <w:tcW w:w="1780" w:type="dxa"/>
            <w:vAlign w:val="bottom"/>
            <w:gridSpan w:val="2"/>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6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0.3</w:t>
            </w:r>
          </w:p>
        </w:tc>
        <w:tc>
          <w:tcPr>
            <w:tcW w:w="118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0.1</w:t>
            </w:r>
          </w:p>
        </w:tc>
        <w:tc>
          <w:tcPr>
            <w:tcW w:w="44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rPr>
              <w:t>$</w:t>
            </w:r>
          </w:p>
        </w:tc>
        <w:tc>
          <w:tcPr>
            <w:tcW w:w="1520" w:type="dxa"/>
            <w:vAlign w:val="bottom"/>
            <w:shd w:val="clear" w:color="auto" w:fill="CCEEFF"/>
          </w:tcPr>
          <w:p>
            <w:pPr>
              <w:jc w:val="right"/>
              <w:ind w:right="303"/>
              <w:spacing w:after="0"/>
              <w:rPr>
                <w:sz w:val="20"/>
                <w:szCs w:val="20"/>
                <w:color w:val="auto"/>
              </w:rPr>
            </w:pPr>
            <w:r>
              <w:rPr>
                <w:rFonts w:ascii="Times New Roman" w:cs="Times New Roman" w:eastAsia="Times New Roman" w:hAnsi="Times New Roman"/>
                <w:sz w:val="15"/>
                <w:szCs w:val="15"/>
                <w:color w:val="auto"/>
              </w:rPr>
              <w:t>0.2</w:t>
            </w: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100.7%</w:t>
            </w:r>
          </w:p>
        </w:tc>
      </w:tr>
      <w:tr>
        <w:trPr>
          <w:trHeight w:val="184"/>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Interest expense</w:t>
            </w:r>
          </w:p>
        </w:tc>
        <w:tc>
          <w:tcPr>
            <w:tcW w:w="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(0.7)</w:t>
            </w:r>
          </w:p>
        </w:tc>
        <w:tc>
          <w:tcPr>
            <w:tcW w:w="118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(1.5)</w:t>
            </w:r>
          </w:p>
        </w:tc>
        <w:tc>
          <w:tcPr>
            <w:tcW w:w="440" w:type="dxa"/>
            <w:vAlign w:val="bottom"/>
          </w:tcPr>
          <w:p>
            <w:pPr>
              <w:spacing w:after="0"/>
              <w:rPr>
                <w:sz w:val="16"/>
                <w:szCs w:val="16"/>
                <w:color w:val="auto"/>
              </w:rPr>
            </w:pPr>
          </w:p>
        </w:tc>
        <w:tc>
          <w:tcPr>
            <w:tcW w:w="1520" w:type="dxa"/>
            <w:vAlign w:val="bottom"/>
          </w:tcPr>
          <w:p>
            <w:pPr>
              <w:jc w:val="right"/>
              <w:ind w:right="303"/>
              <w:spacing w:after="0"/>
              <w:rPr>
                <w:sz w:val="20"/>
                <w:szCs w:val="20"/>
                <w:color w:val="auto"/>
              </w:rPr>
            </w:pPr>
            <w:r>
              <w:rPr>
                <w:rFonts w:ascii="Times New Roman" w:cs="Times New Roman" w:eastAsia="Times New Roman" w:hAnsi="Times New Roman"/>
                <w:sz w:val="15"/>
                <w:szCs w:val="15"/>
                <w:color w:val="auto"/>
              </w:rPr>
              <w:t>0.8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(52.8)%</w:t>
            </w:r>
          </w:p>
        </w:tc>
      </w:tr>
      <w:tr>
        <w:trPr>
          <w:trHeight w:val="184"/>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income (expense)</w:t>
            </w:r>
          </w:p>
        </w:tc>
        <w:tc>
          <w:tcPr>
            <w:tcW w:w="7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(1.0)</w:t>
            </w:r>
          </w:p>
        </w:tc>
        <w:tc>
          <w:tcPr>
            <w:tcW w:w="118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0.3</w:t>
            </w:r>
          </w:p>
        </w:tc>
        <w:tc>
          <w:tcPr>
            <w:tcW w:w="4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263"/>
              <w:spacing w:after="0"/>
              <w:rPr>
                <w:sz w:val="20"/>
                <w:szCs w:val="20"/>
                <w:color w:val="auto"/>
              </w:rPr>
            </w:pPr>
            <w:r>
              <w:rPr>
                <w:rFonts w:ascii="Times New Roman" w:cs="Times New Roman" w:eastAsia="Times New Roman" w:hAnsi="Times New Roman"/>
                <w:sz w:val="15"/>
                <w:szCs w:val="15"/>
                <w:color w:val="auto"/>
              </w:rPr>
              <w:t>(1.3)</w:t>
            </w:r>
          </w:p>
        </w:tc>
        <w:tc>
          <w:tcPr>
            <w:tcW w:w="1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(468.9)%</w:t>
            </w:r>
          </w:p>
        </w:tc>
      </w:tr>
      <w:tr>
        <w:trPr>
          <w:trHeight w:val="199"/>
        </w:trPr>
        <w:tc>
          <w:tcPr>
            <w:tcW w:w="3540" w:type="dxa"/>
            <w:vAlign w:val="bottom"/>
          </w:tcPr>
          <w:p>
            <w:pPr>
              <w:spacing w:after="0"/>
              <w:rPr>
                <w:sz w:val="20"/>
                <w:szCs w:val="20"/>
                <w:color w:val="auto"/>
              </w:rPr>
            </w:pPr>
            <w:r>
              <w:rPr>
                <w:rFonts w:ascii="Times New Roman" w:cs="Times New Roman" w:eastAsia="Times New Roman" w:hAnsi="Times New Roman"/>
                <w:sz w:val="15"/>
                <w:szCs w:val="15"/>
                <w:color w:val="auto"/>
              </w:rPr>
              <w:t>Income tax (provision) benefit</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20" w:type="dxa"/>
            <w:vAlign w:val="bottom"/>
          </w:tcPr>
          <w:p>
            <w:pPr>
              <w:jc w:val="right"/>
              <w:ind w:right="63"/>
              <w:spacing w:after="0"/>
              <w:rPr>
                <w:sz w:val="20"/>
                <w:szCs w:val="20"/>
                <w:color w:val="auto"/>
              </w:rPr>
            </w:pPr>
            <w:r>
              <w:rPr>
                <w:rFonts w:ascii="Times New Roman" w:cs="Times New Roman" w:eastAsia="Times New Roman" w:hAnsi="Times New Roman"/>
                <w:sz w:val="15"/>
                <w:szCs w:val="15"/>
                <w:color w:val="auto"/>
              </w:rPr>
              <w:t>(0.6)</w:t>
            </w:r>
          </w:p>
        </w:tc>
        <w:tc>
          <w:tcPr>
            <w:tcW w:w="118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2.4</w:t>
            </w:r>
          </w:p>
        </w:tc>
        <w:tc>
          <w:tcPr>
            <w:tcW w:w="440" w:type="dxa"/>
            <w:vAlign w:val="bottom"/>
          </w:tcPr>
          <w:p>
            <w:pPr>
              <w:spacing w:after="0"/>
              <w:rPr>
                <w:sz w:val="17"/>
                <w:szCs w:val="17"/>
                <w:color w:val="auto"/>
              </w:rPr>
            </w:pPr>
          </w:p>
        </w:tc>
        <w:tc>
          <w:tcPr>
            <w:tcW w:w="1520" w:type="dxa"/>
            <w:vAlign w:val="bottom"/>
          </w:tcPr>
          <w:p>
            <w:pPr>
              <w:jc w:val="right"/>
              <w:ind w:right="263"/>
              <w:spacing w:after="0"/>
              <w:rPr>
                <w:sz w:val="20"/>
                <w:szCs w:val="20"/>
                <w:color w:val="auto"/>
              </w:rPr>
            </w:pPr>
            <w:r>
              <w:rPr>
                <w:rFonts w:ascii="Times New Roman" w:cs="Times New Roman" w:eastAsia="Times New Roman" w:hAnsi="Times New Roman"/>
                <w:sz w:val="15"/>
                <w:szCs w:val="15"/>
                <w:color w:val="auto"/>
              </w:rPr>
              <w:t>(3.0)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(126.3)%</w:t>
            </w:r>
          </w:p>
        </w:tc>
      </w:tr>
    </w:tbl>
    <w:p>
      <w:pPr>
        <w:spacing w:after="0" w:line="151"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b w:val="1"/>
          <w:bCs w:val="1"/>
          <w:i w:val="1"/>
          <w:iCs w:val="1"/>
          <w:color w:val="auto"/>
        </w:rPr>
        <w:t>Interest income</w:t>
      </w:r>
    </w:p>
    <w:p>
      <w:pPr>
        <w:spacing w:after="0" w:line="200" w:lineRule="exact"/>
        <w:rPr>
          <w:sz w:val="20"/>
          <w:szCs w:val="20"/>
          <w:color w:val="auto"/>
        </w:rPr>
      </w:pPr>
    </w:p>
    <w:p>
      <w:pPr>
        <w:jc w:val="both"/>
        <w:ind w:left="8" w:firstLine="276"/>
        <w:spacing w:after="0" w:line="292" w:lineRule="auto"/>
        <w:rPr>
          <w:sz w:val="20"/>
          <w:szCs w:val="20"/>
          <w:color w:val="auto"/>
        </w:rPr>
      </w:pPr>
      <w:r>
        <w:rPr>
          <w:rFonts w:ascii="Times New Roman" w:cs="Times New Roman" w:eastAsia="Times New Roman" w:hAnsi="Times New Roman"/>
          <w:sz w:val="15"/>
          <w:szCs w:val="15"/>
          <w:color w:val="auto"/>
        </w:rPr>
        <w:t>Interest income was $0.3 million and $0.1 million for the year ended December 31, 2024 and 2023, respectively. The increase was due to the balance of our cash deposits being higher on average during the year ended December 31, 2024.</w:t>
      </w:r>
    </w:p>
    <w:p>
      <w:pPr>
        <w:spacing w:after="0" w:line="129"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b w:val="1"/>
          <w:bCs w:val="1"/>
          <w:i w:val="1"/>
          <w:iCs w:val="1"/>
          <w:color w:val="auto"/>
        </w:rPr>
        <w:t>Interest expense</w:t>
      </w:r>
    </w:p>
    <w:p>
      <w:pPr>
        <w:spacing w:after="0" w:line="200" w:lineRule="exact"/>
        <w:rPr>
          <w:sz w:val="20"/>
          <w:szCs w:val="20"/>
          <w:color w:val="auto"/>
        </w:rPr>
      </w:pPr>
    </w:p>
    <w:p>
      <w:pPr>
        <w:jc w:val="both"/>
        <w:ind w:left="8" w:right="20" w:firstLine="276"/>
        <w:spacing w:after="0" w:line="292" w:lineRule="auto"/>
        <w:rPr>
          <w:sz w:val="20"/>
          <w:szCs w:val="20"/>
          <w:color w:val="auto"/>
        </w:rPr>
      </w:pPr>
      <w:r>
        <w:rPr>
          <w:rFonts w:ascii="Times New Roman" w:cs="Times New Roman" w:eastAsia="Times New Roman" w:hAnsi="Times New Roman"/>
          <w:sz w:val="15"/>
          <w:szCs w:val="15"/>
          <w:color w:val="auto"/>
        </w:rPr>
        <w:t>Interest expense primarily related to our outstanding indebtedness with third-party lenders. Interest expense decreased by $0.8 million for the year ended December 31, 2024 because of the Company having a lower average debt balance during the year ended December 31, 2024.</w:t>
      </w:r>
    </w:p>
    <w:p>
      <w:pPr>
        <w:spacing w:after="0" w:line="129"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b w:val="1"/>
          <w:bCs w:val="1"/>
          <w:i w:val="1"/>
          <w:iCs w:val="1"/>
          <w:color w:val="auto"/>
        </w:rPr>
        <w:t>Other income (expense)</w:t>
      </w:r>
    </w:p>
    <w:p>
      <w:pPr>
        <w:spacing w:after="0" w:line="200" w:lineRule="exact"/>
        <w:rPr>
          <w:sz w:val="20"/>
          <w:szCs w:val="20"/>
          <w:color w:val="auto"/>
        </w:rPr>
      </w:pPr>
    </w:p>
    <w:p>
      <w:pPr>
        <w:jc w:val="both"/>
        <w:ind w:left="8" w:firstLine="276"/>
        <w:spacing w:after="0" w:line="292" w:lineRule="auto"/>
        <w:rPr>
          <w:sz w:val="20"/>
          <w:szCs w:val="20"/>
          <w:color w:val="auto"/>
        </w:rPr>
      </w:pPr>
      <w:r>
        <w:rPr>
          <w:rFonts w:ascii="Times New Roman" w:cs="Times New Roman" w:eastAsia="Times New Roman" w:hAnsi="Times New Roman"/>
          <w:sz w:val="15"/>
          <w:szCs w:val="15"/>
          <w:color w:val="auto"/>
        </w:rPr>
        <w:t>Other income (expense) decreased by $1.3 million for the year ended December 31, 2024, in comparison to the year ended December 31, 2023. The decrease is due to the revaluation of the Company’s outstanding warrant liabilities and exercised warrant contracts.</w:t>
      </w:r>
    </w:p>
    <w:p>
      <w:pPr>
        <w:spacing w:after="0" w:line="129"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b w:val="1"/>
          <w:bCs w:val="1"/>
          <w:i w:val="1"/>
          <w:iCs w:val="1"/>
          <w:color w:val="auto"/>
        </w:rPr>
        <w:t>Provision for (benefit from) income taxes</w:t>
      </w:r>
    </w:p>
    <w:p>
      <w:pPr>
        <w:spacing w:after="0" w:line="200" w:lineRule="exact"/>
        <w:rPr>
          <w:sz w:val="20"/>
          <w:szCs w:val="20"/>
          <w:color w:val="auto"/>
        </w:rPr>
      </w:pPr>
    </w:p>
    <w:p>
      <w:pPr>
        <w:jc w:val="both"/>
        <w:ind w:left="8" w:right="20" w:firstLine="276"/>
        <w:spacing w:after="0" w:line="292" w:lineRule="auto"/>
        <w:rPr>
          <w:sz w:val="20"/>
          <w:szCs w:val="20"/>
          <w:color w:val="auto"/>
        </w:rPr>
      </w:pPr>
      <w:r>
        <w:rPr>
          <w:rFonts w:ascii="Times New Roman" w:cs="Times New Roman" w:eastAsia="Times New Roman" w:hAnsi="Times New Roman"/>
          <w:sz w:val="15"/>
          <w:szCs w:val="15"/>
          <w:color w:val="auto"/>
        </w:rPr>
        <w:t>The Company had an income tax provision of $0.6 million for the year ended December 31, 2024 and a benefit of ($2.4) million for the year ended December 31, 2023. Our effective income tax rate was 25.7% and 20.9% during the years ended December 31, 2024 and 2023, respectively.</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Key Performance Metrics</w:t>
      </w:r>
    </w:p>
    <w:p>
      <w:pPr>
        <w:spacing w:after="0" w:line="196"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b w:val="1"/>
          <w:bCs w:val="1"/>
          <w:i w:val="1"/>
          <w:iCs w:val="1"/>
          <w:color w:val="auto"/>
        </w:rPr>
        <w:t>Units Sold</w:t>
      </w:r>
    </w:p>
    <w:p>
      <w:pPr>
        <w:spacing w:after="0" w:line="200" w:lineRule="exact"/>
        <w:rPr>
          <w:sz w:val="20"/>
          <w:szCs w:val="20"/>
          <w:color w:val="auto"/>
        </w:rPr>
      </w:pPr>
    </w:p>
    <w:p>
      <w:pPr>
        <w:jc w:val="both"/>
        <w:ind w:left="8" w:firstLine="276"/>
        <w:spacing w:after="0" w:line="268" w:lineRule="auto"/>
        <w:rPr>
          <w:sz w:val="20"/>
          <w:szCs w:val="20"/>
          <w:color w:val="auto"/>
        </w:rPr>
      </w:pPr>
      <w:r>
        <w:rPr>
          <w:rFonts w:ascii="Times New Roman" w:cs="Times New Roman" w:eastAsia="Times New Roman" w:hAnsi="Times New Roman"/>
          <w:sz w:val="15"/>
          <w:szCs w:val="15"/>
          <w:color w:val="auto"/>
        </w:rPr>
        <w:t>We monitor Units Sold as a key performance metric in evaluating the performance of our console and PC game business. We define Units Sold as the number of game titles purchased through digital channels by an individual end user. Under this metric, the purchase of a standalone game, DLC, Season Pass or bundle on a specific platform are individually counted as a unit. For example, an individual who purchases a standalone game and DLC on one platform, a Season Pass on another platform, and a bundle on a third platform would count as four Units Sold. Similarly, an individual who purchases three standalone game titles on the same platform would count as three Units Sold.</w:t>
      </w:r>
    </w:p>
    <w:p>
      <w:pPr>
        <w:spacing w:after="0" w:line="151" w:lineRule="exact"/>
        <w:rPr>
          <w:sz w:val="20"/>
          <w:szCs w:val="20"/>
          <w:color w:val="auto"/>
        </w:rPr>
      </w:pPr>
    </w:p>
    <w:p>
      <w:pPr>
        <w:jc w:val="both"/>
        <w:ind w:left="8" w:right="20" w:firstLine="276"/>
        <w:spacing w:after="0" w:line="274" w:lineRule="auto"/>
        <w:rPr>
          <w:sz w:val="20"/>
          <w:szCs w:val="20"/>
          <w:color w:val="auto"/>
        </w:rPr>
      </w:pPr>
      <w:r>
        <w:rPr>
          <w:rFonts w:ascii="Times New Roman" w:cs="Times New Roman" w:eastAsia="Times New Roman" w:hAnsi="Times New Roman"/>
          <w:sz w:val="15"/>
          <w:szCs w:val="15"/>
          <w:color w:val="auto"/>
        </w:rPr>
        <w:t>Units Sold may be impacted by several factors that could cause fluctuations on a quarterly basis, such as game releases, our promotional activities, which most often coincide with the global holiday season in the fourth and first quarters of each year, promotional sales on digital platforms, console release cycles and new digital platforms. Future growth in Units Sold will depend on our ability to launch new games and features and the effectiveness of marketing strategies.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4"/>
          </w:tcPr>
          <w:p>
            <w:pPr>
              <w:ind w:left="740"/>
              <w:spacing w:after="0"/>
              <w:rPr>
                <w:sz w:val="20"/>
                <w:szCs w:val="20"/>
                <w:color w:val="auto"/>
              </w:rPr>
            </w:pPr>
            <w:r>
              <w:rPr>
                <w:rFonts w:ascii="Times New Roman" w:cs="Times New Roman" w:eastAsia="Times New Roman" w:hAnsi="Times New Roman"/>
                <w:sz w:val="15"/>
                <w:szCs w:val="15"/>
                <w:b w:val="1"/>
                <w:bCs w:val="1"/>
                <w:color w:val="auto"/>
              </w:rPr>
              <w:t>Years ended December 31,</w:t>
            </w:r>
          </w:p>
        </w:tc>
        <w:tc>
          <w:tcPr>
            <w:tcW w:w="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87"/>
        </w:trPr>
        <w:tc>
          <w:tcPr>
            <w:tcW w:w="4280" w:type="dxa"/>
            <w:vAlign w:val="bottom"/>
          </w:tcPr>
          <w:p>
            <w:pPr>
              <w:spacing w:after="0"/>
              <w:rPr>
                <w:sz w:val="16"/>
                <w:szCs w:val="16"/>
                <w:color w:val="auto"/>
              </w:rPr>
            </w:pPr>
          </w:p>
        </w:tc>
        <w:tc>
          <w:tcPr>
            <w:tcW w:w="1240" w:type="dxa"/>
            <w:vAlign w:val="bottom"/>
          </w:tcPr>
          <w:p>
            <w:pPr>
              <w:jc w:val="right"/>
              <w:ind w:right="2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1620" w:type="dxa"/>
            <w:vAlign w:val="bottom"/>
            <w:gridSpan w:val="3"/>
          </w:tcPr>
          <w:p>
            <w:pPr>
              <w:jc w:val="right"/>
              <w:ind w:right="10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ind w:left="42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80" w:type="dxa"/>
            <w:vAlign w:val="bottom"/>
          </w:tcPr>
          <w:p>
            <w:pPr>
              <w:spacing w:after="0"/>
              <w:rPr>
                <w:sz w:val="16"/>
                <w:szCs w:val="16"/>
                <w:color w:val="auto"/>
              </w:rPr>
            </w:pPr>
          </w:p>
        </w:tc>
      </w:tr>
      <w:tr>
        <w:trPr>
          <w:trHeight w:val="176"/>
        </w:trPr>
        <w:tc>
          <w:tcPr>
            <w:tcW w:w="4280" w:type="dxa"/>
            <w:vAlign w:val="bottom"/>
          </w:tcPr>
          <w:p>
            <w:pPr>
              <w:spacing w:after="0"/>
              <w:rPr>
                <w:sz w:val="15"/>
                <w:szCs w:val="15"/>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219"/>
        </w:trPr>
        <w:tc>
          <w:tcPr>
            <w:tcW w:w="5520" w:type="dxa"/>
            <w:vAlign w:val="bottom"/>
            <w:gridSpan w:val="2"/>
            <w:shd w:val="clear" w:color="auto" w:fill="CCEEFF"/>
          </w:tcPr>
          <w:p>
            <w:pPr>
              <w:jc w:val="right"/>
              <w:ind w:right="4643"/>
              <w:spacing w:after="0" w:line="219" w:lineRule="exact"/>
              <w:rPr>
                <w:sz w:val="20"/>
                <w:szCs w:val="20"/>
                <w:color w:val="auto"/>
              </w:rPr>
            </w:pPr>
            <w:r>
              <w:rPr>
                <w:rFonts w:ascii="Times New Roman" w:cs="Times New Roman" w:eastAsia="Times New Roman" w:hAnsi="Times New Roman"/>
                <w:sz w:val="15"/>
                <w:szCs w:val="15"/>
                <w:color w:val="auto"/>
                <w:w w:val="93"/>
              </w:rPr>
              <w:t>Units Sold</w:t>
            </w:r>
            <w:r>
              <w:rPr>
                <w:rFonts w:ascii="Times New Roman" w:cs="Times New Roman" w:eastAsia="Times New Roman" w:hAnsi="Times New Roman"/>
                <w:sz w:val="25"/>
                <w:szCs w:val="25"/>
                <w:color w:val="auto"/>
                <w:w w:val="93"/>
                <w:vertAlign w:val="superscript"/>
              </w:rPr>
              <w:t>(1)</w:t>
            </w:r>
          </w:p>
        </w:tc>
        <w:tc>
          <w:tcPr>
            <w:tcW w:w="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4.7</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6.3</w:t>
            </w:r>
          </w:p>
        </w:tc>
        <w:tc>
          <w:tcPr>
            <w:tcW w:w="1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(1.6)</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(25.3)%</w:t>
            </w:r>
          </w:p>
        </w:tc>
      </w:tr>
    </w:tbl>
    <w:p>
      <w:pPr>
        <w:spacing w:after="0" w:line="170" w:lineRule="exact"/>
        <w:rPr>
          <w:sz w:val="20"/>
          <w:szCs w:val="20"/>
          <w:color w:val="auto"/>
        </w:rPr>
      </w:pPr>
    </w:p>
    <w:p>
      <w:pPr>
        <w:ind w:left="5548" w:right="4260" w:hanging="5548"/>
        <w:spacing w:after="0" w:line="549" w:lineRule="auto"/>
        <w:tabs>
          <w:tab w:leader="none" w:pos="269"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Units include master games, DLCs, season pass and bundles and excludes skins, soundtracks and other items.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715264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5" w:right="319" w:bottom="1440" w:gutter="0" w:footer="0" w:header="0"/>
        </w:sectPr>
      </w:pPr>
    </w:p>
    <w:bookmarkStart w:id="54" w:name="page55"/>
    <w:bookmarkEnd w:id="54"/>
    <w:p>
      <w:pPr>
        <w:ind w:left="260"/>
        <w:spacing w:after="0"/>
        <w:rPr>
          <w:sz w:val="20"/>
          <w:szCs w:val="20"/>
          <w:color w:val="auto"/>
        </w:rPr>
      </w:pPr>
      <w:r>
        <w:rPr>
          <w:rFonts w:ascii="Times New Roman" w:cs="Times New Roman" w:eastAsia="Times New Roman" w:hAnsi="Times New Roman"/>
          <w:sz w:val="15"/>
          <w:szCs w:val="15"/>
          <w:color w:val="auto"/>
        </w:rPr>
        <w:t xml:space="preserve">Units sold decreased during the year ended December 31, 2024, as compared to the year ended December 31, 2023, by 1.6 million units, or 25.3%. Units sold of </w:t>
      </w:r>
      <w:r>
        <w:rPr>
          <w:rFonts w:ascii="Times New Roman" w:cs="Times New Roman" w:eastAsia="Times New Roman" w:hAnsi="Times New Roman"/>
          <w:sz w:val="15"/>
          <w:szCs w:val="15"/>
          <w:i w:val="1"/>
          <w:iCs w:val="1"/>
          <w:color w:val="auto"/>
        </w:rPr>
        <w:t>ARK: Survival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 xml:space="preserve">Evolved </w:t>
      </w:r>
      <w:r>
        <w:rPr>
          <w:rFonts w:ascii="Times New Roman" w:cs="Times New Roman" w:eastAsia="Times New Roman" w:hAnsi="Times New Roman"/>
          <w:sz w:val="15"/>
          <w:szCs w:val="15"/>
          <w:color w:val="auto"/>
        </w:rPr>
        <w:t>decreased by 2.1 million units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partially offset by an increase in</w:t>
      </w:r>
      <w:r>
        <w:rPr>
          <w:rFonts w:ascii="Times New Roman" w:cs="Times New Roman" w:eastAsia="Times New Roman" w:hAnsi="Times New Roman"/>
          <w:sz w:val="15"/>
          <w:szCs w:val="15"/>
          <w:i w:val="1"/>
          <w:iCs w:val="1"/>
          <w:color w:val="auto"/>
        </w:rPr>
        <w:t xml:space="preserve"> ARK: Survival Ascended </w:t>
      </w:r>
      <w:r>
        <w:rPr>
          <w:rFonts w:ascii="Times New Roman" w:cs="Times New Roman" w:eastAsia="Times New Roman" w:hAnsi="Times New Roman"/>
          <w:sz w:val="15"/>
          <w:szCs w:val="15"/>
          <w:color w:val="auto"/>
        </w:rPr>
        <w:t>units sold of 0.3 million and an increase in</w:t>
      </w:r>
      <w:r>
        <w:rPr>
          <w:rFonts w:ascii="Times New Roman" w:cs="Times New Roman" w:eastAsia="Times New Roman" w:hAnsi="Times New Roman"/>
          <w:sz w:val="15"/>
          <w:szCs w:val="15"/>
          <w:i w:val="1"/>
          <w:iCs w:val="1"/>
          <w:color w:val="auto"/>
        </w:rPr>
        <w:t xml:space="preserve"> Bellwright </w:t>
      </w:r>
      <w:r>
        <w:rPr>
          <w:rFonts w:ascii="Times New Roman" w:cs="Times New Roman" w:eastAsia="Times New Roman" w:hAnsi="Times New Roman"/>
          <w:sz w:val="15"/>
          <w:szCs w:val="15"/>
          <w:color w:val="auto"/>
        </w:rPr>
        <w:t>sales of 0.4 million units.</w:t>
      </w:r>
    </w:p>
    <w:p>
      <w:pPr>
        <w:spacing w:after="0" w:line="17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Bookings</w:t>
      </w:r>
    </w:p>
    <w:p>
      <w:pPr>
        <w:spacing w:after="0" w:line="200" w:lineRule="exact"/>
        <w:rPr>
          <w:sz w:val="20"/>
          <w:szCs w:val="20"/>
          <w:color w:val="auto"/>
        </w:rPr>
      </w:pPr>
    </w:p>
    <w:p>
      <w:pPr>
        <w:jc w:val="both"/>
        <w:ind w:firstLine="276"/>
        <w:spacing w:after="0" w:line="267" w:lineRule="auto"/>
        <w:rPr>
          <w:sz w:val="20"/>
          <w:szCs w:val="20"/>
          <w:color w:val="auto"/>
        </w:rPr>
      </w:pPr>
      <w:r>
        <w:rPr>
          <w:rFonts w:ascii="Times New Roman" w:cs="Times New Roman" w:eastAsia="Times New Roman" w:hAnsi="Times New Roman"/>
          <w:sz w:val="15"/>
          <w:szCs w:val="15"/>
          <w:color w:val="auto"/>
        </w:rPr>
        <w:t>Bookings is a key operating metric in assessing our financial performance. Bookings adjusts for the impact of deferrals and, we believe, provides a useful indicator of sales in a given period. It reflects the net amount of products and services sold digitally or physically in a given period, excluding the impact of revenue deferrals. Bookings is used by management to understand sales trends and assess the volume of our sales activity over time. Bookings should not be considered as alternatives to net income (loss), as measures of financial performance or any other performance measure derived in accordance with GAAP. Below is a reconciliation of total net revenue to Bookings, the closest GAAP financial measure.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6"/>
          </w:tcPr>
          <w:p>
            <w:pPr>
              <w:jc w:val="right"/>
              <w:ind w:right="1042"/>
              <w:spacing w:after="0"/>
              <w:rPr>
                <w:sz w:val="20"/>
                <w:szCs w:val="20"/>
                <w:color w:val="auto"/>
              </w:rPr>
            </w:pPr>
            <w:r>
              <w:rPr>
                <w:rFonts w:ascii="Times New Roman" w:cs="Times New Roman" w:eastAsia="Times New Roman" w:hAnsi="Times New Roman"/>
                <w:sz w:val="15"/>
                <w:szCs w:val="15"/>
                <w:b w:val="1"/>
                <w:bCs w:val="1"/>
                <w:color w:val="auto"/>
              </w:rPr>
              <w:t>Years ended December 31,</w:t>
            </w:r>
          </w:p>
        </w:tc>
        <w:tc>
          <w:tcPr>
            <w:tcW w:w="14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87"/>
        </w:trPr>
        <w:tc>
          <w:tcPr>
            <w:tcW w:w="3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2023</w:t>
            </w: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60" w:type="dxa"/>
            <w:vAlign w:val="bottom"/>
            <w:gridSpan w:val="2"/>
          </w:tcPr>
          <w:p>
            <w:pPr>
              <w:jc w:val="right"/>
              <w:ind w:right="702"/>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46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80" w:type="dxa"/>
            <w:vAlign w:val="bottom"/>
          </w:tcPr>
          <w:p>
            <w:pPr>
              <w:spacing w:after="0"/>
              <w:rPr>
                <w:sz w:val="16"/>
                <w:szCs w:val="16"/>
                <w:color w:val="auto"/>
              </w:rPr>
            </w:pPr>
          </w:p>
        </w:tc>
      </w:tr>
      <w:tr>
        <w:trPr>
          <w:trHeight w:val="176"/>
        </w:trPr>
        <w:tc>
          <w:tcPr>
            <w:tcW w:w="3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net revenue</w:t>
            </w:r>
          </w:p>
        </w:tc>
        <w:tc>
          <w:tcPr>
            <w:tcW w:w="2380" w:type="dxa"/>
            <w:vAlign w:val="bottom"/>
            <w:gridSpan w:val="2"/>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w w:val="98"/>
              </w:rPr>
              <w:t>84.5</w:t>
            </w:r>
          </w:p>
        </w:tc>
        <w:tc>
          <w:tcPr>
            <w:tcW w:w="102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60.9</w:t>
            </w: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282"/>
              <w:spacing w:after="0"/>
              <w:rPr>
                <w:sz w:val="20"/>
                <w:szCs w:val="20"/>
                <w:color w:val="auto"/>
              </w:rPr>
            </w:pPr>
            <w:r>
              <w:rPr>
                <w:rFonts w:ascii="Times New Roman" w:cs="Times New Roman" w:eastAsia="Times New Roman" w:hAnsi="Times New Roman"/>
                <w:sz w:val="15"/>
                <w:szCs w:val="15"/>
                <w:color w:val="auto"/>
              </w:rPr>
              <w:t>23.6</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38.7%</w:t>
            </w:r>
          </w:p>
        </w:tc>
      </w:tr>
      <w:tr>
        <w:trPr>
          <w:trHeight w:val="196"/>
        </w:trPr>
        <w:tc>
          <w:tcPr>
            <w:tcW w:w="3100" w:type="dxa"/>
            <w:vAlign w:val="bottom"/>
          </w:tcPr>
          <w:p>
            <w:pPr>
              <w:spacing w:after="0"/>
              <w:rPr>
                <w:sz w:val="20"/>
                <w:szCs w:val="20"/>
                <w:color w:val="auto"/>
              </w:rPr>
            </w:pPr>
            <w:r>
              <w:rPr>
                <w:rFonts w:ascii="Times New Roman" w:cs="Times New Roman" w:eastAsia="Times New Roman" w:hAnsi="Times New Roman"/>
                <w:sz w:val="15"/>
                <w:szCs w:val="15"/>
                <w:color w:val="auto"/>
              </w:rPr>
              <w:t>Change in deferred net revenue</w:t>
            </w: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(8.8)</w:t>
            </w:r>
          </w:p>
        </w:tc>
        <w:tc>
          <w:tcPr>
            <w:tcW w:w="1020" w:type="dxa"/>
            <w:vAlign w:val="bottom"/>
          </w:tcPr>
          <w:p>
            <w:pPr>
              <w:spacing w:after="0"/>
              <w:rPr>
                <w:sz w:val="17"/>
                <w:szCs w:val="17"/>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24.8</w:t>
            </w:r>
          </w:p>
        </w:tc>
        <w:tc>
          <w:tcPr>
            <w:tcW w:w="520" w:type="dxa"/>
            <w:vAlign w:val="bottom"/>
          </w:tcPr>
          <w:p>
            <w:pPr>
              <w:spacing w:after="0"/>
              <w:rPr>
                <w:sz w:val="17"/>
                <w:szCs w:val="17"/>
                <w:color w:val="auto"/>
              </w:rPr>
            </w:pPr>
          </w:p>
        </w:tc>
        <w:tc>
          <w:tcPr>
            <w:tcW w:w="1260" w:type="dxa"/>
            <w:vAlign w:val="bottom"/>
            <w:gridSpan w:val="2"/>
          </w:tcPr>
          <w:p>
            <w:pPr>
              <w:jc w:val="right"/>
              <w:ind w:right="242"/>
              <w:spacing w:after="0"/>
              <w:rPr>
                <w:sz w:val="20"/>
                <w:szCs w:val="20"/>
                <w:color w:val="auto"/>
              </w:rPr>
            </w:pPr>
            <w:r>
              <w:rPr>
                <w:rFonts w:ascii="Times New Roman" w:cs="Times New Roman" w:eastAsia="Times New Roman" w:hAnsi="Times New Roman"/>
                <w:sz w:val="15"/>
                <w:szCs w:val="15"/>
                <w:color w:val="auto"/>
              </w:rPr>
              <w:t>(33.6)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(135.7)%</w:t>
            </w:r>
          </w:p>
        </w:tc>
      </w:tr>
      <w:tr>
        <w:trPr>
          <w:trHeight w:val="187"/>
        </w:trPr>
        <w:tc>
          <w:tcPr>
            <w:tcW w:w="3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Bookings</w:t>
            </w:r>
          </w:p>
        </w:tc>
        <w:tc>
          <w:tcPr>
            <w:tcW w:w="1180" w:type="dxa"/>
            <w:vAlign w:val="bottom"/>
            <w:tcBorders>
              <w:top w:val="single" w:sz="8" w:color="CCEEFF"/>
              <w:bottom w:val="single" w:sz="8" w:color="CCEEFF"/>
            </w:tcBorders>
            <w:shd w:val="clear" w:color="auto" w:fill="CCEEFF"/>
          </w:tcPr>
          <w:p>
            <w:pPr>
              <w:spacing w:after="0"/>
              <w:rPr>
                <w:sz w:val="16"/>
                <w:szCs w:val="16"/>
                <w:color w:val="auto"/>
              </w:rPr>
            </w:pPr>
          </w:p>
        </w:tc>
        <w:tc>
          <w:tcPr>
            <w:tcW w:w="1200" w:type="dxa"/>
            <w:vAlign w:val="bottom"/>
            <w:tcBorders>
              <w:top w:val="single" w:sz="8" w:color="auto"/>
              <w:bottom w:val="single" w:sz="8" w:color="auto"/>
            </w:tcBorders>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8"/>
              </w:rPr>
              <w:t>75.7</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ind w:right="863"/>
              <w:spacing w:after="0"/>
              <w:rPr>
                <w:sz w:val="20"/>
                <w:szCs w:val="20"/>
                <w:color w:val="auto"/>
              </w:rPr>
            </w:pPr>
            <w:r>
              <w:rPr>
                <w:rFonts w:ascii="Times New Roman" w:cs="Times New Roman" w:eastAsia="Times New Roman" w:hAnsi="Times New Roman"/>
                <w:sz w:val="15"/>
                <w:szCs w:val="15"/>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85.7</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320" w:type="dxa"/>
            <w:vAlign w:val="bottom"/>
            <w:tcBorders>
              <w:top w:val="single" w:sz="8" w:color="CCEEFF"/>
              <w:bottom w:val="single" w:sz="8" w:color="CCEEFF"/>
            </w:tcBorders>
            <w:shd w:val="clear" w:color="auto" w:fill="CCEEFF"/>
          </w:tcPr>
          <w:p>
            <w:pPr>
              <w:jc w:val="right"/>
              <w:ind w:right="242"/>
              <w:spacing w:after="0"/>
              <w:rPr>
                <w:sz w:val="20"/>
                <w:szCs w:val="20"/>
                <w:color w:val="auto"/>
              </w:rPr>
            </w:pPr>
            <w:r>
              <w:rPr>
                <w:rFonts w:ascii="Times New Roman" w:cs="Times New Roman" w:eastAsia="Times New Roman" w:hAnsi="Times New Roman"/>
                <w:sz w:val="8"/>
                <w:szCs w:val="8"/>
                <w:color w:val="auto"/>
                <w:w w:val="73"/>
              </w:rPr>
              <w:t>)</w:t>
            </w:r>
          </w:p>
        </w:tc>
        <w:tc>
          <w:tcPr>
            <w:tcW w:w="16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(11.7)%</w:t>
            </w:r>
          </w:p>
        </w:tc>
      </w:tr>
      <w:tr>
        <w:trPr>
          <w:trHeight w:val="20"/>
        </w:trPr>
        <w:tc>
          <w:tcPr>
            <w:tcW w:w="3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 xml:space="preserve">For the year ended December 31, 2024, bookings decreased by $10.0 million, or 11.7%, compared to the year ended December 31, 2023, because of increased sales at a higher ASP driven by the release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in the fourth quarter of 2023. The releases of </w:t>
      </w:r>
      <w:r>
        <w:rPr>
          <w:rFonts w:ascii="Times New Roman" w:cs="Times New Roman" w:eastAsia="Times New Roman" w:hAnsi="Times New Roman"/>
          <w:sz w:val="15"/>
          <w:szCs w:val="15"/>
          <w:i w:val="1"/>
          <w:iCs w:val="1"/>
          <w:color w:val="auto"/>
        </w:rPr>
        <w:t>Bobs Tall Tales</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Bellwright</w:t>
      </w:r>
      <w:r>
        <w:rPr>
          <w:rFonts w:ascii="Times New Roman" w:cs="Times New Roman" w:eastAsia="Times New Roman" w:hAnsi="Times New Roman"/>
          <w:sz w:val="15"/>
          <w:szCs w:val="15"/>
          <w:color w:val="auto"/>
        </w:rPr>
        <w:t xml:space="preserve"> along with the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w:t>
      </w:r>
      <w:r>
        <w:rPr>
          <w:rFonts w:ascii="Times New Roman" w:cs="Times New Roman" w:eastAsia="Times New Roman" w:hAnsi="Times New Roman"/>
          <w:sz w:val="15"/>
          <w:szCs w:val="15"/>
          <w:i w:val="1"/>
          <w:iCs w:val="1"/>
          <w:color w:val="auto"/>
        </w:rPr>
        <w:t xml:space="preserve">Scorched Earth </w:t>
      </w:r>
      <w:r>
        <w:rPr>
          <w:rFonts w:ascii="Times New Roman" w:cs="Times New Roman" w:eastAsia="Times New Roman" w:hAnsi="Times New Roman"/>
          <w:sz w:val="15"/>
          <w:szCs w:val="15"/>
          <w:color w:val="auto"/>
        </w:rPr>
        <w:t>in April 2024,</w:t>
      </w:r>
      <w:r>
        <w:rPr>
          <w:rFonts w:ascii="Times New Roman" w:cs="Times New Roman" w:eastAsia="Times New Roman" w:hAnsi="Times New Roman"/>
          <w:sz w:val="15"/>
          <w:szCs w:val="15"/>
          <w:i w:val="1"/>
          <w:iCs w:val="1"/>
          <w:color w:val="auto"/>
        </w:rPr>
        <w:t xml:space="preserve"> Aberration </w:t>
      </w:r>
      <w:r>
        <w:rPr>
          <w:rFonts w:ascii="Times New Roman" w:cs="Times New Roman" w:eastAsia="Times New Roman" w:hAnsi="Times New Roman"/>
          <w:sz w:val="15"/>
          <w:szCs w:val="15"/>
          <w:color w:val="auto"/>
        </w:rPr>
        <w:t>in September 2024 and</w:t>
      </w:r>
      <w:r>
        <w:rPr>
          <w:rFonts w:ascii="Times New Roman" w:cs="Times New Roman" w:eastAsia="Times New Roman" w:hAnsi="Times New Roman"/>
          <w:sz w:val="15"/>
          <w:szCs w:val="15"/>
          <w:i w:val="1"/>
          <w:iCs w:val="1"/>
          <w:color w:val="auto"/>
        </w:rPr>
        <w:t xml:space="preserve"> Extinction </w:t>
      </w:r>
      <w:r>
        <w:rPr>
          <w:rFonts w:ascii="Times New Roman" w:cs="Times New Roman" w:eastAsia="Times New Roman" w:hAnsi="Times New Roman"/>
          <w:sz w:val="15"/>
          <w:szCs w:val="15"/>
          <w:color w:val="auto"/>
        </w:rPr>
        <w:t>in December 2024 partially offset the decrease in unit sales in 2024 but each product release was at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lower ASP than the initial release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Additionally, the Company recognized $13.2 million from deferred revenue upon the release of </w:t>
      </w:r>
      <w:r>
        <w:rPr>
          <w:rFonts w:ascii="Times New Roman" w:cs="Times New Roman" w:eastAsia="Times New Roman" w:hAnsi="Times New Roman"/>
          <w:sz w:val="15"/>
          <w:szCs w:val="15"/>
          <w:i w:val="1"/>
          <w:iCs w:val="1"/>
          <w:color w:val="auto"/>
        </w:rPr>
        <w:t>Scorched Earth,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Aberration </w:t>
      </w:r>
      <w:r>
        <w:rPr>
          <w:rFonts w:ascii="Times New Roman" w:cs="Times New Roman" w:eastAsia="Times New Roman" w:hAnsi="Times New Roman"/>
          <w:sz w:val="15"/>
          <w:szCs w:val="15"/>
          <w:color w:val="auto"/>
        </w:rPr>
        <w:t>and</w:t>
      </w:r>
      <w:r>
        <w:rPr>
          <w:rFonts w:ascii="Times New Roman" w:cs="Times New Roman" w:eastAsia="Times New Roman" w:hAnsi="Times New Roman"/>
          <w:sz w:val="15"/>
          <w:szCs w:val="15"/>
          <w:i w:val="1"/>
          <w:iCs w:val="1"/>
          <w:color w:val="auto"/>
        </w:rPr>
        <w:t xml:space="preserve"> Extinction </w:t>
      </w:r>
      <w:r>
        <w:rPr>
          <w:rFonts w:ascii="Times New Roman" w:cs="Times New Roman" w:eastAsia="Times New Roman" w:hAnsi="Times New Roman"/>
          <w:sz w:val="15"/>
          <w:szCs w:val="15"/>
          <w:color w:val="auto"/>
        </w:rPr>
        <w:t>in 2024 and deferred $6.7 million in revenues during the year ended December 31, 2024 for the</w:t>
      </w:r>
      <w:r>
        <w:rPr>
          <w:rFonts w:ascii="Times New Roman" w:cs="Times New Roman" w:eastAsia="Times New Roman" w:hAnsi="Times New Roman"/>
          <w:sz w:val="15"/>
          <w:szCs w:val="15"/>
          <w:i w:val="1"/>
          <w:iCs w:val="1"/>
          <w:color w:val="auto"/>
        </w:rPr>
        <w:t xml:space="preserve"> ARK: Survival Ascended </w:t>
      </w:r>
      <w:r>
        <w:rPr>
          <w:rFonts w:ascii="Times New Roman" w:cs="Times New Roman" w:eastAsia="Times New Roman" w:hAnsi="Times New Roman"/>
          <w:sz w:val="15"/>
          <w:szCs w:val="15"/>
          <w:color w:val="auto"/>
        </w:rPr>
        <w:t>DLC’s have not yet released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compared to $22.0 million in revenues deferred during the year ended December 31, 2023 for the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and parts of </w:t>
      </w:r>
      <w:r>
        <w:rPr>
          <w:rFonts w:ascii="Times New Roman" w:cs="Times New Roman" w:eastAsia="Times New Roman" w:hAnsi="Times New Roman"/>
          <w:sz w:val="15"/>
          <w:szCs w:val="15"/>
          <w:i w:val="1"/>
          <w:iCs w:val="1"/>
          <w:color w:val="auto"/>
        </w:rPr>
        <w:t>Bobs Tall Tales</w:t>
      </w:r>
      <w:r>
        <w:rPr>
          <w:rFonts w:ascii="Times New Roman" w:cs="Times New Roman" w:eastAsia="Times New Roman" w:hAnsi="Times New Roman"/>
          <w:sz w:val="15"/>
          <w:szCs w:val="15"/>
          <w:color w:val="auto"/>
        </w:rPr>
        <w:t xml:space="preserve"> that had not yet launched</w:t>
      </w:r>
      <w:r>
        <w:rPr>
          <w:rFonts w:ascii="Times New Roman" w:cs="Times New Roman" w:eastAsia="Times New Roman" w:hAnsi="Times New Roman"/>
          <w:sz w:val="15"/>
          <w:szCs w:val="15"/>
          <w:i w:val="1"/>
          <w:iCs w:val="1"/>
          <w:color w:val="auto"/>
        </w:rPr>
        <w:t>.</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5"/>
          <w:szCs w:val="15"/>
          <w:b w:val="1"/>
          <w:bCs w:val="1"/>
          <w:i w:val="1"/>
          <w:iCs w:val="1"/>
          <w:color w:val="auto"/>
        </w:rPr>
        <w:t>Non-GAAP Measures</w:t>
      </w:r>
    </w:p>
    <w:p>
      <w:pPr>
        <w:spacing w:after="0" w:line="200"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In addition to our financial results determined in accordance with U.S. generally accepted accounting principles (“U.S. GAAP” or “GAAP”), we believe EBITDA, as a non-GAAP measure, is useful in evaluating our operating performance. EBITDA, as used in this Annual Report on Form 10-K, is a non-GAAP financial measure that is presented as supplemental disclosures and should not be construed as an alternative to net income (loss) or any other GAAP measure as an indicator of operating performance.</w:t>
      </w:r>
    </w:p>
    <w:p>
      <w:pPr>
        <w:spacing w:after="0" w:line="146"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We present EBITDA because it is used by management to assess our financial performance, excluding certain expenses that management believes do not reflect the ongoing operating performance of the business. Management uses EBITDA to supplement GAAP measures of performance when evaluating our business strategies, making budgeting decisions and comparing performance against peer companies.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EBITDA</w:t>
      </w:r>
    </w:p>
    <w:p>
      <w:pPr>
        <w:spacing w:after="0" w:line="200" w:lineRule="exact"/>
        <w:rPr>
          <w:sz w:val="20"/>
          <w:szCs w:val="20"/>
          <w:color w:val="auto"/>
        </w:rPr>
      </w:pPr>
    </w:p>
    <w:p>
      <w:pPr>
        <w:jc w:val="both"/>
        <w:ind w:firstLine="276"/>
        <w:spacing w:after="0" w:line="292" w:lineRule="auto"/>
        <w:rPr>
          <w:sz w:val="20"/>
          <w:szCs w:val="20"/>
          <w:color w:val="auto"/>
        </w:rPr>
      </w:pPr>
      <w:r>
        <w:rPr>
          <w:rFonts w:ascii="Times New Roman" w:cs="Times New Roman" w:eastAsia="Times New Roman" w:hAnsi="Times New Roman"/>
          <w:sz w:val="15"/>
          <w:szCs w:val="15"/>
          <w:color w:val="auto"/>
        </w:rPr>
        <w:t>We define EBITDA as net income (loss) before (i) interest income, (ii) interest expense, (iii) (benefit from) provision for income taxes, and (iv) depreciation expense, property and equipment.</w:t>
      </w:r>
    </w:p>
    <w:p>
      <w:pPr>
        <w:spacing w:after="0" w:line="133" w:lineRule="exact"/>
        <w:rPr>
          <w:sz w:val="20"/>
          <w:szCs w:val="20"/>
          <w:color w:val="auto"/>
        </w:rPr>
      </w:pPr>
    </w:p>
    <w:p>
      <w:pPr>
        <w:jc w:val="both"/>
        <w:ind w:right="20" w:firstLine="276"/>
        <w:spacing w:after="0" w:line="274" w:lineRule="auto"/>
        <w:rPr>
          <w:sz w:val="20"/>
          <w:szCs w:val="20"/>
          <w:color w:val="auto"/>
        </w:rPr>
      </w:pPr>
      <w:r>
        <w:rPr>
          <w:rFonts w:ascii="Times New Roman" w:cs="Times New Roman" w:eastAsia="Times New Roman" w:hAnsi="Times New Roman"/>
          <w:sz w:val="15"/>
          <w:szCs w:val="15"/>
          <w:color w:val="auto"/>
        </w:rPr>
        <w:t>EBITDA as calculated herein may not be comparable to similarly titled measures reported by other companies within the industry and is not determined in accordance with GAAP. Our presentation of EBITDA should not be construed as an inference that our future results will be unaffected by unusual or unexpected items. We may also incur expenses that are the same, or similar to, some of the adjustments in this presentation.</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Below is a reconciliation of net income (loss) to EBITDA, the closest GAAP financial measure.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gridSpan w:val="6"/>
          </w:tcPr>
          <w:p>
            <w:pPr>
              <w:jc w:val="right"/>
              <w:ind w:right="1080"/>
              <w:spacing w:after="0"/>
              <w:rPr>
                <w:sz w:val="20"/>
                <w:szCs w:val="20"/>
                <w:color w:val="auto"/>
              </w:rPr>
            </w:pPr>
            <w:r>
              <w:rPr>
                <w:rFonts w:ascii="Times New Roman" w:cs="Times New Roman" w:eastAsia="Times New Roman" w:hAnsi="Times New Roman"/>
                <w:sz w:val="15"/>
                <w:szCs w:val="15"/>
                <w:b w:val="1"/>
                <w:bCs w:val="1"/>
                <w:color w:val="auto"/>
              </w:rPr>
              <w:t>Years ended December 31,</w:t>
            </w:r>
          </w:p>
        </w:tc>
        <w:tc>
          <w:tcPr>
            <w:tcW w:w="14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87"/>
        </w:trPr>
        <w:tc>
          <w:tcPr>
            <w:tcW w:w="3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jc w:val="right"/>
              <w:ind w:right="2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jc w:val="right"/>
              <w:ind w:right="4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3"/>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460" w:type="dxa"/>
            <w:vAlign w:val="bottom"/>
          </w:tcPr>
          <w:p>
            <w:pPr>
              <w:ind w:left="380"/>
              <w:spacing w:after="0"/>
              <w:rPr>
                <w:sz w:val="20"/>
                <w:szCs w:val="20"/>
                <w:color w:val="auto"/>
              </w:rPr>
            </w:pPr>
            <w:r>
              <w:rPr>
                <w:rFonts w:ascii="Times New Roman" w:cs="Times New Roman" w:eastAsia="Times New Roman" w:hAnsi="Times New Roman"/>
                <w:sz w:val="15"/>
                <w:szCs w:val="15"/>
                <w:b w:val="1"/>
                <w:bCs w:val="1"/>
                <w:color w:val="auto"/>
              </w:rPr>
              <w:t>% Change</w:t>
            </w:r>
          </w:p>
        </w:tc>
        <w:tc>
          <w:tcPr>
            <w:tcW w:w="180" w:type="dxa"/>
            <w:vAlign w:val="bottom"/>
          </w:tcPr>
          <w:p>
            <w:pPr>
              <w:spacing w:after="0"/>
              <w:rPr>
                <w:sz w:val="16"/>
                <w:szCs w:val="16"/>
                <w:color w:val="auto"/>
              </w:rPr>
            </w:pPr>
          </w:p>
        </w:tc>
      </w:tr>
      <w:tr>
        <w:trPr>
          <w:trHeight w:val="176"/>
        </w:trPr>
        <w:tc>
          <w:tcPr>
            <w:tcW w:w="3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28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700" w:type="dxa"/>
            <w:vAlign w:val="bottom"/>
            <w:gridSpan w:val="2"/>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1.8</w:t>
            </w:r>
          </w:p>
        </w:tc>
        <w:tc>
          <w:tcPr>
            <w:tcW w:w="32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44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(9.1)</w:t>
            </w:r>
          </w:p>
        </w:tc>
        <w:tc>
          <w:tcPr>
            <w:tcW w:w="26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10.9</w:t>
            </w:r>
          </w:p>
        </w:tc>
        <w:tc>
          <w:tcPr>
            <w:tcW w:w="300" w:type="dxa"/>
            <w:vAlign w:val="bottom"/>
            <w:shd w:val="clear" w:color="auto" w:fill="CCEEFF"/>
          </w:tcPr>
          <w:p>
            <w:pPr>
              <w:spacing w:after="0"/>
              <w:rPr>
                <w:sz w:val="16"/>
                <w:szCs w:val="16"/>
                <w:color w:val="auto"/>
              </w:rPr>
            </w:pP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120.1%</w:t>
            </w:r>
          </w:p>
        </w:tc>
      </w:tr>
      <w:tr>
        <w:trPr>
          <w:trHeight w:val="184"/>
        </w:trPr>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Interest income and interest income – related parties</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(0.3)</w:t>
            </w:r>
          </w:p>
        </w:tc>
        <w:tc>
          <w:tcPr>
            <w:tcW w:w="320" w:type="dxa"/>
            <w:vAlign w:val="bottom"/>
          </w:tcPr>
          <w:p>
            <w:pPr>
              <w:spacing w:after="0"/>
              <w:rPr>
                <w:sz w:val="16"/>
                <w:szCs w:val="16"/>
                <w:color w:val="auto"/>
              </w:rPr>
            </w:pPr>
          </w:p>
        </w:tc>
        <w:tc>
          <w:tcPr>
            <w:tcW w:w="1440" w:type="dxa"/>
            <w:vAlign w:val="bottom"/>
            <w:gridSpan w:val="2"/>
          </w:tcPr>
          <w:p>
            <w:pPr>
              <w:jc w:val="right"/>
              <w:ind w:right="183"/>
              <w:spacing w:after="0"/>
              <w:rPr>
                <w:sz w:val="20"/>
                <w:szCs w:val="20"/>
                <w:color w:val="auto"/>
              </w:rPr>
            </w:pPr>
            <w:r>
              <w:rPr>
                <w:rFonts w:ascii="Times New Roman" w:cs="Times New Roman" w:eastAsia="Times New Roman" w:hAnsi="Times New Roman"/>
                <w:sz w:val="15"/>
                <w:szCs w:val="15"/>
                <w:color w:val="auto"/>
              </w:rPr>
              <w:t>(0.1)</w:t>
            </w:r>
          </w:p>
        </w:tc>
        <w:tc>
          <w:tcPr>
            <w:tcW w:w="260" w:type="dxa"/>
            <w:vAlign w:val="bottom"/>
          </w:tcPr>
          <w:p>
            <w:pPr>
              <w:spacing w:after="0"/>
              <w:rPr>
                <w:sz w:val="16"/>
                <w:szCs w:val="16"/>
                <w:color w:val="auto"/>
              </w:rPr>
            </w:pPr>
          </w:p>
        </w:tc>
        <w:tc>
          <w:tcPr>
            <w:tcW w:w="152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(0.2)</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99.2%</w:t>
            </w:r>
          </w:p>
        </w:tc>
      </w:tr>
      <w:tr>
        <w:trPr>
          <w:trHeight w:val="184"/>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Interest expense and interest expense – related parties</w:t>
            </w:r>
          </w:p>
        </w:tc>
        <w:tc>
          <w:tcPr>
            <w:tcW w:w="50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0.7</w:t>
            </w:r>
          </w:p>
        </w:tc>
        <w:tc>
          <w:tcPr>
            <w:tcW w:w="32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1.5</w:t>
            </w:r>
          </w:p>
        </w:tc>
        <w:tc>
          <w:tcPr>
            <w:tcW w:w="26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(0.8)</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(52.8)%</w:t>
            </w:r>
          </w:p>
        </w:tc>
      </w:tr>
      <w:tr>
        <w:trPr>
          <w:trHeight w:val="184"/>
        </w:trPr>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(benefit from) income taxes</w:t>
            </w: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0.6</w:t>
            </w:r>
          </w:p>
        </w:tc>
        <w:tc>
          <w:tcPr>
            <w:tcW w:w="320" w:type="dxa"/>
            <w:vAlign w:val="bottom"/>
          </w:tcPr>
          <w:p>
            <w:pPr>
              <w:spacing w:after="0"/>
              <w:rPr>
                <w:sz w:val="16"/>
                <w:szCs w:val="16"/>
                <w:color w:val="auto"/>
              </w:rPr>
            </w:pPr>
          </w:p>
        </w:tc>
        <w:tc>
          <w:tcPr>
            <w:tcW w:w="1440" w:type="dxa"/>
            <w:vAlign w:val="bottom"/>
            <w:gridSpan w:val="2"/>
          </w:tcPr>
          <w:p>
            <w:pPr>
              <w:jc w:val="right"/>
              <w:ind w:right="183"/>
              <w:spacing w:after="0"/>
              <w:rPr>
                <w:sz w:val="20"/>
                <w:szCs w:val="20"/>
                <w:color w:val="auto"/>
              </w:rPr>
            </w:pPr>
            <w:r>
              <w:rPr>
                <w:rFonts w:ascii="Times New Roman" w:cs="Times New Roman" w:eastAsia="Times New Roman" w:hAnsi="Times New Roman"/>
                <w:sz w:val="15"/>
                <w:szCs w:val="15"/>
                <w:color w:val="auto"/>
              </w:rPr>
              <w:t>(2.4)</w:t>
            </w:r>
          </w:p>
        </w:tc>
        <w:tc>
          <w:tcPr>
            <w:tcW w:w="26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c>
          <w:tcPr>
            <w:tcW w:w="300" w:type="dxa"/>
            <w:vAlign w:val="bottom"/>
          </w:tcPr>
          <w:p>
            <w:pPr>
              <w:spacing w:after="0"/>
              <w:rPr>
                <w:sz w:val="16"/>
                <w:szCs w:val="16"/>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(126.3)%</w:t>
            </w:r>
          </w:p>
        </w:tc>
      </w:tr>
      <w:tr>
        <w:trPr>
          <w:trHeight w:val="19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Depreciation expense</w:t>
            </w:r>
          </w:p>
        </w:tc>
        <w:tc>
          <w:tcPr>
            <w:tcW w:w="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0.4</w:t>
            </w:r>
          </w:p>
        </w:tc>
        <w:tc>
          <w:tcPr>
            <w:tcW w:w="3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43"/>
              <w:spacing w:after="0"/>
              <w:rPr>
                <w:sz w:val="20"/>
                <w:szCs w:val="20"/>
                <w:color w:val="auto"/>
              </w:rPr>
            </w:pPr>
            <w:r>
              <w:rPr>
                <w:rFonts w:ascii="Times New Roman" w:cs="Times New Roman" w:eastAsia="Times New Roman" w:hAnsi="Times New Roman"/>
                <w:sz w:val="15"/>
                <w:szCs w:val="15"/>
                <w:color w:val="auto"/>
              </w:rPr>
              <w:t>0.4</w:t>
            </w:r>
          </w:p>
        </w:tc>
        <w:tc>
          <w:tcPr>
            <w:tcW w:w="2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(29.7)%</w:t>
            </w:r>
          </w:p>
        </w:tc>
      </w:tr>
      <w:tr>
        <w:trPr>
          <w:trHeight w:val="187"/>
        </w:trPr>
        <w:tc>
          <w:tcPr>
            <w:tcW w:w="3780" w:type="dxa"/>
            <w:vAlign w:val="bottom"/>
          </w:tcPr>
          <w:p>
            <w:pPr>
              <w:spacing w:after="0"/>
              <w:rPr>
                <w:sz w:val="20"/>
                <w:szCs w:val="20"/>
                <w:color w:val="auto"/>
              </w:rPr>
            </w:pPr>
            <w:r>
              <w:rPr>
                <w:rFonts w:ascii="Times New Roman" w:cs="Times New Roman" w:eastAsia="Times New Roman" w:hAnsi="Times New Roman"/>
                <w:sz w:val="15"/>
                <w:szCs w:val="15"/>
                <w:color w:val="auto"/>
              </w:rPr>
              <w:t>EBITDA</w:t>
            </w:r>
          </w:p>
        </w:tc>
        <w:tc>
          <w:tcPr>
            <w:tcW w:w="50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ind w:right="1043"/>
              <w:spacing w:after="0"/>
              <w:rPr>
                <w:sz w:val="20"/>
                <w:szCs w:val="20"/>
                <w:color w:val="auto"/>
              </w:rPr>
            </w:pPr>
            <w:r>
              <w:rPr>
                <w:rFonts w:ascii="Times New Roman" w:cs="Times New Roman" w:eastAsia="Times New Roman" w:hAnsi="Times New Roman"/>
                <w:sz w:val="15"/>
                <w:szCs w:val="15"/>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w:t>
            </w:r>
          </w:p>
        </w:tc>
        <w:tc>
          <w:tcPr>
            <w:tcW w:w="32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163"/>
              <w:spacing w:after="0"/>
              <w:rPr>
                <w:sz w:val="20"/>
                <w:szCs w:val="20"/>
                <w:color w:val="auto"/>
              </w:rPr>
            </w:pPr>
            <w:r>
              <w:rPr>
                <w:rFonts w:ascii="Times New Roman" w:cs="Times New Roman" w:eastAsia="Times New Roman" w:hAnsi="Times New Roman"/>
                <w:sz w:val="15"/>
                <w:szCs w:val="15"/>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w:t>
            </w:r>
          </w:p>
        </w:tc>
        <w:tc>
          <w:tcPr>
            <w:tcW w:w="32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Borders>
              <w:top w:val="single" w:sz="8" w:color="auto"/>
              <w:bottom w:val="single" w:sz="8" w:color="auto"/>
            </w:tcBorders>
          </w:tcPr>
          <w:p>
            <w:pPr>
              <w:jc w:val="right"/>
              <w:ind w:right="10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12.9</w:t>
            </w:r>
          </w:p>
        </w:tc>
        <w:tc>
          <w:tcPr>
            <w:tcW w:w="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133.4%</w:t>
            </w:r>
          </w:p>
        </w:tc>
      </w:tr>
      <w:tr>
        <w:trPr>
          <w:trHeight w:val="20"/>
        </w:trPr>
        <w:tc>
          <w:tcPr>
            <w:tcW w:w="3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For the year ended December 31, 2024, EBITDA increased by $12.9 million, or 133.4%, compared to the year ended December 31, 2023, primarily because of an increase in net income of $10.9 million and a decrease in the benefit from income taxes of $3.0 million, partially offset by a decrease in interest expense and interest expense – related parties of $0.8 million and an increase in interest income and interest income – related parties of $0.2 million.</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Liquidity and Capital Resources</w:t>
      </w:r>
    </w:p>
    <w:p>
      <w:pPr>
        <w:spacing w:after="0" w:line="19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Capital spending</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We incur capital expenditures in the normal course of business and perform ongoing enhancements and updates to our social and mobile games to maintain their quality standards. Cash used for capital expenditures in the normal course of business is typically made available from cash flows generated by operating activities. We may also pursue acquisition opportunities for additional businesses or games that meet our strategic and return on investment criteria. Capital needs for investment opportunities are evaluated on an individual opportunity basis and may require significant capital commitments.</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Liquidity</w:t>
      </w:r>
    </w:p>
    <w:p>
      <w:pPr>
        <w:spacing w:after="0" w:line="200" w:lineRule="exact"/>
        <w:rPr>
          <w:sz w:val="20"/>
          <w:szCs w:val="20"/>
          <w:color w:val="auto"/>
        </w:rPr>
      </w:pPr>
    </w:p>
    <w:p>
      <w:pPr>
        <w:jc w:val="both"/>
        <w:ind w:firstLine="276"/>
        <w:spacing w:after="0" w:line="292" w:lineRule="auto"/>
        <w:rPr>
          <w:sz w:val="20"/>
          <w:szCs w:val="20"/>
          <w:color w:val="auto"/>
        </w:rPr>
      </w:pPr>
      <w:r>
        <w:rPr>
          <w:rFonts w:ascii="Times New Roman" w:cs="Times New Roman" w:eastAsia="Times New Roman" w:hAnsi="Times New Roman"/>
          <w:sz w:val="15"/>
          <w:szCs w:val="15"/>
          <w:color w:val="auto"/>
        </w:rPr>
        <w:t>Our primary sources of liquidity are the cash flows generated from our operations, that are currently available as unrestricted cash. Our unrestricted cash was $7.3 million and $15.2 million as of December 31, 2024 and 2023, respectively.</w:t>
      </w:r>
    </w:p>
    <w:p>
      <w:pPr>
        <w:spacing w:after="0" w:line="133" w:lineRule="exact"/>
        <w:rPr>
          <w:sz w:val="20"/>
          <w:szCs w:val="20"/>
          <w:color w:val="auto"/>
        </w:rPr>
      </w:pPr>
    </w:p>
    <w:p>
      <w:pPr>
        <w:jc w:val="both"/>
        <w:ind w:firstLine="276"/>
        <w:spacing w:after="0" w:line="292" w:lineRule="auto"/>
        <w:rPr>
          <w:sz w:val="20"/>
          <w:szCs w:val="20"/>
          <w:color w:val="auto"/>
        </w:rPr>
      </w:pPr>
      <w:r>
        <w:rPr>
          <w:rFonts w:ascii="Times New Roman" w:cs="Times New Roman" w:eastAsia="Times New Roman" w:hAnsi="Times New Roman"/>
          <w:sz w:val="15"/>
          <w:szCs w:val="15"/>
          <w:color w:val="auto"/>
        </w:rPr>
        <w:t>Our restricted cash and cash equivalents were $0.9 million and $1.1 million as of December 31, 2024 and 2023, respectively. Our restricted cash primarily consists of time deposits and is used as security for certain of our debt instruments and to secure standby letters of credit with certain of our landlords.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56" w:name="page57"/>
    <w:bookmarkEnd w:id="56"/>
    <w:p>
      <w:pPr>
        <w:jc w:val="both"/>
        <w:spacing w:after="0" w:line="260" w:lineRule="auto"/>
        <w:rPr>
          <w:sz w:val="20"/>
          <w:szCs w:val="20"/>
          <w:color w:val="auto"/>
        </w:rPr>
      </w:pPr>
      <w:r>
        <w:rPr>
          <w:rFonts w:ascii="Times New Roman" w:cs="Times New Roman" w:eastAsia="Times New Roman" w:hAnsi="Times New Roman"/>
          <w:sz w:val="15"/>
          <w:szCs w:val="15"/>
          <w:color w:val="auto"/>
        </w:rPr>
        <w:t>As of December 31, 2024, our 2021 Revolving Loan has a balance of $3.0 million and is due in June 2025. The Company has repaid its Convertible Notes balance of $1.1 million, its $1.5 million financing arrangement, and the remaining $0.8 million of its short term notes balance during the twelve months ended December 31, 2024. In concurrence with the registration of the convertible notes shares the Company registered shares for distribution in an equity line of credit. The Company has the right, but not the obligation, to sell up to $5.0 million in Class A common stock to the investor. We intend to renegotiate with the lender to extend the maturity date of the 2021 Revolving Loan and to negotiate a new Short Term Note. However, there is no guarantee that we will be able to renegotiate the terms of the 2021 Revolving Loan or obtain a new short term note with the lender at terms acceptable to us or at all. The Company was in compliance with its debt covenants related to the 2021 Revolving Note and 2021 Promissory note for the trailing twelve months ended December 31, 2024, however it is probable that the Company will fail the covenants within the next 12 months. As such, the Company has classified the long-term portion of its promissory note as current. There is no guarantee that the Company will receive a waiver from the lender if the covenants of the loans are breached in the future. In the event of a future breach of the debt covenants the lender has the right, but not the obligation, to declare all or any part of the debt as due immediately and cease making any advances or extend any further credit to the Company.</w:t>
      </w:r>
    </w:p>
    <w:p>
      <w:pPr>
        <w:spacing w:after="0" w:line="345" w:lineRule="exact"/>
        <w:rPr>
          <w:sz w:val="20"/>
          <w:szCs w:val="20"/>
          <w:color w:val="auto"/>
        </w:rPr>
      </w:pPr>
    </w:p>
    <w:p>
      <w:pPr>
        <w:jc w:val="both"/>
        <w:ind w:firstLine="276"/>
        <w:spacing w:after="0" w:line="262" w:lineRule="auto"/>
        <w:rPr>
          <w:sz w:val="20"/>
          <w:szCs w:val="20"/>
          <w:color w:val="auto"/>
        </w:rPr>
      </w:pPr>
      <w:r>
        <w:rPr>
          <w:rFonts w:ascii="Times New Roman" w:cs="Times New Roman" w:eastAsia="Times New Roman" w:hAnsi="Times New Roman"/>
          <w:sz w:val="15"/>
          <w:szCs w:val="15"/>
          <w:color w:val="auto"/>
        </w:rPr>
        <w:t>The Company has raised capital through the issuance of the convertible notes, equity line of credit, a short term financing arrangement with the Company’s internet and data center (“IDC”) vendor, and the distribution agreement entered into with our retail partner which provided advanced royalties. We may need to raise additional capital and issue registered shares to draw on an equity line of credit if needed. The need for additional capital depends on many factors, including, among other things, whether we can successfully renegotiate the terms of our debt arrangements, the rate at which our business grows, demands for working capital, revenue generated from existing DLCs and game titles and launches of new DLCs and new game titles, and any acquisitions that we may pursue. From time to time, we could be required, or may otherwise attempt, to seek additional sources of capital, including, but not limited to, equity and/or debt financings. We cannot provide assurance that we will be able to successfully access any such equity or debt financings, that the required equity or debt financings would be available on terms acceptable to us, if at all, or that any such financings would not be dilutive to our stockholders.</w:t>
      </w:r>
    </w:p>
    <w:p>
      <w:pPr>
        <w:spacing w:after="0" w:line="156" w:lineRule="exact"/>
        <w:rPr>
          <w:sz w:val="20"/>
          <w:szCs w:val="20"/>
          <w:color w:val="auto"/>
        </w:rPr>
      </w:pPr>
    </w:p>
    <w:p>
      <w:pPr>
        <w:jc w:val="both"/>
        <w:ind w:firstLine="276"/>
        <w:spacing w:after="0" w:line="292" w:lineRule="auto"/>
        <w:rPr>
          <w:sz w:val="20"/>
          <w:szCs w:val="20"/>
          <w:color w:val="auto"/>
        </w:rPr>
      </w:pPr>
      <w:r>
        <w:rPr>
          <w:rFonts w:ascii="Times New Roman" w:cs="Times New Roman" w:eastAsia="Times New Roman" w:hAnsi="Times New Roman"/>
          <w:sz w:val="15"/>
          <w:szCs w:val="15"/>
          <w:color w:val="auto"/>
        </w:rPr>
        <w:t>Our current unrestricted cash position of approximately $7.3 million, and our expected revenue receipts will allow the Company to continue operations beyond the next 12 months and service its current debts.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Cash flows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following tables present a summary of our cash flows for the periods indicated: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Years ended</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03"/>
        </w:trPr>
        <w:tc>
          <w:tcPr>
            <w:tcW w:w="4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40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87"/>
        </w:trPr>
        <w:tc>
          <w:tcPr>
            <w:tcW w:w="4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2024</w:t>
            </w: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5"/>
                <w:szCs w:val="15"/>
                <w:b w:val="1"/>
                <w:bCs w:val="1"/>
                <w:color w:val="auto"/>
              </w:rPr>
              <w:t>2023</w:t>
            </w: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1260" w:type="dxa"/>
            <w:vAlign w:val="bottom"/>
            <w:gridSpan w:val="2"/>
          </w:tcPr>
          <w:p>
            <w:pPr>
              <w:jc w:val="right"/>
              <w:ind w:right="74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164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 Change</w:t>
            </w:r>
          </w:p>
        </w:tc>
      </w:tr>
      <w:tr>
        <w:trPr>
          <w:trHeight w:val="176"/>
        </w:trPr>
        <w:tc>
          <w:tcPr>
            <w:tcW w:w="4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gridSpan w:val="3"/>
          </w:tcPr>
          <w:p>
            <w:pPr>
              <w:jc w:val="right"/>
              <w:ind w:right="203"/>
              <w:spacing w:after="0"/>
              <w:rPr>
                <w:sz w:val="20"/>
                <w:szCs w:val="20"/>
                <w:color w:val="auto"/>
              </w:rPr>
            </w:pPr>
            <w:r>
              <w:rPr>
                <w:rFonts w:ascii="Times New Roman" w:cs="Times New Roman" w:eastAsia="Times New Roman" w:hAnsi="Times New Roman"/>
                <w:sz w:val="15"/>
                <w:szCs w:val="15"/>
                <w:b w:val="1"/>
                <w:bCs w:val="1"/>
                <w:color w:val="auto"/>
              </w:rPr>
              <w:t>(in millions)</w:t>
            </w:r>
          </w:p>
        </w:tc>
        <w:tc>
          <w:tcPr>
            <w:tcW w:w="9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84"/>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flows provided by (used in) operating activities</w:t>
            </w:r>
          </w:p>
        </w:tc>
        <w:tc>
          <w:tcPr>
            <w:tcW w:w="1180" w:type="dxa"/>
            <w:vAlign w:val="bottom"/>
            <w:gridSpan w:val="2"/>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(1.6)</w:t>
            </w:r>
          </w:p>
        </w:tc>
        <w:tc>
          <w:tcPr>
            <w:tcW w:w="104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0.5</w:t>
            </w: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(2.1)</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(436.0)%</w:t>
            </w:r>
          </w:p>
        </w:tc>
      </w:tr>
      <w:tr>
        <w:trPr>
          <w:trHeight w:val="196"/>
        </w:trPr>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Net cash flows used in financing activities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gridSpan w:val="2"/>
          </w:tcPr>
          <w:p>
            <w:pPr>
              <w:ind w:left="180"/>
              <w:spacing w:after="0"/>
              <w:rPr>
                <w:sz w:val="20"/>
                <w:szCs w:val="20"/>
                <w:color w:val="auto"/>
              </w:rPr>
            </w:pPr>
            <w:r>
              <w:rPr>
                <w:rFonts w:ascii="Times New Roman" w:cs="Times New Roman" w:eastAsia="Times New Roman" w:hAnsi="Times New Roman"/>
                <w:sz w:val="15"/>
                <w:szCs w:val="15"/>
                <w:color w:val="auto"/>
              </w:rPr>
              <w:t>(6.5)</w:t>
            </w:r>
          </w:p>
        </w:tc>
        <w:tc>
          <w:tcPr>
            <w:tcW w:w="1040" w:type="dxa"/>
            <w:vAlign w:val="bottom"/>
          </w:tcPr>
          <w:p>
            <w:pPr>
              <w:spacing w:after="0"/>
              <w:rPr>
                <w:sz w:val="17"/>
                <w:szCs w:val="17"/>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(3.4)</w:t>
            </w:r>
          </w:p>
        </w:tc>
        <w:tc>
          <w:tcPr>
            <w:tcW w:w="52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(3.1)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(88.5)%</w:t>
            </w:r>
          </w:p>
        </w:tc>
      </w:tr>
      <w:tr>
        <w:trPr>
          <w:trHeight w:val="150"/>
        </w:trPr>
        <w:tc>
          <w:tcPr>
            <w:tcW w:w="414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Net decrease in cash and cash equivalents and restricted cash and</w:t>
            </w:r>
          </w:p>
        </w:tc>
        <w:tc>
          <w:tcPr>
            <w:tcW w:w="1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4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r>
      <w:tr>
        <w:trPr>
          <w:trHeight w:val="22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equivalents</w:t>
            </w:r>
          </w:p>
        </w:tc>
        <w:tc>
          <w:tcPr>
            <w:tcW w:w="1180" w:type="dxa"/>
            <w:vAlign w:val="bottom"/>
            <w:gridSpan w:val="2"/>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(8.1)</w:t>
            </w:r>
          </w:p>
        </w:tc>
        <w:tc>
          <w:tcPr>
            <w:tcW w:w="104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5"/>
                <w:szCs w:val="15"/>
                <w:color w:val="auto"/>
                <w:w w:val="79"/>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(2.9)</w:t>
            </w:r>
          </w:p>
        </w:tc>
        <w:tc>
          <w:tcPr>
            <w:tcW w:w="520" w:type="dxa"/>
            <w:vAlign w:val="bottom"/>
            <w:shd w:val="clear" w:color="auto" w:fill="CCEEFF"/>
          </w:tcPr>
          <w:p>
            <w:pPr>
              <w:jc w:val="right"/>
              <w:ind w:right="36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(5.2)</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(170.6)%</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Operating activities</w:t>
      </w:r>
    </w:p>
    <w:p>
      <w:pPr>
        <w:spacing w:after="0" w:line="200"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Net cash flows provided by (used in) operating activities for the year ended December 31, 2024 decreased $2.1 million as compared to the year ended December 31, 2023, which resulted primarily from a decrease in deferred revenues of $33.6 million, a decrease in accounts payable and accounts payable – related parties of $21.4 million, an increase in other noncurrent assets of $1.5 million, a decrease in accrued expenses of $0.6 million, a decrease in non-cash reconciling items of $0.6 million; partially offset by a decrease in accounts receivable and accounts receivable - related party of $34.1 million, increase in net income of $10.9 million, a decrease in prepaids expenses and prepaid expenses – related party of $8.5 million and an increase in prepaid taxes of $2.2 million.</w:t>
      </w:r>
    </w:p>
    <w:p>
      <w:pPr>
        <w:spacing w:after="0" w:line="153"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The Company had a net income of $1.8 million and a net loss of $9.1 million, for the years ended December 31, 2024 and 2023, respectively, representing an increase of $10.9 million. The increase was primarily due to an increase in net revenue of $23.6 million, decreased general and administrative expenses of $2.9 million, partially offset by increased research and development costs of $6.5 million, increased costs of revenues of $5.9 million, an increase in expenses related to the revaluation of outstanding and exercised warrants of $1.2 million and a decrease in income tax benefit of $3.0 million.</w:t>
      </w:r>
    </w:p>
    <w:p>
      <w:pPr>
        <w:spacing w:after="0" w:line="151" w:lineRule="exact"/>
        <w:rPr>
          <w:sz w:val="20"/>
          <w:szCs w:val="20"/>
          <w:color w:val="auto"/>
        </w:rPr>
      </w:pPr>
    </w:p>
    <w:p>
      <w:pPr>
        <w:jc w:val="both"/>
        <w:ind w:firstLine="276"/>
        <w:spacing w:after="0" w:line="272" w:lineRule="auto"/>
        <w:rPr>
          <w:sz w:val="20"/>
          <w:szCs w:val="20"/>
          <w:color w:val="auto"/>
        </w:rPr>
      </w:pPr>
      <w:r>
        <w:rPr>
          <w:rFonts w:ascii="Times New Roman" w:cs="Times New Roman" w:eastAsia="Times New Roman" w:hAnsi="Times New Roman"/>
          <w:sz w:val="15"/>
          <w:szCs w:val="15"/>
          <w:color w:val="auto"/>
        </w:rPr>
        <w:t>Non-cash reconciling items were $0.5 million and $1.1 million for the years ended December 31, 2024 and 2023, respectively, representing a decrease of $0.6 million. The decrease in the non-cash reconciling items was due to a decrease in amortization of intangible assets of $1.4 million, a decrease in stock based compensation expense of $1.7 million, a decrease in allowance for credit losses of $0.6 million, partially offset by an increase on the loss in fair value of warrant liabilities of $1.3 million, and an increase in deferred taxes of $2.1 million.</w:t>
      </w:r>
    </w:p>
    <w:p>
      <w:pPr>
        <w:spacing w:after="0" w:line="335"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 xml:space="preserve">Our accounts receivable - related party represent revenues attributable to certain mobile games that, for administrative reasons, were collected on our behalf by SDE Inc. (“SDE”), an affiliated entity, from fiscal year 2018 through 2021. SDE no longer collects such payments on our behalf; all such payments are received directly from the platforms through which we offer the relevant games. As of December 31, 2024 and 2023, the net outstanding balances of receivables due from SDE were $7.5 million and $13.5 million, respectively. We expect accounts receivables owed to us by SDE will be repaid within the next two fiscal years and intend to exercise all legally available means of collection. The Company and SDE have entered into an agreement to offset uncollected amounts against monthly payments due to SDE for operating expenses and costs of revenue. See Note 5- </w:t>
      </w:r>
      <w:r>
        <w:rPr>
          <w:rFonts w:ascii="Times New Roman" w:cs="Times New Roman" w:eastAsia="Times New Roman" w:hAnsi="Times New Roman"/>
          <w:sz w:val="15"/>
          <w:szCs w:val="15"/>
          <w:i w:val="1"/>
          <w:iCs w:val="1"/>
          <w:color w:val="auto"/>
        </w:rPr>
        <w:t xml:space="preserve">Accounts Receivable -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Related Party </w:t>
      </w:r>
      <w:r>
        <w:rPr>
          <w:rFonts w:ascii="Times New Roman" w:cs="Times New Roman" w:eastAsia="Times New Roman" w:hAnsi="Times New Roman"/>
          <w:sz w:val="15"/>
          <w:szCs w:val="15"/>
          <w:color w:val="auto"/>
        </w:rPr>
        <w:t>to our consolidated financial statements included in this Annual Report.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57" w:name="page58"/>
    <w:bookmarkEnd w:id="57"/>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Financing activities</w:t>
      </w:r>
    </w:p>
    <w:p>
      <w:pPr>
        <w:spacing w:after="0" w:line="200"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Net cash flows used in financing activities for the year ended December 31, 2024 were $6.5 million compared to $3.4 million for the year ended December 31, 2023. Financing activities for the year ended December 31, 2024 included $6.4 million in debt payments, $0.3 million in payments of capitalized offering costs in accounts payable and proceeds of $0.2 million resulting from the exercise of liability classified warrants. Financing activities for the year ended December 31, 2023 included debt repayments of $9.5 million, the purchases of treasury stock in the amount of $0.3 million, and $0.3 million in payments of capitalized offering costs partially offset by $3.0 million in borrowings on a term loan, $0.8 million for the issuance of convertible notes, $1.9 million received for the refund of a dividend withholding tax overpayment and $1.0 million from the release of the Company’s restricted escrow deposit.</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Registered Offering</w:t>
      </w:r>
    </w:p>
    <w:p>
      <w:pPr>
        <w:spacing w:after="0" w:line="200"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In September 2022, we filed a Form S-1 Registration Statement with the United States Securities and Exchange Commission in connection with our IPO. As of the effective date of the Registration Statement, we became the parent company of Snail Games USA and a holding company, with our principal asset consisting of all the shares of common stock of Snail Games USA.</w:t>
      </w:r>
    </w:p>
    <w:p>
      <w:pPr>
        <w:spacing w:after="0" w:line="146"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In the IPO, we issued 3,000,000 shares of our Class A common stock and net proceeds from the issuance were distributed to Snail Games USA in November 2022 in the amount of $12.0 million. In connection with the IPO, $1.0 million of the net proceeds were remitted to an escrow account which was held to provide a source of funding for our indemnification obligations to the underwriters. The amount in escrow was released to the Company’s unrestricted cash and cash equivalents in November 2023.</w:t>
      </w:r>
    </w:p>
    <w:p>
      <w:pPr>
        <w:spacing w:after="0" w:line="146" w:lineRule="exact"/>
        <w:rPr>
          <w:sz w:val="20"/>
          <w:szCs w:val="20"/>
          <w:color w:val="auto"/>
        </w:rPr>
      </w:pPr>
    </w:p>
    <w:p>
      <w:pPr>
        <w:jc w:val="both"/>
        <w:ind w:firstLine="276"/>
        <w:spacing w:after="0" w:line="292" w:lineRule="auto"/>
        <w:rPr>
          <w:sz w:val="20"/>
          <w:szCs w:val="20"/>
          <w:color w:val="auto"/>
        </w:rPr>
      </w:pPr>
      <w:r>
        <w:rPr>
          <w:rFonts w:ascii="Times New Roman" w:cs="Times New Roman" w:eastAsia="Times New Roman" w:hAnsi="Times New Roman"/>
          <w:sz w:val="15"/>
          <w:szCs w:val="15"/>
          <w:color w:val="auto"/>
        </w:rPr>
        <w:t>In October 2023, we filed a Form S-1 Registration Statement with the SEC in connection with our issuance of convertible note, equity line of credit and warrants related to each financing as noted below.</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58" w:name="page59"/>
    <w:bookmarkEnd w:id="58"/>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Capital resources</w:t>
      </w:r>
    </w:p>
    <w:p>
      <w:pPr>
        <w:spacing w:after="0" w:line="200" w:lineRule="exact"/>
        <w:rPr>
          <w:sz w:val="20"/>
          <w:szCs w:val="20"/>
          <w:color w:val="auto"/>
        </w:rPr>
      </w:pPr>
    </w:p>
    <w:p>
      <w:pPr>
        <w:jc w:val="both"/>
        <w:ind w:firstLine="276"/>
        <w:spacing w:after="0" w:line="292" w:lineRule="auto"/>
        <w:rPr>
          <w:sz w:val="20"/>
          <w:szCs w:val="20"/>
          <w:color w:val="auto"/>
        </w:rPr>
      </w:pPr>
      <w:r>
        <w:rPr>
          <w:rFonts w:ascii="Times New Roman" w:cs="Times New Roman" w:eastAsia="Times New Roman" w:hAnsi="Times New Roman"/>
          <w:sz w:val="15"/>
          <w:szCs w:val="15"/>
          <w:color w:val="auto"/>
        </w:rPr>
        <w:t>We fund our operations from our net cash flows provided by operating activities. In addition to these cash flows, we have entered into certain debt arrangements to provide additional liquidity and to finance our operations.</w:t>
      </w:r>
    </w:p>
    <w:p>
      <w:pPr>
        <w:spacing w:after="0" w:line="1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Revolving Loan</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In December 2018, we entered into a revolving loan and security agreement with a financial institution for a revolving note in the amount of $5.5 million. On June 21, 2023, the Company amended its revolving loan agreement (“amended revolver”) and decreased the maximum balance from $9,000,000 to $6,000,000. The revolving maturity date of revolving loan is extended to June 30, 2025 and has an annual interest rate equal to the prime rate less 0.25%. At December 31, 2024, the interest rate on this loan was 7.25%. As of December 31, 2024, we had borrowings of $3.0 million outstanding under our 2021 Revolving Loan.</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Term Loan</w:t>
      </w:r>
    </w:p>
    <w:p>
      <w:pPr>
        <w:spacing w:after="0" w:line="200"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In June 2021, we entered into a loan agreement with a financial institution providing for a term loan in an aggregate principal amount of $3.0 million (the “Term Loan”). The Term Loan, which was originally set to mature in June 2031, bears interest at a fixed rate of 3.5% for the first five years and then at a floating rate of the Wall Street Journal prime rate until maturity. The Term Loan is secured by our principal headquarters.</w:t>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2022 Short Term Note</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In January 2022, we amended and restated our 2021 Revolving Loan and we executed a promissory note to obtain an additional long-term loan with a principal balance of $10.0 million which was set to mature on January 26, 2023 (the “2022 Short Term Note”). In November 2022, the maturity date was extended to January 26, 2024. Interest was equal to the higher of 3.75% and the Wall Street Journal prime rate plus 0.50%. The 2022 Short Term Note is secured and collateralized by our existing assets. The Company completed the last payment obligation on the 2022 Short Term Note during the year ended December 31, 2024.</w:t>
      </w:r>
    </w:p>
    <w:p>
      <w:pPr>
        <w:spacing w:after="0" w:line="14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Convertible Notes</w:t>
      </w:r>
    </w:p>
    <w:p>
      <w:pPr>
        <w:spacing w:after="0" w:line="200" w:lineRule="exact"/>
        <w:rPr>
          <w:sz w:val="20"/>
          <w:szCs w:val="20"/>
          <w:color w:val="auto"/>
        </w:rPr>
      </w:pPr>
    </w:p>
    <w:p>
      <w:pPr>
        <w:jc w:val="both"/>
        <w:ind w:firstLine="276"/>
        <w:spacing w:after="0" w:line="260" w:lineRule="auto"/>
        <w:rPr>
          <w:sz w:val="20"/>
          <w:szCs w:val="20"/>
          <w:color w:val="auto"/>
        </w:rPr>
      </w:pPr>
      <w:r>
        <w:rPr>
          <w:rFonts w:ascii="Times New Roman" w:cs="Times New Roman" w:eastAsia="Times New Roman" w:hAnsi="Times New Roman"/>
          <w:sz w:val="15"/>
          <w:szCs w:val="15"/>
          <w:color w:val="auto"/>
        </w:rPr>
        <w:t>On August 24, 2023, the Company issued convertible notes at a 7.4% discount and a principal balance of $1,080,000. The notes had an interest rate of 7.5%, were paid in consecutive monthly installments beginning February 24, 2024 and matured on May 24, 2024. In connection with the Convertible Notes the Company issued to the investors warrants to purchase an aggregate of 714,285 shares that were accounted for under the fair value method and allocated a value of $445,754. The difference of $525,754 between the proceeds allocated to the Convertible Notes and the aggregate principal amount were accreted over the life of the notes and accounted for the fair value of the warrants and the stated discount. Additionally, $152,500 of transaction costs incurred by the Company were recorded as a debt discount. The discount was amortized using the effective interest rate of 103.4%. The effective interest rate is based on the principal balance discounted by stated interest, debt issuance costs and fair value allocated to the related warrants. As of December 31, 2024, the Convertible Notes have been repaid. The Company has registered shares for potential issuance on exercise of the warrants, or conversion of the note, on Form S-1 that was declared effective on October 30, 2023. As of December 31, 2024, the note holders have exercised 202,379 warrants. During the year ended December 31, 2024, prior to repayment, the noteholders exercised the option to convert $60,000 in principal of the notes to 71,460 shares of the Company’s Class A common stock.</w:t>
      </w:r>
    </w:p>
    <w:p>
      <w:pPr>
        <w:spacing w:after="0" w:line="15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i w:val="1"/>
          <w:iCs w:val="1"/>
          <w:color w:val="auto"/>
        </w:rPr>
        <w:t>Equity Line Purchase Agreement</w:t>
      </w:r>
    </w:p>
    <w:p>
      <w:pPr>
        <w:spacing w:after="0" w:line="200"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On August 24, 2023, the Company entered into a common stock purchase agreement (the “Equity Line Purchase Agreement”) and a registration rights agreement (the “Registration Rights Agreement”) with an investor, pursuant to which the investor has committed to purchase up to $5,000,000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9.99% of the Company’s outstanding shares of common stock.</w:t>
      </w:r>
    </w:p>
    <w:p>
      <w:pPr>
        <w:spacing w:after="0" w:line="153"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$5,000,000, provided that a registration statement covering the resale of shares of Class A common stock that have been and may be issued under the Equity Line Purchase Agreement is declared effective by the SEC. The Company has registered shares for potential issuance on exercise of the warrants, or drawing of the equity line, on Form S-1 that was declared effective on October 30, 2023. As of December 31, 2024 the Company has not sold any Class A common stock under the Equity Line Purchase Agreement and the investor has exercised 33,333 warrants.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59" w:name="page60"/>
    <w:bookmarkEnd w:id="59"/>
    <w:p>
      <w:pPr>
        <w:ind w:left="260"/>
        <w:spacing w:after="0"/>
        <w:rPr>
          <w:sz w:val="20"/>
          <w:szCs w:val="20"/>
          <w:color w:val="auto"/>
        </w:rPr>
      </w:pPr>
      <w:r>
        <w:rPr>
          <w:rFonts w:ascii="Times New Roman" w:cs="Times New Roman" w:eastAsia="Times New Roman" w:hAnsi="Times New Roman"/>
          <w:sz w:val="15"/>
          <w:szCs w:val="15"/>
          <w:i w:val="1"/>
          <w:iCs w:val="1"/>
          <w:color w:val="auto"/>
        </w:rPr>
        <w:t>2023 Note Payable</w:t>
      </w:r>
    </w:p>
    <w:p>
      <w:pPr>
        <w:spacing w:after="0" w:line="196"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 xml:space="preserve">In July 2023, the Company entered into a cooperation agreement with its IDC vendor. The Company agreed to make the vendor the official server host of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and future iterations and sequels of the game for a period of 7 years. In return, the vendor has agreed to provide the Company with funds in cash of up to $3.0 million without discount and free of charges and costs to the Company. The funds were repaid in monthly installments starting in November 2023 and were based on 20% of the gross monthly </w:t>
      </w:r>
      <w:r>
        <w:rPr>
          <w:rFonts w:ascii="Times New Roman" w:cs="Times New Roman" w:eastAsia="Times New Roman" w:hAnsi="Times New Roman"/>
          <w:sz w:val="15"/>
          <w:szCs w:val="15"/>
          <w:i w:val="1"/>
          <w:iCs w:val="1"/>
          <w:color w:val="auto"/>
        </w:rPr>
        <w:t>ARK: Survival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Ascended </w:t>
      </w:r>
      <w:r>
        <w:rPr>
          <w:rFonts w:ascii="Times New Roman" w:cs="Times New Roman" w:eastAsia="Times New Roman" w:hAnsi="Times New Roman"/>
          <w:sz w:val="15"/>
          <w:szCs w:val="15"/>
          <w:color w:val="auto"/>
        </w:rPr>
        <w:t>revenues. The Company has imputed interest at 8.0% on draws made. As of December 31, 2024, we had repaid the remaining $1.5 million outstanding under the Note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Payable.</w:t>
      </w:r>
    </w:p>
    <w:p>
      <w:pPr>
        <w:spacing w:after="0" w:line="3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Financial covenants</w:t>
      </w:r>
    </w:p>
    <w:p>
      <w:pPr>
        <w:spacing w:after="0" w:line="200"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The 2021 Revolving Loan, Term Loan and the 2022 Short Term Note require us to maintain a minimum debt service coverage ratio of 1.5 to 1.0. Additionally, the 2021 Revolving Loan requires us to maintain an outstanding principal balance of no more than $3.0 million for 30 consecutive days during any twelve-month period. For the trailing twelve months ended December 31, 2024, the Company met the minimum debt service coverage ratio required by its debt covenants. The Company repaid the $0.8 million term note that was one of three debt facilities with the lender, in January 2024. The Company’s ability to comply with the covenants, or receive waivers for the covenants, can lead to the acceleration of payments due under the debt facilities with the lender, cause the lender to cease making advances under the revolving agreement, or allow the lender to take possession of collateral. Due to the projected failure to comply with the debt covenant within the next twelve months, the Company classifies its long term debt as current.</w:t>
      </w:r>
    </w:p>
    <w:p>
      <w:pPr>
        <w:spacing w:after="0" w:line="152" w:lineRule="exact"/>
        <w:rPr>
          <w:sz w:val="20"/>
          <w:szCs w:val="20"/>
          <w:color w:val="auto"/>
        </w:rPr>
      </w:pPr>
    </w:p>
    <w:p>
      <w:pPr>
        <w:jc w:val="both"/>
        <w:ind w:right="20" w:firstLine="276"/>
        <w:spacing w:after="0" w:line="298" w:lineRule="auto"/>
        <w:rPr>
          <w:sz w:val="20"/>
          <w:szCs w:val="20"/>
          <w:color w:val="auto"/>
        </w:rPr>
      </w:pPr>
      <w:r>
        <w:rPr>
          <w:rFonts w:ascii="Times New Roman" w:cs="Times New Roman" w:eastAsia="Times New Roman" w:hAnsi="Times New Roman"/>
          <w:sz w:val="15"/>
          <w:szCs w:val="15"/>
          <w:color w:val="auto"/>
        </w:rPr>
        <w:t xml:space="preserve">For additional information regarding our indebtedness, see Note 12, </w:t>
      </w:r>
      <w:r>
        <w:rPr>
          <w:rFonts w:ascii="Times New Roman" w:cs="Times New Roman" w:eastAsia="Times New Roman" w:hAnsi="Times New Roman"/>
          <w:sz w:val="15"/>
          <w:szCs w:val="15"/>
          <w:i w:val="1"/>
          <w:iCs w:val="1"/>
          <w:color w:val="auto"/>
        </w:rPr>
        <w:t>Revolving Loan, Short Term Note and Long-Term Debt</w:t>
      </w:r>
      <w:r>
        <w:rPr>
          <w:rFonts w:ascii="Times New Roman" w:cs="Times New Roman" w:eastAsia="Times New Roman" w:hAnsi="Times New Roman"/>
          <w:sz w:val="15"/>
          <w:szCs w:val="15"/>
          <w:color w:val="auto"/>
        </w:rPr>
        <w:t xml:space="preserve"> to our consolidated financial statements included in this Annual Report.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Critical Accounting Policies and Estimates</w:t>
      </w:r>
    </w:p>
    <w:p>
      <w:pPr>
        <w:spacing w:after="0" w:line="200" w:lineRule="exact"/>
        <w:rPr>
          <w:sz w:val="20"/>
          <w:szCs w:val="20"/>
          <w:color w:val="auto"/>
        </w:rPr>
      </w:pPr>
    </w:p>
    <w:p>
      <w:pPr>
        <w:jc w:val="both"/>
        <w:ind w:firstLine="276"/>
        <w:spacing w:after="0" w:line="261" w:lineRule="auto"/>
        <w:rPr>
          <w:sz w:val="20"/>
          <w:szCs w:val="20"/>
          <w:color w:val="auto"/>
        </w:rPr>
      </w:pPr>
      <w:r>
        <w:rPr>
          <w:rFonts w:ascii="Times New Roman" w:cs="Times New Roman" w:eastAsia="Times New Roman" w:hAnsi="Times New Roman"/>
          <w:sz w:val="15"/>
          <w:szCs w:val="15"/>
          <w:color w:val="auto"/>
        </w:rPr>
        <w:t xml:space="preserve">Our discussion and analysis of results of operations, financial condition, and liquidity are based upon our consolidated financial statements, which have been prepared in accordance with U.S. GAAP. The preparation of these consolidated financial statements requires us to make estimates and judgements that affect the reported amounts of assets and liabilities and disclosure of contingent assets and liabilities at the date of the consolidated financial statements and the reported amounts of revenues and expenses during the reporting period. We based our estimates on historical experience and on various other assumptions that are believed to be reasonable under the circumstances. Actual results may materially differ from these estimates under different assumptions or conditions. On an on-going basis, we review our estimates to ensure that they appropriately reflect changes in our business or new information as it becomes available. For additional information on our significant accounting policies, please refer to Note 2 -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to our consolidated financial statements included in this Annual Report. We believe that the following critical accounting policies and estimates have the greatest potential impact on our consolidated financial statements.</w:t>
      </w:r>
    </w:p>
    <w:p>
      <w:pPr>
        <w:spacing w:after="0" w:line="1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Deferred Revenue</w:t>
      </w:r>
    </w:p>
    <w:p>
      <w:pPr>
        <w:spacing w:after="0" w:line="200"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The Company recognizes, defers, and classifies the timing of deferred revenues from the sale of its products based on estimates of the release date, technical support obligations and timing of its performance obligations. The estimated timing of release dates is dependent on development milestones met by developers and compliance with platform requirements. At any time, platform requirements may change, or the developers may miss milestones. Estimates in technical support obligations will vary by platform and could change from period to period depending on user trends. Changes in estimates of our release schedule may affect the classification of short and long term deferred revenues and the rate at which deferred revenue is recognized, which could have a material impact on the Company’s Consolidated Financial Statements.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60" w:name="page61"/>
    <w:bookmarkEnd w:id="60"/>
    <w:p>
      <w:pPr>
        <w:ind w:left="260"/>
        <w:spacing w:after="0"/>
        <w:rPr>
          <w:sz w:val="20"/>
          <w:szCs w:val="20"/>
          <w:color w:val="auto"/>
        </w:rPr>
      </w:pPr>
      <w:r>
        <w:rPr>
          <w:rFonts w:ascii="Times New Roman" w:cs="Times New Roman" w:eastAsia="Times New Roman" w:hAnsi="Times New Roman"/>
          <w:sz w:val="15"/>
          <w:szCs w:val="15"/>
          <w:b w:val="1"/>
          <w:bCs w:val="1"/>
          <w:i w:val="1"/>
          <w:iCs w:val="1"/>
          <w:color w:val="auto"/>
        </w:rPr>
        <w:t>Selling Prices of Performance Obligations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Company uses the following reasonably available information in developing the standalone selling prices of the performance obligations:</w:t>
      </w:r>
    </w:p>
    <w:p>
      <w:pPr>
        <w:spacing w:after="0" w:line="196" w:lineRule="exact"/>
        <w:rPr>
          <w:sz w:val="20"/>
          <w:szCs w:val="20"/>
          <w:color w:val="auto"/>
        </w:rPr>
      </w:pPr>
    </w:p>
    <w:p>
      <w:pPr>
        <w:ind w:left="540" w:hanging="271"/>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Reasonably available data points, including third party or industry pricing, and contractually stated prices.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conditions such as market demand, competition, market constraints, awareness of the product and market trends.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Entity-specific factors including pricing strategies and objectives, market share and pricing practices for bundled arrangements.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Deferred Income Taxes</w:t>
      </w:r>
    </w:p>
    <w:p>
      <w:pPr>
        <w:spacing w:after="0" w:line="200"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The Company’s deferred income tax assets reflect the net tax effects of temporary differences between the carrying amounts of assets and liabilities for financial reporting purposes and the amounts used for income tax purposes. Changes in tax laws or the level of future taxable income could affect the realizability of deferred income tax assets. The Company recognizes deferred income taxes based on estimates of future taxable income and the utilization of tax loss carryforwards. In evaluating the realizability of deferred taxes, the Company evaluates all available positive and negative evidence of whether sufficient future taxable income will be generated to realize the deferred tax assets, including the results of recent operations and projections of future taxable income. The weighting of positive and negative evidence and the projection of future taxable income requires significant judgment and estimates. In addition, changes in these estimates may have a material impact on the Company’s consolidated financial statements.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Pronouncements</w:t>
      </w:r>
    </w:p>
    <w:p>
      <w:pPr>
        <w:spacing w:after="0" w:line="200" w:lineRule="exact"/>
        <w:rPr>
          <w:sz w:val="20"/>
          <w:szCs w:val="20"/>
          <w:color w:val="auto"/>
        </w:rPr>
      </w:pPr>
    </w:p>
    <w:p>
      <w:pPr>
        <w:jc w:val="both"/>
        <w:ind w:firstLine="276"/>
        <w:spacing w:after="0" w:line="292" w:lineRule="auto"/>
        <w:rPr>
          <w:sz w:val="20"/>
          <w:szCs w:val="20"/>
          <w:color w:val="auto"/>
        </w:rPr>
      </w:pPr>
      <w:r>
        <w:rPr>
          <w:rFonts w:ascii="Times New Roman" w:cs="Times New Roman" w:eastAsia="Times New Roman" w:hAnsi="Times New Roman"/>
          <w:sz w:val="15"/>
          <w:szCs w:val="15"/>
          <w:color w:val="auto"/>
        </w:rPr>
        <w:t xml:space="preserve">For a description of recently issued and adopted accounting pronouncements, including the respective dates of adoption and expected effects on our results of operations and financial condition, please see Note 2 - </w:t>
      </w:r>
      <w:r>
        <w:rPr>
          <w:rFonts w:ascii="Times New Roman" w:cs="Times New Roman" w:eastAsia="Times New Roman" w:hAnsi="Times New Roman"/>
          <w:sz w:val="15"/>
          <w:szCs w:val="15"/>
          <w:i w:val="1"/>
          <w:iCs w:val="1"/>
          <w:color w:val="auto"/>
        </w:rPr>
        <w:t>Summary of Significant Accounting Policies</w:t>
      </w:r>
      <w:r>
        <w:rPr>
          <w:rFonts w:ascii="Times New Roman" w:cs="Times New Roman" w:eastAsia="Times New Roman" w:hAnsi="Times New Roman"/>
          <w:sz w:val="15"/>
          <w:szCs w:val="15"/>
          <w:color w:val="auto"/>
        </w:rPr>
        <w:t xml:space="preserve"> to our Consolidated Financial Statements included in this Annual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Emerging Growth Company and Smaller Reporting Company Status</w:t>
      </w:r>
    </w:p>
    <w:p>
      <w:pPr>
        <w:spacing w:after="0" w:line="200" w:lineRule="exact"/>
        <w:rPr>
          <w:sz w:val="20"/>
          <w:szCs w:val="20"/>
          <w:color w:val="auto"/>
        </w:rPr>
      </w:pPr>
    </w:p>
    <w:p>
      <w:pPr>
        <w:jc w:val="both"/>
        <w:ind w:firstLine="276"/>
        <w:spacing w:after="0" w:line="263" w:lineRule="auto"/>
        <w:rPr>
          <w:sz w:val="20"/>
          <w:szCs w:val="20"/>
          <w:color w:val="auto"/>
        </w:rPr>
      </w:pPr>
      <w:r>
        <w:rPr>
          <w:rFonts w:ascii="Times New Roman" w:cs="Times New Roman" w:eastAsia="Times New Roman" w:hAnsi="Times New Roman"/>
          <w:sz w:val="15"/>
          <w:szCs w:val="15"/>
          <w:color w:val="auto"/>
        </w:rPr>
        <w:t>We are an “emerging growth company,” as defined in the JOBS Act. As such, we are eligible for exemptions from various reporting requirements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and an exemption from the requirements to obtain a non-binding advisory vote on executive compensation or golden parachute arrangements. We have elected to take advantage of certain of the reduced disclosure obligations and may elect to take advantage of other reduced reporting requirements in our future filings with the SEC. As a result, the information that we provide to our stockholders may be different than you might receive from other public reporting companies in which you hold equity interests.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61" w:name="page62"/>
    <w:bookmarkEnd w:id="61"/>
    <w:p>
      <w:pPr>
        <w:jc w:val="both"/>
        <w:ind w:left="8" w:firstLine="276"/>
        <w:spacing w:after="0" w:line="265" w:lineRule="auto"/>
        <w:rPr>
          <w:sz w:val="20"/>
          <w:szCs w:val="20"/>
          <w:color w:val="auto"/>
        </w:rPr>
      </w:pPr>
      <w:r>
        <w:rPr>
          <w:rFonts w:ascii="Times New Roman" w:cs="Times New Roman" w:eastAsia="Times New Roman" w:hAnsi="Times New Roman"/>
          <w:sz w:val="15"/>
          <w:szCs w:val="15"/>
          <w:color w:val="auto"/>
        </w:rPr>
        <w:t>In addition, an emerging growth company can take advantage of an extended transition period for complying with new or revised accounting standards. This provision allows an emerging growth company to delay the adoption of certain accounting standards until those standards would otherwise apply to private companies. We have elected to avail ourselves of this provision of the JOBS Act. As a result, we will not be subject to new or revised accounting standards at the same time as other public companies that are not emerging growth companies. Therefore, our Consolidated Financial Statements may not be comparable to those of companies that comply with new or revised accounting pronouncements as of public company effective dates.</w:t>
      </w:r>
    </w:p>
    <w:p>
      <w:pPr>
        <w:spacing w:after="0" w:line="153"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color w:val="auto"/>
        </w:rPr>
        <w:t>We will remain an emerging growth company until the earliest of: (a)(i) the last day of the fiscal year following the fifth anniversary of the closing of our initial public offering;</w:t>
      </w:r>
    </w:p>
    <w:p>
      <w:pPr>
        <w:spacing w:after="0" w:line="26" w:lineRule="exact"/>
        <w:rPr>
          <w:sz w:val="20"/>
          <w:szCs w:val="20"/>
          <w:color w:val="auto"/>
        </w:rPr>
      </w:pPr>
    </w:p>
    <w:p>
      <w:pPr>
        <w:jc w:val="both"/>
        <w:ind w:left="8" w:hanging="8"/>
        <w:spacing w:after="0" w:line="261" w:lineRule="auto"/>
        <w:tabs>
          <w:tab w:leader="none" w:pos="242"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last day of the fiscal year in which we have total annual gross revenue of at least $1.235 billion; or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and (b) the date on which we have issued more than $1.0 billion in non-convertible debt securities during the prior three-year period.</w:t>
      </w:r>
    </w:p>
    <w:p>
      <w:pPr>
        <w:spacing w:after="0" w:line="157" w:lineRule="exact"/>
        <w:rPr>
          <w:sz w:val="20"/>
          <w:szCs w:val="20"/>
          <w:color w:val="auto"/>
        </w:rPr>
      </w:pPr>
    </w:p>
    <w:p>
      <w:pPr>
        <w:jc w:val="both"/>
        <w:ind w:left="8" w:firstLine="276"/>
        <w:spacing w:after="0" w:line="265" w:lineRule="auto"/>
        <w:rPr>
          <w:sz w:val="20"/>
          <w:szCs w:val="20"/>
          <w:color w:val="auto"/>
        </w:rPr>
      </w:pPr>
      <w:r>
        <w:rPr>
          <w:rFonts w:ascii="Times New Roman" w:cs="Times New Roman" w:eastAsia="Times New Roman" w:hAnsi="Times New Roman"/>
          <w:sz w:val="15"/>
          <w:szCs w:val="15"/>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4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7A. Quantitative and Qualitative Disclosures About Market Risk.</w:t>
      </w:r>
    </w:p>
    <w:p>
      <w:pPr>
        <w:spacing w:after="0" w:line="200" w:lineRule="exact"/>
        <w:rPr>
          <w:sz w:val="20"/>
          <w:szCs w:val="20"/>
          <w:color w:val="auto"/>
        </w:rPr>
      </w:pPr>
    </w:p>
    <w:p>
      <w:pPr>
        <w:ind w:left="268"/>
        <w:spacing w:after="0"/>
        <w:rPr>
          <w:sz w:val="20"/>
          <w:szCs w:val="20"/>
          <w:color w:val="auto"/>
        </w:rPr>
      </w:pPr>
      <w:r>
        <w:rPr>
          <w:rFonts w:ascii="Times New Roman" w:cs="Times New Roman" w:eastAsia="Times New Roman" w:hAnsi="Times New Roman"/>
          <w:sz w:val="15"/>
          <w:szCs w:val="15"/>
          <w:color w:val="auto"/>
        </w:rPr>
        <w:t>As a “smaller reporting company” as defined by Item 10 of Regulation S-K, the Company is not required to provide the information required by this item.</w:t>
      </w:r>
    </w:p>
    <w:p>
      <w:pPr>
        <w:spacing w:after="0" w:line="1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8. Financial Statements and Supplementary Data.</w:t>
      </w:r>
    </w:p>
    <w:p>
      <w:pPr>
        <w:spacing w:after="0" w:line="20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5264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9" w:right="319" w:bottom="1440" w:gutter="0" w:footer="0" w:header="0"/>
        </w:sectPr>
      </w:pPr>
    </w:p>
    <w:bookmarkStart w:id="62" w:name="page63"/>
    <w:bookmarkEnd w:id="62"/>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INDEX TO FINANCIAL STATEMENTS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Snail, Inc.</w:t>
      </w:r>
    </w:p>
    <w:p>
      <w:pPr>
        <w:spacing w:after="0" w:line="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Financial Statements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Page</w:t>
            </w:r>
          </w:p>
        </w:tc>
      </w:tr>
      <w:tr>
        <w:trPr>
          <w:trHeight w:val="156"/>
        </w:trPr>
        <w:tc>
          <w:tcPr>
            <w:tcW w:w="10700" w:type="dxa"/>
            <w:vAlign w:val="bottom"/>
            <w:tcBorders>
              <w:top w:val="single" w:sz="8" w:color="CCEEFF"/>
            </w:tcBorders>
            <w:gridSpan w:val="7"/>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0000EE"/>
              </w:rPr>
              <w:t xml:space="preserve">Report of Independent Registered Public Accounting Firm (BDO USA, P.C.; Costa Mesa, California; </w:t>
            </w:r>
            <w:r>
              <w:rPr>
                <w:rFonts w:ascii="Times New Roman" w:cs="Times New Roman" w:eastAsia="Times New Roman" w:hAnsi="Times New Roman"/>
                <w:sz w:val="12"/>
                <w:szCs w:val="12"/>
                <w:color w:val="000000"/>
              </w:rPr>
              <w:t>PCAOB ID No. 243)</w:t>
            </w:r>
          </w:p>
        </w:tc>
        <w:tc>
          <w:tcPr>
            <w:tcW w:w="560" w:type="dxa"/>
            <w:vAlign w:val="bottom"/>
            <w:tcBorders>
              <w:top w:val="single" w:sz="8" w:color="auto"/>
            </w:tcBorders>
            <w:shd w:val="clear" w:color="auto" w:fill="CCEEFF"/>
          </w:tcPr>
          <w:p>
            <w:pPr>
              <w:ind w:left="340"/>
              <w:spacing w:after="0" w:line="118" w:lineRule="exact"/>
              <w:rPr>
                <w:sz w:val="20"/>
                <w:szCs w:val="20"/>
                <w:color w:val="auto"/>
              </w:rPr>
            </w:pPr>
            <w:r>
              <w:rPr>
                <w:rFonts w:ascii="Times New Roman" w:cs="Times New Roman" w:eastAsia="Times New Roman" w:hAnsi="Times New Roman"/>
                <w:sz w:val="13"/>
                <w:szCs w:val="13"/>
                <w:color w:val="auto"/>
              </w:rPr>
              <w:t>F-2</w:t>
            </w:r>
          </w:p>
        </w:tc>
        <w:tc>
          <w:tcPr>
            <w:tcW w:w="20" w:type="dxa"/>
            <w:vAlign w:val="bottom"/>
          </w:tcPr>
          <w:p>
            <w:pPr>
              <w:spacing w:after="0"/>
              <w:rPr>
                <w:sz w:val="13"/>
                <w:szCs w:val="13"/>
                <w:color w:val="auto"/>
              </w:rPr>
            </w:pPr>
          </w:p>
        </w:tc>
      </w:tr>
      <w:tr>
        <w:trPr>
          <w:trHeight w:val="150"/>
        </w:trPr>
        <w:tc>
          <w:tcPr>
            <w:tcW w:w="1780" w:type="dxa"/>
            <w:vAlign w:val="bottom"/>
            <w:tcBorders>
              <w:top w:val="single" w:sz="8" w:color="0000EE"/>
              <w:bottom w:val="single" w:sz="8" w:color="0000EE"/>
            </w:tcBorders>
          </w:tcPr>
          <w:p>
            <w:pPr>
              <w:spacing w:after="0" w:line="150" w:lineRule="exact"/>
              <w:rPr>
                <w:sz w:val="20"/>
                <w:szCs w:val="20"/>
                <w:color w:val="auto"/>
              </w:rPr>
            </w:pPr>
            <w:r>
              <w:rPr>
                <w:rFonts w:ascii="Times New Roman" w:cs="Times New Roman" w:eastAsia="Times New Roman" w:hAnsi="Times New Roman"/>
                <w:sz w:val="15"/>
                <w:szCs w:val="15"/>
                <w:color w:val="0000EE"/>
              </w:rPr>
              <w:t>Consolidated Balance Sheets</w:t>
            </w:r>
          </w:p>
        </w:tc>
        <w:tc>
          <w:tcPr>
            <w:tcW w:w="4440" w:type="dxa"/>
            <w:vAlign w:val="bottom"/>
            <w:tcBorders>
              <w:top w:val="single" w:sz="8" w:color="0000EE"/>
            </w:tcBorders>
            <w:gridSpan w:val="5"/>
          </w:tcPr>
          <w:p>
            <w:pPr>
              <w:spacing w:after="0"/>
              <w:rPr>
                <w:sz w:val="13"/>
                <w:szCs w:val="13"/>
                <w:color w:val="auto"/>
              </w:rPr>
            </w:pPr>
          </w:p>
        </w:tc>
        <w:tc>
          <w:tcPr>
            <w:tcW w:w="4480" w:type="dxa"/>
            <w:vAlign w:val="bottom"/>
            <w:tcBorders>
              <w:top w:val="single" w:sz="8" w:color="CCEEFF"/>
            </w:tcBorders>
          </w:tcPr>
          <w:p>
            <w:pPr>
              <w:spacing w:after="0"/>
              <w:rPr>
                <w:sz w:val="13"/>
                <w:szCs w:val="13"/>
                <w:color w:val="auto"/>
              </w:rPr>
            </w:pPr>
          </w:p>
        </w:tc>
        <w:tc>
          <w:tcPr>
            <w:tcW w:w="560" w:type="dxa"/>
            <w:vAlign w:val="bottom"/>
            <w:tcBorders>
              <w:top w:val="single" w:sz="8" w:color="CCEEFF"/>
            </w:tcBorders>
          </w:tcPr>
          <w:p>
            <w:pPr>
              <w:ind w:left="340"/>
              <w:spacing w:after="0" w:line="150" w:lineRule="exact"/>
              <w:rPr>
                <w:sz w:val="20"/>
                <w:szCs w:val="20"/>
                <w:color w:val="auto"/>
              </w:rPr>
            </w:pPr>
            <w:r>
              <w:rPr>
                <w:rFonts w:ascii="Times New Roman" w:cs="Times New Roman" w:eastAsia="Times New Roman" w:hAnsi="Times New Roman"/>
                <w:sz w:val="15"/>
                <w:szCs w:val="15"/>
                <w:color w:val="auto"/>
                <w:w w:val="95"/>
              </w:rPr>
              <w:t>F-3</w:t>
            </w:r>
          </w:p>
        </w:tc>
        <w:tc>
          <w:tcPr>
            <w:tcW w:w="20" w:type="dxa"/>
            <w:vAlign w:val="bottom"/>
          </w:tcPr>
          <w:p>
            <w:pPr>
              <w:spacing w:after="0"/>
              <w:rPr>
                <w:sz w:val="13"/>
                <w:szCs w:val="13"/>
                <w:color w:val="auto"/>
              </w:rPr>
            </w:pPr>
          </w:p>
        </w:tc>
      </w:tr>
      <w:tr>
        <w:trPr>
          <w:trHeight w:val="179"/>
        </w:trPr>
        <w:tc>
          <w:tcPr>
            <w:tcW w:w="10700" w:type="dxa"/>
            <w:vAlign w:val="bottom"/>
            <w:gridSpan w:val="7"/>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Consolidated Statements of Operations and Comprehensive Income (Loss)</w:t>
            </w:r>
          </w:p>
        </w:tc>
        <w:tc>
          <w:tcPr>
            <w:tcW w:w="560" w:type="dxa"/>
            <w:vAlign w:val="bottom"/>
            <w:shd w:val="clear" w:color="auto" w:fill="CCEEFF"/>
          </w:tcPr>
          <w:p>
            <w:pPr>
              <w:ind w:left="340"/>
              <w:spacing w:after="0" w:line="164" w:lineRule="exact"/>
              <w:rPr>
                <w:sz w:val="20"/>
                <w:szCs w:val="20"/>
                <w:color w:val="auto"/>
              </w:rPr>
            </w:pPr>
            <w:r>
              <w:rPr>
                <w:rFonts w:ascii="Times New Roman" w:cs="Times New Roman" w:eastAsia="Times New Roman" w:hAnsi="Times New Roman"/>
                <w:sz w:val="15"/>
                <w:szCs w:val="15"/>
                <w:color w:val="auto"/>
                <w:w w:val="95"/>
              </w:rPr>
              <w:t>F-4</w:t>
            </w:r>
          </w:p>
        </w:tc>
        <w:tc>
          <w:tcPr>
            <w:tcW w:w="20" w:type="dxa"/>
            <w:vAlign w:val="bottom"/>
          </w:tcPr>
          <w:p>
            <w:pPr>
              <w:spacing w:after="0"/>
              <w:rPr>
                <w:sz w:val="15"/>
                <w:szCs w:val="15"/>
                <w:color w:val="auto"/>
              </w:rPr>
            </w:pPr>
          </w:p>
        </w:tc>
      </w:tr>
      <w:tr>
        <w:trPr>
          <w:trHeight w:val="150"/>
        </w:trPr>
        <w:tc>
          <w:tcPr>
            <w:tcW w:w="4580" w:type="dxa"/>
            <w:vAlign w:val="bottom"/>
            <w:tcBorders>
              <w:top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5"/>
                <w:szCs w:val="15"/>
                <w:color w:val="0000EE"/>
              </w:rPr>
              <w:t>Consolidated Statements of Equity</w:t>
            </w:r>
          </w:p>
        </w:tc>
        <w:tc>
          <w:tcPr>
            <w:tcW w:w="6120" w:type="dxa"/>
            <w:vAlign w:val="bottom"/>
            <w:tcBorders>
              <w:top w:val="single" w:sz="8" w:color="CCEEFF"/>
            </w:tcBorders>
            <w:gridSpan w:val="2"/>
          </w:tcPr>
          <w:p>
            <w:pPr>
              <w:spacing w:after="0"/>
              <w:rPr>
                <w:sz w:val="13"/>
                <w:szCs w:val="13"/>
                <w:color w:val="auto"/>
              </w:rPr>
            </w:pPr>
          </w:p>
        </w:tc>
        <w:tc>
          <w:tcPr>
            <w:tcW w:w="560" w:type="dxa"/>
            <w:vAlign w:val="bottom"/>
            <w:tcBorders>
              <w:top w:val="single" w:sz="8" w:color="CCEEFF"/>
            </w:tcBorders>
          </w:tcPr>
          <w:p>
            <w:pPr>
              <w:ind w:left="340"/>
              <w:spacing w:after="0" w:line="150" w:lineRule="exact"/>
              <w:rPr>
                <w:sz w:val="20"/>
                <w:szCs w:val="20"/>
                <w:color w:val="auto"/>
              </w:rPr>
            </w:pPr>
            <w:r>
              <w:rPr>
                <w:rFonts w:ascii="Times New Roman" w:cs="Times New Roman" w:eastAsia="Times New Roman" w:hAnsi="Times New Roman"/>
                <w:sz w:val="15"/>
                <w:szCs w:val="15"/>
                <w:color w:val="auto"/>
                <w:w w:val="95"/>
              </w:rPr>
              <w:t>F-5</w:t>
            </w:r>
          </w:p>
        </w:tc>
        <w:tc>
          <w:tcPr>
            <w:tcW w:w="20" w:type="dxa"/>
            <w:vAlign w:val="bottom"/>
          </w:tcPr>
          <w:p>
            <w:pPr>
              <w:spacing w:after="0"/>
              <w:rPr>
                <w:sz w:val="13"/>
                <w:szCs w:val="13"/>
                <w:color w:val="auto"/>
              </w:rPr>
            </w:pPr>
          </w:p>
        </w:tc>
      </w:tr>
      <w:tr>
        <w:trPr>
          <w:trHeight w:val="20"/>
        </w:trPr>
        <w:tc>
          <w:tcPr>
            <w:tcW w:w="17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9"/>
        </w:trPr>
        <w:tc>
          <w:tcPr>
            <w:tcW w:w="2440" w:type="dxa"/>
            <w:vAlign w:val="bottom"/>
            <w:tcBorders>
              <w:bottom w:val="single" w:sz="8" w:color="0000EE"/>
            </w:tcBorders>
            <w:gridSpan w:val="3"/>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Consolidated Statements of Cash Flows</w:t>
            </w:r>
          </w:p>
        </w:tc>
        <w:tc>
          <w:tcPr>
            <w:tcW w:w="8260" w:type="dxa"/>
            <w:vAlign w:val="bottom"/>
            <w:tcBorders>
              <w:bottom w:val="single" w:sz="8" w:color="CCEEFF"/>
            </w:tcBorders>
            <w:gridSpan w:val="4"/>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ind w:left="340"/>
              <w:spacing w:after="0" w:line="164" w:lineRule="exact"/>
              <w:rPr>
                <w:sz w:val="20"/>
                <w:szCs w:val="20"/>
                <w:color w:val="auto"/>
              </w:rPr>
            </w:pPr>
            <w:r>
              <w:rPr>
                <w:rFonts w:ascii="Times New Roman" w:cs="Times New Roman" w:eastAsia="Times New Roman" w:hAnsi="Times New Roman"/>
                <w:sz w:val="15"/>
                <w:szCs w:val="15"/>
                <w:color w:val="auto"/>
                <w:w w:val="95"/>
              </w:rPr>
              <w:t>F-7</w:t>
            </w:r>
          </w:p>
        </w:tc>
        <w:tc>
          <w:tcPr>
            <w:tcW w:w="20" w:type="dxa"/>
            <w:vAlign w:val="bottom"/>
          </w:tcPr>
          <w:p>
            <w:pPr>
              <w:spacing w:after="0"/>
              <w:rPr>
                <w:sz w:val="15"/>
                <w:szCs w:val="15"/>
                <w:color w:val="auto"/>
              </w:rPr>
            </w:pPr>
          </w:p>
        </w:tc>
      </w:tr>
      <w:tr>
        <w:trPr>
          <w:trHeight w:val="150"/>
        </w:trPr>
        <w:tc>
          <w:tcPr>
            <w:tcW w:w="10700" w:type="dxa"/>
            <w:vAlign w:val="bottom"/>
            <w:gridSpan w:val="7"/>
          </w:tcPr>
          <w:p>
            <w:pPr>
              <w:spacing w:after="0" w:line="150" w:lineRule="exact"/>
              <w:rPr>
                <w:sz w:val="20"/>
                <w:szCs w:val="20"/>
                <w:color w:val="auto"/>
              </w:rPr>
            </w:pPr>
            <w:r>
              <w:rPr>
                <w:rFonts w:ascii="Times New Roman" w:cs="Times New Roman" w:eastAsia="Times New Roman" w:hAnsi="Times New Roman"/>
                <w:sz w:val="15"/>
                <w:szCs w:val="15"/>
                <w:color w:val="0000EE"/>
              </w:rPr>
              <w:t>Notes to Consolidated Financial Statements</w:t>
            </w:r>
          </w:p>
        </w:tc>
        <w:tc>
          <w:tcPr>
            <w:tcW w:w="560" w:type="dxa"/>
            <w:vAlign w:val="bottom"/>
          </w:tcPr>
          <w:p>
            <w:pPr>
              <w:ind w:left="340"/>
              <w:spacing w:after="0" w:line="150" w:lineRule="exact"/>
              <w:rPr>
                <w:sz w:val="20"/>
                <w:szCs w:val="20"/>
                <w:color w:val="auto"/>
              </w:rPr>
            </w:pPr>
            <w:r>
              <w:rPr>
                <w:rFonts w:ascii="Times New Roman" w:cs="Times New Roman" w:eastAsia="Times New Roman" w:hAnsi="Times New Roman"/>
                <w:sz w:val="15"/>
                <w:szCs w:val="15"/>
                <w:color w:val="auto"/>
                <w:w w:val="95"/>
              </w:rPr>
              <w:t>F-8</w:t>
            </w:r>
          </w:p>
        </w:tc>
        <w:tc>
          <w:tcPr>
            <w:tcW w:w="20" w:type="dxa"/>
            <w:vAlign w:val="bottom"/>
          </w:tcPr>
          <w:p>
            <w:pPr>
              <w:spacing w:after="0"/>
              <w:rPr>
                <w:sz w:val="13"/>
                <w:szCs w:val="13"/>
                <w:color w:val="auto"/>
              </w:rPr>
            </w:pPr>
          </w:p>
        </w:tc>
      </w:tr>
      <w:tr>
        <w:trPr>
          <w:trHeight w:val="383"/>
        </w:trPr>
        <w:tc>
          <w:tcPr>
            <w:tcW w:w="178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6120" w:type="dxa"/>
            <w:vAlign w:val="bottom"/>
            <w:tcBorders>
              <w:bottom w:val="single" w:sz="8" w:color="auto"/>
            </w:tcBorders>
            <w:gridSpan w:val="2"/>
          </w:tcPr>
          <w:p>
            <w:pPr>
              <w:ind w:left="940"/>
              <w:spacing w:after="0"/>
              <w:rPr>
                <w:sz w:val="20"/>
                <w:szCs w:val="20"/>
                <w:color w:val="auto"/>
              </w:rPr>
            </w:pPr>
            <w:r>
              <w:rPr>
                <w:rFonts w:ascii="Times New Roman" w:cs="Times New Roman" w:eastAsia="Times New Roman" w:hAnsi="Times New Roman"/>
                <w:sz w:val="15"/>
                <w:szCs w:val="15"/>
                <w:color w:val="auto"/>
              </w:rPr>
              <w:t>F-1</w:t>
            </w: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605" w:right="31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5"/>
          <w:szCs w:val="15"/>
          <w:b w:val="1"/>
          <w:bCs w:val="1"/>
          <w:color w:val="auto"/>
        </w:rPr>
        <w:t>UPDATE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Report of Independent Registered Public Accounting Firm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Stockholders and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Snail, Inc.</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Culver City, California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Opinion on the Consolidated Financial Statements</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We have audited the accompanying consolidated balance sheets of Snail, Inc. (the “Company”) as of December 31, 2024 and 2023, the related consolidated statements of operations and comprehensive income (loss),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the years then ended, in conformity with accounting principles generally accepted in the United States of America.</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Basis for Opinion</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1"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BDO USA, P.C.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We have served as the Company’s auditor since 2021.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Costa Mesa, California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26, 2025</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Item 1. Consolidated Financial Statements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50"/>
        </w:trPr>
        <w:tc>
          <w:tcPr>
            <w:tcW w:w="6760" w:type="dxa"/>
            <w:vAlign w:val="bottom"/>
          </w:tcPr>
          <w:p>
            <w:pPr>
              <w:ind w:left="4740"/>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3"/>
        </w:trPr>
        <w:tc>
          <w:tcPr>
            <w:tcW w:w="9100" w:type="dxa"/>
            <w:vAlign w:val="bottom"/>
            <w:gridSpan w:val="5"/>
          </w:tcPr>
          <w:p>
            <w:pPr>
              <w:ind w:left="3560"/>
              <w:spacing w:after="0"/>
              <w:rPr>
                <w:sz w:val="20"/>
                <w:szCs w:val="20"/>
                <w:color w:val="auto"/>
              </w:rPr>
            </w:pPr>
            <w:r>
              <w:rPr>
                <w:rFonts w:ascii="Times New Roman" w:cs="Times New Roman" w:eastAsia="Times New Roman" w:hAnsi="Times New Roman"/>
                <w:sz w:val="15"/>
                <w:szCs w:val="15"/>
                <w:b w:val="1"/>
                <w:bCs w:val="1"/>
                <w:color w:val="auto"/>
              </w:rPr>
              <w:t>Consolidated Balance Sheets as of December 31, 2024 and 2023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80"/>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00" w:type="dxa"/>
            <w:vAlign w:val="bottom"/>
            <w:gridSpan w:val="2"/>
          </w:tcPr>
          <w:p>
            <w:pPr>
              <w:jc w:val="right"/>
              <w:ind w:right="540"/>
              <w:spacing w:after="0"/>
              <w:rPr>
                <w:sz w:val="20"/>
                <w:szCs w:val="20"/>
                <w:color w:val="auto"/>
              </w:rPr>
            </w:pPr>
            <w:r>
              <w:rPr>
                <w:rFonts w:ascii="Times New Roman" w:cs="Times New Roman" w:eastAsia="Times New Roman" w:hAnsi="Times New Roman"/>
                <w:sz w:val="15"/>
                <w:szCs w:val="15"/>
                <w:b w:val="1"/>
                <w:bCs w:val="1"/>
                <w:i w:val="1"/>
                <w:iCs w:val="1"/>
                <w:color w:val="auto"/>
              </w:rPr>
              <w:t>December 31, 2024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0" w:type="dxa"/>
            <w:vAlign w:val="bottom"/>
            <w:gridSpan w:val="3"/>
          </w:tcPr>
          <w:p>
            <w:pPr>
              <w:jc w:val="right"/>
              <w:ind w:right="460"/>
              <w:spacing w:after="0"/>
              <w:rPr>
                <w:sz w:val="20"/>
                <w:szCs w:val="20"/>
                <w:color w:val="auto"/>
              </w:rPr>
            </w:pPr>
            <w:r>
              <w:rPr>
                <w:rFonts w:ascii="Times New Roman" w:cs="Times New Roman" w:eastAsia="Times New Roman" w:hAnsi="Times New Roman"/>
                <w:sz w:val="15"/>
                <w:szCs w:val="15"/>
                <w:b w:val="1"/>
                <w:bCs w:val="1"/>
                <w:i w:val="1"/>
                <w:iCs w:val="1"/>
                <w:color w:val="auto"/>
              </w:rPr>
              <w:t>December 31, 2023</w:t>
            </w:r>
          </w:p>
        </w:tc>
      </w:tr>
      <w:tr>
        <w:trPr>
          <w:trHeight w:val="176"/>
        </w:trPr>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Assets:</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and cash equivalents</w:t>
            </w:r>
          </w:p>
        </w:tc>
        <w:tc>
          <w:tcPr>
            <w:tcW w:w="44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7,303,944</w:t>
            </w:r>
          </w:p>
        </w:tc>
        <w:tc>
          <w:tcPr>
            <w:tcW w:w="360" w:type="dxa"/>
            <w:vAlign w:val="bottom"/>
            <w:gridSpan w:val="2"/>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15,198,123</w:t>
            </w: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receivable, net of allowances for credit losses of $523,500 as of December 31, 2024 and 2023</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9,814,822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25,134,808</w:t>
            </w: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 related party</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2,336,274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Loan and interest receivable - related party</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105,759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103,753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expenses - related party</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2,521,291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6,044,404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1,846,024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639,693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6"/>
        </w:trPr>
        <w:tc>
          <w:tcPr>
            <w:tcW w:w="6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taxes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7,318,424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9,529,755</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current assets</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31,246,538</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56,650,536</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4"/>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 cash and cash equivalents</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935,000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1,116,196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Accounts receivable – related party, net of current portion</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1,500,592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7,500,592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expenses - related party, net of current portion</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9,378,594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7,784,062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4,378,352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4,682,066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Intangible assets, net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973,914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271,717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Deferred income taxes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10,817,112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10,247,500</w:t>
            </w: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noncurrent assets</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1,683,932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164,170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right-of-use assets, net</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1,279,330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2,440,690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7"/>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assets</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62,193,364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90,857,529</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6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LIABILITIES, NONCONTROLLING INTERESTS AND STOCKHOLDERS’ EQUITY</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Current Liabilities:</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44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4,656,367</w:t>
            </w:r>
          </w:p>
        </w:tc>
        <w:tc>
          <w:tcPr>
            <w:tcW w:w="360" w:type="dxa"/>
            <w:vAlign w:val="bottom"/>
            <w:gridSpan w:val="2"/>
          </w:tcPr>
          <w:p>
            <w:pPr>
              <w:jc w:val="right"/>
              <w:ind w:right="83"/>
              <w:spacing w:after="0"/>
              <w:rPr>
                <w:sz w:val="20"/>
                <w:szCs w:val="20"/>
                <w:color w:val="auto"/>
              </w:rPr>
            </w:pPr>
            <w:r>
              <w:rPr>
                <w:rFonts w:ascii="Times New Roman" w:cs="Times New Roman" w:eastAsia="Times New Roman" w:hAnsi="Times New Roman"/>
                <w:sz w:val="15"/>
                <w:szCs w:val="15"/>
                <w:color w:val="auto"/>
              </w:rPr>
              <w:t>$</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12,102,929</w:t>
            </w: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 - related parties</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15,383,171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23,094,436</w:t>
            </w: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4,499,280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2,887,193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payable - related parties</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527,770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527,770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Revolving loan</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3,000,000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6,000,000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Notes payable</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2,333,333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Convertible notes, net of discount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797,361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long-term promissory note</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2,722,548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2,811,923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Current portion of deferred revenue</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3,947,559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19,252,628</w:t>
            </w:r>
          </w:p>
        </w:tc>
        <w:tc>
          <w:tcPr>
            <w:tcW w:w="80" w:type="dxa"/>
            <w:vAlign w:val="bottom"/>
          </w:tcPr>
          <w:p>
            <w:pPr>
              <w:spacing w:after="0"/>
              <w:rPr>
                <w:sz w:val="16"/>
                <w:szCs w:val="16"/>
                <w:color w:val="auto"/>
              </w:rPr>
            </w:pPr>
          </w:p>
        </w:tc>
      </w:tr>
      <w:tr>
        <w:trPr>
          <w:trHeight w:val="196"/>
        </w:trPr>
        <w:tc>
          <w:tcPr>
            <w:tcW w:w="6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Current portion of operating lease liabilities</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1,444,385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1,505,034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76"/>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Total current liabilities</w:t>
            </w: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36,181,080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71,312,607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6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Accrued expenses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265,251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254,731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revenue, net of current portion</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21,519,888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15,064,078</w:t>
            </w:r>
          </w:p>
        </w:tc>
        <w:tc>
          <w:tcPr>
            <w:tcW w:w="80" w:type="dxa"/>
            <w:vAlign w:val="bottom"/>
            <w:shd w:val="clear" w:color="auto" w:fill="CCEEFF"/>
          </w:tcPr>
          <w:p>
            <w:pPr>
              <w:spacing w:after="0"/>
              <w:rPr>
                <w:sz w:val="16"/>
                <w:szCs w:val="16"/>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Operating lease liabilities, net of current portion</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57,983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1,425,494</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liabilities</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58,024,202</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88,056,910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76"/>
        </w:trPr>
        <w:tc>
          <w:tcPr>
            <w:tcW w:w="6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Commitments and contingencies</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Stockholders’ Equity:</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70"/>
        </w:trPr>
        <w:tc>
          <w:tcPr>
            <w:tcW w:w="676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Class A common stock, $0.0001 par value, 500,000,000 shares authorized; 9,626,070 shares issued and</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4"/>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8,275,795 shares outstanding as of December 31, 2024, and 9,275,420 shares issued and 7,925,145 shares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outstanding as of December 31, 2023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962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927</w:t>
            </w:r>
          </w:p>
        </w:tc>
        <w:tc>
          <w:tcPr>
            <w:tcW w:w="80" w:type="dxa"/>
            <w:vAlign w:val="bottom"/>
          </w:tcPr>
          <w:p>
            <w:pPr>
              <w:spacing w:after="0"/>
              <w:rPr>
                <w:sz w:val="17"/>
                <w:szCs w:val="17"/>
                <w:color w:val="auto"/>
              </w:rPr>
            </w:pPr>
          </w:p>
        </w:tc>
      </w:tr>
      <w:tr>
        <w:trPr>
          <w:trHeight w:val="170"/>
        </w:trPr>
        <w:tc>
          <w:tcPr>
            <w:tcW w:w="67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Class B common stock, $0.0001 par value, 100,000,000 shares authorized; 28,748,580 shares issued and</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9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December 31, 2024 and December 31, 2023</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2,875</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2,875</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4"/>
        </w:trPr>
        <w:tc>
          <w:tcPr>
            <w:tcW w:w="6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Additional paid-in capital</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25,738,082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26,171,575</w:t>
            </w:r>
          </w:p>
        </w:tc>
        <w:tc>
          <w:tcPr>
            <w:tcW w:w="80" w:type="dxa"/>
            <w:vAlign w:val="bottom"/>
            <w:shd w:val="clear" w:color="auto" w:fill="CCEEFF"/>
          </w:tcPr>
          <w:p>
            <w:pPr>
              <w:spacing w:after="0"/>
              <w:rPr>
                <w:sz w:val="16"/>
                <w:szCs w:val="16"/>
                <w:color w:val="auto"/>
              </w:rPr>
            </w:pPr>
          </w:p>
        </w:tc>
      </w:tr>
      <w:tr>
        <w:trPr>
          <w:trHeight w:val="184"/>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Accumulated other comprehensive loss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(279,457)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(254,383)</w:t>
            </w:r>
          </w:p>
        </w:tc>
      </w:tr>
      <w:tr>
        <w:trPr>
          <w:trHeight w:val="184"/>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deficit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(12,117,385)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(13,949,325)</w:t>
            </w: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Treasury stock at cost (1,350,275 shares as of December 31, 2024 and 2023)</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(3,671,806)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(3,671,806)</w:t>
            </w:r>
          </w:p>
        </w:tc>
      </w:tr>
      <w:tr>
        <w:trPr>
          <w:trHeight w:val="176"/>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Snail, Inc. equity</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9,673,271</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8,299,863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Noncontrolling interests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(5,504,109)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(5,499,244)</w:t>
            </w:r>
          </w:p>
        </w:tc>
      </w:tr>
      <w:tr>
        <w:trPr>
          <w:trHeight w:val="176"/>
        </w:trPr>
        <w:tc>
          <w:tcPr>
            <w:tcW w:w="6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stockholders’ equity</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4,169,162</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2,800,619</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7"/>
        </w:trPr>
        <w:tc>
          <w:tcPr>
            <w:tcW w:w="6760" w:type="dxa"/>
            <w:vAlign w:val="bottom"/>
          </w:tcPr>
          <w:p>
            <w:pPr>
              <w:spacing w:after="0"/>
              <w:rPr>
                <w:sz w:val="20"/>
                <w:szCs w:val="20"/>
                <w:color w:val="auto"/>
              </w:rPr>
            </w:pPr>
            <w:r>
              <w:rPr>
                <w:rFonts w:ascii="Times New Roman" w:cs="Times New Roman" w:eastAsia="Times New Roman" w:hAnsi="Times New Roman"/>
                <w:sz w:val="15"/>
                <w:szCs w:val="15"/>
                <w:color w:val="auto"/>
              </w:rPr>
              <w:t>Total liabilities, noncontrolling interests and stockholders’ equity</w:t>
            </w:r>
          </w:p>
        </w:tc>
        <w:tc>
          <w:tcPr>
            <w:tcW w:w="220" w:type="dxa"/>
            <w:vAlign w:val="bottom"/>
          </w:tcPr>
          <w:p>
            <w:pPr>
              <w:spacing w:after="0"/>
              <w:rPr>
                <w:sz w:val="16"/>
                <w:szCs w:val="16"/>
                <w:color w:val="auto"/>
              </w:rPr>
            </w:pPr>
          </w:p>
        </w:tc>
        <w:tc>
          <w:tcPr>
            <w:tcW w:w="2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62,193,364</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90,857,529</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6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the consolidated financial statements</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65" w:name="page66"/>
    <w:bookmarkEnd w:id="65"/>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Operations and Comprehensive Income (Loss) for the Years Ended December 31, 2024 and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80" w:type="dxa"/>
            <w:vAlign w:val="bottom"/>
          </w:tcPr>
          <w:p>
            <w:pPr>
              <w:spacing w:after="0"/>
              <w:rPr>
                <w:sz w:val="17"/>
                <w:szCs w:val="17"/>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i w:val="1"/>
                <w:i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net</w:t>
            </w:r>
          </w:p>
        </w:tc>
        <w:tc>
          <w:tcPr>
            <w:tcW w:w="1680" w:type="dxa"/>
            <w:vAlign w:val="bottom"/>
            <w:gridSpan w:val="2"/>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84,467,047</w:t>
            </w:r>
          </w:p>
        </w:tc>
        <w:tc>
          <w:tcPr>
            <w:tcW w:w="58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60,902,098</w:t>
            </w: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54,236,342</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48,306,403</w:t>
            </w:r>
          </w:p>
        </w:tc>
        <w:tc>
          <w:tcPr>
            <w:tcW w:w="0" w:type="dxa"/>
            <w:vAlign w:val="bottom"/>
          </w:tcPr>
          <w:p>
            <w:pPr>
              <w:spacing w:after="0"/>
              <w:rPr>
                <w:sz w:val="1"/>
                <w:szCs w:val="1"/>
                <w:color w:val="auto"/>
              </w:rPr>
            </w:pPr>
          </w:p>
        </w:tc>
      </w:tr>
      <w:tr>
        <w:trPr>
          <w:trHeight w:val="176"/>
        </w:trPr>
        <w:tc>
          <w:tcPr>
            <w:tcW w:w="64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30,230,705</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12,595,695</w:t>
            </w:r>
          </w:p>
        </w:tc>
        <w:tc>
          <w:tcPr>
            <w:tcW w:w="0" w:type="dxa"/>
            <w:vAlign w:val="bottom"/>
          </w:tcPr>
          <w:p>
            <w:pPr>
              <w:spacing w:after="0"/>
              <w:rPr>
                <w:sz w:val="1"/>
                <w:szCs w:val="1"/>
                <w:color w:val="auto"/>
              </w:rPr>
            </w:pPr>
          </w:p>
        </w:tc>
      </w:tr>
      <w:tr>
        <w:trPr>
          <w:trHeight w:val="176"/>
        </w:trPr>
        <w:tc>
          <w:tcPr>
            <w:tcW w:w="64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12,867,210</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15,816,088</w:t>
            </w:r>
          </w:p>
        </w:tc>
        <w:tc>
          <w:tcPr>
            <w:tcW w:w="0" w:type="dxa"/>
            <w:vAlign w:val="bottom"/>
          </w:tcPr>
          <w:p>
            <w:pPr>
              <w:spacing w:after="0"/>
              <w:rPr>
                <w:sz w:val="1"/>
                <w:szCs w:val="1"/>
                <w:color w:val="auto"/>
              </w:rPr>
            </w:pPr>
          </w:p>
        </w:tc>
      </w:tr>
      <w:tr>
        <w:trPr>
          <w:trHeight w:val="184"/>
        </w:trPr>
        <w:tc>
          <w:tcPr>
            <w:tcW w:w="6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11,647,293</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5,057,421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Advertising and marketing</w:t>
            </w: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1,523,398</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1,582,464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303,714</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432,306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disposal of fixed assets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427</w:t>
            </w:r>
          </w:p>
        </w:tc>
        <w:tc>
          <w:tcPr>
            <w:tcW w:w="0" w:type="dxa"/>
            <w:vAlign w:val="bottom"/>
          </w:tcPr>
          <w:p>
            <w:pPr>
              <w:spacing w:after="0"/>
              <w:rPr>
                <w:sz w:val="1"/>
                <w:szCs w:val="1"/>
                <w:color w:val="auto"/>
              </w:rPr>
            </w:pPr>
          </w:p>
        </w:tc>
      </w:tr>
      <w:tr>
        <w:trPr>
          <w:trHeight w:val="176"/>
        </w:trPr>
        <w:tc>
          <w:tcPr>
            <w:tcW w:w="6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5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26,341,615</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22,888,706</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3,889,090</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(10,293,011)</w:t>
            </w:r>
          </w:p>
        </w:tc>
        <w:tc>
          <w:tcPr>
            <w:tcW w:w="0" w:type="dxa"/>
            <w:vAlign w:val="bottom"/>
          </w:tcPr>
          <w:p>
            <w:pPr>
              <w:spacing w:after="0"/>
              <w:rPr>
                <w:sz w:val="1"/>
                <w:szCs w:val="1"/>
                <w:color w:val="auto"/>
              </w:rPr>
            </w:pPr>
          </w:p>
        </w:tc>
      </w:tr>
      <w:tr>
        <w:trPr>
          <w:trHeight w:val="176"/>
        </w:trPr>
        <w:tc>
          <w:tcPr>
            <w:tcW w:w="64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Other income (expense):</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income</w:t>
            </w: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260,679</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129,854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income - related parties</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2,005</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 expense</w:t>
            </w: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(723,038)</w:t>
            </w: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(1,531,719)</w:t>
            </w:r>
          </w:p>
        </w:tc>
        <w:tc>
          <w:tcPr>
            <w:tcW w:w="0" w:type="dxa"/>
            <w:vAlign w:val="bottom"/>
          </w:tcPr>
          <w:p>
            <w:pPr>
              <w:spacing w:after="0"/>
              <w:rPr>
                <w:sz w:val="1"/>
                <w:szCs w:val="1"/>
                <w:color w:val="auto"/>
              </w:rPr>
            </w:pPr>
          </w:p>
        </w:tc>
      </w:tr>
      <w:tr>
        <w:trPr>
          <w:trHeight w:val="184"/>
        </w:trPr>
        <w:tc>
          <w:tcPr>
            <w:tcW w:w="64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income (expense)</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(981,223)</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265,980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Foreign currency transaction gain (loss)</w:t>
            </w:r>
          </w:p>
        </w:tc>
        <w:tc>
          <w:tcPr>
            <w:tcW w:w="5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11,686</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(68,180)</w:t>
            </w:r>
          </w:p>
        </w:tc>
        <w:tc>
          <w:tcPr>
            <w:tcW w:w="0" w:type="dxa"/>
            <w:vAlign w:val="bottom"/>
          </w:tcPr>
          <w:p>
            <w:pPr>
              <w:spacing w:after="0"/>
              <w:rPr>
                <w:sz w:val="1"/>
                <w:szCs w:val="1"/>
                <w:color w:val="auto"/>
              </w:rPr>
            </w:pPr>
          </w:p>
        </w:tc>
      </w:tr>
      <w:tr>
        <w:trPr>
          <w:trHeight w:val="176"/>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500" w:type="dxa"/>
            <w:vAlign w:val="bottom"/>
            <w:tcBorders>
              <w:bottom w:val="single" w:sz="8" w:color="CCEEFF"/>
            </w:tcBorders>
          </w:tcPr>
          <w:p>
            <w:pPr>
              <w:spacing w:after="0"/>
              <w:rPr>
                <w:sz w:val="15"/>
                <w:szCs w:val="15"/>
                <w:color w:val="auto"/>
              </w:rPr>
            </w:pPr>
          </w:p>
        </w:tc>
        <w:tc>
          <w:tcPr>
            <w:tcW w:w="118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(1,429,891</w:t>
            </w:r>
          </w:p>
        </w:tc>
        <w:tc>
          <w:tcPr>
            <w:tcW w:w="200" w:type="dxa"/>
            <w:vAlign w:val="bottom"/>
            <w:tcBorders>
              <w:bottom w:val="single" w:sz="8" w:color="CCEEFF"/>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(1,202,065</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6"/>
        </w:trPr>
        <w:tc>
          <w:tcPr>
            <w:tcW w:w="64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Income (loss) before provision for (benefit from) income taxes</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2,459,199</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(11,495,076)</w:t>
            </w: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Provision for (benefit from) income taxes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632,124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(2,400,652)</w:t>
            </w:r>
          </w:p>
        </w:tc>
        <w:tc>
          <w:tcPr>
            <w:tcW w:w="0" w:type="dxa"/>
            <w:vAlign w:val="bottom"/>
          </w:tcPr>
          <w:p>
            <w:pPr>
              <w:spacing w:after="0"/>
              <w:rPr>
                <w:sz w:val="1"/>
                <w:szCs w:val="1"/>
                <w:color w:val="auto"/>
              </w:rPr>
            </w:pPr>
          </w:p>
        </w:tc>
      </w:tr>
      <w:tr>
        <w:trPr>
          <w:trHeight w:val="176"/>
        </w:trPr>
        <w:tc>
          <w:tcPr>
            <w:tcW w:w="64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1,827,075</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(9,094,424)</w:t>
            </w: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Net loss attributable to non-controlling interests</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(4,865)</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(8,349)</w:t>
            </w:r>
          </w:p>
        </w:tc>
        <w:tc>
          <w:tcPr>
            <w:tcW w:w="0" w:type="dxa"/>
            <w:vAlign w:val="bottom"/>
          </w:tcPr>
          <w:p>
            <w:pPr>
              <w:spacing w:after="0"/>
              <w:rPr>
                <w:sz w:val="1"/>
                <w:szCs w:val="1"/>
                <w:color w:val="auto"/>
              </w:rPr>
            </w:pPr>
          </w:p>
        </w:tc>
      </w:tr>
      <w:tr>
        <w:trPr>
          <w:trHeight w:val="176"/>
        </w:trPr>
        <w:tc>
          <w:tcPr>
            <w:tcW w:w="64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 attributable to Snail, Inc.</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1,831,940</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(9,086,075)</w:t>
            </w: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Comprehensive income (loss) statement:</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680" w:type="dxa"/>
            <w:vAlign w:val="bottom"/>
            <w:gridSpan w:val="2"/>
          </w:tcPr>
          <w:p>
            <w:pPr>
              <w:jc w:val="right"/>
              <w:ind w:right="10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1,827,075</w:t>
            </w: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(9,094,424)</w:t>
            </w: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Other comprehensive income (loss) related to foreign currency translation adjustments, net of tax</w:t>
            </w: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(25,074)</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52,817</w:t>
            </w:r>
          </w:p>
        </w:tc>
        <w:tc>
          <w:tcPr>
            <w:tcW w:w="0" w:type="dxa"/>
            <w:vAlign w:val="bottom"/>
          </w:tcPr>
          <w:p>
            <w:pPr>
              <w:spacing w:after="0"/>
              <w:rPr>
                <w:sz w:val="1"/>
                <w:szCs w:val="1"/>
                <w:color w:val="auto"/>
              </w:rPr>
            </w:pPr>
          </w:p>
        </w:tc>
      </w:tr>
      <w:tr>
        <w:trPr>
          <w:trHeight w:val="176"/>
        </w:trPr>
        <w:tc>
          <w:tcPr>
            <w:tcW w:w="648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Total comprehensive income (loss)</w:t>
            </w:r>
          </w:p>
        </w:tc>
        <w:tc>
          <w:tcPr>
            <w:tcW w:w="1680" w:type="dxa"/>
            <w:vAlign w:val="bottom"/>
            <w:gridSpan w:val="2"/>
          </w:tcPr>
          <w:p>
            <w:pPr>
              <w:jc w:val="right"/>
              <w:ind w:right="1023"/>
              <w:spacing w:after="0"/>
              <w:rPr>
                <w:sz w:val="20"/>
                <w:szCs w:val="20"/>
                <w:color w:val="auto"/>
              </w:rPr>
            </w:pPr>
            <w:r>
              <w:rPr>
                <w:rFonts w:ascii="Times New Roman" w:cs="Times New Roman" w:eastAsia="Times New Roman" w:hAnsi="Times New Roman"/>
                <w:sz w:val="15"/>
                <w:szCs w:val="15"/>
                <w:color w:val="auto"/>
              </w:rPr>
              <w:t>$</w:t>
            </w:r>
          </w:p>
        </w:tc>
        <w:tc>
          <w:tcPr>
            <w:tcW w:w="9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1,802,001</w:t>
            </w:r>
          </w:p>
        </w:tc>
        <w:tc>
          <w:tcPr>
            <w:tcW w:w="580" w:type="dxa"/>
            <w:vAlign w:val="bottom"/>
            <w:gridSpan w:val="2"/>
          </w:tcPr>
          <w:p>
            <w:pPr>
              <w:jc w:val="right"/>
              <w:ind w:right="305"/>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(9,041,607)</w:t>
            </w:r>
          </w:p>
        </w:tc>
        <w:tc>
          <w:tcPr>
            <w:tcW w:w="0" w:type="dxa"/>
            <w:vAlign w:val="bottom"/>
          </w:tcPr>
          <w:p>
            <w:pPr>
              <w:spacing w:after="0"/>
              <w:rPr>
                <w:sz w:val="1"/>
                <w:szCs w:val="1"/>
                <w:color w:val="auto"/>
              </w:rPr>
            </w:pPr>
          </w:p>
        </w:tc>
      </w:tr>
      <w:tr>
        <w:trPr>
          <w:trHeight w:val="159"/>
        </w:trPr>
        <w:tc>
          <w:tcPr>
            <w:tcW w:w="648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income (loss) attributable to Class A common stockholders:</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Basic</w:t>
            </w:r>
          </w:p>
        </w:tc>
        <w:tc>
          <w:tcPr>
            <w:tcW w:w="1680" w:type="dxa"/>
            <w:vAlign w:val="bottom"/>
            <w:gridSpan w:val="2"/>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400,576</w:t>
            </w:r>
          </w:p>
        </w:tc>
        <w:tc>
          <w:tcPr>
            <w:tcW w:w="58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w:t>
            </w: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b w:val="1"/>
                <w:bCs w:val="1"/>
                <w:color w:val="auto"/>
              </w:rPr>
              <w:t>(1,960,813)</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5"/>
                <w:szCs w:val="15"/>
                <w:color w:val="auto"/>
              </w:rPr>
              <w:t>Diluted</w:t>
            </w:r>
          </w:p>
        </w:tc>
        <w:tc>
          <w:tcPr>
            <w:tcW w:w="500" w:type="dxa"/>
            <w:vAlign w:val="bottom"/>
            <w:tcBorders>
              <w:top w:val="single" w:sz="8" w:color="CCEEFF"/>
              <w:bottom w:val="single" w:sz="8" w:color="CCEEFF"/>
            </w:tcBorders>
            <w:vMerge w:val="restart"/>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jc w:val="right"/>
              <w:ind w:right="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199"/>
        </w:trPr>
        <w:tc>
          <w:tcPr>
            <w:tcW w:w="6480" w:type="dxa"/>
            <w:vAlign w:val="bottom"/>
            <w:tcBorders>
              <w:bottom w:val="single" w:sz="8" w:color="CCEEFF"/>
            </w:tcBorders>
            <w:vMerge w:val="continue"/>
          </w:tcPr>
          <w:p>
            <w:pPr>
              <w:spacing w:after="0"/>
              <w:rPr>
                <w:sz w:val="17"/>
                <w:szCs w:val="17"/>
                <w:color w:val="auto"/>
              </w:rPr>
            </w:pPr>
          </w:p>
        </w:tc>
        <w:tc>
          <w:tcPr>
            <w:tcW w:w="50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tcPr>
          <w:p>
            <w:pPr>
              <w:jc w:val="right"/>
              <w:ind w:right="1023"/>
              <w:spacing w:after="0" w:line="15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400,576</w:t>
            </w:r>
          </w:p>
        </w:tc>
        <w:tc>
          <w:tcPr>
            <w:tcW w:w="200" w:type="dxa"/>
            <w:vAlign w:val="bottom"/>
            <w:tcBorders>
              <w:bottom w:val="single" w:sz="8" w:color="CCEEFF"/>
            </w:tcBorders>
            <w:vMerge w:val="continue"/>
          </w:tcPr>
          <w:p>
            <w:pPr>
              <w:spacing w:after="0"/>
              <w:rPr>
                <w:sz w:val="17"/>
                <w:szCs w:val="17"/>
                <w:color w:val="auto"/>
              </w:rPr>
            </w:pPr>
          </w:p>
        </w:tc>
        <w:tc>
          <w:tcPr>
            <w:tcW w:w="160" w:type="dxa"/>
            <w:vAlign w:val="bottom"/>
            <w:tcBorders>
              <w:bottom w:val="single" w:sz="8" w:color="CCEEFF"/>
            </w:tcBorders>
            <w:vMerge w:val="continue"/>
          </w:tcPr>
          <w:p>
            <w:pPr>
              <w:spacing w:after="0"/>
              <w:rPr>
                <w:sz w:val="17"/>
                <w:szCs w:val="17"/>
                <w:color w:val="auto"/>
              </w:rPr>
            </w:pPr>
          </w:p>
        </w:tc>
        <w:tc>
          <w:tcPr>
            <w:tcW w:w="4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(1,960,813</w:t>
            </w:r>
          </w:p>
        </w:tc>
        <w:tc>
          <w:tcPr>
            <w:tcW w:w="10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64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4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Net income (loss) attributable to Class B common stockholders:</w:t>
            </w:r>
          </w:p>
        </w:tc>
        <w:tc>
          <w:tcPr>
            <w:tcW w:w="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Basic</w:t>
            </w:r>
          </w:p>
        </w:tc>
        <w:tc>
          <w:tcPr>
            <w:tcW w:w="1680" w:type="dxa"/>
            <w:vAlign w:val="bottom"/>
            <w:gridSpan w:val="2"/>
          </w:tcPr>
          <w:p>
            <w:pPr>
              <w:jc w:val="right"/>
              <w:ind w:right="102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1,431,364</w:t>
            </w:r>
          </w:p>
        </w:tc>
        <w:tc>
          <w:tcPr>
            <w:tcW w:w="580" w:type="dxa"/>
            <w:vAlign w:val="bottom"/>
            <w:gridSpan w:val="2"/>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w:t>
            </w: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b w:val="1"/>
                <w:bCs w:val="1"/>
                <w:color w:val="auto"/>
              </w:rPr>
              <w:t>(7,125,262)</w:t>
            </w:r>
          </w:p>
        </w:tc>
        <w:tc>
          <w:tcPr>
            <w:tcW w:w="0" w:type="dxa"/>
            <w:vAlign w:val="bottom"/>
          </w:tcPr>
          <w:p>
            <w:pPr>
              <w:spacing w:after="0"/>
              <w:rPr>
                <w:sz w:val="1"/>
                <w:szCs w:val="1"/>
                <w:color w:val="auto"/>
              </w:rPr>
            </w:pPr>
          </w:p>
        </w:tc>
      </w:tr>
      <w:tr>
        <w:trPr>
          <w:trHeight w:val="159"/>
        </w:trPr>
        <w:tc>
          <w:tcPr>
            <w:tcW w:w="648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Diluted</w:t>
            </w:r>
          </w:p>
        </w:tc>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ind w:right="1023"/>
              <w:spacing w:after="0" w:line="15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1,431,364</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(7,125,262</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4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Income (loss) per share attributable to Class A and B common stockholders:</w:t>
            </w: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480" w:type="dxa"/>
            <w:vAlign w:val="bottom"/>
          </w:tcPr>
          <w:p>
            <w:pPr>
              <w:spacing w:after="0"/>
              <w:rPr>
                <w:sz w:val="20"/>
                <w:szCs w:val="20"/>
                <w:color w:val="auto"/>
              </w:rPr>
            </w:pPr>
            <w:r>
              <w:rPr>
                <w:rFonts w:ascii="Times New Roman" w:cs="Times New Roman" w:eastAsia="Times New Roman" w:hAnsi="Times New Roman"/>
                <w:sz w:val="15"/>
                <w:szCs w:val="15"/>
                <w:color w:val="auto"/>
              </w:rPr>
              <w:t>Basic</w:t>
            </w:r>
          </w:p>
        </w:tc>
        <w:tc>
          <w:tcPr>
            <w:tcW w:w="1680" w:type="dxa"/>
            <w:vAlign w:val="bottom"/>
            <w:gridSpan w:val="2"/>
          </w:tcPr>
          <w:p>
            <w:pPr>
              <w:jc w:val="right"/>
              <w:ind w:right="1023"/>
              <w:spacing w:after="0"/>
              <w:rPr>
                <w:sz w:val="20"/>
                <w:szCs w:val="20"/>
                <w:color w:val="auto"/>
              </w:rPr>
            </w:pPr>
            <w:r>
              <w:rPr>
                <w:rFonts w:ascii="Times New Roman" w:cs="Times New Roman" w:eastAsia="Times New Roman" w:hAnsi="Times New Roman"/>
                <w:sz w:val="15"/>
                <w:szCs w:val="15"/>
                <w:b w:val="1"/>
                <w:bCs w:val="1"/>
                <w:color w:val="auto"/>
              </w:rPr>
              <w:t>$</w:t>
            </w:r>
          </w:p>
        </w:tc>
        <w:tc>
          <w:tcPr>
            <w:tcW w:w="94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b w:val="1"/>
                <w:bCs w:val="1"/>
                <w:color w:val="auto"/>
              </w:rPr>
              <w:t>0.05</w:t>
            </w:r>
          </w:p>
        </w:tc>
        <w:tc>
          <w:tcPr>
            <w:tcW w:w="580" w:type="dxa"/>
            <w:vAlign w:val="bottom"/>
            <w:gridSpan w:val="2"/>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w:t>
            </w: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b w:val="1"/>
                <w:bCs w:val="1"/>
                <w:color w:val="auto"/>
              </w:rPr>
              <w:t>(0.25)</w:t>
            </w:r>
          </w:p>
        </w:tc>
        <w:tc>
          <w:tcPr>
            <w:tcW w:w="0" w:type="dxa"/>
            <w:vAlign w:val="bottom"/>
          </w:tcPr>
          <w:p>
            <w:pPr>
              <w:spacing w:after="0"/>
              <w:rPr>
                <w:sz w:val="1"/>
                <w:szCs w:val="1"/>
                <w:color w:val="auto"/>
              </w:rPr>
            </w:pPr>
          </w:p>
        </w:tc>
      </w:tr>
      <w:tr>
        <w:trPr>
          <w:trHeight w:val="159"/>
        </w:trPr>
        <w:tc>
          <w:tcPr>
            <w:tcW w:w="6480" w:type="dxa"/>
            <w:vAlign w:val="bottom"/>
            <w:tcBorders>
              <w:top w:val="single" w:sz="8" w:color="CCEEFF"/>
              <w:bottom w:val="single" w:sz="8" w:color="CCEEFF"/>
            </w:tcBorders>
            <w:shd w:val="clear" w:color="auto" w:fill="CCEEFF"/>
          </w:tcPr>
          <w:p>
            <w:pPr>
              <w:spacing w:after="0" w:line="159" w:lineRule="exact"/>
              <w:rPr>
                <w:sz w:val="20"/>
                <w:szCs w:val="20"/>
                <w:color w:val="auto"/>
              </w:rPr>
            </w:pPr>
            <w:r>
              <w:rPr>
                <w:rFonts w:ascii="Times New Roman" w:cs="Times New Roman" w:eastAsia="Times New Roman" w:hAnsi="Times New Roman"/>
                <w:sz w:val="15"/>
                <w:szCs w:val="15"/>
                <w:color w:val="auto"/>
              </w:rPr>
              <w:t>Diluted</w:t>
            </w:r>
          </w:p>
        </w:tc>
        <w:tc>
          <w:tcPr>
            <w:tcW w:w="500" w:type="dxa"/>
            <w:vAlign w:val="bottom"/>
            <w:tcBorders>
              <w:top w:val="single" w:sz="8" w:color="CCEEFF"/>
              <w:bottom w:val="single" w:sz="8" w:color="CCEEFF"/>
            </w:tcBorders>
            <w:shd w:val="clear" w:color="auto" w:fill="CCEEFF"/>
          </w:tcPr>
          <w:p>
            <w:pPr>
              <w:spacing w:after="0"/>
              <w:rPr>
                <w:sz w:val="13"/>
                <w:szCs w:val="13"/>
                <w:color w:val="auto"/>
              </w:rPr>
            </w:pPr>
          </w:p>
        </w:tc>
        <w:tc>
          <w:tcPr>
            <w:tcW w:w="1180" w:type="dxa"/>
            <w:vAlign w:val="bottom"/>
            <w:tcBorders>
              <w:top w:val="single" w:sz="8" w:color="auto"/>
              <w:bottom w:val="single" w:sz="8" w:color="auto"/>
            </w:tcBorders>
            <w:shd w:val="clear" w:color="auto" w:fill="CCEEFF"/>
          </w:tcPr>
          <w:p>
            <w:pPr>
              <w:jc w:val="right"/>
              <w:ind w:right="1023"/>
              <w:spacing w:after="0" w:line="159" w:lineRule="exact"/>
              <w:rPr>
                <w:sz w:val="20"/>
                <w:szCs w:val="20"/>
                <w:color w:val="auto"/>
              </w:rPr>
            </w:pPr>
            <w:r>
              <w:rPr>
                <w:rFonts w:ascii="Times New Roman" w:cs="Times New Roman" w:eastAsia="Times New Roman" w:hAnsi="Times New Roman"/>
                <w:sz w:val="15"/>
                <w:szCs w:val="15"/>
                <w:b w:val="1"/>
                <w:bCs w:val="1"/>
                <w:color w:val="auto"/>
                <w:w w:val="79"/>
              </w:rPr>
              <w:t>$</w:t>
            </w:r>
          </w:p>
        </w:tc>
        <w:tc>
          <w:tcPr>
            <w:tcW w:w="7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0.05</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(0.25</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1">
            <w:col w:w="11260"/>
          </w:cols>
          <w:pgMar w:left="320" w:top="605" w:right="319" w:bottom="1440" w:gutter="0" w:footer="0" w:header="0"/>
        </w:sectPr>
      </w:pPr>
    </w:p>
    <w:p>
      <w:pPr>
        <w:spacing w:after="0" w:line="269" w:lineRule="auto"/>
        <w:rPr>
          <w:sz w:val="20"/>
          <w:szCs w:val="20"/>
          <w:color w:val="auto"/>
        </w:rPr>
      </w:pPr>
      <w:r>
        <w:rPr>
          <w:rFonts w:ascii="Times New Roman" w:cs="Times New Roman" w:eastAsia="Times New Roman" w:hAnsi="Times New Roman"/>
          <w:sz w:val="15"/>
          <w:szCs w:val="15"/>
          <w:b w:val="1"/>
          <w:bCs w:val="1"/>
          <w:color w:val="auto"/>
        </w:rPr>
        <w:t>Weighted-average shares used to compute income (loss) per share attributable to Class A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52640" cy="2343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2640" cy="2343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Basic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52640" cy="1390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264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8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8,045,469</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7,911,369</w:t>
            </w:r>
          </w:p>
        </w:tc>
        <w:tc>
          <w:tcPr>
            <w:tcW w:w="0" w:type="dxa"/>
            <w:vAlign w:val="bottom"/>
          </w:tcPr>
          <w:p>
            <w:pPr>
              <w:spacing w:after="0"/>
              <w:rPr>
                <w:sz w:val="1"/>
                <w:szCs w:val="1"/>
                <w:color w:val="auto"/>
              </w:rPr>
            </w:pPr>
          </w:p>
        </w:tc>
      </w:tr>
      <w:tr>
        <w:trPr>
          <w:trHeight w:val="20"/>
        </w:trPr>
        <w:tc>
          <w:tcPr>
            <w:tcW w:w="1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9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8,045,469</w:t>
            </w:r>
          </w:p>
        </w:tc>
        <w:tc>
          <w:tcPr>
            <w:tcW w:w="360" w:type="dxa"/>
            <w:vAlign w:val="bottom"/>
            <w:vMerge w:val="continue"/>
          </w:tcPr>
          <w:p>
            <w:pPr>
              <w:spacing w:after="0"/>
              <w:rPr>
                <w:sz w:val="13"/>
                <w:szCs w:val="13"/>
                <w:color w:val="auto"/>
              </w:rPr>
            </w:pPr>
          </w:p>
        </w:tc>
        <w:tc>
          <w:tcPr>
            <w:tcW w:w="1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7,911,369</w:t>
            </w:r>
          </w:p>
        </w:tc>
        <w:tc>
          <w:tcPr>
            <w:tcW w:w="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2">
            <w:col w:w="6400" w:space="580"/>
            <w:col w:w="4280"/>
          </w:cols>
          <w:pgMar w:left="320" w:top="605" w:right="319" w:bottom="1440" w:gutter="0" w:footer="0" w:header="0"/>
          <w:type w:val="continuous"/>
        </w:sectPr>
      </w:pPr>
    </w:p>
    <w:p>
      <w:pPr>
        <w:spacing w:after="0" w:line="269" w:lineRule="auto"/>
        <w:rPr>
          <w:sz w:val="20"/>
          <w:szCs w:val="20"/>
          <w:color w:val="auto"/>
        </w:rPr>
      </w:pPr>
      <w:r>
        <w:rPr>
          <w:rFonts w:ascii="Times New Roman" w:cs="Times New Roman" w:eastAsia="Times New Roman" w:hAnsi="Times New Roman"/>
          <w:sz w:val="15"/>
          <w:szCs w:val="15"/>
          <w:b w:val="1"/>
          <w:bCs w:val="1"/>
          <w:color w:val="auto"/>
        </w:rPr>
        <w:t>Weighted-average shares used to compute income (loss) per share attributable to Class B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-233045</wp:posOffset>
            </wp:positionV>
            <wp:extent cx="7152640" cy="2343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2640" cy="2343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5"/>
          <w:szCs w:val="15"/>
          <w:color w:val="auto"/>
        </w:rPr>
        <w:t>Basic</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-99695</wp:posOffset>
            </wp:positionV>
            <wp:extent cx="7152640" cy="1390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2640" cy="1390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28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19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0" w:type="dxa"/>
            <w:vAlign w:val="bottom"/>
          </w:tcPr>
          <w:p>
            <w:pPr>
              <w:spacing w:after="0"/>
              <w:rPr>
                <w:sz w:val="1"/>
                <w:szCs w:val="1"/>
                <w:color w:val="auto"/>
              </w:rPr>
            </w:pPr>
          </w:p>
        </w:tc>
      </w:tr>
      <w:tr>
        <w:trPr>
          <w:trHeight w:val="20"/>
        </w:trPr>
        <w:tc>
          <w:tcPr>
            <w:tcW w:w="1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9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28,748,580</w:t>
            </w:r>
          </w:p>
        </w:tc>
        <w:tc>
          <w:tcPr>
            <w:tcW w:w="360" w:type="dxa"/>
            <w:vAlign w:val="bottom"/>
            <w:vMerge w:val="continue"/>
          </w:tcPr>
          <w:p>
            <w:pPr>
              <w:spacing w:after="0"/>
              <w:rPr>
                <w:sz w:val="13"/>
                <w:szCs w:val="13"/>
                <w:color w:val="auto"/>
              </w:rPr>
            </w:pPr>
          </w:p>
        </w:tc>
        <w:tc>
          <w:tcPr>
            <w:tcW w:w="19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b w:val="1"/>
                <w:bCs w:val="1"/>
                <w:color w:val="auto"/>
              </w:rPr>
              <w:t>28,748,580</w:t>
            </w:r>
          </w:p>
        </w:tc>
        <w:tc>
          <w:tcPr>
            <w:tcW w:w="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2">
            <w:col w:w="6400" w:space="580"/>
            <w:col w:w="4280"/>
          </w:cols>
          <w:pgMar w:left="320" w:top="605" w:right="31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5"/>
          <w:szCs w:val="15"/>
          <w:i w:val="1"/>
          <w:iCs w:val="1"/>
          <w:color w:val="auto"/>
        </w:rPr>
        <w:t>See accompanying notes to the consolidated financial statements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type w:val="continuous"/>
        </w:sectPr>
      </w:pPr>
    </w:p>
    <w:bookmarkStart w:id="66" w:name="page67"/>
    <w:bookmarkEnd w:id="66"/>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Consolidated Statements of Equity for the Years Ended December 31, 2024 and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84"/>
        </w:trPr>
        <w:tc>
          <w:tcPr>
            <w:tcW w:w="900" w:type="dxa"/>
            <w:vAlign w:val="bottom"/>
          </w:tcPr>
          <w:p>
            <w:pPr>
              <w:spacing w:after="0"/>
              <w:rPr>
                <w:sz w:val="16"/>
                <w:szCs w:val="16"/>
                <w:color w:val="auto"/>
              </w:rPr>
            </w:pPr>
          </w:p>
        </w:tc>
        <w:tc>
          <w:tcPr>
            <w:tcW w:w="980" w:type="dxa"/>
            <w:vAlign w:val="bottom"/>
            <w:gridSpan w:val="3"/>
          </w:tcPr>
          <w:p>
            <w:pPr>
              <w:jc w:val="center"/>
              <w:ind w:left="243"/>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4"/>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6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Non</w:t>
            </w: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4"/>
        </w:trPr>
        <w:tc>
          <w:tcPr>
            <w:tcW w:w="900" w:type="dxa"/>
            <w:vAlign w:val="bottom"/>
          </w:tcPr>
          <w:p>
            <w:pPr>
              <w:spacing w:after="0"/>
              <w:rPr>
                <w:sz w:val="18"/>
                <w:szCs w:val="18"/>
                <w:color w:val="auto"/>
              </w:rPr>
            </w:pPr>
          </w:p>
        </w:tc>
        <w:tc>
          <w:tcPr>
            <w:tcW w:w="138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480" w:type="dxa"/>
            <w:vAlign w:val="bottom"/>
            <w:gridSpan w:val="6"/>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6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40" w:type="dxa"/>
            <w:vAlign w:val="bottom"/>
            <w:gridSpan w:val="4"/>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4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b w:val="1"/>
                <w:bCs w:val="1"/>
                <w:color w:val="auto"/>
              </w:rPr>
              <w:t>Snail, Inc.</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controlling</w:t>
            </w:r>
          </w:p>
        </w:tc>
        <w:tc>
          <w:tcPr>
            <w:tcW w:w="20" w:type="dxa"/>
            <w:vAlign w:val="bottom"/>
          </w:tcPr>
          <w:p>
            <w:pPr>
              <w:spacing w:after="0"/>
              <w:rPr>
                <w:sz w:val="18"/>
                <w:szCs w:val="18"/>
                <w:color w:val="auto"/>
              </w:rPr>
            </w:pPr>
          </w:p>
        </w:tc>
        <w:tc>
          <w:tcPr>
            <w:tcW w:w="80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7"/>
        </w:trPr>
        <w:tc>
          <w:tcPr>
            <w:tcW w:w="900" w:type="dxa"/>
            <w:vAlign w:val="bottom"/>
          </w:tcPr>
          <w:p>
            <w:pPr>
              <w:spacing w:after="0"/>
              <w:rPr>
                <w:sz w:val="16"/>
                <w:szCs w:val="16"/>
                <w:color w:val="auto"/>
              </w:rPr>
            </w:pPr>
          </w:p>
        </w:tc>
        <w:tc>
          <w:tcPr>
            <w:tcW w:w="76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0" w:type="dxa"/>
            <w:vAlign w:val="bottom"/>
          </w:tcPr>
          <w:p>
            <w:pPr>
              <w:spacing w:after="0"/>
              <w:rPr>
                <w:sz w:val="16"/>
                <w:szCs w:val="16"/>
                <w:color w:val="auto"/>
              </w:rPr>
            </w:pPr>
          </w:p>
        </w:tc>
        <w:tc>
          <w:tcPr>
            <w:tcW w:w="78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60" w:type="dxa"/>
            <w:vAlign w:val="bottom"/>
          </w:tcPr>
          <w:p>
            <w:pPr>
              <w:spacing w:after="0"/>
              <w:rPr>
                <w:sz w:val="16"/>
                <w:szCs w:val="16"/>
                <w:color w:val="auto"/>
              </w:rPr>
            </w:pPr>
          </w:p>
        </w:tc>
        <w:tc>
          <w:tcPr>
            <w:tcW w:w="1100" w:type="dxa"/>
            <w:vAlign w:val="bottom"/>
            <w:gridSpan w:val="2"/>
          </w:tcPr>
          <w:p>
            <w:pPr>
              <w:jc w:val="center"/>
              <w:ind w:right="160"/>
              <w:spacing w:after="0"/>
              <w:rPr>
                <w:sz w:val="20"/>
                <w:szCs w:val="20"/>
                <w:color w:val="auto"/>
              </w:rPr>
            </w:pPr>
            <w:r>
              <w:rPr>
                <w:rFonts w:ascii="Times New Roman" w:cs="Times New Roman" w:eastAsia="Times New Roman" w:hAnsi="Times New Roman"/>
                <w:sz w:val="15"/>
                <w:szCs w:val="15"/>
                <w:b w:val="1"/>
                <w:bCs w:val="1"/>
                <w:color w:val="auto"/>
              </w:rPr>
              <w:t>Loss</w:t>
            </w:r>
          </w:p>
        </w:tc>
        <w:tc>
          <w:tcPr>
            <w:tcW w:w="120" w:type="dxa"/>
            <w:vAlign w:val="bottom"/>
          </w:tcPr>
          <w:p>
            <w:pPr>
              <w:spacing w:after="0"/>
              <w:rPr>
                <w:sz w:val="16"/>
                <w:szCs w:val="16"/>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20" w:type="dxa"/>
            <w:vAlign w:val="bottom"/>
          </w:tcPr>
          <w:p>
            <w:pPr>
              <w:spacing w:after="0"/>
              <w:rPr>
                <w:sz w:val="16"/>
                <w:szCs w:val="16"/>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176"/>
        </w:trPr>
        <w:tc>
          <w:tcPr>
            <w:tcW w:w="9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66"/>
        </w:trPr>
        <w:tc>
          <w:tcPr>
            <w:tcW w:w="9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3"/>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31, 2022</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9,251,420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925</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2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2,875</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$23,436,942</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(307,200)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(4,863,250)</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(1,197,649)</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$(3,414,713)</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w w:val="97"/>
              </w:rPr>
              <w:t>14,855,579</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$(5,490,895)</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$ 9,364,684</w:t>
            </w:r>
          </w:p>
        </w:tc>
        <w:tc>
          <w:tcPr>
            <w:tcW w:w="40" w:type="dxa"/>
            <w:vAlign w:val="bottom"/>
            <w:shd w:val="clear" w:color="auto" w:fill="CCEEFF"/>
          </w:tcPr>
          <w:p>
            <w:pPr>
              <w:spacing w:after="0"/>
              <w:rPr>
                <w:sz w:val="17"/>
                <w:szCs w:val="17"/>
                <w:color w:val="auto"/>
              </w:rPr>
            </w:pPr>
          </w:p>
        </w:tc>
      </w:tr>
      <w:tr>
        <w:trPr>
          <w:trHeight w:val="207"/>
        </w:trPr>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Return of</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dividend</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distribution</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tax</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withholding</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payment</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1,886,600</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1,886,600</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1,886,600</w:t>
            </w:r>
          </w:p>
        </w:tc>
        <w:tc>
          <w:tcPr>
            <w:tcW w:w="40" w:type="dxa"/>
            <w:vAlign w:val="bottom"/>
            <w:shd w:val="clear" w:color="auto" w:fill="CCEEFF"/>
          </w:tcPr>
          <w:p>
            <w:pPr>
              <w:spacing w:after="0"/>
              <w:rPr>
                <w:sz w:val="17"/>
                <w:szCs w:val="17"/>
                <w:color w:val="auto"/>
              </w:rPr>
            </w:pPr>
          </w:p>
        </w:tc>
      </w:tr>
      <w:tr>
        <w:trPr>
          <w:trHeight w:val="184"/>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Stock based</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compensation</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related to</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restricted</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units</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848,035</w:t>
            </w: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848,035</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848,035</w:t>
            </w:r>
          </w:p>
        </w:tc>
        <w:tc>
          <w:tcPr>
            <w:tcW w:w="40" w:type="dxa"/>
            <w:vAlign w:val="bottom"/>
            <w:shd w:val="clear" w:color="auto" w:fill="CCEEFF"/>
          </w:tcPr>
          <w:p>
            <w:pPr>
              <w:spacing w:after="0"/>
              <w:rPr>
                <w:sz w:val="17"/>
                <w:szCs w:val="17"/>
                <w:color w:val="auto"/>
              </w:rPr>
            </w:pPr>
          </w:p>
        </w:tc>
      </w:tr>
      <w:tr>
        <w:trPr>
          <w:trHeight w:val="184"/>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Common</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issued</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 service</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24,000</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w:t>
            </w: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r>
      <w:tr>
        <w:trPr>
          <w:trHeight w:val="184"/>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Repurchase</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 common</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(152,626)</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(257,093)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(257,093)</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(257,093)</w:t>
            </w:r>
          </w:p>
        </w:tc>
      </w:tr>
      <w:tr>
        <w:trPr>
          <w:trHeight w:val="184"/>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Foreign</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currency</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translation</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52,817</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52,817</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52,817</w:t>
            </w:r>
          </w:p>
        </w:tc>
      </w:tr>
      <w:tr>
        <w:trPr>
          <w:trHeight w:val="184"/>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loss</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(9,086,075)</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(9,086,075)</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(8,349)</w:t>
            </w:r>
          </w:p>
        </w:tc>
        <w:tc>
          <w:tcPr>
            <w:tcW w:w="8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(9,094,424)</w:t>
            </w:r>
          </w:p>
        </w:tc>
      </w:tr>
      <w:tr>
        <w:trPr>
          <w:trHeight w:val="176"/>
        </w:trPr>
        <w:tc>
          <w:tcPr>
            <w:tcW w:w="9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66"/>
        </w:trPr>
        <w:tc>
          <w:tcPr>
            <w:tcW w:w="9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2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31, 2023</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9,275,420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927</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2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2,875</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26,171,575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(254,383) $</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(13,949,325)</w:t>
            </w:r>
          </w:p>
        </w:tc>
        <w:tc>
          <w:tcPr>
            <w:tcW w:w="176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 xml:space="preserve">(1,350,275)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(3,671,806)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8,299,863</w:t>
            </w:r>
          </w:p>
        </w:tc>
        <w:tc>
          <w:tcPr>
            <w:tcW w:w="100" w:type="dxa"/>
            <w:vAlign w:val="bottom"/>
            <w:shd w:val="clear" w:color="auto" w:fill="CCEEFF"/>
          </w:tcPr>
          <w:p>
            <w:pPr>
              <w:spacing w:after="0"/>
              <w:rPr>
                <w:sz w:val="19"/>
                <w:szCs w:val="19"/>
                <w:color w:val="auto"/>
              </w:rPr>
            </w:pPr>
          </w:p>
        </w:tc>
        <w:tc>
          <w:tcPr>
            <w:tcW w:w="162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(5,499,244) $ 2,800,619</w:t>
            </w:r>
          </w:p>
        </w:tc>
        <w:tc>
          <w:tcPr>
            <w:tcW w:w="40" w:type="dxa"/>
            <w:vAlign w:val="bottom"/>
            <w:shd w:val="clear" w:color="auto" w:fill="CCEEFF"/>
          </w:tcPr>
          <w:p>
            <w:pPr>
              <w:spacing w:after="0"/>
              <w:rPr>
                <w:sz w:val="19"/>
                <w:szCs w:val="19"/>
                <w:color w:val="auto"/>
              </w:rPr>
            </w:pP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r>
      <w:tr>
        <w:trPr>
          <w:trHeight w:val="343"/>
        </w:trPr>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F-5</w:t>
            </w: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340"/>
          </w:cols>
          <w:pgMar w:left="320" w:top="605" w:right="2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900" w:type="dxa"/>
            <w:vAlign w:val="bottom"/>
          </w:tcPr>
          <w:p>
            <w:pPr>
              <w:spacing w:after="0"/>
              <w:rPr>
                <w:sz w:val="16"/>
                <w:szCs w:val="16"/>
                <w:color w:val="auto"/>
              </w:rPr>
            </w:pPr>
          </w:p>
        </w:tc>
        <w:tc>
          <w:tcPr>
            <w:tcW w:w="980" w:type="dxa"/>
            <w:vAlign w:val="bottom"/>
            <w:gridSpan w:val="3"/>
          </w:tcPr>
          <w:p>
            <w:pPr>
              <w:jc w:val="center"/>
              <w:ind w:left="243"/>
              <w:spacing w:after="0"/>
              <w:rPr>
                <w:sz w:val="20"/>
                <w:szCs w:val="20"/>
                <w:color w:val="auto"/>
              </w:rPr>
            </w:pPr>
            <w:r>
              <w:rPr>
                <w:rFonts w:ascii="Times New Roman" w:cs="Times New Roman" w:eastAsia="Times New Roman" w:hAnsi="Times New Roman"/>
                <w:sz w:val="15"/>
                <w:szCs w:val="15"/>
                <w:b w:val="1"/>
                <w:bCs w:val="1"/>
                <w:color w:val="auto"/>
              </w:rPr>
              <w:t>Class A</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gridSpan w:val="4"/>
          </w:tcPr>
          <w:p>
            <w:pPr>
              <w:jc w:val="right"/>
              <w:ind w:right="3"/>
              <w:spacing w:after="0"/>
              <w:rPr>
                <w:sz w:val="20"/>
                <w:szCs w:val="20"/>
                <w:color w:val="auto"/>
              </w:rPr>
            </w:pPr>
            <w:r>
              <w:rPr>
                <w:rFonts w:ascii="Times New Roman" w:cs="Times New Roman" w:eastAsia="Times New Roman" w:hAnsi="Times New Roman"/>
                <w:sz w:val="15"/>
                <w:szCs w:val="15"/>
                <w:b w:val="1"/>
                <w:bCs w:val="1"/>
                <w:color w:val="auto"/>
              </w:rPr>
              <w:t>Class B</w:t>
            </w: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Additional</w:t>
            </w:r>
          </w:p>
        </w:tc>
        <w:tc>
          <w:tcPr>
            <w:tcW w:w="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Other</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Non</w:t>
            </w: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900" w:type="dxa"/>
            <w:vAlign w:val="bottom"/>
          </w:tcPr>
          <w:p>
            <w:pPr>
              <w:spacing w:after="0"/>
              <w:rPr>
                <w:sz w:val="18"/>
                <w:szCs w:val="18"/>
                <w:color w:val="auto"/>
              </w:rPr>
            </w:pPr>
          </w:p>
        </w:tc>
        <w:tc>
          <w:tcPr>
            <w:tcW w:w="1380" w:type="dxa"/>
            <w:vAlign w:val="bottom"/>
            <w:gridSpan w:val="5"/>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1480" w:type="dxa"/>
            <w:vAlign w:val="bottom"/>
            <w:gridSpan w:val="6"/>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Common Stock</w:t>
            </w:r>
          </w:p>
        </w:tc>
        <w:tc>
          <w:tcPr>
            <w:tcW w:w="60" w:type="dxa"/>
            <w:vAlign w:val="bottom"/>
          </w:tcPr>
          <w:p>
            <w:pPr>
              <w:spacing w:after="0"/>
              <w:rPr>
                <w:sz w:val="18"/>
                <w:szCs w:val="18"/>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Paid-In-</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Comprehensive</w:t>
            </w:r>
          </w:p>
        </w:tc>
        <w:tc>
          <w:tcPr>
            <w:tcW w:w="1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1640" w:type="dxa"/>
            <w:vAlign w:val="bottom"/>
            <w:gridSpan w:val="4"/>
          </w:tcPr>
          <w:p>
            <w:pPr>
              <w:jc w:val="right"/>
              <w:ind w:right="360"/>
              <w:spacing w:after="0"/>
              <w:rPr>
                <w:sz w:val="20"/>
                <w:szCs w:val="20"/>
                <w:color w:val="auto"/>
              </w:rPr>
            </w:pPr>
            <w:r>
              <w:rPr>
                <w:rFonts w:ascii="Times New Roman" w:cs="Times New Roman" w:eastAsia="Times New Roman" w:hAnsi="Times New Roman"/>
                <w:sz w:val="15"/>
                <w:szCs w:val="15"/>
                <w:b w:val="1"/>
                <w:bCs w:val="1"/>
                <w:color w:val="auto"/>
              </w:rPr>
              <w:t>Treasury Stock</w:t>
            </w:r>
          </w:p>
        </w:tc>
        <w:tc>
          <w:tcPr>
            <w:tcW w:w="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b w:val="1"/>
                <w:bCs w:val="1"/>
                <w:color w:val="auto"/>
              </w:rPr>
              <w:t>Snail, Inc.</w:t>
            </w:r>
          </w:p>
        </w:tc>
        <w:tc>
          <w:tcPr>
            <w:tcW w:w="20" w:type="dxa"/>
            <w:vAlign w:val="bottom"/>
          </w:tcPr>
          <w:p>
            <w:pPr>
              <w:spacing w:after="0"/>
              <w:rPr>
                <w:sz w:val="18"/>
                <w:szCs w:val="18"/>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controlling</w:t>
            </w:r>
          </w:p>
        </w:tc>
        <w:tc>
          <w:tcPr>
            <w:tcW w:w="4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Total</w:t>
            </w:r>
          </w:p>
        </w:tc>
      </w:tr>
      <w:tr>
        <w:trPr>
          <w:trHeight w:val="187"/>
        </w:trPr>
        <w:tc>
          <w:tcPr>
            <w:tcW w:w="900" w:type="dxa"/>
            <w:vAlign w:val="bottom"/>
          </w:tcPr>
          <w:p>
            <w:pPr>
              <w:spacing w:after="0"/>
              <w:rPr>
                <w:sz w:val="16"/>
                <w:szCs w:val="16"/>
                <w:color w:val="auto"/>
              </w:rPr>
            </w:pPr>
          </w:p>
        </w:tc>
        <w:tc>
          <w:tcPr>
            <w:tcW w:w="76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5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b w:val="1"/>
                <w:bCs w:val="1"/>
                <w:color w:val="auto"/>
                <w:w w:val="98"/>
              </w:rPr>
              <w:t>Amount</w:t>
            </w:r>
          </w:p>
        </w:tc>
        <w:tc>
          <w:tcPr>
            <w:tcW w:w="80" w:type="dxa"/>
            <w:vAlign w:val="bottom"/>
          </w:tcPr>
          <w:p>
            <w:pPr>
              <w:spacing w:after="0"/>
              <w:rPr>
                <w:sz w:val="16"/>
                <w:szCs w:val="16"/>
                <w:color w:val="auto"/>
              </w:rPr>
            </w:pPr>
          </w:p>
        </w:tc>
        <w:tc>
          <w:tcPr>
            <w:tcW w:w="780" w:type="dxa"/>
            <w:vAlign w:val="bottom"/>
            <w:tcBorders>
              <w:top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Capital</w:t>
            </w:r>
          </w:p>
        </w:tc>
        <w:tc>
          <w:tcPr>
            <w:tcW w:w="8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Loss</w:t>
            </w:r>
          </w:p>
        </w:tc>
        <w:tc>
          <w:tcPr>
            <w:tcW w:w="120" w:type="dxa"/>
            <w:vAlign w:val="bottom"/>
          </w:tcPr>
          <w:p>
            <w:pPr>
              <w:spacing w:after="0"/>
              <w:rPr>
                <w:sz w:val="16"/>
                <w:szCs w:val="16"/>
                <w:color w:val="auto"/>
              </w:rPr>
            </w:pPr>
          </w:p>
        </w:tc>
        <w:tc>
          <w:tcPr>
            <w:tcW w:w="1160" w:type="dxa"/>
            <w:vAlign w:val="bottom"/>
            <w:gridSpan w:val="2"/>
          </w:tcPr>
          <w:p>
            <w:pPr>
              <w:jc w:val="right"/>
              <w:ind w:right="480"/>
              <w:spacing w:after="0"/>
              <w:rPr>
                <w:sz w:val="20"/>
                <w:szCs w:val="20"/>
                <w:color w:val="auto"/>
              </w:rPr>
            </w:pPr>
            <w:r>
              <w:rPr>
                <w:rFonts w:ascii="Times New Roman" w:cs="Times New Roman" w:eastAsia="Times New Roman" w:hAnsi="Times New Roman"/>
                <w:sz w:val="15"/>
                <w:szCs w:val="15"/>
                <w:b w:val="1"/>
                <w:bCs w:val="1"/>
                <w:color w:val="auto"/>
              </w:rPr>
              <w:t>Deficit</w:t>
            </w:r>
          </w:p>
        </w:tc>
        <w:tc>
          <w:tcPr>
            <w:tcW w:w="82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5"/>
                <w:szCs w:val="15"/>
                <w:b w:val="1"/>
                <w:bCs w:val="1"/>
                <w:color w:val="auto"/>
              </w:rPr>
              <w:t>Shares</w:t>
            </w:r>
          </w:p>
        </w:tc>
        <w:tc>
          <w:tcPr>
            <w:tcW w:w="760" w:type="dxa"/>
            <w:vAlign w:val="bottom"/>
            <w:tcBorders>
              <w:top w:val="single" w:sz="8" w:color="auto"/>
            </w:tcBorders>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b w:val="1"/>
                <w:bCs w:val="1"/>
                <w:color w:val="auto"/>
              </w:rPr>
              <w:t>Equity</w:t>
            </w:r>
          </w:p>
        </w:tc>
        <w:tc>
          <w:tcPr>
            <w:tcW w:w="20" w:type="dxa"/>
            <w:vAlign w:val="bottom"/>
          </w:tcPr>
          <w:p>
            <w:pPr>
              <w:spacing w:after="0"/>
              <w:rPr>
                <w:sz w:val="16"/>
                <w:szCs w:val="16"/>
                <w:color w:val="auto"/>
              </w:rPr>
            </w:pPr>
          </w:p>
        </w:tc>
        <w:tc>
          <w:tcPr>
            <w:tcW w:w="82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b w:val="1"/>
                <w:bCs w:val="1"/>
                <w:color w:val="auto"/>
              </w:rPr>
              <w:t>interests</w:t>
            </w:r>
          </w:p>
        </w:tc>
        <w:tc>
          <w:tcPr>
            <w:tcW w:w="4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b w:val="1"/>
                <w:bCs w:val="1"/>
                <w:color w:val="auto"/>
              </w:rPr>
              <w:t>Equity</w:t>
            </w:r>
          </w:p>
        </w:tc>
      </w:tr>
      <w:tr>
        <w:trPr>
          <w:trHeight w:val="176"/>
        </w:trPr>
        <w:tc>
          <w:tcPr>
            <w:tcW w:w="9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9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03"/>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31, 2023</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9,275,420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927</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2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2,875</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color w:val="auto"/>
              </w:rPr>
              <w:t>$26,171,575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(254,383)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(13,949,325)</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(1,350,275)</w:t>
            </w: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$(3,671,806)</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$8,299,863</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$(5,499,244)</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$ 2,800,619</w:t>
            </w:r>
          </w:p>
        </w:tc>
      </w:tr>
      <w:tr>
        <w:trPr>
          <w:trHeight w:val="184"/>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Conversion</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 notes</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payable</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71,460</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7</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59,993</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60,000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60,000</w:t>
            </w:r>
          </w:p>
        </w:tc>
      </w:tr>
      <w:tr>
        <w:trPr>
          <w:trHeight w:val="184"/>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Exercise of</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warrants</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235,712</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24</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396,726</w:t>
            </w: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396,750</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396,750</w:t>
            </w:r>
          </w:p>
        </w:tc>
      </w:tr>
      <w:tr>
        <w:trPr>
          <w:trHeight w:val="170"/>
        </w:trPr>
        <w:tc>
          <w:tcPr>
            <w:tcW w:w="90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Stock based</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4"/>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compensation</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related to</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restricted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stock units</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7"/>
                <w:szCs w:val="17"/>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(890,208)</w:t>
            </w:r>
          </w:p>
        </w:tc>
        <w:tc>
          <w:tcPr>
            <w:tcW w:w="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5"/>
                <w:szCs w:val="15"/>
                <w:color w:val="auto"/>
              </w:rPr>
              <w:t>(890,208)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(890,208)</w:t>
            </w:r>
          </w:p>
        </w:tc>
      </w:tr>
      <w:tr>
        <w:trPr>
          <w:trHeight w:val="184"/>
        </w:trPr>
        <w:tc>
          <w:tcPr>
            <w:tcW w:w="9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70"/>
        </w:trPr>
        <w:tc>
          <w:tcPr>
            <w:tcW w:w="900" w:type="dxa"/>
            <w:vAlign w:val="bottom"/>
          </w:tcPr>
          <w:p>
            <w:pPr>
              <w:spacing w:after="0" w:line="170" w:lineRule="exact"/>
              <w:rPr>
                <w:sz w:val="20"/>
                <w:szCs w:val="20"/>
                <w:color w:val="auto"/>
              </w:rPr>
            </w:pPr>
            <w:r>
              <w:rPr>
                <w:rFonts w:ascii="Times New Roman" w:cs="Times New Roman" w:eastAsia="Times New Roman" w:hAnsi="Times New Roman"/>
                <w:sz w:val="15"/>
                <w:szCs w:val="15"/>
                <w:color w:val="auto"/>
              </w:rPr>
              <w:t>Common</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4"/>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stock issued</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9"/>
        </w:trPr>
        <w:tc>
          <w:tcPr>
            <w:tcW w:w="900" w:type="dxa"/>
            <w:vAlign w:val="bottom"/>
          </w:tcPr>
          <w:p>
            <w:pPr>
              <w:spacing w:after="0"/>
              <w:rPr>
                <w:sz w:val="20"/>
                <w:szCs w:val="20"/>
                <w:color w:val="auto"/>
              </w:rPr>
            </w:pPr>
            <w:r>
              <w:rPr>
                <w:rFonts w:ascii="Times New Roman" w:cs="Times New Roman" w:eastAsia="Times New Roman" w:hAnsi="Times New Roman"/>
                <w:sz w:val="15"/>
                <w:szCs w:val="15"/>
                <w:color w:val="auto"/>
              </w:rPr>
              <w:t>for service</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43,478</w:t>
            </w:r>
          </w:p>
        </w:tc>
        <w:tc>
          <w:tcPr>
            <w:tcW w:w="220" w:type="dxa"/>
            <w:vAlign w:val="bottom"/>
          </w:tcPr>
          <w:p>
            <w:pPr>
              <w:spacing w:after="0"/>
              <w:rPr>
                <w:sz w:val="17"/>
                <w:szCs w:val="17"/>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4</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tcPr>
          <w:p>
            <w:pPr>
              <w:spacing w:after="0"/>
              <w:rPr>
                <w:sz w:val="17"/>
                <w:szCs w:val="17"/>
                <w:color w:val="auto"/>
              </w:rPr>
            </w:pPr>
          </w:p>
        </w:tc>
        <w:tc>
          <w:tcPr>
            <w:tcW w:w="94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w:t>
            </w:r>
          </w:p>
        </w:tc>
        <w:tc>
          <w:tcPr>
            <w:tcW w:w="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82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Foreign</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currency</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199"/>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translation</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(25,074)</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(25,074)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(25,074)</w:t>
            </w:r>
          </w:p>
        </w:tc>
      </w:tr>
      <w:tr>
        <w:trPr>
          <w:trHeight w:val="184"/>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70"/>
        </w:trPr>
        <w:tc>
          <w:tcPr>
            <w:tcW w:w="9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Net income</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210"/>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(loss)</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1,831,940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1,831,940</w:t>
            </w: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(4,865)</w:t>
            </w:r>
          </w:p>
        </w:tc>
        <w:tc>
          <w:tcPr>
            <w:tcW w:w="8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1,827,075</w:t>
            </w:r>
          </w:p>
        </w:tc>
      </w:tr>
      <w:tr>
        <w:trPr>
          <w:trHeight w:val="176"/>
        </w:trPr>
        <w:tc>
          <w:tcPr>
            <w:tcW w:w="900" w:type="dxa"/>
            <w:vAlign w:val="bottom"/>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66"/>
        </w:trPr>
        <w:tc>
          <w:tcPr>
            <w:tcW w:w="900" w:type="dxa"/>
            <w:vAlign w:val="bottom"/>
            <w:shd w:val="clear" w:color="auto" w:fill="CCEEFF"/>
          </w:tcPr>
          <w:p>
            <w:pPr>
              <w:spacing w:after="0" w:line="166" w:lineRule="exact"/>
              <w:rPr>
                <w:sz w:val="20"/>
                <w:szCs w:val="20"/>
                <w:color w:val="auto"/>
              </w:rPr>
            </w:pPr>
            <w:r>
              <w:rPr>
                <w:rFonts w:ascii="Times New Roman" w:cs="Times New Roman" w:eastAsia="Times New Roman" w:hAnsi="Times New Roman"/>
                <w:sz w:val="15"/>
                <w:szCs w:val="15"/>
                <w:b w:val="1"/>
                <w:bCs w:val="1"/>
                <w:color w:val="auto"/>
              </w:rPr>
              <w:t>Balance at</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84"/>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December</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26"/>
        </w:trPr>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31, 2024</w:t>
            </w: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9,626,070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962</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28,748,580</w:t>
            </w:r>
          </w:p>
        </w:tc>
        <w:tc>
          <w:tcPr>
            <w:tcW w:w="260" w:type="dxa"/>
            <w:vAlign w:val="bottom"/>
            <w:gridSpan w:val="2"/>
            <w:shd w:val="clear" w:color="auto" w:fill="CCEEFF"/>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w:t>
            </w:r>
          </w:p>
        </w:tc>
        <w:tc>
          <w:tcPr>
            <w:tcW w:w="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2,875</w:t>
            </w:r>
          </w:p>
        </w:tc>
        <w:tc>
          <w:tcPr>
            <w:tcW w:w="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25,738,082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b w:val="1"/>
                <w:bCs w:val="1"/>
                <w:color w:val="auto"/>
              </w:rPr>
              <w:t>(279,457) $</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b w:val="1"/>
                <w:bCs w:val="1"/>
                <w:color w:val="auto"/>
              </w:rPr>
              <w:t>(12,117,385)</w:t>
            </w:r>
          </w:p>
        </w:tc>
        <w:tc>
          <w:tcPr>
            <w:tcW w:w="2460" w:type="dxa"/>
            <w:vAlign w:val="bottom"/>
            <w:gridSpan w:val="7"/>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color w:val="auto"/>
              </w:rPr>
              <w:t xml:space="preserve">(1,350,275)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 xml:space="preserve">(3,671,806) </w:t>
            </w: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9,673,271</w:t>
            </w:r>
          </w:p>
        </w:tc>
        <w:tc>
          <w:tcPr>
            <w:tcW w:w="1660" w:type="dxa"/>
            <w:vAlign w:val="bottom"/>
            <w:gridSpan w:val="6"/>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b w:val="1"/>
                <w:bCs w:val="1"/>
                <w:u w:val="single" w:color="auto"/>
                <w:color w:val="auto"/>
              </w:rPr>
              <w:t>$</w:t>
            </w:r>
            <w:r>
              <w:rPr>
                <w:rFonts w:ascii="Times New Roman" w:cs="Times New Roman" w:eastAsia="Times New Roman" w:hAnsi="Times New Roman"/>
                <w:sz w:val="15"/>
                <w:szCs w:val="15"/>
                <w:b w:val="1"/>
                <w:bCs w:val="1"/>
                <w:color w:val="auto"/>
              </w:rPr>
              <w:t>(5,504,109) $ 4,169,162</w:t>
            </w:r>
          </w:p>
        </w:tc>
      </w:tr>
      <w:tr>
        <w:trPr>
          <w:trHeight w:val="20"/>
        </w:trPr>
        <w:tc>
          <w:tcPr>
            <w:tcW w:w="9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the consolidated financial statements</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 for the Years Ended December 31, 2024 and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0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c>
          <w:tcPr>
            <w:tcW w:w="7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i w:val="1"/>
                <w:i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operating activities:</w:t>
            </w: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1180" w:type="dxa"/>
            <w:vAlign w:val="bottom"/>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1,827,075</w:t>
            </w:r>
          </w:p>
        </w:tc>
        <w:tc>
          <w:tcPr>
            <w:tcW w:w="520" w:type="dxa"/>
            <w:vAlign w:val="bottom"/>
            <w:gridSpan w:val="2"/>
          </w:tcPr>
          <w:p>
            <w:pPr>
              <w:jc w:val="right"/>
              <w:ind w:right="305"/>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(9,094,424)</w:t>
            </w: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Adjustments to reconcile net income (loss) to net cash provided by (used in) operating activities:</w:t>
            </w: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Amortization - intangible assets, net</w:t>
            </w:r>
          </w:p>
        </w:tc>
        <w:tc>
          <w:tcPr>
            <w:tcW w:w="1180" w:type="dxa"/>
            <w:vAlign w:val="bottom"/>
          </w:tcPr>
          <w:p>
            <w:pPr>
              <w:spacing w:after="0"/>
              <w:rPr>
                <w:sz w:val="16"/>
                <w:szCs w:val="16"/>
                <w:color w:val="auto"/>
              </w:rPr>
            </w:pPr>
          </w:p>
        </w:tc>
        <w:tc>
          <w:tcPr>
            <w:tcW w:w="88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7,804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1,384,862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Amortization - loan origination fees and debt discounts</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62,855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124,595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Accretion – convertible notes</w:t>
            </w:r>
          </w:p>
        </w:tc>
        <w:tc>
          <w:tcPr>
            <w:tcW w:w="1180" w:type="dxa"/>
            <w:vAlign w:val="bottom"/>
          </w:tcPr>
          <w:p>
            <w:pPr>
              <w:spacing w:after="0"/>
              <w:rPr>
                <w:sz w:val="16"/>
                <w:szCs w:val="16"/>
                <w:color w:val="auto"/>
              </w:rPr>
            </w:pPr>
          </w:p>
        </w:tc>
        <w:tc>
          <w:tcPr>
            <w:tcW w:w="88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222,628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306,664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Loss on change in fair value of warrant liabilities</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1,332,815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32,883</w:t>
            </w:r>
          </w:p>
        </w:tc>
        <w:tc>
          <w:tcPr>
            <w:tcW w:w="0" w:type="dxa"/>
            <w:vAlign w:val="bottom"/>
          </w:tcPr>
          <w:p>
            <w:pPr>
              <w:spacing w:after="0"/>
              <w:rPr>
                <w:sz w:val="1"/>
                <w:szCs w:val="1"/>
                <w:color w:val="auto"/>
              </w:rPr>
            </w:pPr>
          </w:p>
        </w:tc>
      </w:tr>
      <w:tr>
        <w:trPr>
          <w:trHeight w:val="184"/>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 - property and equipment</w:t>
            </w:r>
          </w:p>
        </w:tc>
        <w:tc>
          <w:tcPr>
            <w:tcW w:w="1180" w:type="dxa"/>
            <w:vAlign w:val="bottom"/>
          </w:tcPr>
          <w:p>
            <w:pPr>
              <w:spacing w:after="0"/>
              <w:rPr>
                <w:sz w:val="16"/>
                <w:szCs w:val="16"/>
                <w:color w:val="auto"/>
              </w:rPr>
            </w:pPr>
          </w:p>
        </w:tc>
        <w:tc>
          <w:tcPr>
            <w:tcW w:w="88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303,714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432,306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Stock-based compensation expense (income)</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(890,208)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848,035</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212529"/>
              </w:rPr>
              <w:t>Loss on disposal of fixed assets</w:t>
            </w:r>
          </w:p>
        </w:tc>
        <w:tc>
          <w:tcPr>
            <w:tcW w:w="1180" w:type="dxa"/>
            <w:vAlign w:val="bottom"/>
          </w:tcPr>
          <w:p>
            <w:pPr>
              <w:spacing w:after="0"/>
              <w:rPr>
                <w:sz w:val="16"/>
                <w:szCs w:val="16"/>
                <w:color w:val="auto"/>
              </w:rPr>
            </w:pPr>
          </w:p>
        </w:tc>
        <w:tc>
          <w:tcPr>
            <w:tcW w:w="88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427</w:t>
            </w: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Credit losses</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581,498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Deferred taxes, net</w:t>
            </w:r>
          </w:p>
        </w:tc>
        <w:tc>
          <w:tcPr>
            <w:tcW w:w="1180" w:type="dxa"/>
            <w:vAlign w:val="bottom"/>
          </w:tcPr>
          <w:p>
            <w:pPr>
              <w:spacing w:after="0"/>
              <w:rPr>
                <w:sz w:val="16"/>
                <w:szCs w:val="16"/>
                <w:color w:val="auto"/>
              </w:rPr>
            </w:pP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(569,601)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(2,644,964)</w:t>
            </w: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receivable</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15,319,987</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(18,939,465)</w:t>
            </w:r>
          </w:p>
        </w:tc>
        <w:tc>
          <w:tcPr>
            <w:tcW w:w="0" w:type="dxa"/>
            <w:vAlign w:val="bottom"/>
          </w:tcPr>
          <w:p>
            <w:pPr>
              <w:spacing w:after="0"/>
              <w:rPr>
                <w:sz w:val="1"/>
                <w:szCs w:val="1"/>
                <w:color w:val="auto"/>
              </w:rPr>
            </w:pPr>
          </w:p>
        </w:tc>
      </w:tr>
      <w:tr>
        <w:trPr>
          <w:trHeight w:val="184"/>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receivable - related party</w:t>
            </w:r>
          </w:p>
        </w:tc>
        <w:tc>
          <w:tcPr>
            <w:tcW w:w="1180" w:type="dxa"/>
            <w:vAlign w:val="bottom"/>
          </w:tcPr>
          <w:p>
            <w:pPr>
              <w:spacing w:after="0"/>
              <w:rPr>
                <w:sz w:val="16"/>
                <w:szCs w:val="16"/>
                <w:color w:val="auto"/>
              </w:rPr>
            </w:pPr>
          </w:p>
        </w:tc>
        <w:tc>
          <w:tcPr>
            <w:tcW w:w="88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3,663,726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3,824,775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expenses - related party</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1,928,581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(8,245,966)</w:t>
            </w:r>
          </w:p>
        </w:tc>
        <w:tc>
          <w:tcPr>
            <w:tcW w:w="0" w:type="dxa"/>
            <w:vAlign w:val="bottom"/>
          </w:tcPr>
          <w:p>
            <w:pPr>
              <w:spacing w:after="0"/>
              <w:rPr>
                <w:sz w:val="1"/>
                <w:szCs w:val="1"/>
                <w:color w:val="auto"/>
              </w:rPr>
            </w:pPr>
          </w:p>
        </w:tc>
      </w:tr>
      <w:tr>
        <w:trPr>
          <w:trHeight w:val="184"/>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Prepaid expenses and other current assets</w:t>
            </w:r>
          </w:p>
        </w:tc>
        <w:tc>
          <w:tcPr>
            <w:tcW w:w="1180" w:type="dxa"/>
            <w:vAlign w:val="bottom"/>
          </w:tcPr>
          <w:p>
            <w:pPr>
              <w:spacing w:after="0"/>
              <w:rPr>
                <w:sz w:val="16"/>
                <w:szCs w:val="16"/>
                <w:color w:val="auto"/>
              </w:rPr>
            </w:pP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(1,206,331)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501,104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Prepaid taxes</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2,211,331</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Other noncurrent assets</w:t>
            </w:r>
          </w:p>
        </w:tc>
        <w:tc>
          <w:tcPr>
            <w:tcW w:w="1180" w:type="dxa"/>
            <w:vAlign w:val="bottom"/>
          </w:tcPr>
          <w:p>
            <w:pPr>
              <w:spacing w:after="0"/>
              <w:rPr>
                <w:sz w:val="16"/>
                <w:szCs w:val="16"/>
                <w:color w:val="auto"/>
              </w:rPr>
            </w:pP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(1,523,065)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Accounts payable</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(7,183,648)</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2,992,856</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Accounts payable - related parties</w:t>
            </w:r>
          </w:p>
        </w:tc>
        <w:tc>
          <w:tcPr>
            <w:tcW w:w="1180" w:type="dxa"/>
            <w:vAlign w:val="bottom"/>
          </w:tcPr>
          <w:p>
            <w:pPr>
              <w:spacing w:after="0"/>
              <w:rPr>
                <w:sz w:val="16"/>
                <w:szCs w:val="16"/>
                <w:color w:val="auto"/>
              </w:rPr>
            </w:pP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(8,001,265)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3,176,177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46,542</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626,764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receivable - related parties</w:t>
            </w:r>
          </w:p>
        </w:tc>
        <w:tc>
          <w:tcPr>
            <w:tcW w:w="1180" w:type="dxa"/>
            <w:vAlign w:val="bottom"/>
          </w:tcPr>
          <w:p>
            <w:pPr>
              <w:spacing w:after="0"/>
              <w:rPr>
                <w:sz w:val="16"/>
                <w:szCs w:val="16"/>
                <w:color w:val="auto"/>
              </w:rPr>
            </w:pP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(2,005)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(2,000)</w:t>
            </w: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Lease liabilities</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(266,800)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(205,520)</w:t>
            </w:r>
          </w:p>
        </w:tc>
        <w:tc>
          <w:tcPr>
            <w:tcW w:w="0" w:type="dxa"/>
            <w:vAlign w:val="bottom"/>
          </w:tcPr>
          <w:p>
            <w:pPr>
              <w:spacing w:after="0"/>
              <w:rPr>
                <w:sz w:val="1"/>
                <w:szCs w:val="1"/>
                <w:color w:val="auto"/>
              </w:rPr>
            </w:pPr>
          </w:p>
        </w:tc>
      </w:tr>
      <w:tr>
        <w:trPr>
          <w:trHeight w:val="196"/>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Deferred revenue</w:t>
            </w:r>
          </w:p>
        </w:tc>
        <w:tc>
          <w:tcPr>
            <w:tcW w:w="1180" w:type="dxa"/>
            <w:vAlign w:val="bottom"/>
          </w:tcPr>
          <w:p>
            <w:pPr>
              <w:spacing w:after="0"/>
              <w:rPr>
                <w:sz w:val="17"/>
                <w:szCs w:val="17"/>
                <w:color w:val="auto"/>
              </w:rPr>
            </w:pP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(8,849,259)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24,765,261</w:t>
            </w:r>
          </w:p>
        </w:tc>
        <w:tc>
          <w:tcPr>
            <w:tcW w:w="0" w:type="dxa"/>
            <w:vAlign w:val="bottom"/>
          </w:tcPr>
          <w:p>
            <w:pPr>
              <w:spacing w:after="0"/>
              <w:rPr>
                <w:sz w:val="1"/>
                <w:szCs w:val="1"/>
                <w:color w:val="auto"/>
              </w:rPr>
            </w:pPr>
          </w:p>
        </w:tc>
      </w:tr>
      <w:tr>
        <w:trPr>
          <w:trHeight w:val="176"/>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provided by (used in) operating activities</w:t>
            </w:r>
          </w:p>
        </w:tc>
        <w:tc>
          <w:tcPr>
            <w:tcW w:w="1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(1,565,124)</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465,868</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flows from financing activities:</w:t>
            </w: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Repayments on promissory note</w:t>
            </w:r>
          </w:p>
        </w:tc>
        <w:tc>
          <w:tcPr>
            <w:tcW w:w="1180" w:type="dxa"/>
            <w:vAlign w:val="bottom"/>
          </w:tcPr>
          <w:p>
            <w:pPr>
              <w:spacing w:after="0"/>
              <w:rPr>
                <w:sz w:val="16"/>
                <w:szCs w:val="16"/>
                <w:color w:val="auto"/>
              </w:rPr>
            </w:pP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(89,374)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(79,897)</w:t>
            </w: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Repayments on notes payable</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(2,333,333)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(6,500,000)</w:t>
            </w:r>
          </w:p>
        </w:tc>
        <w:tc>
          <w:tcPr>
            <w:tcW w:w="0" w:type="dxa"/>
            <w:vAlign w:val="bottom"/>
          </w:tcPr>
          <w:p>
            <w:pPr>
              <w:spacing w:after="0"/>
              <w:rPr>
                <w:sz w:val="1"/>
                <w:szCs w:val="1"/>
                <w:color w:val="auto"/>
              </w:rPr>
            </w:pPr>
          </w:p>
        </w:tc>
      </w:tr>
      <w:tr>
        <w:trPr>
          <w:trHeight w:val="184"/>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Repayments on convertible notes</w:t>
            </w:r>
          </w:p>
        </w:tc>
        <w:tc>
          <w:tcPr>
            <w:tcW w:w="1180" w:type="dxa"/>
            <w:vAlign w:val="bottom"/>
          </w:tcPr>
          <w:p>
            <w:pPr>
              <w:spacing w:after="0"/>
              <w:rPr>
                <w:sz w:val="16"/>
                <w:szCs w:val="16"/>
                <w:color w:val="auto"/>
              </w:rPr>
            </w:pPr>
          </w:p>
        </w:tc>
        <w:tc>
          <w:tcPr>
            <w:tcW w:w="88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(1,020,000)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Repayments on revolving loan</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(3,000,000)</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(3,000,000)</w:t>
            </w:r>
          </w:p>
        </w:tc>
        <w:tc>
          <w:tcPr>
            <w:tcW w:w="0" w:type="dxa"/>
            <w:vAlign w:val="bottom"/>
          </w:tcPr>
          <w:p>
            <w:pPr>
              <w:spacing w:after="0"/>
              <w:rPr>
                <w:sz w:val="1"/>
                <w:szCs w:val="1"/>
                <w:color w:val="auto"/>
              </w:rPr>
            </w:pPr>
          </w:p>
        </w:tc>
      </w:tr>
      <w:tr>
        <w:trPr>
          <w:trHeight w:val="184"/>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Borrowings on notes payable</w:t>
            </w:r>
          </w:p>
        </w:tc>
        <w:tc>
          <w:tcPr>
            <w:tcW w:w="1180" w:type="dxa"/>
            <w:vAlign w:val="bottom"/>
          </w:tcPr>
          <w:p>
            <w:pPr>
              <w:spacing w:after="0"/>
              <w:rPr>
                <w:sz w:val="16"/>
                <w:szCs w:val="16"/>
                <w:color w:val="auto"/>
              </w:rPr>
            </w:pPr>
          </w:p>
        </w:tc>
        <w:tc>
          <w:tcPr>
            <w:tcW w:w="88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issuance of convertible notes</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847,500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Cash proceeds from exercise of warrants</w:t>
            </w:r>
          </w:p>
        </w:tc>
        <w:tc>
          <w:tcPr>
            <w:tcW w:w="1180" w:type="dxa"/>
            <w:vAlign w:val="bottom"/>
          </w:tcPr>
          <w:p>
            <w:pPr>
              <w:spacing w:after="0"/>
              <w:rPr>
                <w:sz w:val="16"/>
                <w:szCs w:val="16"/>
                <w:color w:val="auto"/>
              </w:rPr>
            </w:pPr>
          </w:p>
        </w:tc>
        <w:tc>
          <w:tcPr>
            <w:tcW w:w="88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220,000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Refund of dividend withholding tax overpayment</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1,886,600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Purchase of treasury stock</w:t>
            </w:r>
          </w:p>
        </w:tc>
        <w:tc>
          <w:tcPr>
            <w:tcW w:w="1180" w:type="dxa"/>
            <w:vAlign w:val="bottom"/>
          </w:tcPr>
          <w:p>
            <w:pPr>
              <w:spacing w:after="0"/>
              <w:rPr>
                <w:sz w:val="16"/>
                <w:szCs w:val="16"/>
                <w:color w:val="auto"/>
              </w:rPr>
            </w:pPr>
          </w:p>
        </w:tc>
        <w:tc>
          <w:tcPr>
            <w:tcW w:w="88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(257,093)</w:t>
            </w: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Payments of offering costs in accounts payable</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(262,914)</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(342,318)</w:t>
            </w:r>
          </w:p>
        </w:tc>
        <w:tc>
          <w:tcPr>
            <w:tcW w:w="0" w:type="dxa"/>
            <w:vAlign w:val="bottom"/>
          </w:tcPr>
          <w:p>
            <w:pPr>
              <w:spacing w:after="0"/>
              <w:rPr>
                <w:sz w:val="1"/>
                <w:szCs w:val="1"/>
                <w:color w:val="auto"/>
              </w:rPr>
            </w:pPr>
          </w:p>
        </w:tc>
      </w:tr>
      <w:tr>
        <w:trPr>
          <w:trHeight w:val="196"/>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Release of escrow deposit</w:t>
            </w:r>
          </w:p>
        </w:tc>
        <w:tc>
          <w:tcPr>
            <w:tcW w:w="1180" w:type="dxa"/>
            <w:vAlign w:val="bottom"/>
          </w:tcPr>
          <w:p>
            <w:pPr>
              <w:spacing w:after="0"/>
              <w:rPr>
                <w:sz w:val="17"/>
                <w:szCs w:val="17"/>
                <w:color w:val="auto"/>
              </w:rPr>
            </w:pPr>
          </w:p>
        </w:tc>
        <w:tc>
          <w:tcPr>
            <w:tcW w:w="88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1,003,804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1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(6,485,621</w:t>
            </w:r>
          </w:p>
        </w:tc>
        <w:tc>
          <w:tcPr>
            <w:tcW w:w="140" w:type="dxa"/>
            <w:vAlign w:val="bottom"/>
            <w:tcBorders>
              <w:top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(3,441,404</w:t>
            </w:r>
          </w:p>
        </w:tc>
        <w:tc>
          <w:tcPr>
            <w:tcW w:w="100" w:type="dxa"/>
            <w:vAlign w:val="bottom"/>
            <w:tcBorders>
              <w:top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Effect of foreign currency translation on cash and cash equivalents</w:t>
            </w:r>
          </w:p>
        </w:tc>
        <w:tc>
          <w:tcPr>
            <w:tcW w:w="1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(24,630)</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51,670</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decrease in cash and cash equivalents, and restricted cash and cash equivalents</w:t>
            </w:r>
          </w:p>
        </w:tc>
        <w:tc>
          <w:tcPr>
            <w:tcW w:w="11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(8,075,375)</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(2,923,866)</w:t>
            </w:r>
          </w:p>
        </w:tc>
        <w:tc>
          <w:tcPr>
            <w:tcW w:w="0" w:type="dxa"/>
            <w:vAlign w:val="bottom"/>
          </w:tcPr>
          <w:p>
            <w:pPr>
              <w:spacing w:after="0"/>
              <w:rPr>
                <w:sz w:val="1"/>
                <w:szCs w:val="1"/>
                <w:color w:val="auto"/>
              </w:rPr>
            </w:pPr>
          </w:p>
        </w:tc>
      </w:tr>
      <w:tr>
        <w:trPr>
          <w:trHeight w:val="184"/>
        </w:trPr>
        <w:tc>
          <w:tcPr>
            <w:tcW w:w="7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and restricted cash and cash equivalents - beginning of the period</w:t>
            </w:r>
          </w:p>
        </w:tc>
        <w:tc>
          <w:tcPr>
            <w:tcW w:w="1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16,314,319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19,238,185</w:t>
            </w:r>
          </w:p>
        </w:tc>
        <w:tc>
          <w:tcPr>
            <w:tcW w:w="0" w:type="dxa"/>
            <w:vAlign w:val="bottom"/>
          </w:tcPr>
          <w:p>
            <w:pPr>
              <w:spacing w:after="0"/>
              <w:rPr>
                <w:sz w:val="1"/>
                <w:szCs w:val="1"/>
                <w:color w:val="auto"/>
              </w:rPr>
            </w:pPr>
          </w:p>
        </w:tc>
      </w:tr>
      <w:tr>
        <w:trPr>
          <w:trHeight w:val="176"/>
        </w:trPr>
        <w:tc>
          <w:tcPr>
            <w:tcW w:w="71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Cash and cash equivalents, and restricted cash and cash equivalents – end of the period</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b w:val="1"/>
                <w:bCs w:val="1"/>
                <w:color w:val="auto"/>
                <w:w w:val="79"/>
              </w:rPr>
              <w:t>$</w:t>
            </w:r>
          </w:p>
        </w:tc>
        <w:tc>
          <w:tcPr>
            <w:tcW w:w="8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b w:val="1"/>
                <w:bCs w:val="1"/>
                <w:color w:val="auto"/>
              </w:rPr>
              <w:t>8,238,944</w:t>
            </w:r>
          </w:p>
        </w:tc>
        <w:tc>
          <w:tcPr>
            <w:tcW w:w="52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5"/>
                <w:szCs w:val="15"/>
                <w:b w:val="1"/>
                <w:bCs w:val="1"/>
                <w:color w:val="auto"/>
              </w:rPr>
              <w:t>$</w:t>
            </w:r>
          </w:p>
        </w:tc>
        <w:tc>
          <w:tcPr>
            <w:tcW w:w="15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b w:val="1"/>
                <w:bCs w:val="1"/>
                <w:color w:val="auto"/>
              </w:rPr>
              <w:t>16,314,319</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7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Supplemental disclosures of cash flow information</w:t>
            </w:r>
          </w:p>
        </w:tc>
        <w:tc>
          <w:tcPr>
            <w:tcW w:w="1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1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Cash paid during the period for:</w:t>
            </w: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Interest</w:t>
            </w:r>
          </w:p>
        </w:tc>
        <w:tc>
          <w:tcPr>
            <w:tcW w:w="1180" w:type="dxa"/>
            <w:vAlign w:val="bottom"/>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467,188</w:t>
            </w:r>
          </w:p>
        </w:tc>
        <w:tc>
          <w:tcPr>
            <w:tcW w:w="52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5"/>
                <w:szCs w:val="15"/>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934,523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5"/>
                <w:szCs w:val="15"/>
                <w:color w:val="auto"/>
              </w:rPr>
              <w:t>Income taxes</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10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tcPr>
          <w:p>
            <w:pPr>
              <w:jc w:val="right"/>
              <w:ind w:right="10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(1,100,302</w:t>
            </w:r>
          </w:p>
        </w:tc>
        <w:tc>
          <w:tcPr>
            <w:tcW w:w="14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4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248,388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710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5"/>
                <w:szCs w:val="15"/>
                <w:b w:val="1"/>
                <w:bCs w:val="1"/>
                <w:color w:val="auto"/>
              </w:rPr>
              <w:t>Noncash transactions during the period for:</w:t>
            </w:r>
          </w:p>
        </w:tc>
        <w:tc>
          <w:tcPr>
            <w:tcW w:w="11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71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Issuance of warrants in connection with the equity line of credit</w:t>
            </w:r>
          </w:p>
        </w:tc>
        <w:tc>
          <w:tcPr>
            <w:tcW w:w="1180" w:type="dxa"/>
            <w:vAlign w:val="bottom"/>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gridSpan w:val="2"/>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gridSpan w:val="2"/>
          </w:tcPr>
          <w:p>
            <w:pPr>
              <w:jc w:val="right"/>
              <w:ind w:right="305"/>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(105,411)</w:t>
            </w:r>
          </w:p>
        </w:tc>
        <w:tc>
          <w:tcPr>
            <w:tcW w:w="0" w:type="dxa"/>
            <w:vAlign w:val="bottom"/>
          </w:tcPr>
          <w:p>
            <w:pPr>
              <w:spacing w:after="0"/>
              <w:rPr>
                <w:sz w:val="1"/>
                <w:szCs w:val="1"/>
                <w:color w:val="auto"/>
              </w:rPr>
            </w:pPr>
          </w:p>
        </w:tc>
      </w:tr>
      <w:tr>
        <w:trPr>
          <w:trHeight w:val="159"/>
        </w:trPr>
        <w:tc>
          <w:tcPr>
            <w:tcW w:w="7100" w:type="dxa"/>
            <w:vAlign w:val="bottom"/>
            <w:tcBorders>
              <w:top w:val="single" w:sz="8" w:color="CCEEFF"/>
              <w:bottom w:val="single" w:sz="8" w:color="CCEEFF"/>
            </w:tcBorders>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Debt converted to equity</w:t>
            </w:r>
          </w:p>
        </w:tc>
        <w:tc>
          <w:tcPr>
            <w:tcW w:w="1180" w:type="dxa"/>
            <w:vAlign w:val="bottom"/>
            <w:tcBorders>
              <w:top w:val="single" w:sz="8" w:color="auto"/>
              <w:bottom w:val="single" w:sz="8" w:color="auto"/>
            </w:tcBorders>
            <w:shd w:val="clear" w:color="auto" w:fill="CCEEFF"/>
          </w:tcPr>
          <w:p>
            <w:pPr>
              <w:jc w:val="right"/>
              <w:ind w:right="10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(60,000</w:t>
            </w:r>
          </w:p>
        </w:tc>
        <w:tc>
          <w:tcPr>
            <w:tcW w:w="140" w:type="dxa"/>
            <w:vAlign w:val="bottom"/>
            <w:tcBorders>
              <w:top w:val="single" w:sz="8" w:color="CCEEFF"/>
              <w:bottom w:val="single" w:sz="8" w:color="CCEEFF"/>
            </w:tcBorders>
            <w:shd w:val="clear" w:color="auto" w:fill="CCEEFF"/>
          </w:tcPr>
          <w:p>
            <w:pPr>
              <w:jc w:val="right"/>
              <w:ind w:right="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2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Right-of-use assets obtained in exchange for a lease liability</w:t>
            </w: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0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10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tcPr>
          <w:p>
            <w:pPr>
              <w:jc w:val="right"/>
              <w:ind w:right="10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(85,588</w:t>
            </w:r>
          </w:p>
        </w:tc>
        <w:tc>
          <w:tcPr>
            <w:tcW w:w="14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4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7100" w:type="dxa"/>
            <w:vAlign w:val="bottom"/>
            <w:tcBorders>
              <w:bottom w:val="single" w:sz="8" w:color="CCEEFF"/>
            </w:tcBorders>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Liabilities converted to equity upon exercise of warrants</w:t>
            </w:r>
          </w:p>
        </w:tc>
        <w:tc>
          <w:tcPr>
            <w:tcW w:w="1180" w:type="dxa"/>
            <w:vAlign w:val="bottom"/>
            <w:tcBorders>
              <w:bottom w:val="single" w:sz="8" w:color="auto"/>
            </w:tcBorders>
            <w:shd w:val="clear" w:color="auto" w:fill="CCEEFF"/>
          </w:tcPr>
          <w:p>
            <w:pPr>
              <w:jc w:val="right"/>
              <w:ind w:right="10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176,750</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Acquisition of software in accounts payable – related parties</w:t>
            </w: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100" w:type="dxa"/>
            <w:vAlign w:val="bottom"/>
            <w:tcBorders>
              <w:bottom w:val="single" w:sz="8" w:color="CCEEFF"/>
            </w:tcBorders>
            <w:vMerge w:val="continue"/>
          </w:tcPr>
          <w:p>
            <w:pPr>
              <w:spacing w:after="0"/>
              <w:rPr>
                <w:sz w:val="17"/>
                <w:szCs w:val="17"/>
                <w:color w:val="auto"/>
              </w:rPr>
            </w:pPr>
          </w:p>
        </w:tc>
        <w:tc>
          <w:tcPr>
            <w:tcW w:w="1180" w:type="dxa"/>
            <w:vAlign w:val="bottom"/>
            <w:tcBorders>
              <w:bottom w:val="single" w:sz="8" w:color="auto"/>
            </w:tcBorders>
          </w:tcPr>
          <w:p>
            <w:pPr>
              <w:jc w:val="right"/>
              <w:ind w:right="10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290,000</w:t>
            </w:r>
          </w:p>
        </w:tc>
        <w:tc>
          <w:tcPr>
            <w:tcW w:w="14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7100" w:type="dxa"/>
            <w:vAlign w:val="bottom"/>
            <w:tcBorders>
              <w:bottom w:val="single" w:sz="8" w:color="CCEEFF"/>
            </w:tcBorders>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Acquisition of license rights in accrued expenses and other liabilities</w:t>
            </w:r>
          </w:p>
        </w:tc>
        <w:tc>
          <w:tcPr>
            <w:tcW w:w="1180" w:type="dxa"/>
            <w:vAlign w:val="bottom"/>
            <w:tcBorders>
              <w:bottom w:val="single" w:sz="8" w:color="auto"/>
            </w:tcBorders>
            <w:shd w:val="clear" w:color="auto" w:fill="CCEEFF"/>
          </w:tcPr>
          <w:p>
            <w:pPr>
              <w:jc w:val="right"/>
              <w:ind w:right="10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420,000</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i w:val="1"/>
          <w:iCs w:val="1"/>
          <w:color w:val="auto"/>
        </w:rPr>
        <w:t>See accompanying notes to the consolidated financial statements</w:t>
      </w:r>
    </w:p>
    <w:p>
      <w:pPr>
        <w:spacing w:after="0" w:line="2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 – PRESENTATION AND NATURE OF OPERATIONS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Snail, Inc. was incorporated under the laws of Delaware in January 2022. The terms “Snail, Inc,” “Snail Games,” “our” and the “Company” are used to refer collectively to Snail, Inc. and its subsidiaries. The Company’s fiscal year end is December 31. The Company was formed for the purpose of completing an initial public offering (“IPO”) and related transactions to carry on the business of Snail Games USA Inc. and its subsidiaries. Snail Games USA Inc. was founded in 2009 as a wholly owned subsidiary of Suzhou Snail Digital Technology Co., Ltd. (“Suzhou Snail”) located in Suzhou, China and is the operating entity that continues post IPO. Snail Games USA Inc. is devoted to researching, developing, marketing, publishing, and distributing games, content and support that can be played on a variety of platforms including game consoles, PCs, mobile phones and tablets.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Basis of Presentation and Consolidation</w:t>
      </w:r>
    </w:p>
    <w:p>
      <w:pPr>
        <w:spacing w:after="0" w:line="20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auto"/>
        </w:rPr>
        <w:t>The accompanying consolidated financial statements have been prepared in accordance with the rules and regulations of the SEC and generally accepted accounting principles as promulgated in the United States of America (“U.S. GAAP”).</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 the opinion of management, all adjustments considered necessary for the fair presentation of the Company’s financial position and its results of operations in accordance with U.S.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GAAP (consisting of normal recurring adjustments) have been included in the accompanying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8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Consolidated Financial Statements include the accounts of Snail, Inc. and the following subsidiaries:</w:t>
            </w:r>
          </w:p>
        </w:tc>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362"/>
        </w:trPr>
        <w:tc>
          <w:tcPr>
            <w:tcW w:w="56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Equity %</w:t>
            </w:r>
          </w:p>
        </w:tc>
      </w:tr>
      <w:tr>
        <w:trPr>
          <w:trHeight w:val="203"/>
        </w:trPr>
        <w:tc>
          <w:tcPr>
            <w:tcW w:w="560" w:type="dxa"/>
            <w:vAlign w:val="bottom"/>
          </w:tcPr>
          <w:p>
            <w:pPr>
              <w:spacing w:after="0"/>
              <w:rPr>
                <w:sz w:val="17"/>
                <w:szCs w:val="17"/>
                <w:color w:val="auto"/>
              </w:rPr>
            </w:pPr>
          </w:p>
        </w:tc>
        <w:tc>
          <w:tcPr>
            <w:tcW w:w="8100" w:type="dxa"/>
            <w:vAlign w:val="bottom"/>
            <w:tcBorders>
              <w:bottom w:val="single" w:sz="8" w:color="auto"/>
            </w:tcBorders>
          </w:tcPr>
          <w:p>
            <w:pPr>
              <w:ind w:left="3480"/>
              <w:spacing w:after="0"/>
              <w:rPr>
                <w:sz w:val="20"/>
                <w:szCs w:val="20"/>
                <w:color w:val="auto"/>
              </w:rPr>
            </w:pPr>
            <w:r>
              <w:rPr>
                <w:rFonts w:ascii="Times New Roman" w:cs="Times New Roman" w:eastAsia="Times New Roman" w:hAnsi="Times New Roman"/>
                <w:sz w:val="15"/>
                <w:szCs w:val="15"/>
                <w:b w:val="1"/>
                <w:bCs w:val="1"/>
                <w:color w:val="auto"/>
              </w:rPr>
              <w:t>Subsidiary Name</w:t>
            </w:r>
          </w:p>
        </w:tc>
        <w:tc>
          <w:tcPr>
            <w:tcW w:w="180" w:type="dxa"/>
            <w:vAlign w:val="bottom"/>
            <w:tcBorders>
              <w:bottom w:val="single" w:sz="8" w:color="CCEEFF"/>
            </w:tcBorders>
          </w:tcPr>
          <w:p>
            <w:pPr>
              <w:spacing w:after="0"/>
              <w:rPr>
                <w:sz w:val="17"/>
                <w:szCs w:val="17"/>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Owned</w:t>
            </w:r>
          </w:p>
        </w:tc>
        <w:tc>
          <w:tcPr>
            <w:tcW w:w="140" w:type="dxa"/>
            <w:vAlign w:val="bottom"/>
            <w:tcBorders>
              <w:bottom w:val="single" w:sz="8" w:color="CCEEFF"/>
            </w:tcBorders>
          </w:tcPr>
          <w:p>
            <w:pPr>
              <w:spacing w:after="0"/>
              <w:rPr>
                <w:sz w:val="17"/>
                <w:szCs w:val="17"/>
                <w:color w:val="auto"/>
              </w:rPr>
            </w:pPr>
          </w:p>
        </w:tc>
      </w:tr>
      <w:tr>
        <w:trPr>
          <w:trHeight w:val="176"/>
        </w:trPr>
        <w:tc>
          <w:tcPr>
            <w:tcW w:w="560" w:type="dxa"/>
            <w:vAlign w:val="bottom"/>
          </w:tcPr>
          <w:p>
            <w:pPr>
              <w:spacing w:after="0"/>
              <w:rPr>
                <w:sz w:val="15"/>
                <w:szCs w:val="15"/>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Snail Games USA Inc.</w:t>
            </w:r>
          </w:p>
        </w:tc>
        <w:tc>
          <w:tcPr>
            <w:tcW w:w="18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4"/>
        </w:trPr>
        <w:tc>
          <w:tcPr>
            <w:tcW w:w="560" w:type="dxa"/>
            <w:vAlign w:val="bottom"/>
          </w:tcPr>
          <w:p>
            <w:pPr>
              <w:spacing w:after="0"/>
              <w:rPr>
                <w:sz w:val="16"/>
                <w:szCs w:val="16"/>
                <w:color w:val="auto"/>
              </w:rPr>
            </w:pPr>
          </w:p>
        </w:tc>
        <w:tc>
          <w:tcPr>
            <w:tcW w:w="8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Snail Innovation Institute</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70%</w:t>
            </w:r>
          </w:p>
        </w:tc>
      </w:tr>
      <w:tr>
        <w:trPr>
          <w:trHeight w:val="184"/>
        </w:trPr>
        <w:tc>
          <w:tcPr>
            <w:tcW w:w="560" w:type="dxa"/>
            <w:vAlign w:val="bottom"/>
          </w:tcPr>
          <w:p>
            <w:pPr>
              <w:spacing w:after="0"/>
              <w:rPr>
                <w:sz w:val="16"/>
                <w:szCs w:val="16"/>
                <w:color w:val="auto"/>
              </w:rPr>
            </w:pPr>
          </w:p>
        </w:tc>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Frostkeep Studios, Inc.</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4"/>
        </w:trPr>
        <w:tc>
          <w:tcPr>
            <w:tcW w:w="560" w:type="dxa"/>
            <w:vAlign w:val="bottom"/>
          </w:tcPr>
          <w:p>
            <w:pPr>
              <w:spacing w:after="0"/>
              <w:rPr>
                <w:sz w:val="16"/>
                <w:szCs w:val="16"/>
                <w:color w:val="auto"/>
              </w:rPr>
            </w:pPr>
          </w:p>
        </w:tc>
        <w:tc>
          <w:tcPr>
            <w:tcW w:w="8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Eminence Corp</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4"/>
        </w:trPr>
        <w:tc>
          <w:tcPr>
            <w:tcW w:w="560" w:type="dxa"/>
            <w:vAlign w:val="bottom"/>
          </w:tcPr>
          <w:p>
            <w:pPr>
              <w:spacing w:after="0"/>
              <w:rPr>
                <w:sz w:val="16"/>
                <w:szCs w:val="16"/>
                <w:color w:val="auto"/>
              </w:rPr>
            </w:pPr>
          </w:p>
        </w:tc>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Wandering Wizard, LLC</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4"/>
        </w:trPr>
        <w:tc>
          <w:tcPr>
            <w:tcW w:w="560" w:type="dxa"/>
            <w:vAlign w:val="bottom"/>
          </w:tcPr>
          <w:p>
            <w:pPr>
              <w:spacing w:after="0"/>
              <w:rPr>
                <w:sz w:val="16"/>
                <w:szCs w:val="16"/>
                <w:color w:val="auto"/>
              </w:rPr>
            </w:pPr>
          </w:p>
        </w:tc>
        <w:tc>
          <w:tcPr>
            <w:tcW w:w="8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Donkey Crew, LLC</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99%</w:t>
            </w:r>
          </w:p>
        </w:tc>
      </w:tr>
      <w:tr>
        <w:trPr>
          <w:trHeight w:val="184"/>
        </w:trPr>
        <w:tc>
          <w:tcPr>
            <w:tcW w:w="560" w:type="dxa"/>
            <w:vAlign w:val="bottom"/>
          </w:tcPr>
          <w:p>
            <w:pPr>
              <w:spacing w:after="0"/>
              <w:rPr>
                <w:sz w:val="16"/>
                <w:szCs w:val="16"/>
                <w:color w:val="auto"/>
              </w:rPr>
            </w:pPr>
          </w:p>
        </w:tc>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Interactive Films, LLC</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4"/>
        </w:trPr>
        <w:tc>
          <w:tcPr>
            <w:tcW w:w="560" w:type="dxa"/>
            <w:vAlign w:val="bottom"/>
          </w:tcPr>
          <w:p>
            <w:pPr>
              <w:spacing w:after="0"/>
              <w:rPr>
                <w:sz w:val="16"/>
                <w:szCs w:val="16"/>
                <w:color w:val="auto"/>
              </w:rPr>
            </w:pPr>
          </w:p>
        </w:tc>
        <w:tc>
          <w:tcPr>
            <w:tcW w:w="8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Project AWK Productions, LLC</w:t>
            </w:r>
          </w:p>
        </w:tc>
        <w:tc>
          <w:tcPr>
            <w:tcW w:w="1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100%</w:t>
            </w:r>
          </w:p>
        </w:tc>
      </w:tr>
      <w:tr>
        <w:trPr>
          <w:trHeight w:val="184"/>
        </w:trPr>
        <w:tc>
          <w:tcPr>
            <w:tcW w:w="560" w:type="dxa"/>
            <w:vAlign w:val="bottom"/>
          </w:tcPr>
          <w:p>
            <w:pPr>
              <w:spacing w:after="0"/>
              <w:rPr>
                <w:sz w:val="16"/>
                <w:szCs w:val="16"/>
                <w:color w:val="auto"/>
              </w:rPr>
            </w:pPr>
          </w:p>
        </w:tc>
        <w:tc>
          <w:tcPr>
            <w:tcW w:w="8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BTBX.IO, LLC</w:t>
            </w:r>
          </w:p>
        </w:tc>
        <w:tc>
          <w:tcPr>
            <w:tcW w:w="1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70%</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All intercompany accounts, transactions, and profits have been eliminated upon consolidation.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Use of Estimates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 xml:space="preserve">The preparation of Consolidated Financial Statements in conformity with U.S. GAAP requires the Company to make estimates and assumptions that affect the amounts reported in our consolidated financial statements and the accompanying notes. Such estimates include revenue recognition, see Note 2 – </w:t>
      </w:r>
      <w:r>
        <w:rPr>
          <w:rFonts w:ascii="Times New Roman" w:cs="Times New Roman" w:eastAsia="Times New Roman" w:hAnsi="Times New Roman"/>
          <w:sz w:val="15"/>
          <w:szCs w:val="15"/>
          <w:i w:val="1"/>
          <w:iCs w:val="1"/>
          <w:color w:val="auto"/>
        </w:rPr>
        <w:t>Revenue Recognition</w:t>
      </w:r>
      <w:r>
        <w:rPr>
          <w:rFonts w:ascii="Times New Roman" w:cs="Times New Roman" w:eastAsia="Times New Roman" w:hAnsi="Times New Roman"/>
          <w:sz w:val="15"/>
          <w:szCs w:val="15"/>
          <w:color w:val="auto"/>
        </w:rPr>
        <w:t>, provisions for credit losses, deferred income tax assets and associated valuation allowances, deferred revenue, stock-based compensation and fair value of warrants. These estimates generally involve complex issues and require management to make judgments, involve analysis of historical and future trends that can require extended periods of time to resolve, and are subject to change from period to period. In all cases, actual results could differ materially from estimates.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Segment Reporting</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 xml:space="preserve">The Company has one operating and reportable segment, as the Company’s chief operating decision maker, who is the Company’s Chief Executive Officer, reviews financial information on a consolidated basis for purposes of allocating resources and evaluating performance. Our operations involve similar products and customers worldwide. Revenue earned is primarily derived from the sale of software titles, which are developed internally or licensed from related and third parties. Financial information about our geographic regions is included in Note 3 – </w:t>
      </w:r>
      <w:r>
        <w:rPr>
          <w:rFonts w:ascii="Times New Roman" w:cs="Times New Roman" w:eastAsia="Times New Roman" w:hAnsi="Times New Roman"/>
          <w:sz w:val="15"/>
          <w:szCs w:val="15"/>
          <w:i w:val="1"/>
          <w:iCs w:val="1"/>
          <w:color w:val="auto"/>
        </w:rPr>
        <w:t>Revenue from Contracts with Customers and information about our reportable operating segment is included in Note 18 – Operating Segments</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2 – SUMMARY OF SIGNIFICANT ACCOUNTING POLICIES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Revenue Recognition</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Company’s revenue is generated from the publishing of software games sold digitally and through physical discs (e.g., packaged goods), the publishing of separate downloadable content that are new feature releases to existing digital full-game downloads that are sold digitally, and in-app purchases of virtual goods used by players of its free-to-play mobile games. When control of the promised products and services is transferred to the end users, the Company recognizes revenue in the amount that reflects the consideration it expects to receive in exchange for these products and services. Revenue from delivery of products is recognized at a point in time when the end consumers purchase the games, and the control of the license is transferred to them.</w:t>
      </w:r>
    </w:p>
    <w:p>
      <w:pPr>
        <w:spacing w:after="0" w:line="15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The virtual goods that the Company sells to players of our free-to-play mobile-games, include virtual currency or in-game purchases of additional game play functionality. For virtual goods, the satisfaction of our performance obligation is dependent on the nature of the virtual good purchased and as a result, the Company categorizes its virtual goods as follows:</w:t>
      </w:r>
    </w:p>
    <w:p>
      <w:pPr>
        <w:spacing w:after="0" w:line="133" w:lineRule="exact"/>
        <w:rPr>
          <w:sz w:val="20"/>
          <w:szCs w:val="20"/>
          <w:color w:val="auto"/>
        </w:rPr>
      </w:pPr>
    </w:p>
    <w:p>
      <w:pPr>
        <w:jc w:val="both"/>
        <w:ind w:left="540" w:right="20" w:hanging="271"/>
        <w:spacing w:after="0" w:line="274" w:lineRule="auto"/>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Consumable: consumable </w:t>
      </w:r>
      <w:r>
        <w:rPr>
          <w:rFonts w:ascii="Times New Roman" w:cs="Times New Roman" w:eastAsia="Times New Roman" w:hAnsi="Times New Roman"/>
          <w:sz w:val="15"/>
          <w:szCs w:val="15"/>
          <w:color w:val="auto"/>
          <w:highlight w:val="white"/>
        </w:rPr>
        <w:t>virtual items represent items that can be consumed by a specific player action. Consumable virtual items do not result in a direct benefit that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auto"/>
          <w:highlight w:val="white"/>
        </w:rPr>
        <w:t>player keeps or provide the player any continuing benefit following consumption, and they often enable a player to perform an in-game action immediately. For the sale of consumable virtual items, the Company recognizes revenue ratably over the estimated service period, or as items are consumed, as applicable to the game (i.e., over time)</w:t>
      </w:r>
      <w:r>
        <w:rPr>
          <w:rFonts w:ascii="Times New Roman" w:cs="Times New Roman" w:eastAsia="Times New Roman" w:hAnsi="Times New Roman"/>
          <w:sz w:val="15"/>
          <w:szCs w:val="15"/>
          <w:color w:val="auto"/>
        </w:rPr>
        <w:t>.</w:t>
      </w:r>
    </w:p>
    <w:p>
      <w:pPr>
        <w:spacing w:after="0" w:line="146" w:lineRule="exact"/>
        <w:rPr>
          <w:rFonts w:ascii="Times New Roman" w:cs="Times New Roman" w:eastAsia="Times New Roman" w:hAnsi="Times New Roman"/>
          <w:sz w:val="15"/>
          <w:szCs w:val="15"/>
          <w:color w:val="auto"/>
        </w:rPr>
      </w:pPr>
    </w:p>
    <w:p>
      <w:pPr>
        <w:jc w:val="both"/>
        <w:ind w:left="540" w:right="20" w:hanging="271"/>
        <w:spacing w:after="0" w:line="274" w:lineRule="auto"/>
        <w:tabs>
          <w:tab w:leader="none" w:pos="5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Durable: durable </w:t>
      </w:r>
      <w:r>
        <w:rPr>
          <w:rFonts w:ascii="Times New Roman" w:cs="Times New Roman" w:eastAsia="Times New Roman" w:hAnsi="Times New Roman"/>
          <w:sz w:val="15"/>
          <w:szCs w:val="15"/>
          <w:color w:val="auto"/>
          <w:highlight w:val="white"/>
        </w:rPr>
        <w:t>virtual items represent items that are accessible to the player over an extended period of time. The Company recognizes revenue from the sale of durable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auto"/>
          <w:highlight w:val="white"/>
        </w:rPr>
        <w:t>virtual items ratably over the estimated service period for the applicable game (i.e., over time), which represents our best estimate of the average life of the durable virtual item or the life of the user.</w:t>
      </w:r>
    </w:p>
    <w:p>
      <w:pPr>
        <w:spacing w:after="0" w:line="1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color w:val="auto"/>
        </w:rPr>
        <w:t xml:space="preserve">For the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Bob’s Tall Tales</w:t>
      </w:r>
      <w:r>
        <w:rPr>
          <w:rFonts w:ascii="Times New Roman" w:cs="Times New Roman" w:eastAsia="Times New Roman" w:hAnsi="Times New Roman"/>
          <w:sz w:val="15"/>
          <w:szCs w:val="15"/>
          <w:color w:val="auto"/>
        </w:rPr>
        <w:t xml:space="preserve"> games that were sold in a bundle with downloadable content (“DLC”) that have not yet been launched and been reported in deferred revenue in the consolidated balance sheets, the Company has used the adjusted market assessment approach per ASC 606-10-32-34 to assign a value for the Company’s remaining performance obligation. The Company uses the following reasonably available information in developing the standalone selling prices of the performance obligations:</w:t>
      </w:r>
    </w:p>
    <w:p>
      <w:pPr>
        <w:spacing w:after="0" w:line="144" w:lineRule="exact"/>
        <w:rPr>
          <w:sz w:val="20"/>
          <w:szCs w:val="20"/>
          <w:color w:val="auto"/>
        </w:rPr>
      </w:pPr>
    </w:p>
    <w:p>
      <w:pPr>
        <w:ind w:left="540" w:hanging="271"/>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Reasonably available data points, including third party or industry pricing, and contractually stated prices.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 conditions such as market demand, competition, market constraints, awareness of the product and market trends.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Entity-specific factors including pricing strategies and objectives, market share and pricing practices for bundled arrangements.</w:t>
      </w:r>
    </w:p>
    <w:p>
      <w:pPr>
        <w:spacing w:after="0" w:line="19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The Company recognizes revenue using the following five steps as provided by Accounting Standards Codification (“ASC”) Topic 606 </w:t>
      </w:r>
      <w:r>
        <w:rPr>
          <w:rFonts w:ascii="Times New Roman" w:cs="Times New Roman" w:eastAsia="Times New Roman" w:hAnsi="Times New Roman"/>
          <w:sz w:val="15"/>
          <w:szCs w:val="15"/>
          <w:i w:val="1"/>
          <w:iCs w:val="1"/>
          <w:color w:val="auto"/>
        </w:rPr>
        <w:t>Revenue from Contracts with Customers</w:t>
      </w:r>
      <w:r>
        <w:rPr>
          <w:rFonts w:ascii="Times New Roman" w:cs="Times New Roman" w:eastAsia="Times New Roman" w:hAnsi="Times New Roman"/>
          <w:sz w:val="15"/>
          <w:szCs w:val="15"/>
          <w:color w:val="auto"/>
        </w:rPr>
        <w:t>: 1) identify the contract(s) with the customer; 2) identify the performance obligations in each contract; 3) determine the transaction price; 4) allocate the transaction price to the performance obligations; and 5) recognize revenue when, or as, the entity satisfies a performance obligation. The Company’s terms and conditions vary by customers and typically provide payment terms of net 30 to 75 days.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Principal vs. Agent Consideration</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5"/>
          <w:szCs w:val="15"/>
          <w:color w:val="auto"/>
        </w:rPr>
        <w:t>The Company offers certain software products via third-party digital storefronts, such as Microsoft’s Xbox Live, Sony’s PlayStation Network, Valve’s Steam, Epic Games Store, My Nintendo Store, Apple’s App Store, the Google Play Store, and retail distributors. For sales of our software products via third-party digital storefronts and retail distributor, the Company determines whether or not it is acting as the principal in the sale to the end user, which the Company considers in determining if revenue should be reported based on the gross transaction price to the end user or based on the transaction price net of fees retained by the third-party digital storefront. An entity is the principal if it controls a good or service before it is transferred to the customer. Key indicators that the Company uses in evaluating these sales transactions include, but are not limited to, the following:</w:t>
      </w:r>
    </w:p>
    <w:p>
      <w:pPr>
        <w:spacing w:after="0" w:line="153" w:lineRule="exact"/>
        <w:rPr>
          <w:sz w:val="20"/>
          <w:szCs w:val="20"/>
          <w:color w:val="auto"/>
        </w:rPr>
      </w:pPr>
    </w:p>
    <w:p>
      <w:pPr>
        <w:ind w:left="540" w:hanging="271"/>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underlying contract terms and conditions between the various parties to the transaction;</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party is primarily responsible for fulfilling the promise to provide the specified good or service; and</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Which party has discretion in establishing the price for the specified good or service.</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Based on our evaluation of the above indicators, for sales arrangements via Microsoft’s Xbox Live, Sony’s PlayStation Network, Valve’s Steam, Epic Games Store, My Nintendo Store, and our retail distributor, the digital platforms and distributors have discretion in establishing the price for the specified good or service and the Company has determined it is the agent in the sales transaction to the end user and therefore the Company reports revenue on a net basis based on the consideration received from the digital storefront. For sales arrangements via Apple’s App Store and the Google Play Store, the Company has discretion in establishing the price for the specified good or service and it has determined that the Company is the principal to the end user and thus reports revenue on a gross basis and mobile platform fees charged by these digital storefronts are expensed as incurred and reported within cost of revenues.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Contract Balance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records deferred revenue when cash payments are received or due in advance of its performance, even if amounts are refundable.</w:t>
      </w:r>
    </w:p>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Deferred revenue is comprised of the transaction price allocable to the Company’s performance obligation on technical support and the sale of virtual goods available for in-app purchase, and payments received from customers prior to launching the games on the platforms. The Company recognizes revenues from the sale of virtual goods ratably over their estimated service period. The Company’s estimated service period for players of our current software games is generally 30 to 100 days from the date of purchase.</w:t>
      </w:r>
    </w:p>
    <w:p>
      <w:pPr>
        <w:spacing w:after="0" w:line="14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color w:val="auto"/>
        </w:rPr>
        <w:t xml:space="preserve">The Company has a long-term title license agreement with a platform which makes </w:t>
      </w:r>
      <w:r>
        <w:rPr>
          <w:rFonts w:ascii="Times New Roman" w:cs="Times New Roman" w:eastAsia="Times New Roman" w:hAnsi="Times New Roman"/>
          <w:sz w:val="15"/>
          <w:szCs w:val="15"/>
          <w:i w:val="1"/>
          <w:iCs w:val="1"/>
          <w:color w:val="auto"/>
        </w:rPr>
        <w:t>ARK 1</w:t>
      </w:r>
      <w:r>
        <w:rPr>
          <w:rFonts w:ascii="Times New Roman" w:cs="Times New Roman" w:eastAsia="Times New Roman" w:hAnsi="Times New Roman"/>
          <w:sz w:val="15"/>
          <w:szCs w:val="15"/>
          <w:color w:val="auto"/>
        </w:rPr>
        <w:t xml:space="preserve"> available on the platform in perpetuity, and puts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on the platform for three years upon release. The Company deferred $2.3 million related to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that is included in the long-term portion of deferred revenue and will be recognized upon the release of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on the platform.</w:t>
      </w:r>
    </w:p>
    <w:p>
      <w:pPr>
        <w:spacing w:after="0" w:line="14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In July 2023, the Company entered into a distribution agreement with its retail distribution partner for the distribution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i w:val="1"/>
          <w:iCs w:val="1"/>
          <w:color w:val="auto"/>
        </w:rPr>
        <w:t>ARK II.</w:t>
      </w:r>
      <w:r>
        <w:rPr>
          <w:rFonts w:ascii="Times New Roman" w:cs="Times New Roman" w:eastAsia="Times New Roman" w:hAnsi="Times New Roman"/>
          <w:sz w:val="15"/>
          <w:szCs w:val="15"/>
          <w:color w:val="auto"/>
        </w:rPr>
        <w:t xml:space="preserve"> The initial term is two years and will renew each subsequent year unless it is cancelled. Upon executing the distribution agreement, the Company received $1.8 million as prepaid royalties. During the year ended December 31, 2024, the Company recognized $0.7 million of the revenue related to the retail release of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As of December 31, 2024, the Company reported the remaining $1.1 million related to </w:t>
      </w:r>
      <w:r>
        <w:rPr>
          <w:rFonts w:ascii="Times New Roman" w:cs="Times New Roman" w:eastAsia="Times New Roman" w:hAnsi="Times New Roman"/>
          <w:sz w:val="15"/>
          <w:szCs w:val="15"/>
          <w:i w:val="1"/>
          <w:iCs w:val="1"/>
          <w:color w:val="auto"/>
        </w:rPr>
        <w:t>ARK II as</w:t>
      </w:r>
      <w:r>
        <w:rPr>
          <w:rFonts w:ascii="Times New Roman" w:cs="Times New Roman" w:eastAsia="Times New Roman" w:hAnsi="Times New Roman"/>
          <w:sz w:val="15"/>
          <w:szCs w:val="15"/>
          <w:color w:val="auto"/>
        </w:rPr>
        <w:t xml:space="preserve"> long-term deferred revenue until the disc releases occur.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Estimated Service Period</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For certain performance obligations satisfied over time, the Company has determined that the estimated service period is the time period in which an average user plays our software games (“user life”) which most faithfully depicts the timing of satisfying our performance obligation. The Company considers a variety of data points when determining and subsequently reassessing the estimated service period for players of our software games. Primarily, the Company reviews the weighted average number of days between players’ first and last day playing online or the subscription trend. The Company also considers publicly available online trends.</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The Company believes this provides a reasonable depiction of the transfer of our game related services to our players, as it is the best representation of the period during which our players play our software games. Future usage patterns may differ from historical usage patterns, and therefore the estimated service period may change in the future. The estimated service periods for players of our current software games are generally between 30 and 100 days depending on the software games.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Shipping, Handling and Value Added Taxes (“VAT”)</w:t>
      </w:r>
    </w:p>
    <w:p>
      <w:pPr>
        <w:spacing w:after="0" w:line="20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auto"/>
        </w:rPr>
        <w:t>The distributor, as the principal, is responsible for the shipping of the game discs to retail stores and incurring the shipping and VAT costs. The Company is paid the net sales amount after deducting shipping costs, VAT and other related expenses by the distributor.</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Cost of Revenues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Cost of revenues include software license royalty fees, merchant fees, server and database center costs, game localization costs, game licenses, engine fees and amortization costs.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Cost of revenues for the years ended December 31, 2024 and 2023 were comprised of the following: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33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r>
      <w:tr>
        <w:trPr>
          <w:trHeight w:val="176"/>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license royalties – related parties</w:t>
            </w:r>
          </w:p>
        </w:tc>
        <w:tc>
          <w:tcPr>
            <w:tcW w:w="22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19,908,982</w:t>
            </w:r>
          </w:p>
        </w:tc>
        <w:tc>
          <w:tcPr>
            <w:tcW w:w="3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14,398,482</w:t>
            </w:r>
          </w:p>
        </w:tc>
        <w:tc>
          <w:tcPr>
            <w:tcW w:w="100" w:type="dxa"/>
            <w:vAlign w:val="bottom"/>
            <w:tcBorders>
              <w:top w:val="single" w:sz="8" w:color="CCEEFF"/>
            </w:tcBorders>
            <w:shd w:val="clear" w:color="auto" w:fill="CCEEFF"/>
          </w:tcPr>
          <w:p>
            <w:pPr>
              <w:spacing w:after="0"/>
              <w:rPr>
                <w:sz w:val="15"/>
                <w:szCs w:val="15"/>
                <w:color w:val="auto"/>
              </w:rPr>
            </w:pPr>
          </w:p>
        </w:tc>
      </w:tr>
      <w:tr>
        <w:trPr>
          <w:trHeight w:val="184"/>
        </w:trPr>
        <w:tc>
          <w:tcPr>
            <w:tcW w:w="4780" w:type="dxa"/>
            <w:vAlign w:val="bottom"/>
          </w:tcPr>
          <w:p>
            <w:pPr>
              <w:spacing w:after="0"/>
              <w:rPr>
                <w:sz w:val="20"/>
                <w:szCs w:val="20"/>
                <w:color w:val="auto"/>
              </w:rPr>
            </w:pPr>
            <w:r>
              <w:rPr>
                <w:rFonts w:ascii="Times New Roman" w:cs="Times New Roman" w:eastAsia="Times New Roman" w:hAnsi="Times New Roman"/>
                <w:sz w:val="15"/>
                <w:szCs w:val="15"/>
                <w:color w:val="auto"/>
              </w:rPr>
              <w:t>Software license royalties</w:t>
            </w:r>
          </w:p>
        </w:tc>
        <w:tc>
          <w:tcPr>
            <w:tcW w:w="2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574,520</w:t>
            </w: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1,128,517</w:t>
            </w:r>
          </w:p>
        </w:tc>
        <w:tc>
          <w:tcPr>
            <w:tcW w:w="100" w:type="dxa"/>
            <w:vAlign w:val="bottom"/>
          </w:tcPr>
          <w:p>
            <w:pPr>
              <w:spacing w:after="0"/>
              <w:rPr>
                <w:sz w:val="16"/>
                <w:szCs w:val="16"/>
                <w:color w:val="auto"/>
              </w:rPr>
            </w:pPr>
          </w:p>
        </w:tc>
      </w:tr>
      <w:tr>
        <w:trPr>
          <w:trHeight w:val="18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License and amortization – related parties</w:t>
            </w:r>
          </w:p>
        </w:tc>
        <w:tc>
          <w:tcPr>
            <w:tcW w:w="2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24,000,000</w:t>
            </w:r>
          </w:p>
        </w:tc>
        <w:tc>
          <w:tcPr>
            <w:tcW w:w="4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20,496,961</w:t>
            </w:r>
          </w:p>
        </w:tc>
      </w:tr>
      <w:tr>
        <w:trPr>
          <w:trHeight w:val="184"/>
        </w:trPr>
        <w:tc>
          <w:tcPr>
            <w:tcW w:w="4780" w:type="dxa"/>
            <w:vAlign w:val="bottom"/>
          </w:tcPr>
          <w:p>
            <w:pPr>
              <w:spacing w:after="0"/>
              <w:rPr>
                <w:sz w:val="20"/>
                <w:szCs w:val="20"/>
                <w:color w:val="auto"/>
              </w:rPr>
            </w:pPr>
            <w:r>
              <w:rPr>
                <w:rFonts w:ascii="Times New Roman" w:cs="Times New Roman" w:eastAsia="Times New Roman" w:hAnsi="Times New Roman"/>
                <w:sz w:val="15"/>
                <w:szCs w:val="15"/>
                <w:color w:val="auto"/>
              </w:rPr>
              <w:t>License and amortization</w:t>
            </w:r>
          </w:p>
        </w:tc>
        <w:tc>
          <w:tcPr>
            <w:tcW w:w="2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7,804</w:t>
            </w:r>
          </w:p>
        </w:tc>
        <w:tc>
          <w:tcPr>
            <w:tcW w:w="42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804</w:t>
            </w:r>
          </w:p>
        </w:tc>
      </w:tr>
      <w:tr>
        <w:trPr>
          <w:trHeight w:val="18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Merchant fees</w:t>
            </w:r>
          </w:p>
        </w:tc>
        <w:tc>
          <w:tcPr>
            <w:tcW w:w="2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890,999</w:t>
            </w: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1,369,595</w:t>
            </w:r>
          </w:p>
        </w:tc>
        <w:tc>
          <w:tcPr>
            <w:tcW w:w="100" w:type="dxa"/>
            <w:vAlign w:val="bottom"/>
            <w:shd w:val="clear" w:color="auto" w:fill="CCEEFF"/>
          </w:tcPr>
          <w:p>
            <w:pPr>
              <w:spacing w:after="0"/>
              <w:rPr>
                <w:sz w:val="16"/>
                <w:szCs w:val="16"/>
                <w:color w:val="auto"/>
              </w:rPr>
            </w:pPr>
          </w:p>
        </w:tc>
      </w:tr>
      <w:tr>
        <w:trPr>
          <w:trHeight w:val="184"/>
        </w:trPr>
        <w:tc>
          <w:tcPr>
            <w:tcW w:w="4780" w:type="dxa"/>
            <w:vAlign w:val="bottom"/>
          </w:tcPr>
          <w:p>
            <w:pPr>
              <w:spacing w:after="0"/>
              <w:rPr>
                <w:sz w:val="20"/>
                <w:szCs w:val="20"/>
                <w:color w:val="auto"/>
              </w:rPr>
            </w:pPr>
            <w:r>
              <w:rPr>
                <w:rFonts w:ascii="Times New Roman" w:cs="Times New Roman" w:eastAsia="Times New Roman" w:hAnsi="Times New Roman"/>
                <w:sz w:val="15"/>
                <w:szCs w:val="15"/>
                <w:color w:val="auto"/>
              </w:rPr>
              <w:t>Engine fees</w:t>
            </w:r>
          </w:p>
        </w:tc>
        <w:tc>
          <w:tcPr>
            <w:tcW w:w="2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3,823,215</w:t>
            </w: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4,301,104</w:t>
            </w:r>
          </w:p>
        </w:tc>
        <w:tc>
          <w:tcPr>
            <w:tcW w:w="100" w:type="dxa"/>
            <w:vAlign w:val="bottom"/>
          </w:tcPr>
          <w:p>
            <w:pPr>
              <w:spacing w:after="0"/>
              <w:rPr>
                <w:sz w:val="16"/>
                <w:szCs w:val="16"/>
                <w:color w:val="auto"/>
              </w:rPr>
            </w:pPr>
          </w:p>
        </w:tc>
      </w:tr>
      <w:tr>
        <w:trPr>
          <w:trHeight w:val="184"/>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Internet, server and data center</w:t>
            </w:r>
          </w:p>
        </w:tc>
        <w:tc>
          <w:tcPr>
            <w:tcW w:w="2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4,977,076</w:t>
            </w: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6,487,340</w:t>
            </w:r>
          </w:p>
        </w:tc>
        <w:tc>
          <w:tcPr>
            <w:tcW w:w="100" w:type="dxa"/>
            <w:vAlign w:val="bottom"/>
            <w:shd w:val="clear" w:color="auto" w:fill="CCEEFF"/>
          </w:tcPr>
          <w:p>
            <w:pPr>
              <w:spacing w:after="0"/>
              <w:rPr>
                <w:sz w:val="16"/>
                <w:szCs w:val="16"/>
                <w:color w:val="auto"/>
              </w:rPr>
            </w:pPr>
          </w:p>
        </w:tc>
      </w:tr>
      <w:tr>
        <w:trPr>
          <w:trHeight w:val="196"/>
        </w:trPr>
        <w:tc>
          <w:tcPr>
            <w:tcW w:w="4780" w:type="dxa"/>
            <w:vAlign w:val="bottom"/>
          </w:tcPr>
          <w:p>
            <w:pPr>
              <w:spacing w:after="0"/>
              <w:rPr>
                <w:sz w:val="20"/>
                <w:szCs w:val="20"/>
                <w:color w:val="auto"/>
              </w:rPr>
            </w:pPr>
            <w:r>
              <w:rPr>
                <w:rFonts w:ascii="Times New Roman" w:cs="Times New Roman" w:eastAsia="Times New Roman" w:hAnsi="Times New Roman"/>
                <w:sz w:val="15"/>
                <w:szCs w:val="15"/>
                <w:color w:val="auto"/>
              </w:rPr>
              <w:t>Costs related to other revenue</w:t>
            </w:r>
          </w:p>
        </w:tc>
        <w:tc>
          <w:tcPr>
            <w:tcW w:w="2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53,746</w:t>
            </w: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123,600</w:t>
            </w:r>
          </w:p>
        </w:tc>
        <w:tc>
          <w:tcPr>
            <w:tcW w:w="100" w:type="dxa"/>
            <w:vAlign w:val="bottom"/>
          </w:tcPr>
          <w:p>
            <w:pPr>
              <w:spacing w:after="0"/>
              <w:rPr>
                <w:sz w:val="17"/>
                <w:szCs w:val="17"/>
                <w:color w:val="auto"/>
              </w:rPr>
            </w:pPr>
          </w:p>
        </w:tc>
      </w:tr>
      <w:tr>
        <w:trPr>
          <w:trHeight w:val="187"/>
        </w:trPr>
        <w:tc>
          <w:tcPr>
            <w:tcW w:w="47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w:t>
            </w:r>
          </w:p>
        </w:tc>
        <w:tc>
          <w:tcPr>
            <w:tcW w:w="22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54,236,342</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48,306,403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78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General and Administrative Costs</w:t>
      </w:r>
    </w:p>
    <w:p>
      <w:pPr>
        <w:spacing w:after="0" w:line="2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General and administrative costs include rent, salaries, stock-based compensation, legal and professional expenses, expenses related to being a publicly traded company, administrative internet and server, contractor costs, insurance expense, licenses and permits, other taxes and travel expenses. These costs are expensed as they are incurred. Stock-based compensation expense (income) of $(828,495) and $799,955 was incurred during the years ended December 31, 2024 and 2023, respectively.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Advertising and Marketing Costs</w:t>
      </w:r>
    </w:p>
    <w:p>
      <w:pPr>
        <w:spacing w:after="0" w:line="20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The Company expenses advertising and marketing costs as incurred. Advertising and marketing costs of $1,523,398 and $1,582,464 were incurred during the years ended December 31, 2024 and 2023, respectively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Research and Development</w:t>
      </w:r>
    </w:p>
    <w:p>
      <w:pPr>
        <w:spacing w:after="0" w:line="20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Research and development costs are expensed as incurred. Research and development costs include travel, payroll, and other general expenses specific to research and development activities. Stock-based compensation expense (income) of $(61,713) and $48,080 was incurred during the years ended December 31, 2024 and 2023, respectively.</w:t>
      </w:r>
    </w:p>
    <w:p>
      <w:pPr>
        <w:spacing w:after="0" w:line="13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5"/>
          <w:szCs w:val="15"/>
          <w:color w:val="auto"/>
        </w:rPr>
        <w:t>We account for software products intended to be sold, leased or otherwise marketed in accordance with ASC 985. Accordingly, we capitalize certain development costs incurred after technological feasibility is established but before the general release of the game. In some cases, there may be capitalized costs for the development of significant additions or improvements to a game or for porting to a different console. These capitalized costs may include labor, materials, and an allocation of overhead directly related to development activities or outsourced development services. There have not been any software costs capitalized to date under ASC 985 as the related titles have not yet reached technological feasibility thresholds.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Non-controlling Interests</w:t>
      </w:r>
    </w:p>
    <w:p>
      <w:pPr>
        <w:spacing w:after="0" w:line="20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Non-controlling interests on the consolidated balance sheets and consolidated statements of operations and comprehensive income (loss) include the equity allocated to non-controlling interest holders. As of December 31, 2024 and 2023, there were non-controlling interests with the following subsidiaries: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Subsidiary Name</w:t>
            </w:r>
          </w:p>
        </w:tc>
        <w:tc>
          <w:tcPr>
            <w:tcW w:w="32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5"/>
                <w:szCs w:val="15"/>
                <w:b w:val="1"/>
                <w:bCs w:val="1"/>
                <w:color w:val="auto"/>
              </w:rPr>
              <w:t>Equity % Owned</w:t>
            </w:r>
          </w:p>
        </w:tc>
        <w:tc>
          <w:tcPr>
            <w:tcW w:w="360" w:type="dxa"/>
            <w:vAlign w:val="bottom"/>
            <w:tcBorders>
              <w:bottom w:val="single" w:sz="8" w:color="CCEEFF"/>
            </w:tcBorders>
          </w:tcPr>
          <w:p>
            <w:pPr>
              <w:spacing w:after="0"/>
              <w:rPr>
                <w:sz w:val="17"/>
                <w:szCs w:val="17"/>
                <w:color w:val="auto"/>
              </w:rPr>
            </w:pPr>
          </w:p>
        </w:tc>
        <w:tc>
          <w:tcPr>
            <w:tcW w:w="19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5"/>
                <w:szCs w:val="15"/>
                <w:b w:val="1"/>
                <w:bCs w:val="1"/>
                <w:color w:val="auto"/>
              </w:rPr>
              <w:t>Non-Controlling %</w:t>
            </w:r>
          </w:p>
        </w:tc>
        <w:tc>
          <w:tcPr>
            <w:tcW w:w="140" w:type="dxa"/>
            <w:vAlign w:val="bottom"/>
            <w:tcBorders>
              <w:bottom w:val="single" w:sz="8" w:color="CCEEFF"/>
            </w:tcBorders>
          </w:tcPr>
          <w:p>
            <w:pPr>
              <w:spacing w:after="0"/>
              <w:rPr>
                <w:sz w:val="17"/>
                <w:szCs w:val="17"/>
                <w:color w:val="auto"/>
              </w:rPr>
            </w:pPr>
          </w:p>
        </w:tc>
      </w:tr>
      <w:tr>
        <w:trPr>
          <w:trHeight w:val="17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Snail Innovative Institute</w:t>
            </w:r>
          </w:p>
        </w:tc>
        <w:tc>
          <w:tcPr>
            <w:tcW w:w="3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70%</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r>
      <w:tr>
        <w:trPr>
          <w:trHeight w:val="184"/>
        </w:trPr>
        <w:tc>
          <w:tcPr>
            <w:tcW w:w="3520" w:type="dxa"/>
            <w:vAlign w:val="bottom"/>
          </w:tcPr>
          <w:p>
            <w:pPr>
              <w:spacing w:after="0"/>
              <w:rPr>
                <w:sz w:val="20"/>
                <w:szCs w:val="20"/>
                <w:color w:val="auto"/>
              </w:rPr>
            </w:pPr>
            <w:r>
              <w:rPr>
                <w:rFonts w:ascii="Times New Roman" w:cs="Times New Roman" w:eastAsia="Times New Roman" w:hAnsi="Times New Roman"/>
                <w:sz w:val="15"/>
                <w:szCs w:val="15"/>
                <w:color w:val="auto"/>
              </w:rPr>
              <w:t>BTBX.IO, LLC</w:t>
            </w:r>
          </w:p>
        </w:tc>
        <w:tc>
          <w:tcPr>
            <w:tcW w:w="570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70%</w:t>
            </w:r>
          </w:p>
        </w:tc>
        <w:tc>
          <w:tcPr>
            <w:tcW w:w="20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30%</w:t>
            </w:r>
          </w:p>
        </w:tc>
      </w:tr>
      <w:tr>
        <w:trPr>
          <w:trHeight w:val="184"/>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Donkey Crew, LLC</w:t>
            </w:r>
          </w:p>
        </w:tc>
        <w:tc>
          <w:tcPr>
            <w:tcW w:w="57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99%</w:t>
            </w:r>
          </w:p>
        </w:tc>
        <w:tc>
          <w:tcPr>
            <w:tcW w:w="2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w:t>
            </w:r>
          </w:p>
        </w:tc>
      </w:tr>
      <w:tr>
        <w:trPr>
          <w:trHeight w:val="369"/>
        </w:trPr>
        <w:tc>
          <w:tcPr>
            <w:tcW w:w="35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gridSpan w:val="4"/>
          </w:tcPr>
          <w:p>
            <w:pPr>
              <w:jc w:val="right"/>
              <w:ind w:right="3460"/>
              <w:spacing w:after="0"/>
              <w:rPr>
                <w:sz w:val="20"/>
                <w:szCs w:val="20"/>
                <w:color w:val="auto"/>
              </w:rPr>
            </w:pPr>
            <w:r>
              <w:rPr>
                <w:rFonts w:ascii="Times New Roman" w:cs="Times New Roman" w:eastAsia="Times New Roman" w:hAnsi="Times New Roman"/>
                <w:sz w:val="15"/>
                <w:szCs w:val="15"/>
                <w:color w:val="auto"/>
              </w:rPr>
              <w:t>F-12</w:t>
            </w:r>
          </w:p>
        </w:tc>
        <w:tc>
          <w:tcPr>
            <w:tcW w:w="1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5" w:right="319" w:bottom="1440" w:gutter="0" w:footer="0" w:header="0"/>
        </w:sectPr>
      </w:pPr>
    </w:p>
    <w:bookmarkStart w:id="74" w:name="page75"/>
    <w:bookmarkEnd w:id="74"/>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Cash and Cash Equivalents and Restricted Cash and Cash Equivalents</w:t>
      </w:r>
    </w:p>
    <w:p>
      <w:pPr>
        <w:spacing w:after="0" w:line="20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5"/>
          <w:szCs w:val="15"/>
          <w:color w:val="auto"/>
        </w:rPr>
        <w:t>Cash is available for use in current operations or other activities such as capital expenditures. Restricted cash and cash equivalents are time deposits, that are currently provided as a standby letter of credit to landlords. The Company’s policy for determining whether an item is treated as cash, or a cash equivalent, is based on its original maturity, liquidity, and risk profile. Investments with maturities of three months or less, are highly liquid and have insignificant risk are considered to be cash equivalents.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Accounts Receivable</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Company generally records a receivable related to revenue when it has an unconditional right to invoice and receive payment. Accounts receivable are carried at original invoice amount less an allowance made for credit losses. The Company uses a combination of quantitative and qualitative risk factors to estimate the allowance, including an analysis of the customers’ creditworthiness, historical experience, age of current accounts receivable balances, changes in financial condition or payment terms of our customers, and reasonable forecasts of the collectability of the accounts receivable. The Company evaluates the allowance for credit losses on a periodic basis and adjusts it as necessary based on the risk factors mentioned above. Any increase in the provision for credit losses is recorded as a charge to general and administrative expense in the current period. Any amounts deemed uncollectible are written off against the allowance for credit losses. Management judgment is required to estimate our allowance for credit losses in any accounting period. The amount and timing of our credit losses and cash collection could change significantly because of a change in any of the risk factors mentioned above. There were no credit losses recognized during the year ended December 31, 2024. During the year ended December 31, 2023, the Company’s allowance for credit losses increased from $19,929 to $523,500 due to an increase in credit risk of one of the Company’s platform partners as a result of continued delays in payments. There was an additional $77,928 recognized as credit losses due to the bankruptcy of the Company’s related party, INDIEV, Inc. (“INDIEV”) during the year ended December 31, 2023.</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Property, Plant and Equipment, Net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Property, plant and equipment, net, are stated at cost. Depreciation is calculated using the straight-line method over the following useful lives:</w:t>
      </w:r>
    </w:p>
    <w:p>
      <w:pPr>
        <w:spacing w:after="0" w:line="211" w:lineRule="exact"/>
        <w:rPr>
          <w:sz w:val="20"/>
          <w:szCs w:val="20"/>
          <w:color w:val="auto"/>
        </w:rPr>
      </w:pPr>
    </w:p>
    <w:tbl>
      <w:tblPr>
        <w:tblLayout w:type="fixed"/>
        <w:tblInd w:w="560" w:type="dxa"/>
        <w:tblCellMar>
          <w:top w:w="0" w:type="dxa"/>
          <w:left w:w="0" w:type="dxa"/>
          <w:bottom w:w="0" w:type="dxa"/>
          <w:right w:w="0" w:type="dxa"/>
        </w:tblCellMar>
      </w:tblPr>
      <w:tr>
        <w:trPr>
          <w:trHeight w:val="184"/>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Buildings</w:t>
            </w:r>
          </w:p>
        </w:tc>
        <w:tc>
          <w:tcPr>
            <w:tcW w:w="65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5"/>
                <w:szCs w:val="15"/>
                <w:color w:val="auto"/>
              </w:rPr>
              <w:t>39 years</w:t>
            </w:r>
          </w:p>
        </w:tc>
      </w:tr>
      <w:tr>
        <w:trPr>
          <w:trHeight w:val="184"/>
        </w:trPr>
        <w:tc>
          <w:tcPr>
            <w:tcW w:w="3640" w:type="dxa"/>
            <w:vAlign w:val="bottom"/>
          </w:tcPr>
          <w:p>
            <w:pPr>
              <w:spacing w:after="0"/>
              <w:rPr>
                <w:sz w:val="20"/>
                <w:szCs w:val="20"/>
                <w:color w:val="auto"/>
              </w:rPr>
            </w:pPr>
            <w:r>
              <w:rPr>
                <w:rFonts w:ascii="Times New Roman" w:cs="Times New Roman" w:eastAsia="Times New Roman" w:hAnsi="Times New Roman"/>
                <w:sz w:val="15"/>
                <w:szCs w:val="15"/>
                <w:color w:val="auto"/>
              </w:rPr>
              <w:t>Building improvements</w:t>
            </w:r>
          </w:p>
        </w:tc>
        <w:tc>
          <w:tcPr>
            <w:tcW w:w="6500" w:type="dxa"/>
            <w:vAlign w:val="bottom"/>
          </w:tcPr>
          <w:p>
            <w:pPr>
              <w:ind w:left="1520"/>
              <w:spacing w:after="0"/>
              <w:rPr>
                <w:sz w:val="20"/>
                <w:szCs w:val="20"/>
                <w:color w:val="auto"/>
              </w:rPr>
            </w:pPr>
            <w:r>
              <w:rPr>
                <w:rFonts w:ascii="Times New Roman" w:cs="Times New Roman" w:eastAsia="Times New Roman" w:hAnsi="Times New Roman"/>
                <w:sz w:val="15"/>
                <w:szCs w:val="15"/>
                <w:color w:val="auto"/>
              </w:rPr>
              <w:t>7 years</w:t>
            </w:r>
          </w:p>
        </w:tc>
      </w:tr>
      <w:tr>
        <w:trPr>
          <w:trHeight w:val="170"/>
        </w:trPr>
        <w:tc>
          <w:tcPr>
            <w:tcW w:w="364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color w:val="auto"/>
              </w:rPr>
              <w:t>Leasehold improvements</w:t>
            </w:r>
          </w:p>
        </w:tc>
        <w:tc>
          <w:tcPr>
            <w:tcW w:w="6500" w:type="dxa"/>
            <w:vAlign w:val="bottom"/>
            <w:shd w:val="clear" w:color="auto" w:fill="CCEEFF"/>
          </w:tcPr>
          <w:p>
            <w:pPr>
              <w:ind w:left="1520"/>
              <w:spacing w:after="0" w:line="170" w:lineRule="exact"/>
              <w:rPr>
                <w:sz w:val="20"/>
                <w:szCs w:val="20"/>
                <w:color w:val="auto"/>
              </w:rPr>
            </w:pPr>
            <w:r>
              <w:rPr>
                <w:rFonts w:ascii="Times New Roman" w:cs="Times New Roman" w:eastAsia="Times New Roman" w:hAnsi="Times New Roman"/>
                <w:sz w:val="15"/>
                <w:szCs w:val="15"/>
                <w:color w:val="auto"/>
              </w:rPr>
              <w:t>Lesser of the lease term or the estimated useful lives of the improvements,</w:t>
            </w:r>
          </w:p>
        </w:tc>
      </w:tr>
      <w:tr>
        <w:trPr>
          <w:trHeight w:val="199"/>
        </w:trPr>
        <w:tc>
          <w:tcPr>
            <w:tcW w:w="3640" w:type="dxa"/>
            <w:vAlign w:val="bottom"/>
            <w:shd w:val="clear" w:color="auto" w:fill="CCEEFF"/>
          </w:tcPr>
          <w:p>
            <w:pPr>
              <w:spacing w:after="0"/>
              <w:rPr>
                <w:sz w:val="17"/>
                <w:szCs w:val="17"/>
                <w:color w:val="auto"/>
              </w:rPr>
            </w:pPr>
          </w:p>
        </w:tc>
        <w:tc>
          <w:tcPr>
            <w:tcW w:w="65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5"/>
                <w:szCs w:val="15"/>
                <w:color w:val="auto"/>
              </w:rPr>
              <w:t>generally 5 to 15 years</w:t>
            </w:r>
          </w:p>
        </w:tc>
      </w:tr>
      <w:tr>
        <w:trPr>
          <w:trHeight w:val="184"/>
        </w:trPr>
        <w:tc>
          <w:tcPr>
            <w:tcW w:w="3640" w:type="dxa"/>
            <w:vAlign w:val="bottom"/>
          </w:tcPr>
          <w:p>
            <w:pPr>
              <w:spacing w:after="0"/>
              <w:rPr>
                <w:sz w:val="20"/>
                <w:szCs w:val="20"/>
                <w:color w:val="auto"/>
              </w:rPr>
            </w:pPr>
            <w:r>
              <w:rPr>
                <w:rFonts w:ascii="Times New Roman" w:cs="Times New Roman" w:eastAsia="Times New Roman" w:hAnsi="Times New Roman"/>
                <w:sz w:val="15"/>
                <w:szCs w:val="15"/>
                <w:color w:val="auto"/>
              </w:rPr>
              <w:t>Computer equipment and software</w:t>
            </w:r>
          </w:p>
        </w:tc>
        <w:tc>
          <w:tcPr>
            <w:tcW w:w="6500" w:type="dxa"/>
            <w:vAlign w:val="bottom"/>
          </w:tcPr>
          <w:p>
            <w:pPr>
              <w:ind w:left="1520"/>
              <w:spacing w:after="0"/>
              <w:rPr>
                <w:sz w:val="20"/>
                <w:szCs w:val="20"/>
                <w:color w:val="auto"/>
              </w:rPr>
            </w:pPr>
            <w:r>
              <w:rPr>
                <w:rFonts w:ascii="Times New Roman" w:cs="Times New Roman" w:eastAsia="Times New Roman" w:hAnsi="Times New Roman"/>
                <w:sz w:val="15"/>
                <w:szCs w:val="15"/>
                <w:color w:val="auto"/>
              </w:rPr>
              <w:t>3 to 5 years</w:t>
            </w:r>
          </w:p>
        </w:tc>
      </w:tr>
      <w:tr>
        <w:trPr>
          <w:trHeight w:val="184"/>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6500" w:type="dxa"/>
            <w:vAlign w:val="bottom"/>
            <w:shd w:val="clear" w:color="auto" w:fill="CCEEFF"/>
          </w:tcPr>
          <w:p>
            <w:pPr>
              <w:ind w:left="1520"/>
              <w:spacing w:after="0"/>
              <w:rPr>
                <w:sz w:val="20"/>
                <w:szCs w:val="20"/>
                <w:color w:val="auto"/>
              </w:rPr>
            </w:pPr>
            <w:r>
              <w:rPr>
                <w:rFonts w:ascii="Times New Roman" w:cs="Times New Roman" w:eastAsia="Times New Roman" w:hAnsi="Times New Roman"/>
                <w:sz w:val="15"/>
                <w:szCs w:val="15"/>
                <w:color w:val="auto"/>
              </w:rPr>
              <w:t>3 years</w:t>
            </w:r>
          </w:p>
        </w:tc>
      </w:tr>
      <w:tr>
        <w:trPr>
          <w:trHeight w:val="199"/>
        </w:trPr>
        <w:tc>
          <w:tcPr>
            <w:tcW w:w="3640" w:type="dxa"/>
            <w:vAlign w:val="bottom"/>
          </w:tcPr>
          <w:p>
            <w:pPr>
              <w:spacing w:after="0"/>
              <w:rPr>
                <w:sz w:val="20"/>
                <w:szCs w:val="20"/>
                <w:color w:val="auto"/>
              </w:rPr>
            </w:pPr>
            <w:r>
              <w:rPr>
                <w:rFonts w:ascii="Times New Roman" w:cs="Times New Roman" w:eastAsia="Times New Roman" w:hAnsi="Times New Roman"/>
                <w:sz w:val="15"/>
                <w:szCs w:val="15"/>
                <w:color w:val="auto"/>
              </w:rPr>
              <w:t>Auto and trucks</w:t>
            </w:r>
          </w:p>
        </w:tc>
        <w:tc>
          <w:tcPr>
            <w:tcW w:w="6500" w:type="dxa"/>
            <w:vAlign w:val="bottom"/>
          </w:tcPr>
          <w:p>
            <w:pPr>
              <w:ind w:left="1520"/>
              <w:spacing w:after="0"/>
              <w:rPr>
                <w:sz w:val="20"/>
                <w:szCs w:val="20"/>
                <w:color w:val="auto"/>
              </w:rPr>
            </w:pPr>
            <w:r>
              <w:rPr>
                <w:rFonts w:ascii="Times New Roman" w:cs="Times New Roman" w:eastAsia="Times New Roman" w:hAnsi="Times New Roman"/>
                <w:sz w:val="15"/>
                <w:szCs w:val="15"/>
                <w:color w:val="auto"/>
              </w:rPr>
              <w:t>5 years</w:t>
            </w:r>
          </w:p>
        </w:tc>
      </w:tr>
    </w:tbl>
    <w:p>
      <w:pPr>
        <w:spacing w:after="0" w:line="15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5"/>
          <w:szCs w:val="15"/>
          <w:color w:val="auto"/>
        </w:rPr>
        <w:t>When assets are retired or disposed of, the cost and accumulated depreciation thereon are removed, and any resulting gains or losses are included in the consolidated statements of operations and comprehensive income (loss). Leasehold improvements are amortized using the straight-line method over the estimated life of the asset, not to exceed the length of the lease. Repairs and maintenance costs are expensed as incurred.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Foreign Currency</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functional currency for our foreign operations is primarily the applicable local currency. Accounts of foreign operations are translated into U.S. dollars using exchange rates for assets and liabilities at the balance sheet date and average prevailing exchange rates for the period for revenue and expense accounts. Adjustments resulting from the translation are included in accumulated other comprehensive loss. Realized and unrealized transaction gains and losses arising from transactions denominated in foreign currencies different than the relevant functional currency are included in our consolidated statements of operations and comprehensive income (loss) in the period in which they occur. Foreign currency transaction gains and (losses) were $11,686 and ($68,180) during the twelve months ended December 31, 2024 and 2023, respectively.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Intangible Assets – License Usage Rights</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The Company enters into license agreements with third-party developers and related party developers that require the Company to make payments for license usage rights and game development and production services. These license agreements grant the Company the exclusive publishing and distribution rights to game titles as well as, in some cases, the underlying intellectual property rights. These license agreements also specify the payment schedules, royalty rates and the relevant licensing period. The Company capitalizes the cost of license usage rights as intangible assets and amortizes them over the terms of the respective licensing rights. The Company capitalized $420,000 in license usage rights during the twelve months ended December 31, 2024 which are included within intangible assets, net, within the consolidated balance sheets. There were no such acquisitions during the twelve months ended December 31,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Film Costs, net</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Company capitalizes costs to produce short videos in accordance with Financial Accounting Standards Board (“FASB”) ASC Topic 926, including direct production costs, production overhead, interest, acquisition costs and development costs. The Company will account for each episodic series as a unit for which capitalized film costs will be amortized by the Company using the individual-film forecast-computation method. Each reporting period the Company will reassess its estimate of ultimate revenues used to determine the amortization rate for each episodic series. If the estimate is revised, the Company will account for the change prospectively. The Company will then remeasure the amortization based on the portion of ultimate revenues that have been recognized and that are yet to be recognized. Unamortized film costs shall be tested for impairment whenever events or changes in circumstances indicate that fair value of the film may be less than its unamortized film costs. If the fair value of an episodic series is less than its unamortized film costs, the Company will write off the excess amount. The Company groups its film and content rights by monetization strategy. As of December 31, 2024 and 2023, $1,512,960 and $0 of film costs are capitalized and included in other noncurrent assets in the accompanying consolidated balance sheets.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Fair Value Measurements</w:t>
      </w:r>
    </w:p>
    <w:p>
      <w:pPr>
        <w:spacing w:after="0" w:line="20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5"/>
          <w:szCs w:val="15"/>
          <w:color w:val="auto"/>
        </w:rPr>
        <w:t>The Company follows FASB ASC Topic 820, Fair Value Measurements. ASC 820 defines fair value, establishes a framework for measuring fair value under generally accepted accounting principles and enhances disclosures about fair value measurements. Fair value is defined under ASC 820 as the exchange price that would be received for an asset or paid to transfer a liability in the principal or most advantageous market for the asset or liability in an orderly transaction between market participants.</w:t>
      </w:r>
    </w:p>
    <w:p>
      <w:pPr>
        <w:spacing w:after="0" w:line="14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ASC 820 establishes a hierarchy of valuation inputs based on the extent to which the inputs are observable in the marketplace. Observable inputs reflect market data obtained from sources independent of the reporting entity and unobservable inputs reflect the entity’s own assumptions about how market participants would value an asset or liability based on the best information available. Valuation techniques used to measure fair value under ASC 820 must maximize the use of observable inputs and minimize the use of unobservable inputs. The standard describes a fair value hierarchy based on three levels of inputs, of which the first two are considered observable and the last unobservable, that may be used to measure fair value.</w:t>
      </w: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5"/>
          <w:szCs w:val="15"/>
          <w:color w:val="auto"/>
        </w:rPr>
        <w:t>The following describes the hierarchy of inputs used to measure fair value and the primary valuation methodologies used by the Company for financial instruments measured at fair value.</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three levels of inputs are as follows:</w:t>
      </w:r>
    </w:p>
    <w:p>
      <w:pPr>
        <w:spacing w:after="0" w:line="192" w:lineRule="exact"/>
        <w:rPr>
          <w:sz w:val="20"/>
          <w:szCs w:val="20"/>
          <w:color w:val="auto"/>
        </w:rPr>
      </w:pPr>
    </w:p>
    <w:p>
      <w:pPr>
        <w:ind w:left="540" w:hanging="271"/>
        <w:spacing w:after="0"/>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Level 1</w:t>
      </w:r>
      <w:r>
        <w:rPr>
          <w:rFonts w:ascii="Times New Roman" w:cs="Times New Roman" w:eastAsia="Times New Roman" w:hAnsi="Times New Roman"/>
          <w:sz w:val="15"/>
          <w:szCs w:val="15"/>
          <w:color w:val="auto"/>
        </w:rPr>
        <w:t>: Quoted prices in active markets for identical assets or liabilities that the Company has an ability to access as of the measurement date.</w:t>
      </w:r>
    </w:p>
    <w:p>
      <w:pPr>
        <w:spacing w:after="0" w:line="196" w:lineRule="exact"/>
        <w:rPr>
          <w:rFonts w:ascii="Times New Roman" w:cs="Times New Roman" w:eastAsia="Times New Roman" w:hAnsi="Times New Roman"/>
          <w:sz w:val="15"/>
          <w:szCs w:val="15"/>
          <w:color w:val="auto"/>
        </w:rPr>
      </w:pPr>
    </w:p>
    <w:p>
      <w:pPr>
        <w:ind w:left="540" w:hanging="271"/>
        <w:spacing w:after="0" w:line="298" w:lineRule="auto"/>
        <w:tabs>
          <w:tab w:leader="none" w:pos="540"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Level 2</w:t>
      </w:r>
      <w:r>
        <w:rPr>
          <w:rFonts w:ascii="Times New Roman" w:cs="Times New Roman" w:eastAsia="Times New Roman" w:hAnsi="Times New Roman"/>
          <w:sz w:val="15"/>
          <w:szCs w:val="15"/>
          <w:color w:val="auto"/>
        </w:rPr>
        <w:t>: Inputs that are observable, either directly or indirectly, such as quoted prices for similar assets or liabilities, quoted prices in markets that are not active, or other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inputs that are observable or can be corroborated by observable market data for substantially the same term of the assets or liabilities.</w:t>
      </w:r>
    </w:p>
    <w:p>
      <w:pPr>
        <w:sectPr>
          <w:pgSz w:w="11900" w:h="16897" w:orient="portrait"/>
          <w:cols w:equalWidth="0" w:num="1">
            <w:col w:w="11260"/>
          </w:cols>
          <w:pgMar w:left="320" w:top="605" w:right="319" w:bottom="0" w:gutter="0" w:footer="0" w:header="0"/>
        </w:sectPr>
      </w:pPr>
    </w:p>
    <w:bookmarkStart w:id="75" w:name="page76"/>
    <w:bookmarkEnd w:id="75"/>
    <w:p>
      <w:pPr>
        <w:ind w:left="271" w:hanging="271"/>
        <w:spacing w:after="0"/>
        <w:tabs>
          <w:tab w:leader="none" w:pos="271"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Level 3</w:t>
      </w:r>
      <w:r>
        <w:rPr>
          <w:rFonts w:ascii="Times New Roman" w:cs="Times New Roman" w:eastAsia="Times New Roman" w:hAnsi="Times New Roman"/>
          <w:sz w:val="15"/>
          <w:szCs w:val="15"/>
          <w:color w:val="auto"/>
        </w:rPr>
        <w:t>: Unobservable inputs that are supported by little or no market activity and that are significant to the fair value of the assets or liabilities.</w:t>
      </w:r>
    </w:p>
    <w:p>
      <w:pPr>
        <w:sectPr>
          <w:pgSz w:w="11900" w:h="16838" w:orient="portrait"/>
          <w:cols w:equalWidth="0" w:num="1">
            <w:col w:w="9871"/>
          </w:cols>
          <w:pgMar w:left="589" w:top="305" w:right="1440" w:bottom="1440" w:gutter="0" w:footer="0" w:header="0"/>
        </w:sectPr>
      </w:pPr>
    </w:p>
    <w:p>
      <w:pPr>
        <w:spacing w:after="0" w:line="200" w:lineRule="exact"/>
        <w:rPr>
          <w:sz w:val="20"/>
          <w:szCs w:val="20"/>
          <w:color w:val="auto"/>
        </w:rPr>
      </w:pPr>
    </w:p>
    <w:p>
      <w:pPr>
        <w:ind w:left="5211"/>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24130</wp:posOffset>
            </wp:positionV>
            <wp:extent cx="715264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9871"/>
          </w:cols>
          <w:pgMar w:left="589" w:top="305" w:right="1440" w:bottom="1440" w:gutter="0" w:footer="0" w:header="0"/>
          <w:type w:val="continuous"/>
        </w:sectPr>
      </w:pPr>
    </w:p>
    <w:bookmarkStart w:id="76" w:name="page77"/>
    <w:bookmarkEnd w:id="76"/>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 xml:space="preserve">A financial instrument’s categorization within the valuation hierarchy is based upon the lowest level of input that is significant to the fair value measurement. Our financial instruments include cash and cash equivalents, restricted cash and cash equivalents, short-term financial instruments, short-term loans, accounts receivable and accounts payable. The carrying values of receivables, payables, and other amounts arising out of the normal course of business approximate their fair value due to their short maturities or economic substance. The carrying amount of the Company’s short-term and long-term borrowings, which are considered level 2 liabilities, approximates fair value based on current rates and terms available to the Company for similar debt. The Company’s promissory note has a fixed rate until June 2026, then a floating rate that approximates the Wall Street Journal Prime Rate plus 0.50%. The Company considers the carrying amount of the loan to approximate fair value as the discounted cost in comparison to market rates would not be materially different than the cost to acquire a loan with similar terms. See Note 17 – </w:t>
      </w:r>
      <w:r>
        <w:rPr>
          <w:rFonts w:ascii="Times New Roman" w:cs="Times New Roman" w:eastAsia="Times New Roman" w:hAnsi="Times New Roman"/>
          <w:sz w:val="15"/>
          <w:szCs w:val="15"/>
          <w:i w:val="1"/>
          <w:iCs w:val="1"/>
          <w:color w:val="auto"/>
        </w:rPr>
        <w:t>Equity</w:t>
      </w:r>
      <w:r>
        <w:rPr>
          <w:rFonts w:ascii="Times New Roman" w:cs="Times New Roman" w:eastAsia="Times New Roman" w:hAnsi="Times New Roman"/>
          <w:sz w:val="15"/>
          <w:szCs w:val="15"/>
          <w:color w:val="auto"/>
        </w:rPr>
        <w:t xml:space="preserve"> for the fair value disclosures related to the Company’s convertible notes, and the Company’s warrant liability and derivative instruments. The Company does not have any other assets or liabilities measured at fair value on a recurring or non-recurring basis as of December 31, 2024 and 2023.</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Amortizable Intangibles and Other Long-lived Assets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Company’s long-lived assets and other assets consisting of property and equipment and purchased intangible assets, are reviewed for impairment in accordance with the guidance of FASB Topic ASC 360, Property and Equipment. Intangible assets subject to amortization are carried at cost less accumulated amortization and amortized over the estimated useful life in proportion to the economic benefits received. The Company evaluates the recoverability of definite-lived intangible assets and other long-lived assets in accordance with ASC Subtopic 360-10, which generally requires the assessment of these assets for recoverability when events or circumstances indicate a potential impairment exists. The Company considers certain events and circumstances in determining whether the carrying value of identifiable intangible assets and other long-lived assets, other than indefinite lived intangible assets, may not be recoverable including, but not limited to: significant changes in performance relative to expected operating results; significant changes in the use of the assets; significant negative industry or economic trends; and changes in the Company’s business strategy. If the Company determines that the carrying value may not be recoverable, the Company estimates the undiscounted cash flows to be generated from the use and ultimate disposition of the asset group to determine whether an impairment exists. If an impairment is indicated based on a comparison of the asset groups’ carrying values and the undiscounted cash flows, the impairment loss is measured as the amount by which the carrying amount of the asset group exceeds its fair value. Fair value is determined through various valuation techniques including discounted cash flow models, quoted market values and third-party independent appraisals, as considered necessary. There can be no assurance, however, that market conditions will not change or demand for the Company’s products under development will continue. Either of these could result in future impairment of long-lived assets. Actual useful lives and cash flows could be different from those estimated by management which could have a material effect on our consolidated reporting results and financial positions.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Income Taxes</w:t>
      </w:r>
    </w:p>
    <w:p>
      <w:pPr>
        <w:spacing w:after="0" w:line="20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auto"/>
        </w:rPr>
        <w:t>Income taxes are provided for the tax effects of transactions reported in the Consolidated Financial Statements and consisted of taxes currently due and deferred taxes. Deferred taxes are recognized for the differences between the basis of assets and liabilities for financial statement and income tax purposes.</w:t>
      </w:r>
    </w:p>
    <w:p>
      <w:pPr>
        <w:spacing w:after="0" w:line="133"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auto"/>
        </w:rPr>
        <w:t>The Company follows FASB Topic ASC 740, Income Taxes, which requires the recognition of deferred tax assets and liabilities for the expected future tax consequences of events that have been included in the consolidated financial statements or tax returns.</w:t>
      </w:r>
    </w:p>
    <w:p>
      <w:pPr>
        <w:spacing w:after="0" w:line="1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Under this method, deferred income taxes are recognized for the tax consequences in future years of differences between the tax bases of assets and liabilities and their financial reporting amounts at each period end based on enacted tax laws and statutory tax rates, applicable to the periods in which the differences are expected to affect taxable income. Valuation allowances are established, when necessary, to reduce deferred tax assets to the amount expected to be realized.</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FASB ASC 740-10-25 provides criteria for the recognition, measurement, presentation, and disclosure of uncertain tax positions. The Company must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a position are measured based on the largest benefit that has a greater than 50% likelihood of being realized upon ultimate resolution. The Company recognizes liabilities for uncertain tax positions pursuant to FASB ASC 740-10-25. Such amounts are included in the long-term accrued expenses on the accompanying consolidated balance sheets in the amount of $265,251 and $254,731, as of December 31, 2024 and 2023, respectively. The Company accrues and recognizes interest and penalties related to unrecognized tax benefits in operating expenses.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Concentration of Credit Risk and Significant Customers</w:t>
      </w:r>
    </w:p>
    <w:p>
      <w:pPr>
        <w:spacing w:after="0" w:line="2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The Company maintains cash balances at several major financial institutions. While the Company attempts to limit credit exposure with any single institution, balances often exceed insurable amounts. As of December 31, 2024 and 2023, the Company had deposits of $6,610,066 and $14,716,652, respectively, that were not insured by the Federal Deposit Insurance Corporation and are included in the cash and cash equivalents, and restricted cash and cash equivalents, in the accompanying consolidated balance sheets.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5"/>
          <w:szCs w:val="15"/>
          <w:color w:val="auto"/>
        </w:rPr>
        <w:t>The Company extends credit to various digital resellers and partners. Collection of trade receivables may be affected by changes in economic or other industry conditions and may, accordingly, impact our overall credit risk. The Company does not require collateral or other security to support financial instruments subject to credit risk. The Company performs ongoing credit evaluations of customers and maintains reserves for potentially uncollectible accounts. The Company has four customers as of December 31, 2024 and 2023, who accounted for approximately 85% and 95% of consolidated gross receivables, respectively. Among four customers as of December 31, 2024 and 2023, each customer accounted for 42%, 19%, 14% and 10% as of December 31, 2024, and 43%, 20%, 16% and 16% as of December 31, 2023 of the consolidated gross receivables outstanding. The Company had four customers in the year ended December 31, 2024, and three customers in the year ended December 31, 2023, that accounted for 46%, 15%, 14%, 11%, and 42%, 18%, and 11% of the Company’s net revenue, respectively. The loss of these customers or declines in the forecasts of their accounts receivable collectability would have a significant impact on the Company’s financial performance.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As of December 31, 2024, the Company had one vendor who accounted for approximately 36% of consolidated gross payables, respectively, and as of December 31, 2023 the Company had one vendor who accounted for approximately 69% of consolidated gross payables. The loss of these vendors could have a significant impact on the Company’s financial performance.</w:t>
      </w:r>
    </w:p>
    <w:p>
      <w:pPr>
        <w:spacing w:after="0" w:line="32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The Company had one vendor, SDE, Inc., a related party, that accounted for 55% and 51% of the Company’s combined cost of revenues and operating expenses during the years ended December 31, 2024 and 2023, respectively. Amounts payable to SDE are included in accounts receivable – related party and accounts payable - related parties in the consolidated balance sheets as of December 31, 2024 and 2023, respectively. The loss of SDE as a vendor would significantly and adversely affect the Company’s core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Leases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The Company has a lease relating primarily to office facilities. The Company determines if an arrangement is or contains a lease at contract inception. Right-of-use assets represent the Company’s right to use an underlying asset for the lease term, and lease liabilities represent the Company’s obligation to make lease payments arising from the lease. The lease liability is measured as the present value of the unpaid lease payments, and the right-of-use asset value is derived from the calculation of the lease liability. Lease payments include fixed and in-substance fixed payments, variable payments based on an index or rate, variable payments based on the level of services provided by the landlords of our leases, reasonably certain purchase options, and termination penalties. Variable lease payments related to the services provided by the landlords are non-lease components that are recognized as rent expenses as incurred. For leased assets with similar lease terms and asset types, the Company applied a portfolio approach in determining a single incremental borrowing rate for the leased assets. The Company uses its estimated incremental borrowing rate, which is derived from information available at the lease commencement date, in determining the present value of lease payments because the Company does not have the information necessary to determine the rate implicit in the lease. Lease expense for operating lease payments is recognized on a straight-line basis over the lease term. The Company’s lease term includes any option to extend the lease when it is reasonably certain to be exercised based on considering all relevant factors. Leases with an initial term of 12 months or less are not recorded on the consolidated balance sheets and the Company recognizes lease expense for these leases on a straight-line basis over the lease term. Operating leases are included in operating lease right-of-use assets, net, current portion of operating lease liabilities, and operating lease liabilities, net of current portion on the consolidated balance sheets.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Recently Adopted Accounting Pronouncements</w:t>
      </w:r>
    </w:p>
    <w:p>
      <w:pPr>
        <w:spacing w:after="0" w:line="1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 xml:space="preserve">In August 2020, the FASB issued ASU 2020-06, </w:t>
      </w:r>
      <w:r>
        <w:rPr>
          <w:rFonts w:ascii="Times New Roman" w:cs="Times New Roman" w:eastAsia="Times New Roman" w:hAnsi="Times New Roman"/>
          <w:sz w:val="15"/>
          <w:szCs w:val="15"/>
          <w:i w:val="1"/>
          <w:iCs w:val="1"/>
          <w:color w:val="auto"/>
        </w:rPr>
        <w:t>Contracts in Entity’s Own Equity (Subtopic 815-40) – Accounting for Convertible Instruments and Contracts in an Entity’s Own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Equity</w:t>
      </w:r>
      <w:r>
        <w:rPr>
          <w:rFonts w:ascii="Times New Roman" w:cs="Times New Roman" w:eastAsia="Times New Roman" w:hAnsi="Times New Roman"/>
          <w:sz w:val="15"/>
          <w:szCs w:val="15"/>
          <w:color w:val="auto"/>
        </w:rPr>
        <w:t>, to simplify the application of GAAP for certain financial instruments with characteristics of liabilities and equity. The FASB decided to eliminate certain accounting models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simplify the accounting for convertible instruments, reduce complexity for preparers and practitioners, and improve the decision usefulness and relevance of the information provided to financial statement users. The FASB also amended the guidance for derivatives scope exception for contracts in an entity’s own equity to reduce form-over-substance-based accounting conclusion and amended the related earnings per share guidance. The Company has adopted this standard on January 1, 2024 and it did not have a material impact on the Company’s financial statements.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In November 2023, the FASB issued ASU 2023-07, Improvements to Reportable Segment Disclosure (Topic 280), to improve financial reporting by requiring disclosure of incremental segment information on an annual and interim basis for all public entities. The update does not change how a public entity identifies its operating segments, aggregates those operating segments, or applied the quantitative thresholds to determine its reportable segments. The amendments in this update are effective for fiscal years beginning after December 15, 2023, and the Company has adopted this standard as of the effective date. See Note 18 – Operating Segments for required disclosures.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Recently Issued Accounting Pronouncements</w:t>
      </w:r>
    </w:p>
    <w:p>
      <w:pPr>
        <w:spacing w:after="0" w:line="1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 xml:space="preserve">In December 2023, the FASB issued ASU 2023-09, </w:t>
      </w:r>
      <w:r>
        <w:rPr>
          <w:rFonts w:ascii="Times New Roman" w:cs="Times New Roman" w:eastAsia="Times New Roman" w:hAnsi="Times New Roman"/>
          <w:sz w:val="15"/>
          <w:szCs w:val="15"/>
          <w:i w:val="1"/>
          <w:iCs w:val="1"/>
          <w:color w:val="auto"/>
        </w:rPr>
        <w:t>Income Taxes (Topic 740): Improvements to Income Tax Disclosures,</w:t>
      </w:r>
      <w:r>
        <w:rPr>
          <w:rFonts w:ascii="Times New Roman" w:cs="Times New Roman" w:eastAsia="Times New Roman" w:hAnsi="Times New Roman"/>
          <w:sz w:val="15"/>
          <w:szCs w:val="15"/>
          <w:color w:val="auto"/>
        </w:rPr>
        <w:t xml:space="preserve"> to improve the transparency of income tax disclosures requiring consistent categories and greater disaggregation of information in the rate reconciliation and income taxes paid disaggregated by jurisdiction. The amendments in the update requires that public business entities, on an annual basis, disclose specific categories in the rate reconciliation and provide additional information for reconciling items that meet a quantitative threshold. The amendments in this update are effective for annual periods beginning after December 15, 2024. The Company is evaluating the impact of adopting the new standard.</w:t>
      </w:r>
    </w:p>
    <w:p>
      <w:pPr>
        <w:spacing w:after="0" w:line="33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5"/>
          <w:szCs w:val="15"/>
          <w:color w:val="auto"/>
        </w:rPr>
        <w:t xml:space="preserve">In November 2024, the FASB issued ASU 2024-03, </w:t>
      </w:r>
      <w:r>
        <w:rPr>
          <w:rFonts w:ascii="Times New Roman" w:cs="Times New Roman" w:eastAsia="Times New Roman" w:hAnsi="Times New Roman"/>
          <w:sz w:val="15"/>
          <w:szCs w:val="15"/>
          <w:i w:val="1"/>
          <w:iCs w:val="1"/>
          <w:color w:val="auto"/>
        </w:rPr>
        <w:t>Income Statement – Reporting Comprehensive Income – Expense Disaggregation Disclosures (Subtopic 220-40): Disaggregation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of Income Statement Expenses, </w:t>
      </w:r>
      <w:r>
        <w:rPr>
          <w:rFonts w:ascii="Times New Roman" w:cs="Times New Roman" w:eastAsia="Times New Roman" w:hAnsi="Times New Roman"/>
          <w:sz w:val="15"/>
          <w:szCs w:val="15"/>
          <w:color w:val="auto"/>
        </w:rPr>
        <w:t>to improve the disclosures about a public business entity’s expenses and address requests from investors for more detailed information about the types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expenses in commonly presented expense captions. The amendments in this update are effective for annual periods beginning after December 15, 2026, and interim reporting periods beginning after December 15, 2027, though early adoption is permitted. The Company is evaluating the impact of adopting the new standard.</w:t>
      </w:r>
    </w:p>
    <w:p>
      <w:pPr>
        <w:spacing w:after="0" w:line="145" w:lineRule="exact"/>
        <w:rPr>
          <w:sz w:val="20"/>
          <w:szCs w:val="20"/>
          <w:color w:val="auto"/>
        </w:rPr>
      </w:pPr>
    </w:p>
    <w:p>
      <w:pPr>
        <w:jc w:val="both"/>
        <w:ind w:firstLine="47"/>
        <w:spacing w:after="0" w:line="270" w:lineRule="auto"/>
        <w:rPr>
          <w:sz w:val="20"/>
          <w:szCs w:val="20"/>
          <w:color w:val="auto"/>
        </w:rPr>
      </w:pPr>
      <w:r>
        <w:rPr>
          <w:rFonts w:ascii="Times New Roman" w:cs="Times New Roman" w:eastAsia="Times New Roman" w:hAnsi="Times New Roman"/>
          <w:sz w:val="15"/>
          <w:szCs w:val="15"/>
          <w:color w:val="auto"/>
        </w:rPr>
        <w:t xml:space="preserve">In November 2024, the FASB issued ASU 2024-04, </w:t>
      </w:r>
      <w:r>
        <w:rPr>
          <w:rFonts w:ascii="Times New Roman" w:cs="Times New Roman" w:eastAsia="Times New Roman" w:hAnsi="Times New Roman"/>
          <w:sz w:val="15"/>
          <w:szCs w:val="15"/>
          <w:i w:val="1"/>
          <w:iCs w:val="1"/>
          <w:color w:val="auto"/>
        </w:rPr>
        <w:t>Debt – Debt with Conversion and Other Options (Subtopic 470-20): Induced Conversions of Convertible Debt Instruments,</w:t>
      </w:r>
      <w:r>
        <w:rPr>
          <w:rFonts w:ascii="Times New Roman" w:cs="Times New Roman" w:eastAsia="Times New Roman" w:hAnsi="Times New Roman"/>
          <w:sz w:val="15"/>
          <w:szCs w:val="15"/>
          <w:color w:val="auto"/>
        </w:rPr>
        <w:t xml:space="preserve"> to clarify the requirements for determining whether certain settlements of convertible debt instruments should be accounted for as an induced conversion. The amendments in this update are effective for annual periods beginning after December 15, 2025, and interim reporting periods within show annual periods. Early adoption is permitted for all entities that have adopted the amendments in update 2020-06. The Company is evaluating the impact of adopting the new standard.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78" w:name="page79"/>
    <w:bookmarkEnd w:id="78"/>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Employee Savings Plans</w:t>
      </w:r>
    </w:p>
    <w:p>
      <w:pPr>
        <w:spacing w:after="0" w:line="200" w:lineRule="exact"/>
        <w:rPr>
          <w:sz w:val="20"/>
          <w:szCs w:val="20"/>
          <w:color w:val="auto"/>
        </w:rPr>
      </w:pPr>
    </w:p>
    <w:p>
      <w:pPr>
        <w:jc w:val="both"/>
        <w:ind w:left="8" w:right="20"/>
        <w:spacing w:after="0" w:line="292" w:lineRule="auto"/>
        <w:rPr>
          <w:sz w:val="20"/>
          <w:szCs w:val="20"/>
          <w:color w:val="auto"/>
        </w:rPr>
      </w:pPr>
      <w:r>
        <w:rPr>
          <w:rFonts w:ascii="Times New Roman" w:cs="Times New Roman" w:eastAsia="Times New Roman" w:hAnsi="Times New Roman"/>
          <w:sz w:val="15"/>
          <w:szCs w:val="15"/>
          <w:color w:val="auto"/>
        </w:rPr>
        <w:t>The Company maintains a 401(k) for its United States based employees. The plan is offered to all eligible employees to make voluntary contributions. Employer contributions to the plan are reported under general and administrative costs in the amounts of $102,406 and $88,756 for the years ended December 31, 2024 and 2023, respectively.</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w:t>
      </w:r>
    </w:p>
    <w:p>
      <w:pPr>
        <w:spacing w:after="0" w:line="200"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5"/>
          <w:szCs w:val="15"/>
          <w:color w:val="auto"/>
        </w:rPr>
        <w:t>The Company recognizes compensation cost for stock-based awards to employees based on the awards’ estimated grant-date fair value using a straight-line approach over the service period for which such awards are expected to vest. The Company accounts for forfeitures as they occur. The Company did not issue any restricted stock units (“Restricted Stock Units” or “restricted stock units”) during the years ended December 31, 2024, and 2023. The fair value of Restricted Stock Units is determined based on the quoted market price of our common stock on the date of grant.</w:t>
      </w:r>
    </w:p>
    <w:p>
      <w:pPr>
        <w:spacing w:after="0" w:line="151" w:lineRule="exact"/>
        <w:rPr>
          <w:sz w:val="20"/>
          <w:szCs w:val="20"/>
          <w:color w:val="auto"/>
        </w:rPr>
      </w:pPr>
    </w:p>
    <w:p>
      <w:pPr>
        <w:ind w:left="8"/>
        <w:spacing w:after="0" w:line="259" w:lineRule="auto"/>
        <w:rPr>
          <w:sz w:val="20"/>
          <w:szCs w:val="20"/>
          <w:color w:val="auto"/>
        </w:rPr>
      </w:pPr>
      <w:r>
        <w:rPr>
          <w:rFonts w:ascii="Times New Roman" w:cs="Times New Roman" w:eastAsia="Times New Roman" w:hAnsi="Times New Roman"/>
          <w:sz w:val="15"/>
          <w:szCs w:val="15"/>
          <w:color w:val="auto"/>
        </w:rPr>
        <w:t>The Company’s 2022 Omnibus Incentive Plan (the “2022 Plan”) became effective upon the consummation of the IPO. The 2022 Omnibus Incentive allows us to grant options to purchase our common stock and to grant stock options, stock appreciation rights, restricted stock, restricted stock units and performance awards and other cash-based awards and other stock-based awards to our employees, officers, and directors, up to a maximum of 5,718,000 shares. Stock options may be granted to employees and officers and non-qualified options may be granted to employees, officers, and directors, at not less than the fair market value on the date of grant. The number of shares of common stock available for issuance under the 2022 Plan will be increased annually on the first day of each fiscal year during the term of the 2022 Plan, beginning with the 2023 fiscal year, by an amount equal to the lesser of (a) 5,718,000 shares, (b) 1% of the shares of the Company’s Class B common stock outstanding (on a fully diluted basis) on the final day of the immediately preceding calendar year or</w:t>
      </w:r>
    </w:p>
    <w:p>
      <w:pPr>
        <w:spacing w:after="0" w:line="3" w:lineRule="exact"/>
        <w:rPr>
          <w:sz w:val="20"/>
          <w:szCs w:val="20"/>
          <w:color w:val="auto"/>
        </w:rPr>
      </w:pPr>
    </w:p>
    <w:p>
      <w:pPr>
        <w:ind w:left="8" w:hanging="8"/>
        <w:spacing w:after="0" w:line="256" w:lineRule="auto"/>
        <w:tabs>
          <w:tab w:leader="none" w:pos="227"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smaller number of shares as determined by the Company’s board of directors. As of December 31, 2024 there were 4,508,239 shares reserved for issuance under the 2022 Plan.</w:t>
      </w:r>
    </w:p>
    <w:p>
      <w:pPr>
        <w:spacing w:after="0" w:line="3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 Units</w:t>
      </w:r>
    </w:p>
    <w:p>
      <w:pPr>
        <w:spacing w:after="0" w:line="200" w:lineRule="exact"/>
        <w:rPr>
          <w:sz w:val="20"/>
          <w:szCs w:val="20"/>
          <w:color w:val="auto"/>
        </w:rPr>
      </w:pPr>
    </w:p>
    <w:p>
      <w:pPr>
        <w:jc w:val="both"/>
        <w:ind w:left="8"/>
        <w:spacing w:after="0" w:line="274" w:lineRule="auto"/>
        <w:rPr>
          <w:sz w:val="20"/>
          <w:szCs w:val="20"/>
          <w:color w:val="auto"/>
        </w:rPr>
      </w:pPr>
      <w:r>
        <w:rPr>
          <w:rFonts w:ascii="Times New Roman" w:cs="Times New Roman" w:eastAsia="Times New Roman" w:hAnsi="Times New Roman"/>
          <w:sz w:val="15"/>
          <w:szCs w:val="15"/>
          <w:color w:val="auto"/>
        </w:rPr>
        <w:t>The Company granted restricted stock units under our 2022 Omnibus Incentive Plan to employees and directors. Restricted stock units are unfunded, unsecured rights to receive common stock upon the satisfaction of certain vesting criteria. Upon vesting, a number of shares of common stock equivalent to the number of restricted stock units is typically issued net of required tax withholding requirements, if any. Restricted stock units are subject to forfeiture and transfer restrictions.</w:t>
      </w:r>
    </w:p>
    <w:p>
      <w:pPr>
        <w:spacing w:after="0" w:line="1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Warrants</w:t>
      </w:r>
    </w:p>
    <w:p>
      <w:pPr>
        <w:spacing w:after="0" w:line="200"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5"/>
          <w:szCs w:val="15"/>
          <w:color w:val="auto"/>
        </w:rPr>
        <w:t>The Company accounts for Warrants as either equity-classified or liability-classified instruments based on an assessment of the warrant’s specific terms and applicable authoritative guidance in FASB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shares of Class A common stock and whether the warrant holders could potentially require “net cash settlement” in a circumstance outside of the Company’s control,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56"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5"/>
          <w:szCs w:val="15"/>
          <w:color w:val="auto"/>
        </w:rPr>
        <w:t>For issued or modified Warrants that meet all of the criteria for equity classification, the Warrants are required to be recorded as a component of equity at the time of issuance. For issued or modified Warrants that do not meet all the criteria for equity classification, the Warrants are required to be recorded as liabilities at their initial fair value on the date of issuance, and each balance sheet date thereafter. Changes in the estimated fair value of the Warrants are recognized as a non-cash gain or loss on the statements of operations. Each of the outstanding warrants is convertible on a one-for-one basis into the Company’s common stock and are fully exercisable as of December 31, 2024. A summary of our outstanding warrants as of December 31, 2024 is included below:</w:t>
      </w:r>
    </w:p>
    <w:p>
      <w:pPr>
        <w:sectPr>
          <w:pgSz w:w="11900" w:h="16838" w:orient="portrait"/>
          <w:cols w:equalWidth="0" w:num="1">
            <w:col w:w="11268"/>
          </w:cols>
          <w:pgMar w:left="312" w:top="605" w:right="319" w:bottom="1440" w:gutter="0" w:footer="0" w:header="0"/>
        </w:sectPr>
      </w:pPr>
    </w:p>
    <w:p>
      <w:pPr>
        <w:spacing w:after="0" w:line="3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Equity line of credit warrants</w:t>
      </w:r>
    </w:p>
    <w:p>
      <w:pPr>
        <w:spacing w:after="0" w:line="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Convertible notes warrants</w:t>
      </w:r>
    </w:p>
    <w:p>
      <w:pPr>
        <w:spacing w:after="0" w:line="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Underwriters warrants</w:t>
      </w:r>
    </w:p>
    <w:p>
      <w:pPr>
        <w:spacing w:after="0" w:line="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Total warrants:</w:t>
      </w:r>
    </w:p>
    <w:p>
      <w:pPr>
        <w:spacing w:after="0" w:line="2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Share Repurchase Program</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5"/>
                <w:szCs w:val="15"/>
                <w:b w:val="1"/>
                <w:bCs w:val="1"/>
                <w:color w:val="auto"/>
              </w:rPr>
              <w:t>Number Outstanding</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right"/>
              <w:ind w:right="720"/>
              <w:spacing w:after="0"/>
              <w:rPr>
                <w:sz w:val="20"/>
                <w:szCs w:val="20"/>
                <w:color w:val="auto"/>
              </w:rPr>
            </w:pPr>
            <w:r>
              <w:rPr>
                <w:rFonts w:ascii="Times New Roman" w:cs="Times New Roman" w:eastAsia="Times New Roman" w:hAnsi="Times New Roman"/>
                <w:sz w:val="15"/>
                <w:szCs w:val="15"/>
                <w:b w:val="1"/>
                <w:bCs w:val="1"/>
                <w:color w:val="auto"/>
              </w:rPr>
              <w:t>Exercise Price</w:t>
            </w:r>
          </w:p>
        </w:tc>
        <w:tc>
          <w:tcPr>
            <w:tcW w:w="2020" w:type="dxa"/>
            <w:vAlign w:val="bottom"/>
            <w:gridSpan w:val="2"/>
          </w:tcPr>
          <w:p>
            <w:pPr>
              <w:jc w:val="right"/>
              <w:ind w:right="940"/>
              <w:spacing w:after="0"/>
              <w:rPr>
                <w:sz w:val="20"/>
                <w:szCs w:val="20"/>
                <w:color w:val="auto"/>
              </w:rPr>
            </w:pPr>
            <w:r>
              <w:rPr>
                <w:rFonts w:ascii="Times New Roman" w:cs="Times New Roman" w:eastAsia="Times New Roman" w:hAnsi="Times New Roman"/>
                <w:sz w:val="15"/>
                <w:szCs w:val="15"/>
                <w:b w:val="1"/>
                <w:bCs w:val="1"/>
                <w:color w:val="auto"/>
              </w:rPr>
              <w:t>Class</w:t>
            </w:r>
          </w:p>
        </w:tc>
        <w:tc>
          <w:tcPr>
            <w:tcW w:w="1820" w:type="dxa"/>
            <w:vAlign w:val="bottom"/>
            <w:gridSpan w:val="2"/>
          </w:tcPr>
          <w:p>
            <w:pPr>
              <w:ind w:left="380"/>
              <w:spacing w:after="0"/>
              <w:rPr>
                <w:sz w:val="20"/>
                <w:szCs w:val="20"/>
                <w:color w:val="auto"/>
              </w:rPr>
            </w:pPr>
            <w:r>
              <w:rPr>
                <w:rFonts w:ascii="Times New Roman" w:cs="Times New Roman" w:eastAsia="Times New Roman" w:hAnsi="Times New Roman"/>
                <w:sz w:val="15"/>
                <w:szCs w:val="15"/>
                <w:b w:val="1"/>
                <w:bCs w:val="1"/>
                <w:color w:val="auto"/>
              </w:rPr>
              <w:t>Expiration Date</w:t>
            </w:r>
          </w:p>
        </w:tc>
      </w:tr>
      <w:tr>
        <w:trPr>
          <w:trHeight w:val="161"/>
        </w:trPr>
        <w:tc>
          <w:tcPr>
            <w:tcW w:w="170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334,314</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Borders>
              <w:top w:val="single" w:sz="8" w:color="auto"/>
            </w:tcBorders>
          </w:tcPr>
          <w:p>
            <w:pPr>
              <w:jc w:val="right"/>
              <w:ind w:right="63"/>
              <w:spacing w:after="0" w:line="161" w:lineRule="exact"/>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1.50</w:t>
            </w:r>
          </w:p>
        </w:tc>
        <w:tc>
          <w:tcPr>
            <w:tcW w:w="340" w:type="dxa"/>
            <w:vAlign w:val="bottom"/>
          </w:tcPr>
          <w:p>
            <w:pPr>
              <w:spacing w:after="0"/>
              <w:rPr>
                <w:sz w:val="14"/>
                <w:szCs w:val="14"/>
                <w:color w:val="auto"/>
              </w:rPr>
            </w:pPr>
          </w:p>
        </w:tc>
        <w:tc>
          <w:tcPr>
            <w:tcW w:w="180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Liability</w:t>
            </w:r>
          </w:p>
        </w:tc>
        <w:tc>
          <w:tcPr>
            <w:tcW w:w="220" w:type="dxa"/>
            <w:vAlign w:val="bottom"/>
          </w:tcPr>
          <w:p>
            <w:pPr>
              <w:spacing w:after="0"/>
              <w:rPr>
                <w:sz w:val="14"/>
                <w:szCs w:val="14"/>
                <w:color w:val="auto"/>
              </w:rPr>
            </w:pPr>
          </w:p>
        </w:tc>
        <w:tc>
          <w:tcPr>
            <w:tcW w:w="1800" w:type="dxa"/>
            <w:vAlign w:val="bottom"/>
            <w:tcBorders>
              <w:top w:val="single" w:sz="8" w:color="auto"/>
            </w:tcBorders>
          </w:tcPr>
          <w:p>
            <w:pPr>
              <w:jc w:val="right"/>
              <w:spacing w:after="0" w:line="161" w:lineRule="exact"/>
              <w:rPr>
                <w:sz w:val="20"/>
                <w:szCs w:val="20"/>
                <w:color w:val="auto"/>
              </w:rPr>
            </w:pPr>
            <w:r>
              <w:rPr>
                <w:rFonts w:ascii="Times New Roman" w:cs="Times New Roman" w:eastAsia="Times New Roman" w:hAnsi="Times New Roman"/>
                <w:sz w:val="15"/>
                <w:szCs w:val="15"/>
                <w:color w:val="auto"/>
              </w:rPr>
              <w:t>August 24, 2028</w:t>
            </w:r>
          </w:p>
        </w:tc>
        <w:tc>
          <w:tcPr>
            <w:tcW w:w="20" w:type="dxa"/>
            <w:vAlign w:val="bottom"/>
          </w:tcPr>
          <w:p>
            <w:pPr>
              <w:spacing w:after="0"/>
              <w:rPr>
                <w:sz w:val="14"/>
                <w:szCs w:val="14"/>
                <w:color w:val="auto"/>
              </w:rPr>
            </w:pPr>
          </w:p>
        </w:tc>
      </w:tr>
      <w:tr>
        <w:trPr>
          <w:trHeight w:val="184"/>
        </w:trPr>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1,405,470</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.84</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Liability</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November 24, 2028</w:t>
            </w:r>
          </w:p>
        </w:tc>
      </w:tr>
      <w:tr>
        <w:trPr>
          <w:trHeight w:val="210"/>
        </w:trPr>
        <w:tc>
          <w:tcPr>
            <w:tcW w:w="1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120,000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6.25</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Equity</w:t>
            </w:r>
          </w:p>
        </w:tc>
        <w:tc>
          <w:tcPr>
            <w:tcW w:w="182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November 9, 2025</w:t>
            </w:r>
          </w:p>
        </w:tc>
      </w:tr>
      <w:tr>
        <w:trPr>
          <w:trHeight w:val="210"/>
        </w:trPr>
        <w:tc>
          <w:tcPr>
            <w:tcW w:w="1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1,859,784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-2150745</wp:posOffset>
            </wp:positionH>
            <wp:positionV relativeFrom="paragraph">
              <wp:posOffset>-533400</wp:posOffset>
            </wp:positionV>
            <wp:extent cx="7152640" cy="1244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2640" cy="124460"/>
                    </a:xfrm>
                    <a:prstGeom prst="rect">
                      <a:avLst/>
                    </a:prstGeom>
                    <a:noFill/>
                  </pic:spPr>
                </pic:pic>
              </a:graphicData>
            </a:graphic>
          </wp:anchor>
        </w:drawing>
        <w:drawing>
          <wp:anchor simplePos="0" relativeHeight="251657728" behindDoc="1" locked="0" layoutInCell="0" allowOverlap="1">
            <wp:simplePos x="0" y="0"/>
            <wp:positionH relativeFrom="column">
              <wp:posOffset>-2150745</wp:posOffset>
            </wp:positionH>
            <wp:positionV relativeFrom="paragraph">
              <wp:posOffset>-292100</wp:posOffset>
            </wp:positionV>
            <wp:extent cx="7152640" cy="1244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2640" cy="124460"/>
                    </a:xfrm>
                    <a:prstGeom prst="rect">
                      <a:avLst/>
                    </a:prstGeom>
                    <a:noFill/>
                  </pic:spPr>
                </pic:pic>
              </a:graphicData>
            </a:graphic>
          </wp:anchor>
        </w:drawing>
      </w:r>
    </w:p>
    <w:p>
      <w:pPr>
        <w:spacing w:after="0" w:line="538" w:lineRule="exact"/>
        <w:rPr>
          <w:sz w:val="20"/>
          <w:szCs w:val="20"/>
          <w:color w:val="auto"/>
        </w:rPr>
      </w:pPr>
    </w:p>
    <w:p>
      <w:pPr>
        <w:sectPr>
          <w:pgSz w:w="11900" w:h="16838" w:orient="portrait"/>
          <w:cols w:equalWidth="0" w:num="2">
            <w:col w:w="2668" w:space="720"/>
            <w:col w:w="7880"/>
          </w:cols>
          <w:pgMar w:left="312" w:top="605" w:right="319" w:bottom="1440" w:gutter="0" w:footer="0" w:header="0"/>
          <w:type w:val="continuous"/>
        </w:sectPr>
      </w:pPr>
    </w:p>
    <w:p>
      <w:pPr>
        <w:jc w:val="both"/>
        <w:ind w:left="8" w:right="20"/>
        <w:spacing w:after="0" w:line="263" w:lineRule="auto"/>
        <w:rPr>
          <w:sz w:val="20"/>
          <w:szCs w:val="20"/>
          <w:color w:val="auto"/>
        </w:rPr>
      </w:pPr>
      <w:r>
        <w:rPr>
          <w:rFonts w:ascii="Times New Roman" w:cs="Times New Roman" w:eastAsia="Times New Roman" w:hAnsi="Times New Roman"/>
          <w:sz w:val="15"/>
          <w:szCs w:val="15"/>
          <w:color w:val="auto"/>
        </w:rPr>
        <w:t>On November 10, 2022, the Company’s board of directors authorized a share repurchase program under which the Company may repurchase up to $5 million of outstanding shares of Class A common stock of the Company, subject to ongoing compliance with the Nasdaq listing rules. The program does not have a fixed expiration date. Repurchased shares are accounted for at cost and reported as a reduction of equity in the consolidated balance sheets under treasury stock. No treasury stock was sold during the years ended December 31, 2024 and 2023. As of December 31, 2024 and 2023,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w:t>
      </w:r>
    </w:p>
    <w:p>
      <w:pPr>
        <w:spacing w:after="0" w:line="15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5"/>
          <w:szCs w:val="15"/>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5264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5" w:right="319" w:bottom="1440" w:gutter="0" w:footer="0" w:header="0"/>
          <w:type w:val="continuous"/>
        </w:sectPr>
      </w:pPr>
    </w:p>
    <w:bookmarkStart w:id="79" w:name="page80"/>
    <w:bookmarkEnd w:id="79"/>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Earnings (loss) Per Share</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5"/>
          <w:szCs w:val="15"/>
          <w:color w:val="auto"/>
        </w:rPr>
        <w:t xml:space="preserve">Earnings (loss) per share (“EPS”) is calculated by dividing the net income (loss) that is applicable to the common stockholders for the period by the weighted average number of shares of common stock during that period. The diluted EPS for the period is calculated by dividing the net earnings (loss) applicable to common stockholders for the period by the weighted average number of shares of common stock and common stock equivalents outstanding during the period. The Company’s common stock equivalents are measured using the treasury stock method and represent unvested restricted stock units and warrants. The Company issues two classes of common stock with differing voting rights, and as such, reports EPS using the dual class method. For more information see Note 16 </w:t>
      </w:r>
      <w:r>
        <w:rPr>
          <w:rFonts w:ascii="Times New Roman" w:cs="Times New Roman" w:eastAsia="Times New Roman" w:hAnsi="Times New Roman"/>
          <w:sz w:val="15"/>
          <w:szCs w:val="15"/>
          <w:i w:val="1"/>
          <w:iCs w:val="1"/>
          <w:color w:val="auto"/>
        </w:rPr>
        <w:t>Earnings (Loss) Per Share.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Dividend Restrictions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Our ability to pay cash dividends is currently restricted by the terms of our credit facilities.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3 – REVENUE FROM CONTRACTS WITH CUSTOMERS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Disaggregation of revenue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Timing of recognition</w:t>
      </w:r>
    </w:p>
    <w:p>
      <w:pPr>
        <w:spacing w:after="0" w:line="20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5"/>
          <w:szCs w:val="15"/>
          <w:color w:val="auto"/>
        </w:rPr>
        <w:t>The Company recognizes revenue at a point in time for performance obligations that are met at the time of sale or at the time of a release. The Company recognizes revenue over a period based on the estimated service period of the product and additional performance obligations met over time for technical support. Net revenue by timing of recognition during the years ended December 31, 2024 and 2023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r>
      <w:tr>
        <w:trPr>
          <w:trHeight w:val="176"/>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Over time</w:t>
            </w:r>
          </w:p>
        </w:tc>
        <w:tc>
          <w:tcPr>
            <w:tcW w:w="20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4,520,499</w:t>
            </w:r>
          </w:p>
        </w:tc>
        <w:tc>
          <w:tcPr>
            <w:tcW w:w="3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6,437,618</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Point in time</w:t>
            </w:r>
          </w:p>
        </w:tc>
        <w:tc>
          <w:tcPr>
            <w:tcW w:w="20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79,946,548</w:t>
            </w:r>
          </w:p>
        </w:tc>
        <w:tc>
          <w:tcPr>
            <w:tcW w:w="42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54,464,480</w:t>
            </w:r>
          </w:p>
        </w:tc>
      </w:tr>
      <w:tr>
        <w:trPr>
          <w:trHeight w:val="187"/>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200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84,467,047</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60,902,098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Geography</w:t>
      </w:r>
    </w:p>
    <w:p>
      <w:pPr>
        <w:spacing w:after="0" w:line="20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The Company attributes net revenue to geographic regions based on platform location. Net revenue by geographic region for the years ended December 31, 2024 and 2023 were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00" w:type="dxa"/>
            <w:vAlign w:val="bottom"/>
          </w:tcPr>
          <w:p>
            <w:pPr>
              <w:spacing w:after="0"/>
              <w:rPr>
                <w:sz w:val="17"/>
                <w:szCs w:val="17"/>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6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73,117,378</w:t>
            </w:r>
          </w:p>
        </w:tc>
        <w:tc>
          <w:tcPr>
            <w:tcW w:w="3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53,577,666</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Europe</w:t>
            </w: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9,207,537</w:t>
            </w: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5,470,504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international</w:t>
            </w:r>
          </w:p>
        </w:tc>
        <w:tc>
          <w:tcPr>
            <w:tcW w:w="6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2,142,132</w:t>
            </w:r>
          </w:p>
        </w:tc>
        <w:tc>
          <w:tcPr>
            <w:tcW w:w="42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1,853,928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68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84,467,047</w:t>
            </w:r>
          </w:p>
        </w:tc>
        <w:tc>
          <w:tcPr>
            <w:tcW w:w="360" w:type="dxa"/>
            <w:vAlign w:val="bottom"/>
          </w:tcPr>
          <w:p>
            <w:pPr>
              <w:spacing w:after="0"/>
              <w:rPr>
                <w:sz w:val="16"/>
                <w:szCs w:val="16"/>
                <w:color w:val="auto"/>
              </w:rPr>
            </w:pPr>
          </w:p>
        </w:tc>
        <w:tc>
          <w:tcPr>
            <w:tcW w:w="420" w:type="dxa"/>
            <w:vAlign w:val="bottom"/>
            <w:tcBorders>
              <w:top w:val="single" w:sz="8" w:color="auto"/>
              <w:bottom w:val="single" w:sz="8" w:color="auto"/>
            </w:tcBorders>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60,902,098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spacing w:after="0"/>
              <w:rPr>
                <w:sz w:val="20"/>
                <w:szCs w:val="20"/>
                <w:color w:val="auto"/>
              </w:rPr>
            </w:pPr>
            <w:r>
              <w:rPr>
                <w:rFonts w:ascii="Times New Roman" w:cs="Times New Roman" w:eastAsia="Times New Roman" w:hAnsi="Times New Roman"/>
                <w:sz w:val="15"/>
                <w:szCs w:val="15"/>
                <w:i w:val="1"/>
                <w:iCs w:val="1"/>
                <w:color w:val="auto"/>
              </w:rPr>
              <w:t>Platform</w:t>
            </w:r>
          </w:p>
        </w:tc>
        <w:tc>
          <w:tcPr>
            <w:tcW w:w="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3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Net revenue by platform for the years ended December 31, 2024 and 2023 were as follows:</w:t>
            </w: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30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Console</w:t>
            </w:r>
          </w:p>
        </w:tc>
        <w:tc>
          <w:tcPr>
            <w:tcW w:w="6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35,791,684</w:t>
            </w:r>
          </w:p>
        </w:tc>
        <w:tc>
          <w:tcPr>
            <w:tcW w:w="3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26,628,037</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PC</w:t>
            </w: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40,659,044</w:t>
            </w:r>
          </w:p>
        </w:tc>
        <w:tc>
          <w:tcPr>
            <w:tcW w:w="42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26,402,330</w:t>
            </w:r>
          </w:p>
        </w:tc>
        <w:tc>
          <w:tcPr>
            <w:tcW w:w="0" w:type="dxa"/>
            <w:vAlign w:val="bottom"/>
          </w:tcPr>
          <w:p>
            <w:pPr>
              <w:spacing w:after="0"/>
              <w:rPr>
                <w:sz w:val="1"/>
                <w:szCs w:val="1"/>
                <w:color w:val="auto"/>
              </w:rPr>
            </w:pPr>
          </w:p>
        </w:tc>
      </w:tr>
      <w:tr>
        <w:trPr>
          <w:trHeight w:val="184"/>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Mobile</w:t>
            </w:r>
          </w:p>
        </w:tc>
        <w:tc>
          <w:tcPr>
            <w:tcW w:w="6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4,632,413</w:t>
            </w: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5,830,671</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300" w:type="dxa"/>
            <w:vAlign w:val="bottom"/>
          </w:tcPr>
          <w:p>
            <w:pPr>
              <w:spacing w:after="0"/>
              <w:rPr>
                <w:sz w:val="20"/>
                <w:szCs w:val="20"/>
                <w:color w:val="auto"/>
              </w:rPr>
            </w:pPr>
            <w:r>
              <w:rPr>
                <w:rFonts w:ascii="Times New Roman" w:cs="Times New Roman" w:eastAsia="Times New Roman" w:hAnsi="Times New Roman"/>
                <w:sz w:val="15"/>
                <w:szCs w:val="15"/>
                <w:color w:val="auto"/>
              </w:rPr>
              <w:t>Physical retail and other</w:t>
            </w:r>
          </w:p>
        </w:tc>
        <w:tc>
          <w:tcPr>
            <w:tcW w:w="6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3,383,906</w:t>
            </w: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2,041,060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68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84,467,047</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60,902,098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Our net revenues through our top four platform providers, as a proportion of our total net revenue, for the years ended December 31, 2024 and 2023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Pr>
          <w:p>
            <w:pPr>
              <w:spacing w:after="0"/>
              <w:rPr>
                <w:sz w:val="17"/>
                <w:szCs w:val="17"/>
                <w:color w:val="auto"/>
              </w:rPr>
            </w:pPr>
          </w:p>
        </w:tc>
        <w:tc>
          <w:tcPr>
            <w:tcW w:w="41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Platform 1</w:t>
            </w:r>
          </w:p>
        </w:tc>
        <w:tc>
          <w:tcPr>
            <w:tcW w:w="29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39,217,130</w:t>
            </w:r>
          </w:p>
        </w:tc>
        <w:tc>
          <w:tcPr>
            <w:tcW w:w="3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25,647,528</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4"/>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Platform 2</w:t>
            </w:r>
          </w:p>
        </w:tc>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12,434,911</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11,101,190</w:t>
            </w:r>
          </w:p>
        </w:tc>
        <w:tc>
          <w:tcPr>
            <w:tcW w:w="80" w:type="dxa"/>
            <w:vAlign w:val="bottom"/>
          </w:tcPr>
          <w:p>
            <w:pPr>
              <w:spacing w:after="0"/>
              <w:rPr>
                <w:sz w:val="16"/>
                <w:szCs w:val="16"/>
                <w:color w:val="auto"/>
              </w:rPr>
            </w:pPr>
          </w:p>
        </w:tc>
      </w:tr>
      <w:tr>
        <w:trPr>
          <w:trHeight w:val="184"/>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Platform 3</w:t>
            </w:r>
          </w:p>
        </w:tc>
        <w:tc>
          <w:tcPr>
            <w:tcW w:w="29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21,056,125</w:t>
            </w: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12,224,100</w:t>
            </w:r>
          </w:p>
        </w:tc>
        <w:tc>
          <w:tcPr>
            <w:tcW w:w="80" w:type="dxa"/>
            <w:vAlign w:val="bottom"/>
            <w:shd w:val="clear" w:color="auto" w:fill="CCEEFF"/>
          </w:tcPr>
          <w:p>
            <w:pPr>
              <w:spacing w:after="0"/>
              <w:rPr>
                <w:sz w:val="16"/>
                <w:szCs w:val="16"/>
                <w:color w:val="auto"/>
              </w:rPr>
            </w:pPr>
          </w:p>
        </w:tc>
      </w:tr>
      <w:tr>
        <w:trPr>
          <w:trHeight w:val="184"/>
        </w:trPr>
        <w:tc>
          <w:tcPr>
            <w:tcW w:w="4060" w:type="dxa"/>
            <w:vAlign w:val="bottom"/>
          </w:tcPr>
          <w:p>
            <w:pPr>
              <w:spacing w:after="0"/>
              <w:rPr>
                <w:sz w:val="20"/>
                <w:szCs w:val="20"/>
                <w:color w:val="auto"/>
              </w:rPr>
            </w:pPr>
            <w:r>
              <w:rPr>
                <w:rFonts w:ascii="Times New Roman" w:cs="Times New Roman" w:eastAsia="Times New Roman" w:hAnsi="Times New Roman"/>
                <w:sz w:val="15"/>
                <w:szCs w:val="15"/>
                <w:color w:val="auto"/>
              </w:rPr>
              <w:t>Platform 4</w:t>
            </w:r>
          </w:p>
        </w:tc>
        <w:tc>
          <w:tcPr>
            <w:tcW w:w="29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2,298,946</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3,288,488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All Other Revenue</w:t>
            </w:r>
          </w:p>
        </w:tc>
        <w:tc>
          <w:tcPr>
            <w:tcW w:w="29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9,459,935</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8,640,792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7"/>
        </w:trPr>
        <w:tc>
          <w:tcPr>
            <w:tcW w:w="40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w:t>
            </w:r>
          </w:p>
        </w:tc>
        <w:tc>
          <w:tcPr>
            <w:tcW w:w="292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84,467,047</w:t>
            </w:r>
          </w:p>
        </w:tc>
        <w:tc>
          <w:tcPr>
            <w:tcW w:w="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60,902,098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40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Distribution channel</w:t>
      </w:r>
    </w:p>
    <w:p>
      <w:pPr>
        <w:spacing w:after="0" w:line="20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Our products are delivered through digital online services (digital download, online platforms, and cloud streaming), mobile, and retail distribution and other. Net revenue by distribution channel for the years ended December 31, 2024 and 2023 was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Digital</w:t>
            </w:r>
          </w:p>
        </w:tc>
        <w:tc>
          <w:tcPr>
            <w:tcW w:w="20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76,450,728</w:t>
            </w:r>
          </w:p>
        </w:tc>
        <w:tc>
          <w:tcPr>
            <w:tcW w:w="3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53,030,367</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4"/>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Mobile</w:t>
            </w:r>
          </w:p>
        </w:tc>
        <w:tc>
          <w:tcPr>
            <w:tcW w:w="2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4,632,413</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5,830,671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Physical retail and other</w:t>
            </w:r>
          </w:p>
        </w:tc>
        <w:tc>
          <w:tcPr>
            <w:tcW w:w="20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3,383,906</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2,041,060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7"/>
        </w:trPr>
        <w:tc>
          <w:tcPr>
            <w:tcW w:w="49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Total revenue from contracts with customers:</w:t>
            </w:r>
          </w:p>
        </w:tc>
        <w:tc>
          <w:tcPr>
            <w:tcW w:w="200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84,467,047</w:t>
            </w:r>
          </w:p>
        </w:tc>
        <w:tc>
          <w:tcPr>
            <w:tcW w:w="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60,902,098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4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auto"/>
        </w:rPr>
        <w:t>As discussed in Note 15, the Company recognized the $1.2 million payment related to the Angela Games settlement upon satisfaction of performance obligations included in the contract. This amount is included in other revenues for the year ended December 31, 2024.</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4" w:right="319" w:bottom="1015"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Deferred Revenue</w:t>
      </w:r>
    </w:p>
    <w:p>
      <w:pPr>
        <w:spacing w:after="0" w:line="20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5"/>
          <w:szCs w:val="15"/>
          <w:color w:val="auto"/>
        </w:rPr>
        <w:t xml:space="preserve">The Company records deferred revenue when payments are due or received in advance of the fulfillment of our associated performance obligations; reductions to deferred revenue balance were primarily due to the recognition of revenue upon fulfillment of its performance obligations, which were in the ordinary course of business. As of December 31, 2024, the balance of deferred revenue was $25.5 million, of which $24.3 million is due to non-refundable payments. The Company is expecting to recognize $17.8 million of non-refundable payments in the next 12 to 60 months through the release of DLC’s and additional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titles. The remaining $3.9 million of current non-refundable deferred revenues and $2.6 million of long term non-refundable deferred revenue will be recognized as revenue primarily on a straight-line basis over the next 60 months, based on our estimates of technical support obligations, the usage of consumable virtual goods and estimated period of time an end user will play the game. The Company’s refundable deferred revenue consists of $1.1 million in advance payments received in accordance with the agreement the Company has made with its retail distributor. Activities in the Company’s deferred revenue as of December 31, 2024 and 2023 were as follows:</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00" w:type="dxa"/>
            <w:vAlign w:val="bottom"/>
          </w:tcPr>
          <w:p>
            <w:pPr>
              <w:spacing w:after="0"/>
              <w:rPr>
                <w:sz w:val="17"/>
                <w:szCs w:val="17"/>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revenue, beginning balance in advance of revenue recognition billing</w:t>
            </w:r>
          </w:p>
        </w:tc>
        <w:tc>
          <w:tcPr>
            <w:tcW w:w="10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ind w:right="100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34,316,706</w:t>
            </w:r>
          </w:p>
        </w:tc>
        <w:tc>
          <w:tcPr>
            <w:tcW w:w="3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9,551,446</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4"/>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Revenue recognized</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(18,506,635)</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(6,437,618)</w:t>
            </w:r>
          </w:p>
        </w:tc>
      </w:tr>
      <w:tr>
        <w:trPr>
          <w:trHeight w:val="19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 deferred</w:t>
            </w:r>
          </w:p>
        </w:tc>
        <w:tc>
          <w:tcPr>
            <w:tcW w:w="10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9,657,376</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31,202,878</w:t>
            </w:r>
          </w:p>
        </w:tc>
        <w:tc>
          <w:tcPr>
            <w:tcW w:w="80" w:type="dxa"/>
            <w:vAlign w:val="bottom"/>
            <w:shd w:val="clear" w:color="auto" w:fill="CCEEFF"/>
          </w:tcPr>
          <w:p>
            <w:pPr>
              <w:spacing w:after="0"/>
              <w:rPr>
                <w:sz w:val="17"/>
                <w:szCs w:val="17"/>
                <w:color w:val="auto"/>
              </w:rPr>
            </w:pPr>
          </w:p>
        </w:tc>
      </w:tr>
      <w:tr>
        <w:trPr>
          <w:trHeight w:val="176"/>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 ending balance</w:t>
            </w:r>
          </w:p>
        </w:tc>
        <w:tc>
          <w:tcPr>
            <w:tcW w:w="108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25,467,447</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34,316,706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current portion</w:t>
            </w:r>
          </w:p>
        </w:tc>
        <w:tc>
          <w:tcPr>
            <w:tcW w:w="10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(3,947,559)</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(19,252,628)</w:t>
            </w:r>
          </w:p>
        </w:tc>
      </w:tr>
      <w:tr>
        <w:trPr>
          <w:trHeight w:val="187"/>
        </w:trPr>
        <w:tc>
          <w:tcPr>
            <w:tcW w:w="5900" w:type="dxa"/>
            <w:vAlign w:val="bottom"/>
          </w:tcPr>
          <w:p>
            <w:pPr>
              <w:spacing w:after="0"/>
              <w:rPr>
                <w:sz w:val="20"/>
                <w:szCs w:val="20"/>
                <w:color w:val="auto"/>
              </w:rPr>
            </w:pPr>
            <w:r>
              <w:rPr>
                <w:rFonts w:ascii="Times New Roman" w:cs="Times New Roman" w:eastAsia="Times New Roman" w:hAnsi="Times New Roman"/>
                <w:sz w:val="15"/>
                <w:szCs w:val="15"/>
                <w:color w:val="auto"/>
              </w:rPr>
              <w:t>Deferred revenue, long term</w:t>
            </w:r>
          </w:p>
        </w:tc>
        <w:tc>
          <w:tcPr>
            <w:tcW w:w="108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100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21,519,888</w:t>
            </w:r>
          </w:p>
        </w:tc>
        <w:tc>
          <w:tcPr>
            <w:tcW w:w="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15,064,078</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59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4 – CASH AND CASH EQUIVALENTS, AND RESTRICTED CASH AND CASH EQUIVALENTS</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Cash equivalents are valued using quoted market prices or other readily available market information. The Company has restricted cash and cash equivalents of $935,000 and $1,116,196 as of December 31, 2024 and 2023, respectively. The amounts of restricted cash and cash equivalents held as of December 31, 2024 and 2023, are to secure the standby letter of credit with landlords. On June 21, 2023, the Company amended its revolving loan and $5,273,391 of restricted cash and cash equivalents was released. The following table summarizes the components of the Company’s cash and cash equivalents, and restricted cash and cash equivalents as of December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60" w:type="dxa"/>
            <w:vAlign w:val="bottom"/>
          </w:tcPr>
          <w:p>
            <w:pPr>
              <w:spacing w:after="0"/>
              <w:rPr>
                <w:sz w:val="17"/>
                <w:szCs w:val="17"/>
                <w:color w:val="auto"/>
              </w:rPr>
            </w:pPr>
          </w:p>
        </w:tc>
        <w:tc>
          <w:tcPr>
            <w:tcW w:w="264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r>
      <w:tr>
        <w:trPr>
          <w:trHeight w:val="176"/>
        </w:trPr>
        <w:tc>
          <w:tcPr>
            <w:tcW w:w="5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w:t>
            </w:r>
          </w:p>
        </w:tc>
        <w:tc>
          <w:tcPr>
            <w:tcW w:w="142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ind w:right="106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7,303,944</w:t>
            </w:r>
          </w:p>
        </w:tc>
        <w:tc>
          <w:tcPr>
            <w:tcW w:w="3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15,198,123</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5560" w:type="dxa"/>
            <w:vAlign w:val="bottom"/>
          </w:tcPr>
          <w:p>
            <w:pPr>
              <w:spacing w:after="0"/>
              <w:rPr>
                <w:sz w:val="20"/>
                <w:szCs w:val="20"/>
                <w:color w:val="auto"/>
              </w:rPr>
            </w:pPr>
            <w:r>
              <w:rPr>
                <w:rFonts w:ascii="Times New Roman" w:cs="Times New Roman" w:eastAsia="Times New Roman" w:hAnsi="Times New Roman"/>
                <w:sz w:val="15"/>
                <w:szCs w:val="15"/>
                <w:color w:val="auto"/>
              </w:rPr>
              <w:t>Restricted cash and cash equivalents</w:t>
            </w: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935,000</w:t>
            </w: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1,116,196</w:t>
            </w:r>
          </w:p>
        </w:tc>
        <w:tc>
          <w:tcPr>
            <w:tcW w:w="100" w:type="dxa"/>
            <w:vAlign w:val="bottom"/>
          </w:tcPr>
          <w:p>
            <w:pPr>
              <w:spacing w:after="0"/>
              <w:rPr>
                <w:sz w:val="17"/>
                <w:szCs w:val="17"/>
                <w:color w:val="auto"/>
              </w:rPr>
            </w:pPr>
          </w:p>
        </w:tc>
      </w:tr>
      <w:tr>
        <w:trPr>
          <w:trHeight w:val="187"/>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and cash equivalents, and restricted cash and cash equivalents</w:t>
            </w:r>
          </w:p>
        </w:tc>
        <w:tc>
          <w:tcPr>
            <w:tcW w:w="142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6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8,238,944</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16,314,319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5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5 – ACCOUNTS RECEIVABLE (PAYABLE) – RELATED PARTY</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Accounts receivable — related party represents receivables in the ordinary course of business attributable to certain mobile game revenues that, for administrative reasons, were collected by a related party and that the related party has not yet remitted back to the Company. Accounts receivable — related party is non-interest bearing and due on demand. The related party, SDE Inc. (“SDE”), is 100% owned and controlled by the wife of the Founder, Co-Chief Executive Officer, Chief Strategy Officer and Chairman of the Company. In January 2024, the Company entered into an offset agreement with SDE. The Company has the right to offset payables due to the related party for royalties, internet, server, and datacenter costs (“IDC”) and marketing costs as they are determinable, mutual, and the right is enforceable by law. The Company will offset $0.5 million per month, or $6.0 million annually, beginning in January 2024, until the receivable has been collected or offset in full. To reflect the timing of the offset agreement, a portion of the SDE receivable is presented as a long-term asset. During the years ended December 31, 2024 and 2023, the Company made cash payments to SDE in the amount of $43.5 million and $33.1 million, respectively and anticipates continuing to make cash payment to SDE in future years. Of the $43.5 million paid to SDE in 2024, $42.8 million were for royalties and licenses, and $0.7 million were for internet, server and datacenter costs reported in the cost of revenue. Of the $33.1 million paid to SDE in 2023, $29.8 million were for royalties and licenses and $0.7 million were for internet, server and datacenter costs reported in the cost of revenue, $0.1 million for marketing costs, and $2.5 million was prepaid DLC development fee. As of December 31, 2024 and 2023, the outstanding balance of net accounts receivable from related party was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60" w:type="dxa"/>
            <w:vAlign w:val="bottom"/>
          </w:tcPr>
          <w:p>
            <w:pPr>
              <w:spacing w:after="0"/>
              <w:rPr>
                <w:sz w:val="17"/>
                <w:szCs w:val="17"/>
                <w:color w:val="auto"/>
              </w:rPr>
            </w:pPr>
          </w:p>
        </w:tc>
        <w:tc>
          <w:tcPr>
            <w:tcW w:w="35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r>
      <w:tr>
        <w:trPr>
          <w:trHeight w:val="176"/>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receivable – related party</w:t>
            </w:r>
          </w:p>
        </w:tc>
        <w:tc>
          <w:tcPr>
            <w:tcW w:w="23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7,500,592</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13,500,592</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Less: accounts payable – related party – SDE</w:t>
            </w:r>
          </w:p>
        </w:tc>
        <w:tc>
          <w:tcPr>
            <w:tcW w:w="2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(3,663,726)</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(10,946,478)</w:t>
            </w:r>
          </w:p>
        </w:tc>
      </w:tr>
      <w:tr>
        <w:trPr>
          <w:trHeight w:val="176"/>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accounts receivable, related party - SDE</w:t>
            </w:r>
          </w:p>
        </w:tc>
        <w:tc>
          <w:tcPr>
            <w:tcW w:w="23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3,836,866</w:t>
            </w:r>
          </w:p>
        </w:tc>
        <w:tc>
          <w:tcPr>
            <w:tcW w:w="2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2,554,114</w:t>
            </w: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4660" w:type="dxa"/>
            <w:vAlign w:val="bottom"/>
          </w:tcPr>
          <w:p>
            <w:pPr>
              <w:spacing w:after="0"/>
              <w:rPr>
                <w:sz w:val="20"/>
                <w:szCs w:val="20"/>
                <w:color w:val="auto"/>
              </w:rPr>
            </w:pPr>
            <w:r>
              <w:rPr>
                <w:rFonts w:ascii="Times New Roman" w:cs="Times New Roman" w:eastAsia="Times New Roman" w:hAnsi="Times New Roman"/>
                <w:sz w:val="15"/>
                <w:szCs w:val="15"/>
                <w:color w:val="auto"/>
              </w:rPr>
              <w:t>Less: accounts receivable – related party, net of current portion</w:t>
            </w:r>
          </w:p>
        </w:tc>
        <w:tc>
          <w:tcPr>
            <w:tcW w:w="2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1,500,592</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7,500,592</w:t>
            </w:r>
          </w:p>
        </w:tc>
        <w:tc>
          <w:tcPr>
            <w:tcW w:w="100" w:type="dxa"/>
            <w:vAlign w:val="bottom"/>
          </w:tcPr>
          <w:p>
            <w:pPr>
              <w:spacing w:after="0"/>
              <w:rPr>
                <w:sz w:val="17"/>
                <w:szCs w:val="17"/>
                <w:color w:val="auto"/>
              </w:rPr>
            </w:pPr>
          </w:p>
        </w:tc>
      </w:tr>
      <w:tr>
        <w:trPr>
          <w:trHeight w:val="187"/>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accounts receivable (payable), related party, current - SDE</w:t>
            </w:r>
          </w:p>
        </w:tc>
        <w:tc>
          <w:tcPr>
            <w:tcW w:w="2320" w:type="dxa"/>
            <w:vAlign w:val="bottom"/>
            <w:tcBorders>
              <w:top w:val="single" w:sz="8" w:color="CCEEFF"/>
              <w:bottom w:val="single" w:sz="8" w:color="CCEEFF"/>
            </w:tcBorders>
            <w:shd w:val="clear" w:color="auto" w:fill="CCEEFF"/>
          </w:tcPr>
          <w:p>
            <w:pPr>
              <w:spacing w:after="0"/>
              <w:rPr>
                <w:sz w:val="16"/>
                <w:szCs w:val="16"/>
                <w:color w:val="auto"/>
              </w:rPr>
            </w:pPr>
          </w:p>
        </w:tc>
        <w:tc>
          <w:tcPr>
            <w:tcW w:w="1180" w:type="dxa"/>
            <w:vAlign w:val="bottom"/>
            <w:tcBorders>
              <w:top w:val="single" w:sz="8" w:color="auto"/>
              <w:bottom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2,336,274</w:t>
            </w:r>
          </w:p>
        </w:tc>
        <w:tc>
          <w:tcPr>
            <w:tcW w:w="2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(4,946,478</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46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3"/>
        </w:trPr>
        <w:tc>
          <w:tcPr>
            <w:tcW w:w="466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
          </w:tcPr>
          <w:p>
            <w:pPr>
              <w:jc w:val="right"/>
              <w:ind w:right="2323"/>
              <w:spacing w:after="0"/>
              <w:rPr>
                <w:sz w:val="20"/>
                <w:szCs w:val="20"/>
                <w:color w:val="auto"/>
              </w:rPr>
            </w:pPr>
            <w:r>
              <w:rPr>
                <w:rFonts w:ascii="Times New Roman" w:cs="Times New Roman" w:eastAsia="Times New Roman" w:hAnsi="Times New Roman"/>
                <w:sz w:val="15"/>
                <w:szCs w:val="15"/>
                <w:color w:val="auto"/>
              </w:rPr>
              <w:t>F-18</w:t>
            </w: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5" w:right="31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6 – PREPAID EXPENSES - RELATED PARTY</w:t>
      </w:r>
    </w:p>
    <w:p>
      <w:pPr>
        <w:spacing w:after="0" w:line="1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5"/>
          <w:szCs w:val="15"/>
          <w:color w:val="auto"/>
        </w:rPr>
        <w:t xml:space="preserve">On March 10, 2023, the Company amended its exclusive software license agreement with SDE relating to the </w:t>
      </w:r>
      <w:r>
        <w:rPr>
          <w:rFonts w:ascii="Times New Roman" w:cs="Times New Roman" w:eastAsia="Times New Roman" w:hAnsi="Times New Roman"/>
          <w:sz w:val="15"/>
          <w:szCs w:val="15"/>
          <w:i w:val="1"/>
          <w:iCs w:val="1"/>
          <w:color w:val="auto"/>
        </w:rPr>
        <w:t>ARK</w:t>
      </w:r>
      <w:r>
        <w:rPr>
          <w:rFonts w:ascii="Times New Roman" w:cs="Times New Roman" w:eastAsia="Times New Roman" w:hAnsi="Times New Roman"/>
          <w:sz w:val="15"/>
          <w:szCs w:val="15"/>
          <w:color w:val="auto"/>
        </w:rPr>
        <w:t xml:space="preserve"> franchise. For DLC’s, the Company plans to release during the term of the agreement, the Company has the option to pay the $5.0 million DLC payment in whole or in part, when paid in advance; or in full, upon the DLC release. No payment for any DLC under this agreement will exceed $5.0 million.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During the year ended December 31, 2024, the Company made $1.7 million in prepaid royalty payments related to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which have not yet been released.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During the year ended December 31, 2023, the Company prepaid $2.5 million for exclusive license rights for an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 to SDE and $5.5 million in prepaid</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royalties related to </w:t>
      </w:r>
      <w:r>
        <w:rPr>
          <w:rFonts w:ascii="Times New Roman" w:cs="Times New Roman" w:eastAsia="Times New Roman" w:hAnsi="Times New Roman"/>
          <w:sz w:val="15"/>
          <w:szCs w:val="15"/>
          <w:i w:val="1"/>
          <w:iCs w:val="1"/>
          <w:color w:val="auto"/>
        </w:rPr>
        <w:t>ARK: Survival Ascended</w:t>
      </w:r>
      <w:r>
        <w:rPr>
          <w:rFonts w:ascii="Times New Roman" w:cs="Times New Roman" w:eastAsia="Times New Roman" w:hAnsi="Times New Roman"/>
          <w:sz w:val="15"/>
          <w:szCs w:val="15"/>
          <w:color w:val="auto"/>
        </w:rPr>
        <w:t xml:space="preserve"> DLC’s which had not yet been released. Prepaid expenses — related party consisted of the following as of December 31, 2024 and 2023:</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31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r>
      <w:tr>
        <w:trPr>
          <w:trHeight w:val="176"/>
        </w:trPr>
        <w:tc>
          <w:tcPr>
            <w:tcW w:w="4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Prepaid royalties</w:t>
            </w:r>
          </w:p>
        </w:tc>
        <w:tc>
          <w:tcPr>
            <w:tcW w:w="20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4,378,594</w:t>
            </w:r>
          </w:p>
        </w:tc>
        <w:tc>
          <w:tcPr>
            <w:tcW w:w="3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6,086,406</w:t>
            </w:r>
          </w:p>
        </w:tc>
        <w:tc>
          <w:tcPr>
            <w:tcW w:w="100" w:type="dxa"/>
            <w:vAlign w:val="bottom"/>
            <w:tcBorders>
              <w:top w:val="single" w:sz="8" w:color="CCEEFF"/>
            </w:tcBorders>
            <w:shd w:val="clear" w:color="auto" w:fill="CCEEFF"/>
          </w:tcPr>
          <w:p>
            <w:pPr>
              <w:spacing w:after="0"/>
              <w:rPr>
                <w:sz w:val="15"/>
                <w:szCs w:val="15"/>
                <w:color w:val="auto"/>
              </w:rPr>
            </w:pPr>
          </w:p>
        </w:tc>
      </w:tr>
      <w:tr>
        <w:trPr>
          <w:trHeight w:val="184"/>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Prepaid licenses</w:t>
            </w:r>
          </w:p>
        </w:tc>
        <w:tc>
          <w:tcPr>
            <w:tcW w:w="2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7,500,000</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7,500,000</w:t>
            </w:r>
          </w:p>
        </w:tc>
        <w:tc>
          <w:tcPr>
            <w:tcW w:w="100" w:type="dxa"/>
            <w:vAlign w:val="bottom"/>
          </w:tcPr>
          <w:p>
            <w:pPr>
              <w:spacing w:after="0"/>
              <w:rPr>
                <w:sz w:val="16"/>
                <w:szCs w:val="16"/>
                <w:color w:val="auto"/>
              </w:rPr>
            </w:pPr>
          </w:p>
        </w:tc>
      </w:tr>
      <w:tr>
        <w:trPr>
          <w:trHeight w:val="19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prepaids</w:t>
            </w:r>
          </w:p>
        </w:tc>
        <w:tc>
          <w:tcPr>
            <w:tcW w:w="20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21,291</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242,060</w:t>
            </w:r>
          </w:p>
        </w:tc>
        <w:tc>
          <w:tcPr>
            <w:tcW w:w="100" w:type="dxa"/>
            <w:vAlign w:val="bottom"/>
            <w:shd w:val="clear" w:color="auto" w:fill="CCEEFF"/>
          </w:tcPr>
          <w:p>
            <w:pPr>
              <w:spacing w:after="0"/>
              <w:rPr>
                <w:sz w:val="17"/>
                <w:szCs w:val="17"/>
                <w:color w:val="auto"/>
              </w:rPr>
            </w:pPr>
          </w:p>
        </w:tc>
      </w:tr>
      <w:tr>
        <w:trPr>
          <w:trHeight w:val="176"/>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Prepaid expenses - related party, ending balance</w:t>
            </w:r>
          </w:p>
        </w:tc>
        <w:tc>
          <w:tcPr>
            <w:tcW w:w="20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11,899,885</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13,828,466</w:t>
            </w:r>
          </w:p>
        </w:tc>
        <w:tc>
          <w:tcPr>
            <w:tcW w:w="100" w:type="dxa"/>
            <w:vAlign w:val="bottom"/>
          </w:tcPr>
          <w:p>
            <w:pPr>
              <w:spacing w:after="0"/>
              <w:rPr>
                <w:sz w:val="15"/>
                <w:szCs w:val="15"/>
                <w:color w:val="auto"/>
              </w:rPr>
            </w:pPr>
          </w:p>
        </w:tc>
      </w:tr>
      <w:tr>
        <w:trPr>
          <w:trHeight w:val="19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Less: short-term portion</w:t>
            </w:r>
          </w:p>
        </w:tc>
        <w:tc>
          <w:tcPr>
            <w:tcW w:w="20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(2,521,291)</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(6,044,404)</w:t>
            </w:r>
          </w:p>
        </w:tc>
      </w:tr>
      <w:tr>
        <w:trPr>
          <w:trHeight w:val="187"/>
        </w:trPr>
        <w:tc>
          <w:tcPr>
            <w:tcW w:w="4980" w:type="dxa"/>
            <w:vAlign w:val="bottom"/>
          </w:tcPr>
          <w:p>
            <w:pPr>
              <w:spacing w:after="0"/>
              <w:rPr>
                <w:sz w:val="20"/>
                <w:szCs w:val="20"/>
                <w:color w:val="auto"/>
              </w:rPr>
            </w:pPr>
            <w:r>
              <w:rPr>
                <w:rFonts w:ascii="Times New Roman" w:cs="Times New Roman" w:eastAsia="Times New Roman" w:hAnsi="Times New Roman"/>
                <w:sz w:val="15"/>
                <w:szCs w:val="15"/>
                <w:color w:val="auto"/>
              </w:rPr>
              <w:t>Total prepaid expenses - related party, long-term</w:t>
            </w:r>
          </w:p>
        </w:tc>
        <w:tc>
          <w:tcPr>
            <w:tcW w:w="200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9,378,594</w:t>
            </w:r>
          </w:p>
        </w:tc>
        <w:tc>
          <w:tcPr>
            <w:tcW w:w="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7,784,062</w:t>
            </w:r>
          </w:p>
        </w:tc>
        <w:tc>
          <w:tcPr>
            <w:tcW w:w="100" w:type="dxa"/>
            <w:vAlign w:val="bottom"/>
          </w:tcPr>
          <w:p>
            <w:pPr>
              <w:spacing w:after="0"/>
              <w:rPr>
                <w:sz w:val="16"/>
                <w:szCs w:val="16"/>
                <w:color w:val="auto"/>
              </w:rPr>
            </w:pPr>
          </w:p>
        </w:tc>
      </w:tr>
      <w:tr>
        <w:trPr>
          <w:trHeight w:val="20"/>
        </w:trPr>
        <w:tc>
          <w:tcPr>
            <w:tcW w:w="49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color w:val="auto"/>
        </w:rPr>
        <w:t xml:space="preserve">The amount classified as short-term, as of December 31, 2024, and 2023, includes prepaid royalties for </w:t>
      </w:r>
      <w:r>
        <w:rPr>
          <w:rFonts w:ascii="Times New Roman" w:cs="Times New Roman" w:eastAsia="Times New Roman" w:hAnsi="Times New Roman"/>
          <w:sz w:val="15"/>
          <w:szCs w:val="15"/>
          <w:i w:val="1"/>
          <w:iCs w:val="1"/>
          <w:color w:val="auto"/>
        </w:rPr>
        <w:t>ARK: Survival Evolved</w:t>
      </w:r>
      <w:r>
        <w:rPr>
          <w:rFonts w:ascii="Times New Roman" w:cs="Times New Roman" w:eastAsia="Times New Roman" w:hAnsi="Times New Roman"/>
          <w:sz w:val="15"/>
          <w:szCs w:val="15"/>
          <w:color w:val="auto"/>
        </w:rPr>
        <w:t xml:space="preserve"> DLC’s which have not yet been released and various operational software licenses obtained through SDE.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7 – PREPAID EXPENSES AND OTHER CURRENT ASSETS</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In October 2024, the Company entered into a collaborative arrangement for the development and publishing of a new title with a third party developer. In accordance with the agreement, the Company will pay $1.5 million to the developer as prepaid royalties, to be recovered prior to any profit sharing on sales of the title. In addition to the financial responsibilities, the Company is responsible for the marketing, publishing, and distribution of the game and is providing substantial creative and technical input in the development of the game. The developer will retain ownership of the IP and is responsible for the overall development of the game. The game has not yet been released and accordingly is not reflected in the consolidated statements of operations and comprehensive income (loss). The Company made $0.5 million of the prepaid royalty payments in 2024, and the amount is capitalized in the other prepaids. Prepaid expenses and other current assets consisted of the following as of December 31, 2024 and 2023:</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40" w:type="dxa"/>
            <w:vAlign w:val="bottom"/>
          </w:tcPr>
          <w:p>
            <w:pPr>
              <w:spacing w:after="0"/>
              <w:rPr>
                <w:sz w:val="17"/>
                <w:szCs w:val="17"/>
                <w:color w:val="auto"/>
              </w:rPr>
            </w:pPr>
          </w:p>
        </w:tc>
        <w:tc>
          <w:tcPr>
            <w:tcW w:w="3260" w:type="dxa"/>
            <w:vAlign w:val="bottom"/>
            <w:gridSpan w:val="2"/>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r>
      <w:tr>
        <w:trPr>
          <w:trHeight w:val="176"/>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receivables</w:t>
            </w:r>
          </w:p>
        </w:tc>
        <w:tc>
          <w:tcPr>
            <w:tcW w:w="204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ind w:right="106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549,103</w:t>
            </w:r>
          </w:p>
        </w:tc>
        <w:tc>
          <w:tcPr>
            <w:tcW w:w="3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Borders>
              <w:top w:val="single" w:sz="8" w:color="CCEEFF"/>
            </w:tcBorders>
            <w:shd w:val="clear" w:color="auto" w:fill="CCEEFF"/>
          </w:tcPr>
          <w:p>
            <w:pPr>
              <w:spacing w:after="0"/>
              <w:rPr>
                <w:sz w:val="15"/>
                <w:szCs w:val="15"/>
                <w:color w:val="auto"/>
              </w:rPr>
            </w:pPr>
          </w:p>
        </w:tc>
      </w:tr>
      <w:tr>
        <w:trPr>
          <w:trHeight w:val="184"/>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Deferred offering costs</w:t>
            </w:r>
          </w:p>
        </w:tc>
        <w:tc>
          <w:tcPr>
            <w:tcW w:w="20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105,411</w:t>
            </w:r>
          </w:p>
        </w:tc>
        <w:tc>
          <w:tcPr>
            <w:tcW w:w="42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105,411</w:t>
            </w:r>
          </w:p>
        </w:tc>
      </w:tr>
      <w:tr>
        <w:trPr>
          <w:trHeight w:val="184"/>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 prepaids</w:t>
            </w:r>
          </w:p>
        </w:tc>
        <w:tc>
          <w:tcPr>
            <w:tcW w:w="20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550,270</w:t>
            </w:r>
          </w:p>
        </w:tc>
        <w:tc>
          <w:tcPr>
            <w:tcW w:w="4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70,967</w:t>
            </w:r>
          </w:p>
        </w:tc>
      </w:tr>
      <w:tr>
        <w:trPr>
          <w:trHeight w:val="196"/>
        </w:trPr>
        <w:tc>
          <w:tcPr>
            <w:tcW w:w="4940" w:type="dxa"/>
            <w:vAlign w:val="bottom"/>
          </w:tcPr>
          <w:p>
            <w:pPr>
              <w:spacing w:after="0"/>
              <w:rPr>
                <w:sz w:val="20"/>
                <w:szCs w:val="20"/>
                <w:color w:val="auto"/>
              </w:rPr>
            </w:pPr>
            <w:r>
              <w:rPr>
                <w:rFonts w:ascii="Times New Roman" w:cs="Times New Roman" w:eastAsia="Times New Roman" w:hAnsi="Times New Roman"/>
                <w:sz w:val="15"/>
                <w:szCs w:val="15"/>
                <w:color w:val="auto"/>
              </w:rPr>
              <w:t>Other current assets</w:t>
            </w:r>
          </w:p>
        </w:tc>
        <w:tc>
          <w:tcPr>
            <w:tcW w:w="20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641,240</w:t>
            </w: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463,315</w:t>
            </w:r>
          </w:p>
        </w:tc>
        <w:tc>
          <w:tcPr>
            <w:tcW w:w="100" w:type="dxa"/>
            <w:vAlign w:val="bottom"/>
          </w:tcPr>
          <w:p>
            <w:pPr>
              <w:spacing w:after="0"/>
              <w:rPr>
                <w:sz w:val="17"/>
                <w:szCs w:val="17"/>
                <w:color w:val="auto"/>
              </w:rPr>
            </w:pPr>
          </w:p>
        </w:tc>
      </w:tr>
      <w:tr>
        <w:trPr>
          <w:trHeight w:val="187"/>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prepaid expenses and other current assets</w:t>
            </w:r>
          </w:p>
        </w:tc>
        <w:tc>
          <w:tcPr>
            <w:tcW w:w="2040" w:type="dxa"/>
            <w:vAlign w:val="bottom"/>
            <w:tcBorders>
              <w:top w:val="single" w:sz="8" w:color="CCEEFF"/>
              <w:bottom w:val="single" w:sz="8" w:color="CCEEFF"/>
            </w:tcBorders>
            <w:shd w:val="clear" w:color="auto" w:fill="CCEEFF"/>
          </w:tcPr>
          <w:p>
            <w:pPr>
              <w:spacing w:after="0"/>
              <w:rPr>
                <w:sz w:val="16"/>
                <w:szCs w:val="16"/>
                <w:color w:val="auto"/>
              </w:rPr>
            </w:pPr>
          </w:p>
        </w:tc>
        <w:tc>
          <w:tcPr>
            <w:tcW w:w="1220" w:type="dxa"/>
            <w:vAlign w:val="bottom"/>
            <w:tcBorders>
              <w:top w:val="single" w:sz="8" w:color="auto"/>
              <w:bottom w:val="single" w:sz="8" w:color="auto"/>
            </w:tcBorders>
            <w:shd w:val="clear" w:color="auto" w:fill="CCEEFF"/>
          </w:tcPr>
          <w:p>
            <w:pPr>
              <w:jc w:val="right"/>
              <w:ind w:right="106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1,846,024</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639,693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4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Other receivables consist of receivables related to </w:t>
      </w:r>
      <w:r>
        <w:rPr>
          <w:rFonts w:ascii="Times New Roman" w:cs="Times New Roman" w:eastAsia="Times New Roman" w:hAnsi="Times New Roman"/>
          <w:sz w:val="15"/>
          <w:szCs w:val="15"/>
          <w:i w:val="1"/>
          <w:iCs w:val="1"/>
          <w:color w:val="auto"/>
        </w:rPr>
        <w:t>Myth of Empires</w:t>
      </w:r>
      <w:r>
        <w:rPr>
          <w:rFonts w:ascii="Times New Roman" w:cs="Times New Roman" w:eastAsia="Times New Roman" w:hAnsi="Times New Roman"/>
          <w:sz w:val="15"/>
          <w:szCs w:val="15"/>
          <w:color w:val="auto"/>
        </w:rPr>
        <w:t xml:space="preserve"> and our </w:t>
      </w:r>
      <w:r>
        <w:rPr>
          <w:rFonts w:ascii="Times New Roman" w:cs="Times New Roman" w:eastAsia="Times New Roman" w:hAnsi="Times New Roman"/>
          <w:sz w:val="15"/>
          <w:szCs w:val="15"/>
          <w:i w:val="1"/>
          <w:iCs w:val="1"/>
          <w:color w:val="auto"/>
        </w:rPr>
        <w:t>ARK animated series.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8 – PROPERTY AND EQUIPMENT, NET</w:t>
            </w:r>
          </w:p>
        </w:tc>
        <w:tc>
          <w:tcPr>
            <w:tcW w:w="7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69"/>
        </w:trPr>
        <w:tc>
          <w:tcPr>
            <w:tcW w:w="62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 consisted of the following as of December 31, 2024 and 2023:</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0"/>
        </w:trPr>
        <w:tc>
          <w:tcPr>
            <w:tcW w:w="628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24"/>
                <w:szCs w:val="24"/>
                <w:color w:val="auto"/>
              </w:rPr>
            </w:pPr>
          </w:p>
        </w:tc>
      </w:tr>
      <w:tr>
        <w:trPr>
          <w:trHeight w:val="176"/>
        </w:trPr>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Building</w:t>
            </w:r>
          </w:p>
        </w:tc>
        <w:tc>
          <w:tcPr>
            <w:tcW w:w="7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1,874,049</w:t>
            </w:r>
          </w:p>
        </w:tc>
        <w:tc>
          <w:tcPr>
            <w:tcW w:w="3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1,874,049</w:t>
            </w:r>
          </w:p>
        </w:tc>
        <w:tc>
          <w:tcPr>
            <w:tcW w:w="100" w:type="dxa"/>
            <w:vAlign w:val="bottom"/>
            <w:tcBorders>
              <w:top w:val="single" w:sz="8" w:color="CCEEFF"/>
            </w:tcBorders>
            <w:shd w:val="clear" w:color="auto" w:fill="CCEEFF"/>
          </w:tcPr>
          <w:p>
            <w:pPr>
              <w:spacing w:after="0"/>
              <w:rPr>
                <w:sz w:val="15"/>
                <w:szCs w:val="15"/>
                <w:color w:val="auto"/>
              </w:rPr>
            </w:pPr>
          </w:p>
        </w:tc>
      </w:tr>
      <w:tr>
        <w:trPr>
          <w:trHeight w:val="184"/>
        </w:trPr>
        <w:tc>
          <w:tcPr>
            <w:tcW w:w="6280" w:type="dxa"/>
            <w:vAlign w:val="bottom"/>
          </w:tcPr>
          <w:p>
            <w:pPr>
              <w:spacing w:after="0"/>
              <w:rPr>
                <w:sz w:val="20"/>
                <w:szCs w:val="20"/>
                <w:color w:val="auto"/>
              </w:rPr>
            </w:pPr>
            <w:r>
              <w:rPr>
                <w:rFonts w:ascii="Times New Roman" w:cs="Times New Roman" w:eastAsia="Times New Roman" w:hAnsi="Times New Roman"/>
                <w:sz w:val="15"/>
                <w:szCs w:val="15"/>
                <w:color w:val="auto"/>
              </w:rPr>
              <w:t>Land</w:t>
            </w:r>
          </w:p>
        </w:tc>
        <w:tc>
          <w:tcPr>
            <w:tcW w:w="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2,700,000</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2,700,000</w:t>
            </w:r>
          </w:p>
        </w:tc>
        <w:tc>
          <w:tcPr>
            <w:tcW w:w="100" w:type="dxa"/>
            <w:vAlign w:val="bottom"/>
          </w:tcPr>
          <w:p>
            <w:pPr>
              <w:spacing w:after="0"/>
              <w:rPr>
                <w:sz w:val="16"/>
                <w:szCs w:val="16"/>
                <w:color w:val="auto"/>
              </w:rPr>
            </w:pPr>
          </w:p>
        </w:tc>
      </w:tr>
      <w:tr>
        <w:trPr>
          <w:trHeight w:val="184"/>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Building improvements</w:t>
            </w:r>
          </w:p>
        </w:tc>
        <w:tc>
          <w:tcPr>
            <w:tcW w:w="7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1,010,218</w:t>
            </w: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1,010,218</w:t>
            </w:r>
          </w:p>
        </w:tc>
        <w:tc>
          <w:tcPr>
            <w:tcW w:w="100" w:type="dxa"/>
            <w:vAlign w:val="bottom"/>
            <w:shd w:val="clear" w:color="auto" w:fill="CCEEFF"/>
          </w:tcPr>
          <w:p>
            <w:pPr>
              <w:spacing w:after="0"/>
              <w:rPr>
                <w:sz w:val="16"/>
                <w:szCs w:val="16"/>
                <w:color w:val="auto"/>
              </w:rPr>
            </w:pPr>
          </w:p>
        </w:tc>
      </w:tr>
      <w:tr>
        <w:trPr>
          <w:trHeight w:val="184"/>
        </w:trPr>
        <w:tc>
          <w:tcPr>
            <w:tcW w:w="6280" w:type="dxa"/>
            <w:vAlign w:val="bottom"/>
          </w:tcPr>
          <w:p>
            <w:pPr>
              <w:spacing w:after="0"/>
              <w:rPr>
                <w:sz w:val="20"/>
                <w:szCs w:val="20"/>
                <w:color w:val="auto"/>
              </w:rPr>
            </w:pPr>
            <w:r>
              <w:rPr>
                <w:rFonts w:ascii="Times New Roman" w:cs="Times New Roman" w:eastAsia="Times New Roman" w:hAnsi="Times New Roman"/>
                <w:sz w:val="15"/>
                <w:szCs w:val="15"/>
                <w:color w:val="auto"/>
              </w:rPr>
              <w:t>Leasehold improvements</w:t>
            </w:r>
          </w:p>
        </w:tc>
        <w:tc>
          <w:tcPr>
            <w:tcW w:w="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1,537,775</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1,537,775</w:t>
            </w:r>
          </w:p>
        </w:tc>
        <w:tc>
          <w:tcPr>
            <w:tcW w:w="100" w:type="dxa"/>
            <w:vAlign w:val="bottom"/>
          </w:tcPr>
          <w:p>
            <w:pPr>
              <w:spacing w:after="0"/>
              <w:rPr>
                <w:sz w:val="16"/>
                <w:szCs w:val="16"/>
                <w:color w:val="auto"/>
              </w:rPr>
            </w:pPr>
          </w:p>
        </w:tc>
      </w:tr>
      <w:tr>
        <w:trPr>
          <w:trHeight w:val="184"/>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Autos and trucks</w:t>
            </w:r>
          </w:p>
        </w:tc>
        <w:tc>
          <w:tcPr>
            <w:tcW w:w="7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178,695</w:t>
            </w: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178,695</w:t>
            </w:r>
          </w:p>
        </w:tc>
        <w:tc>
          <w:tcPr>
            <w:tcW w:w="100" w:type="dxa"/>
            <w:vAlign w:val="bottom"/>
            <w:shd w:val="clear" w:color="auto" w:fill="CCEEFF"/>
          </w:tcPr>
          <w:p>
            <w:pPr>
              <w:spacing w:after="0"/>
              <w:rPr>
                <w:sz w:val="16"/>
                <w:szCs w:val="16"/>
                <w:color w:val="auto"/>
              </w:rPr>
            </w:pPr>
          </w:p>
        </w:tc>
      </w:tr>
      <w:tr>
        <w:trPr>
          <w:trHeight w:val="184"/>
        </w:trPr>
        <w:tc>
          <w:tcPr>
            <w:tcW w:w="6280" w:type="dxa"/>
            <w:vAlign w:val="bottom"/>
          </w:tcPr>
          <w:p>
            <w:pPr>
              <w:spacing w:after="0"/>
              <w:rPr>
                <w:sz w:val="20"/>
                <w:szCs w:val="20"/>
                <w:color w:val="auto"/>
              </w:rPr>
            </w:pPr>
            <w:r>
              <w:rPr>
                <w:rFonts w:ascii="Times New Roman" w:cs="Times New Roman" w:eastAsia="Times New Roman" w:hAnsi="Times New Roman"/>
                <w:sz w:val="15"/>
                <w:szCs w:val="15"/>
                <w:color w:val="auto"/>
              </w:rPr>
              <w:t>Computer and equipment</w:t>
            </w:r>
          </w:p>
        </w:tc>
        <w:tc>
          <w:tcPr>
            <w:tcW w:w="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1,809,214</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1,809,214</w:t>
            </w:r>
          </w:p>
        </w:tc>
        <w:tc>
          <w:tcPr>
            <w:tcW w:w="100" w:type="dxa"/>
            <w:vAlign w:val="bottom"/>
          </w:tcPr>
          <w:p>
            <w:pPr>
              <w:spacing w:after="0"/>
              <w:rPr>
                <w:sz w:val="16"/>
                <w:szCs w:val="16"/>
                <w:color w:val="auto"/>
              </w:rPr>
            </w:pPr>
          </w:p>
        </w:tc>
      </w:tr>
      <w:tr>
        <w:trPr>
          <w:trHeight w:val="19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Furniture and fixtures</w:t>
            </w:r>
          </w:p>
        </w:tc>
        <w:tc>
          <w:tcPr>
            <w:tcW w:w="7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411,801</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411,801</w:t>
            </w:r>
          </w:p>
        </w:tc>
      </w:tr>
      <w:tr>
        <w:trPr>
          <w:trHeight w:val="176"/>
        </w:trPr>
        <w:tc>
          <w:tcPr>
            <w:tcW w:w="62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w:t>
            </w:r>
          </w:p>
        </w:tc>
        <w:tc>
          <w:tcPr>
            <w:tcW w:w="70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9,521,752</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9,521,752</w:t>
            </w:r>
          </w:p>
        </w:tc>
        <w:tc>
          <w:tcPr>
            <w:tcW w:w="100" w:type="dxa"/>
            <w:vAlign w:val="bottom"/>
          </w:tcPr>
          <w:p>
            <w:pPr>
              <w:spacing w:after="0"/>
              <w:rPr>
                <w:sz w:val="15"/>
                <w:szCs w:val="15"/>
                <w:color w:val="auto"/>
              </w:rPr>
            </w:pPr>
          </w:p>
        </w:tc>
      </w:tr>
      <w:tr>
        <w:trPr>
          <w:trHeight w:val="19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Accumulated depreciation</w:t>
            </w:r>
          </w:p>
        </w:tc>
        <w:tc>
          <w:tcPr>
            <w:tcW w:w="7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(5,143,400)</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(4,839,686)</w:t>
            </w:r>
          </w:p>
        </w:tc>
      </w:tr>
      <w:tr>
        <w:trPr>
          <w:trHeight w:val="187"/>
        </w:trPr>
        <w:tc>
          <w:tcPr>
            <w:tcW w:w="6280" w:type="dxa"/>
            <w:vAlign w:val="bottom"/>
          </w:tcPr>
          <w:p>
            <w:pPr>
              <w:spacing w:after="0"/>
              <w:rPr>
                <w:sz w:val="20"/>
                <w:szCs w:val="20"/>
                <w:color w:val="auto"/>
              </w:rPr>
            </w:pPr>
            <w:r>
              <w:rPr>
                <w:rFonts w:ascii="Times New Roman" w:cs="Times New Roman" w:eastAsia="Times New Roman" w:hAnsi="Times New Roman"/>
                <w:sz w:val="15"/>
                <w:szCs w:val="15"/>
                <w:color w:val="auto"/>
              </w:rPr>
              <w:t>Property and equipment, net</w:t>
            </w:r>
          </w:p>
        </w:tc>
        <w:tc>
          <w:tcPr>
            <w:tcW w:w="70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ind w:right="1023"/>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4,378,352</w:t>
            </w:r>
          </w:p>
        </w:tc>
        <w:tc>
          <w:tcPr>
            <w:tcW w:w="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4,682,066</w:t>
            </w:r>
          </w:p>
        </w:tc>
        <w:tc>
          <w:tcPr>
            <w:tcW w:w="100" w:type="dxa"/>
            <w:vAlign w:val="bottom"/>
          </w:tcPr>
          <w:p>
            <w:pPr>
              <w:spacing w:after="0"/>
              <w:rPr>
                <w:sz w:val="16"/>
                <w:szCs w:val="16"/>
                <w:color w:val="auto"/>
              </w:rPr>
            </w:pPr>
          </w:p>
        </w:tc>
      </w:tr>
      <w:tr>
        <w:trPr>
          <w:trHeight w:val="20"/>
        </w:trPr>
        <w:tc>
          <w:tcPr>
            <w:tcW w:w="6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Depreciation expense was $303,714 and $432,306 for the years ended December 31, 2024 and 2023, respectively. The Company did not have any disposals in the year ended December 31, 2024. During the year ended December 31, 2023, the Company disposed of $12,605 in computer equipment with an accumulated depreciation of $12,178. The total loss resulting from the disposal of the assets amounted to $427 for the year ended December 31, 2023</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9 – INTANGIBLE ASSETS</w:t>
      </w:r>
    </w:p>
    <w:p>
      <w:pPr>
        <w:spacing w:after="0" w:line="20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5"/>
          <w:szCs w:val="15"/>
          <w:color w:val="auto"/>
        </w:rPr>
        <w:t>Intangible assets consist of game licenses, game software underlying intellectual property rights, game trademarks and other branding items. The Company amortizes the intangible assets over its useful life.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tables reflect all the intangible assets presented on the consolidated balance sheets as of December 31, 2024 and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57"/>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40"/>
              <w:spacing w:after="0" w:line="157" w:lineRule="exact"/>
              <w:rPr>
                <w:sz w:val="20"/>
                <w:szCs w:val="20"/>
                <w:color w:val="auto"/>
              </w:rPr>
            </w:pPr>
            <w:r>
              <w:rPr>
                <w:rFonts w:ascii="Times New Roman" w:cs="Times New Roman" w:eastAsia="Times New Roman" w:hAnsi="Times New Roman"/>
                <w:sz w:val="15"/>
                <w:szCs w:val="15"/>
                <w:b w:val="1"/>
                <w:bCs w:val="1"/>
                <w:color w:val="auto"/>
              </w:rPr>
              <w:t>Gross</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442"/>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Impairment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580"/>
              <w:spacing w:after="0"/>
              <w:rPr>
                <w:sz w:val="20"/>
                <w:szCs w:val="20"/>
                <w:color w:val="auto"/>
              </w:rPr>
            </w:pPr>
            <w:r>
              <w:rPr>
                <w:rFonts w:ascii="Times New Roman" w:cs="Times New Roman" w:eastAsia="Times New Roman" w:hAnsi="Times New Roman"/>
                <w:sz w:val="15"/>
                <w:szCs w:val="15"/>
                <w:b w:val="1"/>
                <w:bCs w:val="1"/>
                <w:color w:val="auto"/>
              </w:rPr>
              <w:t>Net Book</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442"/>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Loss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Useful Life</w:t>
            </w:r>
          </w:p>
        </w:tc>
        <w:tc>
          <w:tcPr>
            <w:tcW w:w="0" w:type="dxa"/>
            <w:vAlign w:val="bottom"/>
          </w:tcPr>
          <w:p>
            <w:pPr>
              <w:spacing w:after="0"/>
              <w:rPr>
                <w:sz w:val="1"/>
                <w:szCs w:val="1"/>
                <w:color w:val="auto"/>
              </w:rPr>
            </w:pPr>
          </w:p>
        </w:tc>
      </w:tr>
      <w:tr>
        <w:trPr>
          <w:trHeight w:val="19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and license rights from related parties</w:t>
            </w:r>
          </w:p>
        </w:tc>
        <w:tc>
          <w:tcPr>
            <w:tcW w:w="16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136,955,000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(136,665,000)</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jc w:val="right"/>
              <w:ind w:right="803"/>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290,000</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3 - 5 years</w:t>
            </w:r>
          </w:p>
        </w:tc>
        <w:tc>
          <w:tcPr>
            <w:tcW w:w="0" w:type="dxa"/>
            <w:vAlign w:val="bottom"/>
          </w:tcPr>
          <w:p>
            <w:pPr>
              <w:spacing w:after="0"/>
              <w:rPr>
                <w:sz w:val="1"/>
                <w:szCs w:val="1"/>
                <w:color w:val="auto"/>
              </w:rPr>
            </w:pPr>
          </w:p>
        </w:tc>
      </w:tr>
      <w:tr>
        <w:trPr>
          <w:trHeight w:val="199"/>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License rights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3,420,000</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262"/>
              <w:spacing w:after="0"/>
              <w:rPr>
                <w:sz w:val="20"/>
                <w:szCs w:val="20"/>
                <w:color w:val="auto"/>
              </w:rPr>
            </w:pPr>
            <w:r>
              <w:rPr>
                <w:rFonts w:ascii="Times New Roman" w:cs="Times New Roman" w:eastAsia="Times New Roman" w:hAnsi="Times New Roman"/>
                <w:sz w:val="15"/>
                <w:szCs w:val="15"/>
                <w:color w:val="auto"/>
              </w:rPr>
              <w:t>(3,007,000)</w:t>
            </w:r>
          </w:p>
        </w:tc>
        <w:tc>
          <w:tcPr>
            <w:tcW w:w="96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413,000</w:t>
            </w: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 years</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w:t>
            </w:r>
          </w:p>
        </w:tc>
        <w:tc>
          <w:tcPr>
            <w:tcW w:w="1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51,784</w:t>
            </w:r>
          </w:p>
        </w:tc>
        <w:tc>
          <w:tcPr>
            <w:tcW w:w="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5"/>
                <w:szCs w:val="15"/>
                <w:color w:val="auto"/>
              </w:rPr>
              <w:t>(51,784)</w:t>
            </w:r>
          </w:p>
        </w:tc>
        <w:tc>
          <w:tcPr>
            <w:tcW w:w="9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3 - 5 years</w:t>
            </w:r>
          </w:p>
        </w:tc>
        <w:tc>
          <w:tcPr>
            <w:tcW w:w="0" w:type="dxa"/>
            <w:vAlign w:val="bottom"/>
          </w:tcPr>
          <w:p>
            <w:pPr>
              <w:spacing w:after="0"/>
              <w:rPr>
                <w:sz w:val="1"/>
                <w:szCs w:val="1"/>
                <w:color w:val="auto"/>
              </w:rPr>
            </w:pPr>
          </w:p>
        </w:tc>
      </w:tr>
      <w:tr>
        <w:trPr>
          <w:trHeight w:val="184"/>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Trademark</w:t>
            </w:r>
          </w:p>
        </w:tc>
        <w:tc>
          <w:tcPr>
            <w:tcW w:w="160" w:type="dxa"/>
            <w:vAlign w:val="bottom"/>
          </w:tcPr>
          <w:p>
            <w:pPr>
              <w:spacing w:after="0"/>
              <w:rPr>
                <w:sz w:val="16"/>
                <w:szCs w:val="16"/>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10,745</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262"/>
              <w:spacing w:after="0"/>
              <w:rPr>
                <w:sz w:val="20"/>
                <w:szCs w:val="20"/>
                <w:color w:val="auto"/>
              </w:rPr>
            </w:pPr>
            <w:r>
              <w:rPr>
                <w:rFonts w:ascii="Times New Roman" w:cs="Times New Roman" w:eastAsia="Times New Roman" w:hAnsi="Times New Roman"/>
                <w:sz w:val="15"/>
                <w:szCs w:val="15"/>
                <w:color w:val="auto"/>
              </w:rPr>
              <w:t>(10,717)</w:t>
            </w:r>
          </w:p>
        </w:tc>
        <w:tc>
          <w:tcPr>
            <w:tcW w:w="960" w:type="dxa"/>
            <w:vAlign w:val="bottom"/>
          </w:tcPr>
          <w:p>
            <w:pPr>
              <w:spacing w:after="0"/>
              <w:rPr>
                <w:sz w:val="16"/>
                <w:szCs w:val="16"/>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c>
          <w:tcPr>
            <w:tcW w:w="32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 years</w:t>
            </w: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In-progress patent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270,886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270,886</w:t>
            </w: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140,708,415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(139,734,501</w:t>
            </w:r>
          </w:p>
        </w:tc>
        <w:tc>
          <w:tcPr>
            <w:tcW w:w="340" w:type="dxa"/>
            <w:vAlign w:val="bottom"/>
          </w:tcPr>
          <w:p>
            <w:pPr>
              <w:jc w:val="right"/>
              <w:ind w:right="262"/>
              <w:spacing w:after="0"/>
              <w:rPr>
                <w:sz w:val="20"/>
                <w:szCs w:val="20"/>
                <w:color w:val="auto"/>
              </w:rPr>
            </w:pPr>
            <w:r>
              <w:rPr>
                <w:rFonts w:ascii="Times New Roman" w:cs="Times New Roman" w:eastAsia="Times New Roman" w:hAnsi="Times New Roman"/>
                <w:sz w:val="8"/>
                <w:szCs w:val="8"/>
                <w:color w:val="auto"/>
                <w:w w:val="73"/>
              </w:rPr>
              <w:t>)</w:t>
            </w:r>
          </w:p>
        </w:tc>
        <w:tc>
          <w:tcPr>
            <w:tcW w:w="960" w:type="dxa"/>
            <w:vAlign w:val="bottom"/>
            <w:tcBorders>
              <w:top w:val="single" w:sz="8" w:color="auto"/>
              <w:bottom w:val="single" w:sz="8" w:color="auto"/>
            </w:tcBorders>
          </w:tcPr>
          <w:p>
            <w:pPr>
              <w:jc w:val="right"/>
              <w:ind w:right="803"/>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973,914</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4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5"/>
                <w:szCs w:val="15"/>
                <w:color w:val="auto"/>
              </w:rPr>
              <w:t>F-21</w:t>
            </w: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05" w:right="31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5"/>
                <w:szCs w:val="15"/>
                <w:b w:val="1"/>
                <w:bCs w:val="1"/>
                <w:color w:val="auto"/>
              </w:rPr>
              <w:t>December 31, 2023</w:t>
            </w:r>
          </w:p>
        </w:tc>
        <w:tc>
          <w:tcPr>
            <w:tcW w:w="1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Weighted</w:t>
            </w:r>
          </w:p>
        </w:tc>
        <w:tc>
          <w:tcPr>
            <w:tcW w:w="0" w:type="dxa"/>
            <w:vAlign w:val="bottom"/>
          </w:tcPr>
          <w:p>
            <w:pPr>
              <w:spacing w:after="0"/>
              <w:rPr>
                <w:sz w:val="1"/>
                <w:szCs w:val="1"/>
                <w:color w:val="auto"/>
              </w:rPr>
            </w:pPr>
          </w:p>
        </w:tc>
      </w:tr>
      <w:tr>
        <w:trPr>
          <w:trHeight w:val="157"/>
        </w:trPr>
        <w:tc>
          <w:tcPr>
            <w:tcW w:w="4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500"/>
              <w:spacing w:after="0" w:line="157" w:lineRule="exact"/>
              <w:rPr>
                <w:sz w:val="20"/>
                <w:szCs w:val="20"/>
                <w:color w:val="auto"/>
              </w:rPr>
            </w:pPr>
            <w:r>
              <w:rPr>
                <w:rFonts w:ascii="Times New Roman" w:cs="Times New Roman" w:eastAsia="Times New Roman" w:hAnsi="Times New Roman"/>
                <w:sz w:val="15"/>
                <w:szCs w:val="15"/>
                <w:b w:val="1"/>
                <w:bCs w:val="1"/>
                <w:color w:val="auto"/>
              </w:rPr>
              <w:t>Gross</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520"/>
              <w:spacing w:after="0"/>
              <w:rPr>
                <w:sz w:val="20"/>
                <w:szCs w:val="20"/>
                <w:color w:val="auto"/>
              </w:rPr>
            </w:pPr>
            <w:r>
              <w:rPr>
                <w:rFonts w:ascii="Times New Roman" w:cs="Times New Roman" w:eastAsia="Times New Roman" w:hAnsi="Times New Roman"/>
                <w:sz w:val="15"/>
                <w:szCs w:val="15"/>
                <w:b w:val="1"/>
                <w:bCs w:val="1"/>
                <w:color w:val="auto"/>
              </w:rPr>
              <w:t>Carrying</w:t>
            </w:r>
          </w:p>
        </w:tc>
        <w:tc>
          <w:tcPr>
            <w:tcW w:w="100" w:type="dxa"/>
            <w:vAlign w:val="bottom"/>
          </w:tcPr>
          <w:p>
            <w:pPr>
              <w:spacing w:after="0"/>
              <w:rPr>
                <w:sz w:val="17"/>
                <w:szCs w:val="17"/>
                <w:color w:val="auto"/>
              </w:rPr>
            </w:pPr>
          </w:p>
        </w:tc>
        <w:tc>
          <w:tcPr>
            <w:tcW w:w="1380" w:type="dxa"/>
            <w:vAlign w:val="bottom"/>
            <w:gridSpan w:val="2"/>
          </w:tcPr>
          <w:p>
            <w:pPr>
              <w:jc w:val="right"/>
              <w:ind w:right="442"/>
              <w:spacing w:after="0"/>
              <w:rPr>
                <w:sz w:val="20"/>
                <w:szCs w:val="20"/>
                <w:color w:val="auto"/>
              </w:rPr>
            </w:pPr>
            <w:r>
              <w:rPr>
                <w:rFonts w:ascii="Times New Roman" w:cs="Times New Roman" w:eastAsia="Times New Roman" w:hAnsi="Times New Roman"/>
                <w:sz w:val="15"/>
                <w:szCs w:val="15"/>
                <w:b w:val="1"/>
                <w:bCs w:val="1"/>
                <w:color w:val="auto"/>
              </w:rPr>
              <w:t>Accumulated</w:t>
            </w:r>
          </w:p>
        </w:tc>
        <w:tc>
          <w:tcPr>
            <w:tcW w:w="96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Impairment</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b w:val="1"/>
                <w:bCs w:val="1"/>
                <w:color w:val="auto"/>
              </w:rPr>
              <w:t>Net Book</w:t>
            </w:r>
          </w:p>
        </w:tc>
        <w:tc>
          <w:tcPr>
            <w:tcW w:w="3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Average</w:t>
            </w:r>
          </w:p>
        </w:tc>
        <w:tc>
          <w:tcPr>
            <w:tcW w:w="0" w:type="dxa"/>
            <w:vAlign w:val="bottom"/>
          </w:tcPr>
          <w:p>
            <w:pPr>
              <w:spacing w:after="0"/>
              <w:rPr>
                <w:sz w:val="1"/>
                <w:szCs w:val="1"/>
                <w:color w:val="auto"/>
              </w:rPr>
            </w:pPr>
          </w:p>
        </w:tc>
      </w:tr>
      <w:tr>
        <w:trPr>
          <w:trHeight w:val="203"/>
        </w:trPr>
        <w:tc>
          <w:tcPr>
            <w:tcW w:w="4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50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100" w:type="dxa"/>
            <w:vAlign w:val="bottom"/>
          </w:tcPr>
          <w:p>
            <w:pPr>
              <w:spacing w:after="0"/>
              <w:rPr>
                <w:sz w:val="17"/>
                <w:szCs w:val="17"/>
                <w:color w:val="auto"/>
              </w:rPr>
            </w:pPr>
          </w:p>
        </w:tc>
        <w:tc>
          <w:tcPr>
            <w:tcW w:w="1380" w:type="dxa"/>
            <w:vAlign w:val="bottom"/>
            <w:gridSpan w:val="2"/>
          </w:tcPr>
          <w:p>
            <w:pPr>
              <w:jc w:val="right"/>
              <w:ind w:right="442"/>
              <w:spacing w:after="0"/>
              <w:rPr>
                <w:sz w:val="20"/>
                <w:szCs w:val="20"/>
                <w:color w:val="auto"/>
              </w:rPr>
            </w:pPr>
            <w:r>
              <w:rPr>
                <w:rFonts w:ascii="Times New Roman" w:cs="Times New Roman" w:eastAsia="Times New Roman" w:hAnsi="Times New Roman"/>
                <w:sz w:val="15"/>
                <w:szCs w:val="15"/>
                <w:b w:val="1"/>
                <w:bCs w:val="1"/>
                <w:color w:val="auto"/>
              </w:rPr>
              <w:t>Amortization</w:t>
            </w: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15"/>
                <w:szCs w:val="15"/>
                <w:b w:val="1"/>
                <w:bCs w:val="1"/>
                <w:color w:val="auto"/>
              </w:rPr>
              <w:t>Loss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5"/>
                <w:szCs w:val="15"/>
                <w:b w:val="1"/>
                <w:bCs w:val="1"/>
                <w:color w:val="auto"/>
              </w:rPr>
              <w:t>Value</w:t>
            </w:r>
          </w:p>
        </w:tc>
        <w:tc>
          <w:tcPr>
            <w:tcW w:w="3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Useful Life</w:t>
            </w:r>
          </w:p>
        </w:tc>
        <w:tc>
          <w:tcPr>
            <w:tcW w:w="0" w:type="dxa"/>
            <w:vAlign w:val="bottom"/>
          </w:tcPr>
          <w:p>
            <w:pPr>
              <w:spacing w:after="0"/>
              <w:rPr>
                <w:sz w:val="1"/>
                <w:szCs w:val="1"/>
                <w:color w:val="auto"/>
              </w:rPr>
            </w:pPr>
          </w:p>
        </w:tc>
      </w:tr>
      <w:tr>
        <w:trPr>
          <w:trHeight w:val="190"/>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 and license rights from related parties</w:t>
            </w:r>
          </w:p>
        </w:tc>
        <w:tc>
          <w:tcPr>
            <w:tcW w:w="160" w:type="dxa"/>
            <w:vAlign w:val="bottom"/>
            <w:tcBorders>
              <w:top w:val="single" w:sz="8" w:color="auto"/>
              <w:bottom w:val="single" w:sz="8" w:color="CCEEFF"/>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136,665,000</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(136,665,000)</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jc w:val="right"/>
              <w:ind w:right="803"/>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3 - 5 years</w:t>
            </w:r>
          </w:p>
        </w:tc>
        <w:tc>
          <w:tcPr>
            <w:tcW w:w="0" w:type="dxa"/>
            <w:vAlign w:val="bottom"/>
          </w:tcPr>
          <w:p>
            <w:pPr>
              <w:spacing w:after="0"/>
              <w:rPr>
                <w:sz w:val="1"/>
                <w:szCs w:val="1"/>
                <w:color w:val="auto"/>
              </w:rPr>
            </w:pPr>
          </w:p>
        </w:tc>
      </w:tr>
      <w:tr>
        <w:trPr>
          <w:trHeight w:val="199"/>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License rights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3,000,000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right"/>
              <w:ind w:right="262"/>
              <w:spacing w:after="0"/>
              <w:rPr>
                <w:sz w:val="20"/>
                <w:szCs w:val="20"/>
                <w:color w:val="auto"/>
              </w:rPr>
            </w:pPr>
            <w:r>
              <w:rPr>
                <w:rFonts w:ascii="Times New Roman" w:cs="Times New Roman" w:eastAsia="Times New Roman" w:hAnsi="Times New Roman"/>
                <w:sz w:val="15"/>
                <w:szCs w:val="15"/>
                <w:color w:val="auto"/>
              </w:rPr>
              <w:t>(3,000,000)</w:t>
            </w:r>
          </w:p>
        </w:tc>
        <w:tc>
          <w:tcPr>
            <w:tcW w:w="960" w:type="dxa"/>
            <w:vAlign w:val="bottom"/>
          </w:tcPr>
          <w:p>
            <w:pPr>
              <w:spacing w:after="0"/>
              <w:rPr>
                <w:sz w:val="17"/>
                <w:szCs w:val="17"/>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5 years</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Software</w:t>
            </w:r>
          </w:p>
        </w:tc>
        <w:tc>
          <w:tcPr>
            <w:tcW w:w="1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51,784</w:t>
            </w: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5"/>
                <w:szCs w:val="15"/>
                <w:color w:val="auto"/>
              </w:rPr>
              <w:t>(51,784)</w:t>
            </w:r>
          </w:p>
        </w:tc>
        <w:tc>
          <w:tcPr>
            <w:tcW w:w="960" w:type="dxa"/>
            <w:vAlign w:val="bottom"/>
            <w:shd w:val="clear" w:color="auto" w:fill="CCEEFF"/>
          </w:tcPr>
          <w:p>
            <w:pPr>
              <w:spacing w:after="0"/>
              <w:rPr>
                <w:sz w:val="16"/>
                <w:szCs w:val="16"/>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3 - 5 years</w:t>
            </w:r>
          </w:p>
        </w:tc>
        <w:tc>
          <w:tcPr>
            <w:tcW w:w="0" w:type="dxa"/>
            <w:vAlign w:val="bottom"/>
          </w:tcPr>
          <w:p>
            <w:pPr>
              <w:spacing w:after="0"/>
              <w:rPr>
                <w:sz w:val="1"/>
                <w:szCs w:val="1"/>
                <w:color w:val="auto"/>
              </w:rPr>
            </w:pPr>
          </w:p>
        </w:tc>
      </w:tr>
      <w:tr>
        <w:trPr>
          <w:trHeight w:val="184"/>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Trademark</w:t>
            </w:r>
          </w:p>
        </w:tc>
        <w:tc>
          <w:tcPr>
            <w:tcW w:w="160" w:type="dxa"/>
            <w:vAlign w:val="bottom"/>
          </w:tcPr>
          <w:p>
            <w:pPr>
              <w:spacing w:after="0"/>
              <w:rPr>
                <w:sz w:val="16"/>
                <w:szCs w:val="16"/>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10,745</w:t>
            </w:r>
          </w:p>
        </w:tc>
        <w:tc>
          <w:tcPr>
            <w:tcW w:w="100" w:type="dxa"/>
            <w:vAlign w:val="bottom"/>
          </w:tcPr>
          <w:p>
            <w:pPr>
              <w:spacing w:after="0"/>
              <w:rPr>
                <w:sz w:val="16"/>
                <w:szCs w:val="16"/>
                <w:color w:val="auto"/>
              </w:rPr>
            </w:pPr>
          </w:p>
        </w:tc>
        <w:tc>
          <w:tcPr>
            <w:tcW w:w="1380" w:type="dxa"/>
            <w:vAlign w:val="bottom"/>
            <w:gridSpan w:val="2"/>
          </w:tcPr>
          <w:p>
            <w:pPr>
              <w:jc w:val="right"/>
              <w:ind w:right="262"/>
              <w:spacing w:after="0"/>
              <w:rPr>
                <w:sz w:val="20"/>
                <w:szCs w:val="20"/>
                <w:color w:val="auto"/>
              </w:rPr>
            </w:pPr>
            <w:r>
              <w:rPr>
                <w:rFonts w:ascii="Times New Roman" w:cs="Times New Roman" w:eastAsia="Times New Roman" w:hAnsi="Times New Roman"/>
                <w:sz w:val="15"/>
                <w:szCs w:val="15"/>
                <w:color w:val="auto"/>
              </w:rPr>
              <w:t>(9,914)</w:t>
            </w:r>
          </w:p>
        </w:tc>
        <w:tc>
          <w:tcPr>
            <w:tcW w:w="960" w:type="dxa"/>
            <w:vAlign w:val="bottom"/>
          </w:tcPr>
          <w:p>
            <w:pPr>
              <w:spacing w:after="0"/>
              <w:rPr>
                <w:sz w:val="16"/>
                <w:szCs w:val="16"/>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831</w:t>
            </w:r>
          </w:p>
        </w:tc>
        <w:tc>
          <w:tcPr>
            <w:tcW w:w="3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12 years</w:t>
            </w:r>
          </w:p>
        </w:tc>
        <w:tc>
          <w:tcPr>
            <w:tcW w:w="0" w:type="dxa"/>
            <w:vAlign w:val="bottom"/>
          </w:tcPr>
          <w:p>
            <w:pPr>
              <w:spacing w:after="0"/>
              <w:rPr>
                <w:sz w:val="1"/>
                <w:szCs w:val="1"/>
                <w:color w:val="auto"/>
              </w:rPr>
            </w:pPr>
          </w:p>
        </w:tc>
      </w:tr>
      <w:tr>
        <w:trPr>
          <w:trHeight w:val="196"/>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In-progress patent</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270,886</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270,886</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180" w:type="dxa"/>
            <w:vAlign w:val="bottom"/>
          </w:tcPr>
          <w:p>
            <w:pPr>
              <w:spacing w:after="0"/>
              <w:rPr>
                <w:sz w:val="20"/>
                <w:szCs w:val="20"/>
                <w:color w:val="auto"/>
              </w:rPr>
            </w:pPr>
            <w:r>
              <w:rPr>
                <w:rFonts w:ascii="Times New Roman" w:cs="Times New Roman" w:eastAsia="Times New Roman" w:hAnsi="Times New Roman"/>
                <w:sz w:val="15"/>
                <w:szCs w:val="15"/>
                <w:color w:val="auto"/>
              </w:rPr>
              <w:t>Total:</w:t>
            </w:r>
          </w:p>
        </w:tc>
        <w:tc>
          <w:tcPr>
            <w:tcW w:w="160" w:type="dxa"/>
            <w:vAlign w:val="bottom"/>
            <w:tcBorders>
              <w:top w:val="single" w:sz="8" w:color="auto"/>
              <w:bottom w:val="single" w:sz="8" w:color="auto"/>
            </w:tcBorders>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139,998,415</w:t>
            </w:r>
          </w:p>
        </w:tc>
        <w:tc>
          <w:tcPr>
            <w:tcW w:w="34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(139,726,698</w:t>
            </w:r>
          </w:p>
        </w:tc>
        <w:tc>
          <w:tcPr>
            <w:tcW w:w="340" w:type="dxa"/>
            <w:vAlign w:val="bottom"/>
          </w:tcPr>
          <w:p>
            <w:pPr>
              <w:jc w:val="right"/>
              <w:ind w:right="262"/>
              <w:spacing w:after="0"/>
              <w:rPr>
                <w:sz w:val="20"/>
                <w:szCs w:val="20"/>
                <w:color w:val="auto"/>
              </w:rPr>
            </w:pPr>
            <w:r>
              <w:rPr>
                <w:rFonts w:ascii="Times New Roman" w:cs="Times New Roman" w:eastAsia="Times New Roman" w:hAnsi="Times New Roman"/>
                <w:sz w:val="8"/>
                <w:szCs w:val="8"/>
                <w:color w:val="auto"/>
                <w:w w:val="73"/>
              </w:rPr>
              <w:t>)</w:t>
            </w:r>
          </w:p>
        </w:tc>
        <w:tc>
          <w:tcPr>
            <w:tcW w:w="960" w:type="dxa"/>
            <w:vAlign w:val="bottom"/>
            <w:tcBorders>
              <w:top w:val="single" w:sz="8" w:color="auto"/>
              <w:bottom w:val="single" w:sz="8" w:color="auto"/>
            </w:tcBorders>
          </w:tcPr>
          <w:p>
            <w:pPr>
              <w:jc w:val="right"/>
              <w:ind w:right="803"/>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5"/>
                <w:szCs w:val="15"/>
                <w:color w:val="auto"/>
                <w:w w:val="93"/>
              </w:rPr>
              <w:t>—</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271,717</w:t>
            </w:r>
          </w:p>
        </w:tc>
        <w:tc>
          <w:tcPr>
            <w:tcW w:w="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Amortization expense was $7,804 and $1,384,862 for the years ended December 31, 2024 and 2023, respectively. These amounts are included in cost of revenues in the accompanying consolidated statements of operations and comprehensive income (loss). The weighted average remaining useful life for which amortization expense will be recognized is 3.0 years as of December 31, 2024. Future amortization expense of intangible assets is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24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Years ending December 31,</w:t>
            </w:r>
          </w:p>
        </w:tc>
        <w:tc>
          <w:tcPr>
            <w:tcW w:w="380" w:type="dxa"/>
            <w:vAlign w:val="bottom"/>
          </w:tcPr>
          <w:p>
            <w:pPr>
              <w:spacing w:after="0"/>
              <w:rPr>
                <w:sz w:val="17"/>
                <w:szCs w:val="17"/>
                <w:color w:val="auto"/>
              </w:rPr>
            </w:pPr>
          </w:p>
        </w:tc>
        <w:tc>
          <w:tcPr>
            <w:tcW w:w="1640" w:type="dxa"/>
            <w:vAlign w:val="bottom"/>
            <w:gridSpan w:val="2"/>
          </w:tcPr>
          <w:p>
            <w:pPr>
              <w:ind w:left="300"/>
              <w:spacing w:after="0"/>
              <w:rPr>
                <w:sz w:val="20"/>
                <w:szCs w:val="20"/>
                <w:color w:val="auto"/>
              </w:rPr>
            </w:pPr>
            <w:r>
              <w:rPr>
                <w:rFonts w:ascii="Times New Roman" w:cs="Times New Roman" w:eastAsia="Times New Roman" w:hAnsi="Times New Roman"/>
                <w:sz w:val="15"/>
                <w:szCs w:val="15"/>
                <w:b w:val="1"/>
                <w:bCs w:val="1"/>
                <w:color w:val="auto"/>
              </w:rPr>
              <w:t>Amount</w:t>
            </w:r>
          </w:p>
        </w:tc>
      </w:tr>
      <w:tr>
        <w:trPr>
          <w:trHeight w:val="176"/>
        </w:trPr>
        <w:tc>
          <w:tcPr>
            <w:tcW w:w="9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2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142,028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4"/>
        </w:trPr>
        <w:tc>
          <w:tcPr>
            <w:tcW w:w="902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142,000</w:t>
            </w:r>
          </w:p>
        </w:tc>
        <w:tc>
          <w:tcPr>
            <w:tcW w:w="100" w:type="dxa"/>
            <w:vAlign w:val="bottom"/>
          </w:tcPr>
          <w:p>
            <w:pPr>
              <w:spacing w:after="0"/>
              <w:rPr>
                <w:sz w:val="16"/>
                <w:szCs w:val="16"/>
                <w:color w:val="auto"/>
              </w:rPr>
            </w:pPr>
          </w:p>
        </w:tc>
      </w:tr>
      <w:tr>
        <w:trPr>
          <w:trHeight w:val="184"/>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142,000</w:t>
            </w:r>
          </w:p>
        </w:tc>
        <w:tc>
          <w:tcPr>
            <w:tcW w:w="100" w:type="dxa"/>
            <w:vAlign w:val="bottom"/>
            <w:shd w:val="clear" w:color="auto" w:fill="CCEEFF"/>
          </w:tcPr>
          <w:p>
            <w:pPr>
              <w:spacing w:after="0"/>
              <w:rPr>
                <w:sz w:val="16"/>
                <w:szCs w:val="16"/>
                <w:color w:val="auto"/>
              </w:rPr>
            </w:pPr>
          </w:p>
        </w:tc>
      </w:tr>
      <w:tr>
        <w:trPr>
          <w:trHeight w:val="184"/>
        </w:trPr>
        <w:tc>
          <w:tcPr>
            <w:tcW w:w="902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142,000</w:t>
            </w:r>
          </w:p>
        </w:tc>
        <w:tc>
          <w:tcPr>
            <w:tcW w:w="100" w:type="dxa"/>
            <w:vAlign w:val="bottom"/>
          </w:tcPr>
          <w:p>
            <w:pPr>
              <w:spacing w:after="0"/>
              <w:rPr>
                <w:sz w:val="16"/>
                <w:szCs w:val="16"/>
                <w:color w:val="auto"/>
              </w:rPr>
            </w:pPr>
          </w:p>
        </w:tc>
      </w:tr>
      <w:tr>
        <w:trPr>
          <w:trHeight w:val="184"/>
        </w:trPr>
        <w:tc>
          <w:tcPr>
            <w:tcW w:w="90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135,000</w:t>
            </w:r>
          </w:p>
        </w:tc>
        <w:tc>
          <w:tcPr>
            <w:tcW w:w="100" w:type="dxa"/>
            <w:vAlign w:val="bottom"/>
            <w:shd w:val="clear" w:color="auto" w:fill="CCEEFF"/>
          </w:tcPr>
          <w:p>
            <w:pPr>
              <w:spacing w:after="0"/>
              <w:rPr>
                <w:sz w:val="16"/>
                <w:szCs w:val="16"/>
                <w:color w:val="auto"/>
              </w:rPr>
            </w:pPr>
          </w:p>
        </w:tc>
      </w:tr>
      <w:tr>
        <w:trPr>
          <w:trHeight w:val="196"/>
        </w:trPr>
        <w:tc>
          <w:tcPr>
            <w:tcW w:w="92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5"/>
                <w:szCs w:val="15"/>
                <w:color w:val="auto"/>
              </w:rPr>
              <w:t>Thereafter</w:t>
            </w:r>
          </w:p>
        </w:tc>
        <w:tc>
          <w:tcPr>
            <w:tcW w:w="3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270,886</w:t>
            </w:r>
          </w:p>
        </w:tc>
        <w:tc>
          <w:tcPr>
            <w:tcW w:w="100" w:type="dxa"/>
            <w:vAlign w:val="bottom"/>
            <w:tcBorders>
              <w:bottom w:val="single" w:sz="8" w:color="CCEEFF"/>
            </w:tcBorders>
          </w:tcPr>
          <w:p>
            <w:pPr>
              <w:spacing w:after="0"/>
              <w:rPr>
                <w:sz w:val="17"/>
                <w:szCs w:val="17"/>
                <w:color w:val="auto"/>
              </w:rPr>
            </w:pPr>
          </w:p>
        </w:tc>
      </w:tr>
      <w:tr>
        <w:trPr>
          <w:trHeight w:val="187"/>
        </w:trPr>
        <w:tc>
          <w:tcPr>
            <w:tcW w:w="90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3"/>
              <w:spacing w:after="0"/>
              <w:rPr>
                <w:sz w:val="20"/>
                <w:szCs w:val="20"/>
                <w:color w:val="auto"/>
              </w:rPr>
            </w:pPr>
            <w:r>
              <w:rPr>
                <w:rFonts w:ascii="Times New Roman" w:cs="Times New Roman" w:eastAsia="Times New Roman" w:hAnsi="Times New Roman"/>
                <w:sz w:val="15"/>
                <w:szCs w:val="15"/>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973,914</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20"/>
        </w:trPr>
        <w:tc>
          <w:tcPr>
            <w:tcW w:w="9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10 – ACCOUNTS PAYABLE — RELATED PARTIES</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5"/>
          <w:szCs w:val="15"/>
          <w:color w:val="auto"/>
        </w:rPr>
        <w:t xml:space="preserve">Accounts payable due to related parties represents payables in the ordinary course of business primarily for purchases of game distribution licenses, research and development costs and also the royalties due to Suzhou Snail and SDE. As of December 31, 2024 and 2023, the Company had $15,383,171 and $18,147,958, respectively, as accounts payable due to Suzhou Snail; and $2,336,274, as net accounts receivable due from SDE as of December 31, 2024, see Note 5 — </w:t>
      </w:r>
      <w:r>
        <w:rPr>
          <w:rFonts w:ascii="Times New Roman" w:cs="Times New Roman" w:eastAsia="Times New Roman" w:hAnsi="Times New Roman"/>
          <w:sz w:val="15"/>
          <w:szCs w:val="15"/>
          <w:i w:val="1"/>
          <w:iCs w:val="1"/>
          <w:color w:val="auto"/>
        </w:rPr>
        <w:t>Accounts Receivable (Payable) — Related Party</w:t>
      </w:r>
      <w:r>
        <w:rPr>
          <w:rFonts w:ascii="Times New Roman" w:cs="Times New Roman" w:eastAsia="Times New Roman" w:hAnsi="Times New Roman"/>
          <w:sz w:val="15"/>
          <w:szCs w:val="15"/>
          <w:color w:val="auto"/>
        </w:rPr>
        <w:t>. During the years ended December 31, 2024 and 2023, the Company incurred $192,213 and $279,699, respectively as license costs due to Suzhou Snail and included in cost of revenues. In March 2024, the Company entered into an outsource agreement with Suzhou Snail for the research and development of a new title. In consideration, the Company paid Suzhou Snail twelve equal monthly payments of $253,000, beginning on January 1, 2024. In July 2024, the Company entered into another software development, publishing and distribution agreement with Suzhou Snail. Under the terms of the agreements Suzhou Snail will develop a game for distribution by the Company and the Company will make $4.5 million in milestone payments during the development of the game and an ongoing royalty on sales of the game. The Company made $1.5 million in milestone payments under the July contract, in 2024. In December 2024, the Company entered into an agreement with Suzhou Snail for the development of an application to deliver short film content to end users. In accordance with the agreement Suzhou Snail will develop the app for release and will receive $290,000 as a development fee. As of December 31, 2024, the development fee has been capitalized as an intangible asset in the Company’s consolidated balance sheet and accrued as accounts payable – related parties. During the years ended December 31, 2024 and 2023, respectively, there were $7,783,000 and $2,050,000 in payments to Suzhou Snail for royalties and research and development costs. The royalty payments are included in costs of revenues and research and development costs are included in operating expenses in the consolidated statements of operations and comprehensive income (loss). Accounts payable – related parties consisted of the following as of December 31, 2024 and 2023: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00" w:type="dxa"/>
            <w:vAlign w:val="bottom"/>
          </w:tcPr>
          <w:p>
            <w:pPr>
              <w:spacing w:after="0"/>
              <w:rPr>
                <w:sz w:val="17"/>
                <w:szCs w:val="17"/>
                <w:color w:val="auto"/>
              </w:rPr>
            </w:pPr>
          </w:p>
        </w:tc>
        <w:tc>
          <w:tcPr>
            <w:tcW w:w="344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76"/>
        </w:trPr>
        <w:tc>
          <w:tcPr>
            <w:tcW w:w="4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 - Suzhou</w:t>
            </w:r>
          </w:p>
        </w:tc>
        <w:tc>
          <w:tcPr>
            <w:tcW w:w="228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ind w:right="100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52,998,084</w:t>
            </w:r>
          </w:p>
        </w:tc>
        <w:tc>
          <w:tcPr>
            <w:tcW w:w="3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333"/>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55,762,870</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r>
      <w:tr>
        <w:trPr>
          <w:trHeight w:val="184"/>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Less: accounts receivable - Suzhou</w:t>
            </w:r>
          </w:p>
        </w:tc>
        <w:tc>
          <w:tcPr>
            <w:tcW w:w="2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(37,614,913)</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(37,614,912)</w:t>
            </w:r>
          </w:p>
        </w:tc>
      </w:tr>
      <w:tr>
        <w:trPr>
          <w:trHeight w:val="19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Accounts payable - SDE</w:t>
            </w:r>
          </w:p>
        </w:tc>
        <w:tc>
          <w:tcPr>
            <w:tcW w:w="2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4,946,478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87"/>
        </w:trPr>
        <w:tc>
          <w:tcPr>
            <w:tcW w:w="4700" w:type="dxa"/>
            <w:vAlign w:val="bottom"/>
          </w:tcPr>
          <w:p>
            <w:pPr>
              <w:spacing w:after="0"/>
              <w:rPr>
                <w:sz w:val="20"/>
                <w:szCs w:val="20"/>
                <w:color w:val="auto"/>
              </w:rPr>
            </w:pPr>
            <w:r>
              <w:rPr>
                <w:rFonts w:ascii="Times New Roman" w:cs="Times New Roman" w:eastAsia="Times New Roman" w:hAnsi="Times New Roman"/>
                <w:sz w:val="15"/>
                <w:szCs w:val="15"/>
                <w:color w:val="auto"/>
              </w:rPr>
              <w:t>Total accounts payable – related parties</w:t>
            </w:r>
          </w:p>
        </w:tc>
        <w:tc>
          <w:tcPr>
            <w:tcW w:w="228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ind w:right="1003"/>
              <w:spacing w:after="0"/>
              <w:rPr>
                <w:sz w:val="20"/>
                <w:szCs w:val="20"/>
                <w:color w:val="auto"/>
              </w:rPr>
            </w:pPr>
            <w:r>
              <w:rPr>
                <w:rFonts w:ascii="Times New Roman" w:cs="Times New Roman" w:eastAsia="Times New Roman" w:hAnsi="Times New Roman"/>
                <w:sz w:val="15"/>
                <w:szCs w:val="15"/>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15,383,171</w:t>
            </w:r>
          </w:p>
        </w:tc>
        <w:tc>
          <w:tcPr>
            <w:tcW w:w="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5"/>
                <w:szCs w:val="5"/>
                <w:color w:val="auto"/>
                <w:w w:val="78"/>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23,094,436</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0"/>
        </w:trPr>
        <w:tc>
          <w:tcPr>
            <w:tcW w:w="4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11 – LOAN AND INTEREST RECEIVABLE — RELATED PARTY</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In February 2021, the Company loaned $200,000 to a wholly owned subsidiary of Suzhou Snail. The loan bears 2.0% per annum interest, interest and principal were due in February 2022. In February 2022, Suzhou Snail signed an agreement with this subsidiary and assumed the loan and related interest for a total of $203,890. Subsequently, $103,890 was offset against the loan and interest payable owed to Suzhou Snail on a separate note. The total amount of loan and interest receivable — related party was $105,759 and $103,753, as of December 31, 2024 and 2023, respectively. The Company earned $2,005 and $2,000 in interest on the related party loans receivable during years ended December 31, 2024 and 2023, respectively.</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NOTE 12 – REVOLVING LOAN, SHORT TERM NOTES AND LONG - TERM DEBT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80"/>
        </w:trPr>
        <w:tc>
          <w:tcPr>
            <w:tcW w:w="6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gridSpan w:val="2"/>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December 31, 2024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0" w:type="dxa"/>
            <w:vAlign w:val="bottom"/>
            <w:gridSpan w:val="2"/>
          </w:tcPr>
          <w:p>
            <w:pPr>
              <w:ind w:left="120"/>
              <w:spacing w:after="0"/>
              <w:rPr>
                <w:sz w:val="20"/>
                <w:szCs w:val="20"/>
                <w:color w:val="auto"/>
              </w:rPr>
            </w:pPr>
            <w:r>
              <w:rPr>
                <w:rFonts w:ascii="Times New Roman" w:cs="Times New Roman" w:eastAsia="Times New Roman" w:hAnsi="Times New Roman"/>
                <w:sz w:val="15"/>
                <w:szCs w:val="15"/>
                <w:b w:val="1"/>
                <w:bCs w:val="1"/>
                <w:color w:val="auto"/>
              </w:rPr>
              <w:t>December 31, 2023</w:t>
            </w:r>
          </w:p>
        </w:tc>
      </w:tr>
      <w:tr>
        <w:trPr>
          <w:trHeight w:val="150"/>
        </w:trPr>
        <w:tc>
          <w:tcPr>
            <w:tcW w:w="6860" w:type="dxa"/>
            <w:vAlign w:val="bottom"/>
            <w:tcBorders>
              <w:top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b w:val="1"/>
                <w:bCs w:val="1"/>
                <w:color w:val="auto"/>
              </w:rPr>
              <w:t xml:space="preserve">2021 Revolving Loan </w:t>
            </w:r>
            <w:r>
              <w:rPr>
                <w:rFonts w:ascii="Times New Roman" w:cs="Times New Roman" w:eastAsia="Times New Roman" w:hAnsi="Times New Roman"/>
                <w:sz w:val="15"/>
                <w:szCs w:val="15"/>
                <w:color w:val="auto"/>
              </w:rPr>
              <w:t>- On June 21, 2023, the Company amended its revolving loan agreement (“amended</w:t>
            </w: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3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revolver”) and decreased the maximum balance from $9,000,000 to $6,000,000. The revolving maturity date</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of revolving loan is extended to June 30, 2025 and has an annual interest rate equal to the prime rate less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0.25%. At December 31, 2024, the interest rate on this loan was 7.25%. Debt covenants of this loan require</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the Company to maintain a minimum debt service coverage ratio of at least 1.5 to 1. The Company was in</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compliance with the debt service coverage ratio for the trailing twelve month period ended December 31,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2024 and is expected to be in non-compliance within the next twelve months.</w:t>
            </w:r>
          </w:p>
        </w:tc>
        <w:tc>
          <w:tcPr>
            <w:tcW w:w="340" w:type="dxa"/>
            <w:vAlign w:val="bottom"/>
            <w:gridSpan w:val="2"/>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rPr>
              <w:t>$</w:t>
            </w: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3,000,000</w:t>
            </w:r>
          </w:p>
        </w:tc>
        <w:tc>
          <w:tcPr>
            <w:tcW w:w="20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1"/>
                <w:szCs w:val="11"/>
                <w:color w:val="auto"/>
                <w:w w:val="71"/>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6,000,000</w:t>
            </w:r>
          </w:p>
        </w:tc>
        <w:tc>
          <w:tcPr>
            <w:tcW w:w="100" w:type="dxa"/>
            <w:vAlign w:val="bottom"/>
            <w:shd w:val="clear" w:color="auto" w:fill="CCEEFF"/>
          </w:tcPr>
          <w:p>
            <w:pPr>
              <w:spacing w:after="0"/>
              <w:rPr>
                <w:sz w:val="17"/>
                <w:szCs w:val="17"/>
                <w:color w:val="auto"/>
              </w:rPr>
            </w:pPr>
          </w:p>
        </w:tc>
      </w:tr>
      <w:tr>
        <w:trPr>
          <w:trHeight w:val="170"/>
        </w:trPr>
        <w:tc>
          <w:tcPr>
            <w:tcW w:w="6860" w:type="dxa"/>
            <w:vAlign w:val="bottom"/>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 xml:space="preserve">2021 Promissory Note </w:t>
            </w:r>
            <w:r>
              <w:rPr>
                <w:rFonts w:ascii="Times New Roman" w:cs="Times New Roman" w:eastAsia="Times New Roman" w:hAnsi="Times New Roman"/>
                <w:sz w:val="15"/>
                <w:szCs w:val="15"/>
                <w:color w:val="auto"/>
              </w:rPr>
              <w:t>– On June 17, 2021, the Company amended its loan agreement to reduce the principal</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amount with financial institution for 10 years, annual interest rate of 3.5% for the first 5 years, and then</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floating at Wall Street Journal rate from years 6 to 10. The loan is secured by the Company’s building, with a</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carrying value of $4.2 million, and matures on June 30, 2031. The note is subject to a prepayment penalty.</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Debt covenants of this loan require the Company to maintain a minimum debt service coverage ratio of at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least 1.5 to 1. The Company was in compliance with the debt covenants of this loan for the trailing twelve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month period ended December 31, 2024 and is expected to be in non-compliance within the next twelve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months.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2,722,549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2,811,923</w:t>
            </w:r>
          </w:p>
        </w:tc>
        <w:tc>
          <w:tcPr>
            <w:tcW w:w="100" w:type="dxa"/>
            <w:vAlign w:val="bottom"/>
          </w:tcPr>
          <w:p>
            <w:pPr>
              <w:spacing w:after="0"/>
              <w:rPr>
                <w:sz w:val="17"/>
                <w:szCs w:val="17"/>
                <w:color w:val="auto"/>
              </w:rPr>
            </w:pPr>
          </w:p>
        </w:tc>
      </w:tr>
      <w:tr>
        <w:trPr>
          <w:trHeight w:val="170"/>
        </w:trPr>
        <w:tc>
          <w:tcPr>
            <w:tcW w:w="68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 xml:space="preserve">2022 Short Term Note </w:t>
            </w:r>
            <w:r>
              <w:rPr>
                <w:rFonts w:ascii="Times New Roman" w:cs="Times New Roman" w:eastAsia="Times New Roman" w:hAnsi="Times New Roman"/>
                <w:sz w:val="15"/>
                <w:szCs w:val="15"/>
                <w:color w:val="auto"/>
              </w:rPr>
              <w:t>- On January 26, 2022, the Company amended its revolving loan and long-term debt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agreements to obtain an additional note with a principal balance of $10,000,000 which was originally set to</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mature on January 26, 2023. Interest was equal to the higher of 3.75% or the Wall Street Journal Prime Rate</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plus 0.50%. The loan was secured by the Company’s assets. In the event of a default, all outstanding amounts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under the note would bear interest at a default rate equal to 5% over the note rate. Debt covenants of this loan</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required the Company to maintain a minimum debt service coverage ratio of at least 1.5 to 1 and would be</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measured quarterly. In November 2022, the maturity was extended to January 26, 2024 and at December 31,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9"/>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2023, the interest rate on this loan was 8.25%. The Company repaid the balance of $833,333 in January 2024.</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833,333</w:t>
            </w:r>
          </w:p>
        </w:tc>
        <w:tc>
          <w:tcPr>
            <w:tcW w:w="100" w:type="dxa"/>
            <w:vAlign w:val="bottom"/>
            <w:shd w:val="clear" w:color="auto" w:fill="CCEEFF"/>
          </w:tcPr>
          <w:p>
            <w:pPr>
              <w:spacing w:after="0"/>
              <w:rPr>
                <w:sz w:val="17"/>
                <w:szCs w:val="17"/>
                <w:color w:val="auto"/>
              </w:rPr>
            </w:pPr>
          </w:p>
        </w:tc>
      </w:tr>
      <w:tr>
        <w:trPr>
          <w:trHeight w:val="170"/>
        </w:trPr>
        <w:tc>
          <w:tcPr>
            <w:tcW w:w="6860" w:type="dxa"/>
            <w:vAlign w:val="bottom"/>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 xml:space="preserve">2023 Convertible Notes </w:t>
            </w:r>
            <w:r>
              <w:rPr>
                <w:rFonts w:ascii="Times New Roman" w:cs="Times New Roman" w:eastAsia="Times New Roman" w:hAnsi="Times New Roman"/>
                <w:sz w:val="15"/>
                <w:szCs w:val="15"/>
                <w:color w:val="auto"/>
              </w:rPr>
              <w:t>– On August 24, 2023, the Company issued convertible notes at a 7.4% discount</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4"/>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and a principal balance of $1,080,000. The notes had an interest rate of 7.5%, were paid in consecutive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monthly installments beginning February 24, 2024 and matured on May 24, 2024. In the event of a default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the interest rate was to be increased to the lower of 16% per annum or the highest amount permitted by</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applicable law. The Company had the option to prepay the notes at any time and the note holders had the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option to convert the notes, in whole or in part, at any time. The Company recognized a discount of $678,254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on the notes to account for the stated discount, the fair value of the warrants issued in connection with the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notes and the costs of issuance. The discount was amortized using the effective interest rate of 103.4%. The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Company repaid $1,020,000 of the balance, and the investors converted $60,000 of the debt into class A</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6860" w:type="dxa"/>
            <w:vAlign w:val="bottom"/>
          </w:tcPr>
          <w:p>
            <w:pPr>
              <w:spacing w:after="0"/>
              <w:rPr>
                <w:sz w:val="20"/>
                <w:szCs w:val="20"/>
                <w:color w:val="auto"/>
              </w:rPr>
            </w:pPr>
            <w:r>
              <w:rPr>
                <w:rFonts w:ascii="Times New Roman" w:cs="Times New Roman" w:eastAsia="Times New Roman" w:hAnsi="Times New Roman"/>
                <w:sz w:val="15"/>
                <w:szCs w:val="15"/>
                <w:color w:val="auto"/>
              </w:rPr>
              <w:t>common stock, during the twelve month period ended December 31, 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1,080,000</w:t>
            </w:r>
          </w:p>
        </w:tc>
        <w:tc>
          <w:tcPr>
            <w:tcW w:w="100" w:type="dxa"/>
            <w:vAlign w:val="bottom"/>
          </w:tcPr>
          <w:p>
            <w:pPr>
              <w:spacing w:after="0"/>
              <w:rPr>
                <w:sz w:val="17"/>
                <w:szCs w:val="17"/>
                <w:color w:val="auto"/>
              </w:rPr>
            </w:pPr>
          </w:p>
        </w:tc>
      </w:tr>
      <w:tr>
        <w:trPr>
          <w:trHeight w:val="170"/>
        </w:trPr>
        <w:tc>
          <w:tcPr>
            <w:tcW w:w="68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5"/>
                <w:szCs w:val="15"/>
                <w:b w:val="1"/>
                <w:bCs w:val="1"/>
                <w:color w:val="auto"/>
              </w:rPr>
              <w:t xml:space="preserve">2023 Note Payable </w:t>
            </w:r>
            <w:r>
              <w:rPr>
                <w:rFonts w:ascii="Times New Roman" w:cs="Times New Roman" w:eastAsia="Times New Roman" w:hAnsi="Times New Roman"/>
                <w:sz w:val="15"/>
                <w:szCs w:val="15"/>
                <w:color w:val="auto"/>
              </w:rPr>
              <w:t>– In July 2023, the Company entered into a cooperation agreement with its internet,</w:t>
            </w: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server and datacenter vendor. The Company agreed to make the vendor the official server host of Ark:</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Survival Evolved and future iterations and sequels of the game for a period of 7 years. In return the vendor</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has agreed to provide the Company with funds in cash of up to $3.0 million without discount and free of</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charges and costs to the Company. The funds are repaid based on 20% of the gross monthly ARK: Survival</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Ascended revenues. The Company has imputed interest at 8.0% on draws made. If in default, the interest rate</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4"/>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is levied on the outstanding balances at a rate of 12.0% per annum. The Company repaid the remaining</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0"/>
        </w:trPr>
        <w:tc>
          <w:tcPr>
            <w:tcW w:w="6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balance of the loan in February, 2024.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1,500,000</w:t>
            </w:r>
          </w:p>
        </w:tc>
        <w:tc>
          <w:tcPr>
            <w:tcW w:w="100" w:type="dxa"/>
            <w:vAlign w:val="bottom"/>
            <w:shd w:val="clear" w:color="auto" w:fill="CCEEFF"/>
          </w:tcPr>
          <w:p>
            <w:pPr>
              <w:spacing w:after="0"/>
              <w:rPr>
                <w:sz w:val="18"/>
                <w:szCs w:val="18"/>
                <w:color w:val="auto"/>
              </w:rPr>
            </w:pPr>
          </w:p>
        </w:tc>
      </w:tr>
      <w:tr>
        <w:trPr>
          <w:trHeight w:val="176"/>
        </w:trPr>
        <w:tc>
          <w:tcPr>
            <w:tcW w:w="6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debt</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5,722,549</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12,225,256</w:t>
            </w:r>
          </w:p>
        </w:tc>
        <w:tc>
          <w:tcPr>
            <w:tcW w:w="100" w:type="dxa"/>
            <w:vAlign w:val="bottom"/>
          </w:tcPr>
          <w:p>
            <w:pPr>
              <w:spacing w:after="0"/>
              <w:rPr>
                <w:sz w:val="15"/>
                <w:szCs w:val="15"/>
                <w:color w:val="auto"/>
              </w:rPr>
            </w:pPr>
          </w:p>
        </w:tc>
      </w:tr>
      <w:tr>
        <w:trPr>
          <w:trHeight w:val="184"/>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Less: discount on convertible notes</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282,639</w:t>
            </w:r>
          </w:p>
        </w:tc>
        <w:tc>
          <w:tcPr>
            <w:tcW w:w="100" w:type="dxa"/>
            <w:vAlign w:val="bottom"/>
            <w:shd w:val="clear" w:color="auto" w:fill="CCEEFF"/>
          </w:tcPr>
          <w:p>
            <w:pPr>
              <w:spacing w:after="0"/>
              <w:rPr>
                <w:sz w:val="16"/>
                <w:szCs w:val="16"/>
                <w:color w:val="auto"/>
              </w:rPr>
            </w:pPr>
          </w:p>
        </w:tc>
      </w:tr>
      <w:tr>
        <w:trPr>
          <w:trHeight w:val="184"/>
        </w:trPr>
        <w:tc>
          <w:tcPr>
            <w:tcW w:w="6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Less: current portion of promissory note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2,722,549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2,811,923</w:t>
            </w:r>
          </w:p>
        </w:tc>
        <w:tc>
          <w:tcPr>
            <w:tcW w:w="100" w:type="dxa"/>
            <w:vAlign w:val="bottom"/>
          </w:tcPr>
          <w:p>
            <w:pPr>
              <w:spacing w:after="0"/>
              <w:rPr>
                <w:sz w:val="16"/>
                <w:szCs w:val="16"/>
                <w:color w:val="auto"/>
              </w:rPr>
            </w:pPr>
          </w:p>
        </w:tc>
      </w:tr>
      <w:tr>
        <w:trPr>
          <w:trHeight w:val="184"/>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Less: revolving loan</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3,000,000</w:t>
            </w: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6,000,000</w:t>
            </w:r>
          </w:p>
        </w:tc>
        <w:tc>
          <w:tcPr>
            <w:tcW w:w="100" w:type="dxa"/>
            <w:vAlign w:val="bottom"/>
            <w:shd w:val="clear" w:color="auto" w:fill="CCEEFF"/>
          </w:tcPr>
          <w:p>
            <w:pPr>
              <w:spacing w:after="0"/>
              <w:rPr>
                <w:sz w:val="16"/>
                <w:szCs w:val="16"/>
                <w:color w:val="auto"/>
              </w:rPr>
            </w:pPr>
          </w:p>
        </w:tc>
      </w:tr>
      <w:tr>
        <w:trPr>
          <w:trHeight w:val="184"/>
        </w:trPr>
        <w:tc>
          <w:tcPr>
            <w:tcW w:w="6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Less: notes payable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2,333,333</w:t>
            </w:r>
          </w:p>
        </w:tc>
        <w:tc>
          <w:tcPr>
            <w:tcW w:w="100" w:type="dxa"/>
            <w:vAlign w:val="bottom"/>
          </w:tcPr>
          <w:p>
            <w:pPr>
              <w:spacing w:after="0"/>
              <w:rPr>
                <w:sz w:val="16"/>
                <w:szCs w:val="16"/>
                <w:color w:val="auto"/>
              </w:rPr>
            </w:pPr>
          </w:p>
        </w:tc>
      </w:tr>
      <w:tr>
        <w:trPr>
          <w:trHeight w:val="196"/>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Less: convertible notes, net of discount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797,361</w:t>
            </w:r>
          </w:p>
        </w:tc>
        <w:tc>
          <w:tcPr>
            <w:tcW w:w="100" w:type="dxa"/>
            <w:vAlign w:val="bottom"/>
            <w:shd w:val="clear" w:color="auto" w:fill="CCEEFF"/>
          </w:tcPr>
          <w:p>
            <w:pPr>
              <w:spacing w:after="0"/>
              <w:rPr>
                <w:sz w:val="17"/>
                <w:szCs w:val="17"/>
                <w:color w:val="auto"/>
              </w:rPr>
            </w:pPr>
          </w:p>
        </w:tc>
      </w:tr>
      <w:tr>
        <w:trPr>
          <w:trHeight w:val="187"/>
        </w:trPr>
        <w:tc>
          <w:tcPr>
            <w:tcW w:w="68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Total long-term debt</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5"/>
                <w:szCs w:val="5"/>
                <w:color w:val="auto"/>
                <w:w w:val="78"/>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r>
      <w:tr>
        <w:trPr>
          <w:trHeight w:val="20"/>
        </w:trPr>
        <w:tc>
          <w:tcPr>
            <w:tcW w:w="6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Total interest expense for the above debt and revolver loan amounted to $713,475 and $1,485,241 for the year ended December 31, 2024 and 2023, respectively. Accretion of the convertible notes and amortization of loan origination expenses and loan discounts of $345,837 and $462,284 are included as part of interest expense for the years ended December 31, 2024 and 2023, respectively. The Company has a weighted average interest rate of 5.6% and 8.1% on its short-term obligations as of December 31, 2024 and 2023, respectively. The Company was in compliance with its debt covenants related to the 2021 Revolving Note and 2021 Promissory note for the trailing twelve months ended December 31, 2024, however it is probable that the Company will fail the covenants within the next 12 months. As such, the Company has classified the long-term portion of its promissory note as current.</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provides future minimum payments of its long-term debt based on contractual payments, as of December 31, 2024:</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20" w:type="dxa"/>
            <w:vAlign w:val="bottom"/>
            <w:gridSpan w:val="2"/>
          </w:tcPr>
          <w:p>
            <w:pPr>
              <w:ind w:left="1120"/>
              <w:spacing w:after="0"/>
              <w:rPr>
                <w:sz w:val="20"/>
                <w:szCs w:val="20"/>
                <w:color w:val="auto"/>
              </w:rPr>
            </w:pPr>
            <w:r>
              <w:rPr>
                <w:rFonts w:ascii="Times New Roman" w:cs="Times New Roman" w:eastAsia="Times New Roman" w:hAnsi="Times New Roman"/>
                <w:sz w:val="15"/>
                <w:szCs w:val="15"/>
                <w:b w:val="1"/>
                <w:bCs w:val="1"/>
                <w:color w:val="auto"/>
              </w:rPr>
              <w:t>Years ending December 31,</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503"/>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6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3,086,013</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89,115</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92,329</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95,414</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99,101</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Thereafter</w:t>
            </w: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2,260,577</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560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5,722,549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b w:val="1"/>
                <w:bCs w:val="1"/>
                <w:color w:val="auto"/>
              </w:rPr>
              <w:t>NOTE 13 – INCOME TAXES</w:t>
            </w:r>
          </w:p>
        </w:tc>
        <w:tc>
          <w:tcPr>
            <w:tcW w:w="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7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components of income (loss) before income taxes for the years ended December 31, 2024 and 2023 are as follows:</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20" w:type="dxa"/>
            <w:vAlign w:val="bottom"/>
          </w:tcPr>
          <w:p>
            <w:pPr>
              <w:spacing w:after="0"/>
              <w:rPr>
                <w:sz w:val="24"/>
                <w:szCs w:val="24"/>
                <w:color w:val="auto"/>
              </w:rPr>
            </w:pPr>
          </w:p>
        </w:tc>
        <w:tc>
          <w:tcPr>
            <w:tcW w:w="56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United States</w:t>
            </w:r>
          </w:p>
        </w:tc>
        <w:tc>
          <w:tcPr>
            <w:tcW w:w="60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2,233,247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(11,666,676)</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Foreign</w:t>
            </w:r>
          </w:p>
        </w:tc>
        <w:tc>
          <w:tcPr>
            <w:tcW w:w="6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225,952</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171,600</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560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2,459,199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(11,495,076</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The income tax provision (benefit) for the years ended December 31, 2024 and 2023 are as follows:</w:t>
            </w: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67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120" w:type="dxa"/>
            <w:vAlign w:val="bottom"/>
          </w:tcPr>
          <w:p>
            <w:pPr>
              <w:spacing w:after="0"/>
              <w:rPr>
                <w:sz w:val="24"/>
                <w:szCs w:val="24"/>
                <w:color w:val="auto"/>
              </w:rPr>
            </w:pPr>
          </w:p>
        </w:tc>
        <w:tc>
          <w:tcPr>
            <w:tcW w:w="560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Current:</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U.S. federal</w:t>
            </w:r>
          </w:p>
        </w:tc>
        <w:tc>
          <w:tcPr>
            <w:tcW w:w="600" w:type="dxa"/>
            <w:vAlign w:val="bottom"/>
          </w:tcPr>
          <w:p>
            <w:pPr>
              <w:jc w:val="right"/>
              <w:ind w:right="44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872,061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w:t>
            </w:r>
          </w:p>
        </w:tc>
        <w:tc>
          <w:tcPr>
            <w:tcW w:w="132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112,344</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 State</w:t>
            </w: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417,447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82,595</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Foreign</w:t>
            </w:r>
          </w:p>
        </w:tc>
        <w:tc>
          <w:tcPr>
            <w:tcW w:w="60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(87,783)</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49,373</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current income taxes</w:t>
            </w:r>
          </w:p>
        </w:tc>
        <w:tc>
          <w:tcPr>
            <w:tcW w:w="60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1,201,725</w:t>
            </w:r>
          </w:p>
        </w:tc>
        <w:tc>
          <w:tcPr>
            <w:tcW w:w="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244,312</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Deferred:</w:t>
            </w: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U.S. federal</w:t>
            </w:r>
          </w:p>
        </w:tc>
        <w:tc>
          <w:tcPr>
            <w:tcW w:w="6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(194,622)</w:t>
            </w: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(2,577,737)</w:t>
            </w:r>
          </w:p>
        </w:tc>
        <w:tc>
          <w:tcPr>
            <w:tcW w:w="0" w:type="dxa"/>
            <w:vAlign w:val="bottom"/>
          </w:tcPr>
          <w:p>
            <w:pPr>
              <w:spacing w:after="0"/>
              <w:rPr>
                <w:sz w:val="1"/>
                <w:szCs w:val="1"/>
                <w:color w:val="auto"/>
              </w:rPr>
            </w:pPr>
          </w:p>
        </w:tc>
      </w:tr>
      <w:tr>
        <w:trPr>
          <w:trHeight w:val="184"/>
        </w:trPr>
        <w:tc>
          <w:tcPr>
            <w:tcW w:w="1120" w:type="dxa"/>
            <w:vAlign w:val="bottom"/>
          </w:tcPr>
          <w:p>
            <w:pPr>
              <w:spacing w:after="0"/>
              <w:rPr>
                <w:sz w:val="16"/>
                <w:szCs w:val="16"/>
                <w:color w:val="auto"/>
              </w:rPr>
            </w:pPr>
          </w:p>
        </w:tc>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U.S. State</w:t>
            </w:r>
          </w:p>
        </w:tc>
        <w:tc>
          <w:tcPr>
            <w:tcW w:w="6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(374,979)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(67,227)</w:t>
            </w: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Foreign</w:t>
            </w:r>
          </w:p>
        </w:tc>
        <w:tc>
          <w:tcPr>
            <w:tcW w:w="6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76"/>
        </w:trPr>
        <w:tc>
          <w:tcPr>
            <w:tcW w:w="1120" w:type="dxa"/>
            <w:vAlign w:val="bottom"/>
          </w:tcPr>
          <w:p>
            <w:pPr>
              <w:spacing w:after="0"/>
              <w:rPr>
                <w:sz w:val="15"/>
                <w:szCs w:val="15"/>
                <w:color w:val="auto"/>
              </w:rPr>
            </w:pPr>
          </w:p>
        </w:tc>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5"/>
                <w:szCs w:val="15"/>
                <w:color w:val="auto"/>
              </w:rPr>
              <w:t>Total deferred income tax benefit</w:t>
            </w:r>
          </w:p>
        </w:tc>
        <w:tc>
          <w:tcPr>
            <w:tcW w:w="6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(569,601</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(2,644,964</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tax provision (benefit)</w:t>
            </w:r>
          </w:p>
        </w:tc>
        <w:tc>
          <w:tcPr>
            <w:tcW w:w="600" w:type="dxa"/>
            <w:vAlign w:val="bottom"/>
            <w:tcBorders>
              <w:bottom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632,124</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(2,400,652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benefits for income taxes differs from the amounts computed by applying the federal statutory tax rate of 21.0% to earnings before income taxes, as follows:</w:t>
      </w:r>
    </w:p>
    <w:p>
      <w:pPr>
        <w:spacing w:after="0" w:line="204" w:lineRule="exact"/>
        <w:rPr>
          <w:sz w:val="20"/>
          <w:szCs w:val="20"/>
          <w:color w:val="auto"/>
        </w:rPr>
      </w:pPr>
    </w:p>
    <w:tbl>
      <w:tblPr>
        <w:tblLayout w:type="fixed"/>
        <w:tblInd w:w="1120" w:type="dxa"/>
        <w:tblCellMar>
          <w:top w:w="0" w:type="dxa"/>
          <w:left w:w="0" w:type="dxa"/>
          <w:bottom w:w="0" w:type="dxa"/>
          <w:right w:w="0" w:type="dxa"/>
        </w:tblCellMar>
      </w:tblPr>
      <w:tr>
        <w:trPr>
          <w:trHeight w:val="203"/>
        </w:trPr>
        <w:tc>
          <w:tcPr>
            <w:tcW w:w="546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360" w:type="dxa"/>
            <w:vAlign w:val="bottom"/>
            <w:tcBorders>
              <w:bottom w:val="single" w:sz="8" w:color="CCEEFF"/>
            </w:tcBorders>
          </w:tcPr>
          <w:p>
            <w:pPr>
              <w:spacing w:after="0"/>
              <w:rPr>
                <w:sz w:val="17"/>
                <w:szCs w:val="17"/>
                <w:color w:val="auto"/>
              </w:rPr>
            </w:pPr>
          </w:p>
        </w:tc>
        <w:tc>
          <w:tcPr>
            <w:tcW w:w="150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r>
      <w:tr>
        <w:trPr>
          <w:trHeight w:val="17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Federal statutory income tax rate</w:t>
            </w:r>
          </w:p>
        </w:tc>
        <w:tc>
          <w:tcPr>
            <w:tcW w:w="18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21.00%</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21.00%</w:t>
            </w:r>
          </w:p>
        </w:tc>
      </w:tr>
      <w:tr>
        <w:trPr>
          <w:trHeight w:val="184"/>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Valuation allowance</w:t>
            </w:r>
          </w:p>
        </w:tc>
        <w:tc>
          <w:tcPr>
            <w:tcW w:w="186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11.94%</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(1.21)%</w:t>
            </w:r>
          </w:p>
        </w:tc>
      </w:tr>
      <w:tr>
        <w:trPr>
          <w:trHeight w:val="18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FIN 48</w:t>
            </w:r>
          </w:p>
        </w:tc>
        <w:tc>
          <w:tcPr>
            <w:tcW w:w="18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1.01%</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1.13%</w:t>
            </w:r>
          </w:p>
        </w:tc>
      </w:tr>
      <w:tr>
        <w:trPr>
          <w:trHeight w:val="184"/>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Return to provision</w:t>
            </w:r>
          </w:p>
        </w:tc>
        <w:tc>
          <w:tcPr>
            <w:tcW w:w="186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0.08%</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(0.78)%</w:t>
            </w:r>
          </w:p>
        </w:tc>
      </w:tr>
      <w:tr>
        <w:trPr>
          <w:trHeight w:val="18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GILTI</w:t>
            </w:r>
          </w:p>
        </w:tc>
        <w:tc>
          <w:tcPr>
            <w:tcW w:w="18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0.90%</w:t>
            </w: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(0.43)%</w:t>
            </w:r>
          </w:p>
        </w:tc>
      </w:tr>
      <w:tr>
        <w:trPr>
          <w:trHeight w:val="184"/>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FDII</w:t>
            </w:r>
          </w:p>
        </w:tc>
        <w:tc>
          <w:tcPr>
            <w:tcW w:w="186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(6.80)%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60" w:type="dxa"/>
            <w:vAlign w:val="bottom"/>
          </w:tcPr>
          <w:p>
            <w:pPr>
              <w:spacing w:after="0"/>
              <w:rPr>
                <w:sz w:val="16"/>
                <w:szCs w:val="16"/>
                <w:color w:val="auto"/>
              </w:rPr>
            </w:pPr>
          </w:p>
        </w:tc>
      </w:tr>
      <w:tr>
        <w:trPr>
          <w:trHeight w:val="18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State taxes</w:t>
            </w:r>
          </w:p>
        </w:tc>
        <w:tc>
          <w:tcPr>
            <w:tcW w:w="18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0.86%</w:t>
            </w: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(0.10)%</w:t>
            </w:r>
          </w:p>
        </w:tc>
      </w:tr>
      <w:tr>
        <w:trPr>
          <w:trHeight w:val="184"/>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Foreign withholding tax</w:t>
            </w:r>
          </w:p>
        </w:tc>
        <w:tc>
          <w:tcPr>
            <w:tcW w:w="186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0.19%</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(0.43)%</w:t>
            </w:r>
          </w:p>
        </w:tc>
      </w:tr>
      <w:tr>
        <w:trPr>
          <w:trHeight w:val="18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R&amp;D credit true-up</w:t>
            </w:r>
          </w:p>
        </w:tc>
        <w:tc>
          <w:tcPr>
            <w:tcW w:w="186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5"/>
                <w:szCs w:val="15"/>
                <w:color w:val="auto"/>
              </w:rPr>
              <w:t>(12.10)%</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1.76%</w:t>
            </w:r>
          </w:p>
        </w:tc>
      </w:tr>
      <w:tr>
        <w:trPr>
          <w:trHeight w:val="184"/>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Rate change</w:t>
            </w:r>
          </w:p>
        </w:tc>
        <w:tc>
          <w:tcPr>
            <w:tcW w:w="1860" w:type="dxa"/>
            <w:vAlign w:val="bottom"/>
            <w:gridSpan w:val="2"/>
          </w:tcPr>
          <w:p>
            <w:pPr>
              <w:jc w:val="right"/>
              <w:ind w:right="103"/>
              <w:spacing w:after="0"/>
              <w:rPr>
                <w:sz w:val="20"/>
                <w:szCs w:val="20"/>
                <w:color w:val="auto"/>
              </w:rPr>
            </w:pPr>
            <w:r>
              <w:rPr>
                <w:rFonts w:ascii="Times New Roman" w:cs="Times New Roman" w:eastAsia="Times New Roman" w:hAnsi="Times New Roman"/>
                <w:sz w:val="15"/>
                <w:szCs w:val="15"/>
                <w:color w:val="auto"/>
              </w:rPr>
              <w:t>(5.36)%</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(0.02)%</w:t>
            </w:r>
          </w:p>
        </w:tc>
      </w:tr>
      <w:tr>
        <w:trPr>
          <w:trHeight w:val="184"/>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Penalties</w:t>
            </w:r>
          </w:p>
        </w:tc>
        <w:tc>
          <w:tcPr>
            <w:tcW w:w="18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1.32%</w:t>
            </w:r>
          </w:p>
        </w:tc>
        <w:tc>
          <w:tcPr>
            <w:tcW w:w="1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(0.07)%</w:t>
            </w:r>
          </w:p>
        </w:tc>
      </w:tr>
      <w:tr>
        <w:trPr>
          <w:trHeight w:val="184"/>
        </w:trPr>
        <w:tc>
          <w:tcPr>
            <w:tcW w:w="5460" w:type="dxa"/>
            <w:vAlign w:val="bottom"/>
          </w:tcPr>
          <w:p>
            <w:pPr>
              <w:spacing w:after="0"/>
              <w:rPr>
                <w:sz w:val="20"/>
                <w:szCs w:val="20"/>
                <w:color w:val="auto"/>
              </w:rPr>
            </w:pPr>
            <w:r>
              <w:rPr>
                <w:rFonts w:ascii="Times New Roman" w:cs="Times New Roman" w:eastAsia="Times New Roman" w:hAnsi="Times New Roman"/>
                <w:sz w:val="15"/>
                <w:szCs w:val="15"/>
                <w:color w:val="auto"/>
              </w:rPr>
              <w:t>Warrant revaluation</w:t>
            </w:r>
          </w:p>
        </w:tc>
        <w:tc>
          <w:tcPr>
            <w:tcW w:w="1860" w:type="dxa"/>
            <w:vAlign w:val="bottom"/>
            <w:gridSpan w:val="2"/>
          </w:tcPr>
          <w:p>
            <w:pPr>
              <w:jc w:val="right"/>
              <w:ind w:right="143"/>
              <w:spacing w:after="0"/>
              <w:rPr>
                <w:sz w:val="20"/>
                <w:szCs w:val="20"/>
                <w:color w:val="auto"/>
              </w:rPr>
            </w:pPr>
            <w:r>
              <w:rPr>
                <w:rFonts w:ascii="Times New Roman" w:cs="Times New Roman" w:eastAsia="Times New Roman" w:hAnsi="Times New Roman"/>
                <w:sz w:val="15"/>
                <w:szCs w:val="15"/>
                <w:color w:val="auto"/>
              </w:rPr>
              <w:t>11.38%</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(0.06)%</w:t>
            </w:r>
          </w:p>
        </w:tc>
      </w:tr>
      <w:tr>
        <w:trPr>
          <w:trHeight w:val="19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Other</w:t>
            </w:r>
          </w:p>
        </w:tc>
        <w:tc>
          <w:tcPr>
            <w:tcW w:w="186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5"/>
                <w:szCs w:val="15"/>
                <w:color w:val="auto"/>
              </w:rPr>
              <w:t>1.30%</w:t>
            </w:r>
          </w:p>
        </w:tc>
        <w:tc>
          <w:tcPr>
            <w:tcW w:w="16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5"/>
                <w:szCs w:val="15"/>
                <w:color w:val="auto"/>
              </w:rPr>
              <w:t>0.09%</w:t>
            </w:r>
          </w:p>
        </w:tc>
      </w:tr>
      <w:tr>
        <w:trPr>
          <w:trHeight w:val="187"/>
        </w:trPr>
        <w:tc>
          <w:tcPr>
            <w:tcW w:w="5460" w:type="dxa"/>
            <w:vAlign w:val="bottom"/>
          </w:tcPr>
          <w:p>
            <w:pPr>
              <w:spacing w:after="0"/>
              <w:rPr>
                <w:sz w:val="16"/>
                <w:szCs w:val="16"/>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25.72</w:t>
            </w:r>
          </w:p>
        </w:tc>
        <w:tc>
          <w:tcPr>
            <w:tcW w:w="360" w:type="dxa"/>
            <w:vAlign w:val="bottom"/>
          </w:tcPr>
          <w:p>
            <w:pPr>
              <w:jc w:val="right"/>
              <w:ind w:right="143"/>
              <w:spacing w:after="0"/>
              <w:rPr>
                <w:sz w:val="20"/>
                <w:szCs w:val="20"/>
                <w:color w:val="auto"/>
              </w:rPr>
            </w:pPr>
            <w:r>
              <w:rPr>
                <w:rFonts w:ascii="Times New Roman" w:cs="Times New Roman" w:eastAsia="Times New Roman" w:hAnsi="Times New Roman"/>
                <w:sz w:val="15"/>
                <w:szCs w:val="15"/>
                <w:color w:val="auto"/>
                <w:w w:val="95"/>
              </w:rPr>
              <w:t>%</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20.88</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w w:val="95"/>
              </w:rPr>
              <w:t>%</w:t>
            </w:r>
          </w:p>
        </w:tc>
      </w:tr>
      <w:tr>
        <w:trPr>
          <w:trHeight w:val="20"/>
        </w:trPr>
        <w:tc>
          <w:tcPr>
            <w:tcW w:w="54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The Company recognized an income tax expense of $632,124 and income tax benefit of $2,400,652 for the years ended December 31, 2024 and 2023, respectively; and reflects a tax rate of 25.7% and 20.9%, respectively. As of December 31, 2024, the Company’s effective tax rate differed from the federal statutory rate of 21% primarily due to foreign research and development deduction, permanent differences, change in valuation allowance, and change in warrant valuation.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tax effects of temporary differences that give rise to significant portions of the deferred tax assets and liabilities consisted of the following as of December 31, 2024 and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20" w:type="dxa"/>
            <w:vAlign w:val="bottom"/>
          </w:tcPr>
          <w:p>
            <w:pPr>
              <w:spacing w:after="0"/>
              <w:rPr>
                <w:sz w:val="17"/>
                <w:szCs w:val="17"/>
                <w:color w:val="auto"/>
              </w:rPr>
            </w:pPr>
          </w:p>
        </w:tc>
        <w:tc>
          <w:tcPr>
            <w:tcW w:w="4140" w:type="dxa"/>
            <w:vAlign w:val="bottom"/>
            <w:tcBorders>
              <w:bottom w:val="single" w:sz="8" w:color="CCEEFF"/>
            </w:tcBorders>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2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80" w:type="dxa"/>
            <w:vAlign w:val="bottom"/>
            <w:tcBorders>
              <w:bottom w:val="single" w:sz="8" w:color="CCEEFF"/>
            </w:tcBorders>
          </w:tcPr>
          <w:p>
            <w:pPr>
              <w:spacing w:after="0"/>
              <w:rPr>
                <w:sz w:val="17"/>
                <w:szCs w:val="17"/>
                <w:color w:val="auto"/>
              </w:rPr>
            </w:pPr>
          </w:p>
        </w:tc>
        <w:tc>
          <w:tcPr>
            <w:tcW w:w="1140" w:type="dxa"/>
            <w:vAlign w:val="bottom"/>
          </w:tcPr>
          <w:p>
            <w:pPr>
              <w:spacing w:after="0"/>
              <w:rPr>
                <w:sz w:val="17"/>
                <w:szCs w:val="17"/>
                <w:color w:val="auto"/>
              </w:rPr>
            </w:pPr>
          </w:p>
        </w:tc>
      </w:tr>
      <w:tr>
        <w:trPr>
          <w:trHeight w:val="176"/>
        </w:trPr>
        <w:tc>
          <w:tcPr>
            <w:tcW w:w="1120" w:type="dxa"/>
            <w:vAlign w:val="bottom"/>
          </w:tcPr>
          <w:p>
            <w:pPr>
              <w:spacing w:after="0"/>
              <w:rPr>
                <w:sz w:val="15"/>
                <w:szCs w:val="15"/>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tax assets (noncurrent):</w:t>
            </w:r>
          </w:p>
        </w:tc>
        <w:tc>
          <w:tcPr>
            <w:tcW w:w="14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84"/>
        </w:trPr>
        <w:tc>
          <w:tcPr>
            <w:tcW w:w="11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Net operating losses</w:t>
            </w:r>
          </w:p>
        </w:tc>
        <w:tc>
          <w:tcPr>
            <w:tcW w:w="1800" w:type="dxa"/>
            <w:vAlign w:val="bottom"/>
            <w:gridSpan w:val="2"/>
          </w:tcPr>
          <w:p>
            <w:pPr>
              <w:jc w:val="right"/>
              <w:ind w:right="183"/>
              <w:spacing w:after="0"/>
              <w:rPr>
                <w:sz w:val="20"/>
                <w:szCs w:val="20"/>
                <w:color w:val="auto"/>
              </w:rPr>
            </w:pPr>
            <w:r>
              <w:rPr>
                <w:rFonts w:ascii="Times New Roman" w:cs="Times New Roman" w:eastAsia="Times New Roman" w:hAnsi="Times New Roman"/>
                <w:sz w:val="15"/>
                <w:szCs w:val="15"/>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6,414,780</w:t>
            </w:r>
          </w:p>
        </w:tc>
        <w:tc>
          <w:tcPr>
            <w:tcW w:w="260" w:type="dxa"/>
            <w:vAlign w:val="bottom"/>
          </w:tcPr>
          <w:p>
            <w:pPr>
              <w:spacing w:after="0"/>
              <w:rPr>
                <w:sz w:val="16"/>
                <w:szCs w:val="16"/>
                <w:color w:val="auto"/>
              </w:rPr>
            </w:pPr>
          </w:p>
        </w:tc>
        <w:tc>
          <w:tcPr>
            <w:tcW w:w="340" w:type="dxa"/>
            <w:vAlign w:val="bottom"/>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9,941,478</w:t>
            </w:r>
          </w:p>
        </w:tc>
        <w:tc>
          <w:tcPr>
            <w:tcW w:w="1140" w:type="dxa"/>
            <w:vAlign w:val="bottom"/>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Deferred revenue</w:t>
            </w: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3,792,971</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1,564,708</w:t>
            </w:r>
          </w:p>
        </w:tc>
        <w:tc>
          <w:tcPr>
            <w:tcW w:w="1140" w:type="dxa"/>
            <w:vAlign w:val="bottom"/>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Research and development credit</w:t>
            </w: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945,554</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664,877</w:t>
            </w:r>
          </w:p>
        </w:tc>
        <w:tc>
          <w:tcPr>
            <w:tcW w:w="1140" w:type="dxa"/>
            <w:vAlign w:val="bottom"/>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Book lease liability (ASC 842)</w:t>
            </w: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337,056</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640,414</w:t>
            </w:r>
          </w:p>
        </w:tc>
        <w:tc>
          <w:tcPr>
            <w:tcW w:w="1140" w:type="dxa"/>
            <w:vAlign w:val="bottom"/>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Fixed assets and intangibles</w:t>
            </w: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314,109</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286,902</w:t>
            </w:r>
          </w:p>
        </w:tc>
        <w:tc>
          <w:tcPr>
            <w:tcW w:w="1140" w:type="dxa"/>
            <w:vAlign w:val="bottom"/>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Section 174 capitalized research and experimental expenditures</w:t>
            </w: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4,641,794</w:t>
            </w: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2,101,923</w:t>
            </w:r>
          </w:p>
        </w:tc>
        <w:tc>
          <w:tcPr>
            <w:tcW w:w="1140" w:type="dxa"/>
            <w:vAlign w:val="bottom"/>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Interest limitation carryforward</w:t>
            </w:r>
          </w:p>
        </w:tc>
        <w:tc>
          <w:tcPr>
            <w:tcW w:w="1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329,383</w:t>
            </w:r>
          </w:p>
        </w:tc>
        <w:tc>
          <w:tcPr>
            <w:tcW w:w="1140" w:type="dxa"/>
            <w:vAlign w:val="bottom"/>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based compensation</w:t>
            </w: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5"/>
                <w:szCs w:val="15"/>
                <w:color w:val="auto"/>
              </w:rPr>
              <w:t>242</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rPr>
              <w:t>234,110</w:t>
            </w:r>
          </w:p>
        </w:tc>
        <w:tc>
          <w:tcPr>
            <w:tcW w:w="1140" w:type="dxa"/>
            <w:vAlign w:val="bottom"/>
          </w:tcPr>
          <w:p>
            <w:pPr>
              <w:spacing w:after="0"/>
              <w:rPr>
                <w:sz w:val="16"/>
                <w:szCs w:val="16"/>
                <w:color w:val="auto"/>
              </w:rPr>
            </w:pPr>
          </w:p>
        </w:tc>
      </w:tr>
      <w:tr>
        <w:trPr>
          <w:trHeight w:val="196"/>
        </w:trPr>
        <w:tc>
          <w:tcPr>
            <w:tcW w:w="11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Other</w:t>
            </w: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907,859</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60" w:type="dxa"/>
            <w:vAlign w:val="bottom"/>
            <w:gridSpan w:val="2"/>
          </w:tcPr>
          <w:p>
            <w:pPr>
              <w:jc w:val="right"/>
              <w:ind w:right="3"/>
              <w:spacing w:after="0"/>
              <w:rPr>
                <w:sz w:val="20"/>
                <w:szCs w:val="20"/>
                <w:color w:val="auto"/>
              </w:rPr>
            </w:pPr>
            <w:r>
              <w:rPr>
                <w:rFonts w:ascii="Times New Roman" w:cs="Times New Roman" w:eastAsia="Times New Roman" w:hAnsi="Times New Roman"/>
                <w:sz w:val="15"/>
                <w:szCs w:val="15"/>
                <w:color w:val="auto"/>
              </w:rPr>
              <w:t>960,471</w:t>
            </w:r>
          </w:p>
        </w:tc>
        <w:tc>
          <w:tcPr>
            <w:tcW w:w="1140" w:type="dxa"/>
            <w:vAlign w:val="bottom"/>
          </w:tcPr>
          <w:p>
            <w:pPr>
              <w:spacing w:after="0"/>
              <w:rPr>
                <w:sz w:val="17"/>
                <w:szCs w:val="17"/>
                <w:color w:val="auto"/>
              </w:rPr>
            </w:pPr>
          </w:p>
        </w:tc>
      </w:tr>
      <w:tr>
        <w:trPr>
          <w:trHeight w:val="176"/>
        </w:trPr>
        <w:tc>
          <w:tcPr>
            <w:tcW w:w="1120" w:type="dxa"/>
            <w:vAlign w:val="bottom"/>
          </w:tcPr>
          <w:p>
            <w:pPr>
              <w:spacing w:after="0"/>
              <w:rPr>
                <w:sz w:val="15"/>
                <w:szCs w:val="15"/>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tax assets</w:t>
            </w:r>
          </w:p>
        </w:tc>
        <w:tc>
          <w:tcPr>
            <w:tcW w:w="14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17,354,365</w:t>
            </w:r>
          </w:p>
        </w:tc>
        <w:tc>
          <w:tcPr>
            <w:tcW w:w="2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16,724,266</w:t>
            </w: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Pr>
          <w:p>
            <w:pPr>
              <w:spacing w:after="0"/>
              <w:rPr>
                <w:sz w:val="15"/>
                <w:szCs w:val="15"/>
                <w:color w:val="auto"/>
              </w:rPr>
            </w:pPr>
          </w:p>
        </w:tc>
      </w:tr>
      <w:tr>
        <w:trPr>
          <w:trHeight w:val="176"/>
        </w:trPr>
        <w:tc>
          <w:tcPr>
            <w:tcW w:w="112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Deferred tax liabilities (noncurrent):</w:t>
            </w: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84"/>
        </w:trPr>
        <w:tc>
          <w:tcPr>
            <w:tcW w:w="1120" w:type="dxa"/>
            <w:vAlign w:val="bottom"/>
          </w:tcPr>
          <w:p>
            <w:pPr>
              <w:spacing w:after="0"/>
              <w:rPr>
                <w:sz w:val="16"/>
                <w:szCs w:val="16"/>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Book ROU assets (ASC 842)</w:t>
            </w:r>
          </w:p>
        </w:tc>
        <w:tc>
          <w:tcPr>
            <w:tcW w:w="14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(287,017)</w:t>
            </w:r>
          </w:p>
        </w:tc>
        <w:tc>
          <w:tcPr>
            <w:tcW w:w="3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(533,369)</w:t>
            </w:r>
          </w:p>
        </w:tc>
        <w:tc>
          <w:tcPr>
            <w:tcW w:w="1140" w:type="dxa"/>
            <w:vAlign w:val="bottom"/>
          </w:tcPr>
          <w:p>
            <w:pPr>
              <w:spacing w:after="0"/>
              <w:rPr>
                <w:sz w:val="16"/>
                <w:szCs w:val="16"/>
                <w:color w:val="auto"/>
              </w:rPr>
            </w:pPr>
          </w:p>
        </w:tc>
      </w:tr>
      <w:tr>
        <w:trPr>
          <w:trHeight w:val="196"/>
        </w:trPr>
        <w:tc>
          <w:tcPr>
            <w:tcW w:w="1120" w:type="dxa"/>
            <w:vAlign w:val="bottom"/>
          </w:tcPr>
          <w:p>
            <w:pPr>
              <w:spacing w:after="0"/>
              <w:rPr>
                <w:sz w:val="17"/>
                <w:szCs w:val="17"/>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Basis difference in subsidiary</w:t>
            </w:r>
          </w:p>
        </w:tc>
        <w:tc>
          <w:tcPr>
            <w:tcW w:w="1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tcPr>
          <w:p>
            <w:pPr>
              <w:jc w:val="right"/>
              <w:ind w:right="123"/>
              <w:spacing w:after="0"/>
              <w:rPr>
                <w:sz w:val="20"/>
                <w:szCs w:val="20"/>
                <w:color w:val="auto"/>
              </w:rPr>
            </w:pPr>
            <w:r>
              <w:rPr>
                <w:rFonts w:ascii="Times New Roman" w:cs="Times New Roman" w:eastAsia="Times New Roman" w:hAnsi="Times New Roman"/>
                <w:sz w:val="15"/>
                <w:szCs w:val="15"/>
                <w:color w:val="auto"/>
              </w:rPr>
              <w:t>(820,883)</w:t>
            </w:r>
          </w:p>
        </w:tc>
        <w:tc>
          <w:tcPr>
            <w:tcW w:w="34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(799,595)</w:t>
            </w:r>
          </w:p>
        </w:tc>
        <w:tc>
          <w:tcPr>
            <w:tcW w:w="1140" w:type="dxa"/>
            <w:vAlign w:val="bottom"/>
          </w:tcPr>
          <w:p>
            <w:pPr>
              <w:spacing w:after="0"/>
              <w:rPr>
                <w:sz w:val="17"/>
                <w:szCs w:val="17"/>
                <w:color w:val="auto"/>
              </w:rPr>
            </w:pPr>
          </w:p>
        </w:tc>
      </w:tr>
      <w:tr>
        <w:trPr>
          <w:trHeight w:val="176"/>
        </w:trPr>
        <w:tc>
          <w:tcPr>
            <w:tcW w:w="1120" w:type="dxa"/>
            <w:vAlign w:val="bottom"/>
          </w:tcPr>
          <w:p>
            <w:pPr>
              <w:spacing w:after="0"/>
              <w:rPr>
                <w:sz w:val="15"/>
                <w:szCs w:val="15"/>
                <w:color w:val="auto"/>
              </w:rPr>
            </w:pPr>
          </w:p>
        </w:tc>
        <w:tc>
          <w:tcPr>
            <w:tcW w:w="4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deferred tax liabilities:</w:t>
            </w:r>
          </w:p>
        </w:tc>
        <w:tc>
          <w:tcPr>
            <w:tcW w:w="14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(1,107,900</w:t>
            </w:r>
          </w:p>
        </w:tc>
        <w:tc>
          <w:tcPr>
            <w:tcW w:w="260" w:type="dxa"/>
            <w:vAlign w:val="bottom"/>
            <w:tcBorders>
              <w:top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(1,332,964</w:t>
            </w:r>
          </w:p>
        </w:tc>
        <w:tc>
          <w:tcPr>
            <w:tcW w:w="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140" w:type="dxa"/>
            <w:vAlign w:val="bottom"/>
          </w:tcPr>
          <w:p>
            <w:pPr>
              <w:spacing w:after="0"/>
              <w:rPr>
                <w:sz w:val="15"/>
                <w:szCs w:val="15"/>
                <w:color w:val="auto"/>
              </w:rPr>
            </w:pPr>
          </w:p>
        </w:tc>
      </w:tr>
      <w:tr>
        <w:trPr>
          <w:trHeight w:val="176"/>
        </w:trPr>
        <w:tc>
          <w:tcPr>
            <w:tcW w:w="1120" w:type="dxa"/>
            <w:vAlign w:val="bottom"/>
          </w:tcPr>
          <w:p>
            <w:pPr>
              <w:spacing w:after="0"/>
              <w:rPr>
                <w:sz w:val="15"/>
                <w:szCs w:val="15"/>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Long-term deferred tax asset, net</w:t>
            </w:r>
          </w:p>
        </w:tc>
        <w:tc>
          <w:tcPr>
            <w:tcW w:w="1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16,246,465</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15,391,302</w:t>
            </w: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6"/>
        </w:trPr>
        <w:tc>
          <w:tcPr>
            <w:tcW w:w="1120" w:type="dxa"/>
            <w:vAlign w:val="bottom"/>
          </w:tcPr>
          <w:p>
            <w:pPr>
              <w:spacing w:after="0"/>
              <w:rPr>
                <w:sz w:val="17"/>
                <w:szCs w:val="17"/>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Valuation allowance</w:t>
            </w:r>
          </w:p>
        </w:tc>
        <w:tc>
          <w:tcPr>
            <w:tcW w:w="14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rPr>
              <w:t>(5,429,353)</w:t>
            </w:r>
          </w:p>
        </w:tc>
        <w:tc>
          <w:tcPr>
            <w:tcW w:w="3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(5,143,802)</w:t>
            </w:r>
          </w:p>
        </w:tc>
        <w:tc>
          <w:tcPr>
            <w:tcW w:w="1140" w:type="dxa"/>
            <w:vAlign w:val="bottom"/>
          </w:tcPr>
          <w:p>
            <w:pPr>
              <w:spacing w:after="0"/>
              <w:rPr>
                <w:sz w:val="17"/>
                <w:szCs w:val="17"/>
                <w:color w:val="auto"/>
              </w:rPr>
            </w:pPr>
          </w:p>
        </w:tc>
      </w:tr>
      <w:tr>
        <w:trPr>
          <w:trHeight w:val="187"/>
        </w:trPr>
        <w:tc>
          <w:tcPr>
            <w:tcW w:w="1120" w:type="dxa"/>
            <w:vAlign w:val="bottom"/>
          </w:tcPr>
          <w:p>
            <w:pPr>
              <w:spacing w:after="0"/>
              <w:rPr>
                <w:sz w:val="16"/>
                <w:szCs w:val="16"/>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5"/>
                <w:szCs w:val="15"/>
                <w:color w:val="auto"/>
              </w:rPr>
              <w:t>Net deferred tax asset</w:t>
            </w:r>
          </w:p>
        </w:tc>
        <w:tc>
          <w:tcPr>
            <w:tcW w:w="146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10,817,112</w:t>
            </w:r>
          </w:p>
        </w:tc>
        <w:tc>
          <w:tcPr>
            <w:tcW w:w="260" w:type="dxa"/>
            <w:vAlign w:val="bottom"/>
          </w:tcPr>
          <w:p>
            <w:pPr>
              <w:spacing w:after="0"/>
              <w:rPr>
                <w:sz w:val="16"/>
                <w:szCs w:val="16"/>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Times New Roman" w:cs="Times New Roman" w:eastAsia="Times New Roman" w:hAnsi="Times New Roman"/>
                <w:sz w:val="15"/>
                <w:szCs w:val="15"/>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10,247,500</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3"/>
        </w:trPr>
        <w:tc>
          <w:tcPr>
            <w:tcW w:w="112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2"/>
          </w:tcPr>
          <w:p>
            <w:pPr>
              <w:jc w:val="right"/>
              <w:ind w:right="1223"/>
              <w:spacing w:after="0"/>
              <w:rPr>
                <w:sz w:val="20"/>
                <w:szCs w:val="20"/>
                <w:color w:val="auto"/>
              </w:rPr>
            </w:pPr>
            <w:r>
              <w:rPr>
                <w:rFonts w:ascii="Times New Roman" w:cs="Times New Roman" w:eastAsia="Times New Roman" w:hAnsi="Times New Roman"/>
                <w:sz w:val="15"/>
                <w:szCs w:val="15"/>
                <w:color w:val="auto"/>
              </w:rPr>
              <w:t>F-24</w:t>
            </w: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5" w:right="319" w:bottom="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82"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auto"/>
        </w:rPr>
        <w:t>Included in these consolidated financial statements are two entities that are not consolidated in the U.S. tax return filing due to one entity being less than 80% ownership by Snail Games USA Inc. and the other classified as pass-through entity.</w:t>
      </w:r>
    </w:p>
    <w:p>
      <w:pPr>
        <w:spacing w:after="0" w:line="13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5"/>
          <w:szCs w:val="15"/>
          <w:color w:val="auto"/>
        </w:rPr>
        <w:t>The Company maintained a total valuation allowance of $5,429,353 and $5,143,802 as of December 31, 2024 and 2023, respectively, the valuation allowance relates primarily to the net operating loss (“NOL”) of the non-includable entities mentioned above, which have had historical losses, and which management has assessed are not more likely than not to be able to realize those NOLs. The non-includable entities had a valuation allowance of $4,024,497 and $4,022,729 as of December 31, 2024 and 2023. The Company’s consolidated tax filing group had a domestic valuation allowance of $673,049 and $686,808 as of December 31, 2024 and 2023, respectively. The Company had a foreign valuation allowance of $731,807 and $434,265 as of December 31, 2024 and 2023, respectively. Overall, the Company’s valuation allowance had net increase by $285,551 during 2024, and $138,607 during 2023.</w:t>
      </w:r>
    </w:p>
    <w:p>
      <w:pPr>
        <w:spacing w:after="0" w:line="34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Company has assessed all available positive and negative evidence, including the results of recent operations, continued release of games and DLC’s, and projections of future taxable income. After evaluating the positive and negative evidence, management believes that the positive evidence above outweighs the negative evidence. Accordingly, the Company has concluded the realization of DTAs is more-likely-than-not, and no valuation allowance is required at this time for majority of the net deferred tax assets. In the event that negative evidence outweighs positive evidence in future periods, the Company may need to record additional valuation allowance, which could have a material impact on our financial position. The Company continues to maintain a valuation allowance against certain deferred tax assets that are not more likely than not to be realized.</w:t>
      </w:r>
    </w:p>
    <w:p>
      <w:pPr>
        <w:spacing w:after="0" w:line="1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As of December 31, 2024, the non-includable entities have U.S. federal NOL carryforwards of $2,867,153 which begin to expire in 2037 and $11,528,474 with an indefinite carryforward period. As of December 31, 2024, the non-includable entities have $14,339,528 of California net operating loss carryforwards, which begin to expire in 2037. The Company’s consolidated group federal NOL carryforwards are $9,828,604 with an indefinite carryforward period. The Company’s consolidated group state NOL carryforwards are $5,103,345 and begin to expire in 2039. As of December 31, 2024, the Company did not have any foreign NOL carryforwards.</w:t>
      </w:r>
    </w:p>
    <w:p>
      <w:pPr>
        <w:spacing w:after="0" w:line="15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auto"/>
        </w:rPr>
        <w:t>As of December 31, 2024, the Company has foreign tax credit carryforwards of $192,180 which begin to expire in 2027 and has foreign R&amp;D credit carryforwards of $731,807 which begin to expire in 2027. The Company has California R&amp;D credit carryforwards of $340,088 with an indefinite carryforward period.</w:t>
      </w:r>
    </w:p>
    <w:p>
      <w:pPr>
        <w:spacing w:after="0" w:line="13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5"/>
          <w:szCs w:val="15"/>
          <w:color w:val="auto"/>
        </w:rPr>
        <w:t>Under Section 382/383 of the Internal Revenue Code of 1986, as amended, and corresponding provisions of state law, if a corporation undergoes an “ownership change,” which generally occurs if the percentage of the corporation’s stock owned by 5% stockholders increases by more than 50% over a three year period, the corporation’s ability to use its pre-change NOL carryforwards and other pre-change tax attributes to offset its post-change income may be limited. The annual limitation may result in the expiration of net operating losses and credits before utilization. The Company has not performed a Section 382 analysis through December 31, 2024. Subsequent ownership changes may affect the limitation in future years.</w:t>
      </w:r>
    </w:p>
    <w:p>
      <w:pPr>
        <w:spacing w:after="0" w:line="33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The Company and its subsidiaries currently file tax returns in the United States (federal and states) and Poland. The statute of limitations for its consolidated federal income tax returns are open for tax years ended December 31, 2021 and after. The statute of limitations for its consolidated state income tax returns are open for tax years ended December 31, 2019 and after. The statute of limitations for its Polish tax returns are open for tax years ended December 31, 2019 and after.</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Management intends to permanently reinvest any future foreign earnings to support operations and business growth of its affiliated company in Poland. As such, no deferred tax liability was recorded on the unremitted earnings of the foreign subsidiary as of December 31, 2024 and 2023. As of December 31, 2024, the Company had $1,374,706 of unremitted earnings that will be indefinitely reinvested in its Poland subsidiary.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table reflects changes in gross unrecognized tax benefits for the years ended December 31, 2024 and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20" w:type="dxa"/>
            <w:vAlign w:val="bottom"/>
          </w:tcPr>
          <w:p>
            <w:pPr>
              <w:spacing w:after="0"/>
              <w:rPr>
                <w:sz w:val="17"/>
                <w:szCs w:val="17"/>
                <w:color w:val="auto"/>
              </w:rPr>
            </w:pPr>
          </w:p>
        </w:tc>
        <w:tc>
          <w:tcPr>
            <w:tcW w:w="3100" w:type="dxa"/>
            <w:vAlign w:val="bottom"/>
            <w:gridSpan w:val="2"/>
          </w:tcPr>
          <w:p>
            <w:pPr>
              <w:jc w:val="right"/>
              <w:ind w:right="43"/>
              <w:spacing w:after="0"/>
              <w:rPr>
                <w:sz w:val="20"/>
                <w:szCs w:val="20"/>
                <w:color w:val="auto"/>
              </w:rPr>
            </w:pPr>
            <w:r>
              <w:rPr>
                <w:rFonts w:ascii="Times New Roman" w:cs="Times New Roman" w:eastAsia="Times New Roman" w:hAnsi="Times New Roman"/>
                <w:sz w:val="15"/>
                <w:szCs w:val="15"/>
                <w:b w:val="1"/>
                <w:bCs w:val="1"/>
                <w:color w:val="auto"/>
              </w:rPr>
              <w:t>2024</w:t>
            </w: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r>
      <w:tr>
        <w:trPr>
          <w:trHeight w:val="176"/>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Unrecognized tax benefits at beginning of year</w:t>
            </w:r>
          </w:p>
        </w:tc>
        <w:tc>
          <w:tcPr>
            <w:tcW w:w="186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ind w:right="108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487,608</w:t>
            </w:r>
          </w:p>
        </w:tc>
        <w:tc>
          <w:tcPr>
            <w:tcW w:w="36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696,895</w:t>
            </w:r>
          </w:p>
        </w:tc>
        <w:tc>
          <w:tcPr>
            <w:tcW w:w="100" w:type="dxa"/>
            <w:vAlign w:val="bottom"/>
            <w:tcBorders>
              <w:top w:val="single" w:sz="8" w:color="CCEEFF"/>
            </w:tcBorders>
            <w:shd w:val="clear" w:color="auto" w:fill="CCEEFF"/>
          </w:tcPr>
          <w:p>
            <w:pPr>
              <w:spacing w:after="0"/>
              <w:rPr>
                <w:sz w:val="15"/>
                <w:szCs w:val="15"/>
                <w:color w:val="auto"/>
              </w:rPr>
            </w:pPr>
          </w:p>
        </w:tc>
      </w:tr>
      <w:tr>
        <w:trPr>
          <w:trHeight w:val="184"/>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Gross Increases – current year positions</w:t>
            </w:r>
          </w:p>
        </w:tc>
        <w:tc>
          <w:tcPr>
            <w:tcW w:w="1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Increases – prior year positions</w:t>
            </w:r>
          </w:p>
        </w:tc>
        <w:tc>
          <w:tcPr>
            <w:tcW w:w="18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219,128</w:t>
            </w:r>
          </w:p>
        </w:tc>
        <w:tc>
          <w:tcPr>
            <w:tcW w:w="4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Gross Decreases – prior year positions</w:t>
            </w:r>
          </w:p>
        </w:tc>
        <w:tc>
          <w:tcPr>
            <w:tcW w:w="18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(33,831)</w:t>
            </w:r>
          </w:p>
        </w:tc>
        <w:tc>
          <w:tcPr>
            <w:tcW w:w="420" w:type="dxa"/>
            <w:vAlign w:val="bottom"/>
          </w:tcPr>
          <w:p>
            <w:pPr>
              <w:spacing w:after="0"/>
              <w:rPr>
                <w:sz w:val="16"/>
                <w:szCs w:val="16"/>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Gross Decreases – expiration of statute of limitations</w:t>
            </w:r>
          </w:p>
        </w:tc>
        <w:tc>
          <w:tcPr>
            <w:tcW w:w="18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(160,550)</w:t>
            </w:r>
          </w:p>
        </w:tc>
        <w:tc>
          <w:tcPr>
            <w:tcW w:w="42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(37,550)</w:t>
            </w:r>
          </w:p>
        </w:tc>
      </w:tr>
      <w:tr>
        <w:trPr>
          <w:trHeight w:val="196"/>
        </w:trPr>
        <w:tc>
          <w:tcPr>
            <w:tcW w:w="5120" w:type="dxa"/>
            <w:vAlign w:val="bottom"/>
          </w:tcPr>
          <w:p>
            <w:pPr>
              <w:spacing w:after="0"/>
              <w:rPr>
                <w:sz w:val="20"/>
                <w:szCs w:val="20"/>
                <w:color w:val="auto"/>
              </w:rPr>
            </w:pPr>
            <w:r>
              <w:rPr>
                <w:rFonts w:ascii="Times New Roman" w:cs="Times New Roman" w:eastAsia="Times New Roman" w:hAnsi="Times New Roman"/>
                <w:sz w:val="15"/>
                <w:szCs w:val="15"/>
                <w:color w:val="auto"/>
              </w:rPr>
              <w:t>Gross Decreases – settlements</w:t>
            </w:r>
          </w:p>
        </w:tc>
        <w:tc>
          <w:tcPr>
            <w:tcW w:w="18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420" w:type="dxa"/>
            <w:vAlign w:val="bottom"/>
          </w:tcPr>
          <w:p>
            <w:pPr>
              <w:spacing w:after="0"/>
              <w:rPr>
                <w:sz w:val="17"/>
                <w:szCs w:val="17"/>
                <w:color w:val="auto"/>
              </w:rPr>
            </w:pPr>
          </w:p>
        </w:tc>
        <w:tc>
          <w:tcPr>
            <w:tcW w:w="158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(171,737)</w:t>
            </w:r>
          </w:p>
        </w:tc>
      </w:tr>
      <w:tr>
        <w:trPr>
          <w:trHeight w:val="187"/>
        </w:trPr>
        <w:tc>
          <w:tcPr>
            <w:tcW w:w="5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Unrecognized tax benefits at end of year</w:t>
            </w:r>
          </w:p>
        </w:tc>
        <w:tc>
          <w:tcPr>
            <w:tcW w:w="1860" w:type="dxa"/>
            <w:vAlign w:val="bottom"/>
            <w:tcBorders>
              <w:top w:val="single" w:sz="8" w:color="CCEEFF"/>
              <w:bottom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jc w:val="right"/>
              <w:ind w:right="1083"/>
              <w:spacing w:after="0"/>
              <w:rPr>
                <w:sz w:val="20"/>
                <w:szCs w:val="20"/>
                <w:color w:val="auto"/>
              </w:rPr>
            </w:pPr>
            <w:r>
              <w:rPr>
                <w:rFonts w:ascii="Times New Roman" w:cs="Times New Roman" w:eastAsia="Times New Roman" w:hAnsi="Times New Roman"/>
                <w:sz w:val="15"/>
                <w:szCs w:val="15"/>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512,355</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w w:val="71"/>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487,608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As of December 31, 2024 and 2023, the Company had $265,251 and $295,428, respectively, of unrecognized tax benefits that if recognized would impact the Company’s effective tax rate. The Company accrued and recognized interest and penalties related to unrecognized tax benefits in operating expense. As of December 31, 2024 and 2023, the Company had accrued $143,020 and $0 of interest and penalties, respectively. The Company does not expect the amount to change materially within 12 months.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Company is under audit by the IRS for the 2022 tax year federal income tax return. There are currently no proposed adjustments.</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14 – OPERATING LEASE RIGHT-OF-USE ASSETS</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Company’s right-of-use assets represent arrangements related primarily to office facilities used in the ordinary business operations of the Company and its subsidiaries. In April 2018, a commercial bank issued an irrevocable standby letter of credit on behalf of the Company to the landlord for $1,075,000 to lease office space. The standby letter of credit was valid for a one-year term and was amended in January 2021 to extend to January 31, 2026. As of December 31, 2024 and 2023, the Company’s net operating lease right-of-use assets amounted to $1,279,330 and $2,440,690, respectively. The Company had variable lease payments of approximately $129,752 and $125,207 during the years ended December 31, 2024 and 2023, respectively, which consisted primarily of common area maintenance charges and administrative fees.</w:t>
      </w:r>
    </w:p>
    <w:p>
      <w:pPr>
        <w:spacing w:after="0" w:line="15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Operating lease costs included in the general and administrative expenses in our consolidated statements of operations and comprehensive income (loss) for the years ended December 31, 2024 and 2023, are as follows:</w:t>
      </w:r>
    </w:p>
    <w:p>
      <w:pPr>
        <w:spacing w:after="0" w:line="141" w:lineRule="exact"/>
        <w:rPr>
          <w:sz w:val="20"/>
          <w:szCs w:val="20"/>
          <w:color w:val="auto"/>
        </w:rPr>
      </w:pPr>
    </w:p>
    <w:p>
      <w:pPr>
        <w:ind w:left="7800"/>
        <w:spacing w:after="0"/>
        <w:tabs>
          <w:tab w:leader="none" w:pos="10020" w:val="left"/>
        </w:tabs>
        <w:rPr>
          <w:sz w:val="20"/>
          <w:szCs w:val="20"/>
          <w:color w:val="auto"/>
        </w:rPr>
      </w:pPr>
      <w:r>
        <w:rPr>
          <w:rFonts w:ascii="Times New Roman" w:cs="Times New Roman" w:eastAsia="Times New Roman" w:hAnsi="Times New Roman"/>
          <w:sz w:val="15"/>
          <w:szCs w:val="15"/>
          <w:b w:val="1"/>
          <w:bCs w:val="1"/>
          <w:color w:val="auto"/>
        </w:rPr>
        <w:t>2024</w:t>
      </w:r>
      <w:r>
        <w:rPr>
          <w:sz w:val="20"/>
          <w:szCs w:val="20"/>
          <w:color w:val="auto"/>
        </w:rPr>
        <w:tab/>
      </w:r>
      <w:r>
        <w:rPr>
          <w:rFonts w:ascii="Times New Roman" w:cs="Times New Roman" w:eastAsia="Times New Roman" w:hAnsi="Times New Roman"/>
          <w:sz w:val="15"/>
          <w:szCs w:val="15"/>
          <w:b w:val="1"/>
          <w:bCs w:val="1"/>
          <w:color w:val="auto"/>
        </w:rPr>
        <w:t>2023</w:t>
      </w:r>
    </w:p>
    <w:p>
      <w:pPr>
        <w:spacing w:after="0" w:line="30" w:lineRule="exact"/>
        <w:rPr>
          <w:sz w:val="20"/>
          <w:szCs w:val="20"/>
          <w:color w:val="auto"/>
        </w:rPr>
      </w:pPr>
    </w:p>
    <w:p>
      <w:pPr>
        <w:spacing w:after="0"/>
        <w:tabs>
          <w:tab w:leader="none" w:pos="6960" w:val="left"/>
          <w:tab w:leader="none" w:pos="8200" w:val="left"/>
          <w:tab w:leader="none" w:pos="9240" w:val="left"/>
          <w:tab w:leader="none" w:pos="10520" w:val="left"/>
        </w:tabs>
        <w:rPr>
          <w:sz w:val="20"/>
          <w:szCs w:val="20"/>
          <w:color w:val="auto"/>
        </w:rPr>
      </w:pPr>
      <w:r>
        <w:rPr>
          <w:rFonts w:ascii="Times New Roman" w:cs="Times New Roman" w:eastAsia="Times New Roman" w:hAnsi="Times New Roman"/>
          <w:sz w:val="15"/>
          <w:szCs w:val="15"/>
          <w:color w:val="auto"/>
        </w:rPr>
        <w:t>Operating lease costs</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$1,624,257</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1,578,751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-108585</wp:posOffset>
            </wp:positionV>
            <wp:extent cx="7152640" cy="1244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2640" cy="124460"/>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Supplemental information related to operating leases for lease liabilities as of December 31, 2024 and, 2023,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9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2024</w:t>
            </w:r>
          </w:p>
        </w:tc>
        <w:tc>
          <w:tcPr>
            <w:tcW w:w="700" w:type="dxa"/>
            <w:vAlign w:val="bottom"/>
            <w:tcBorders>
              <w:bottom w:val="single" w:sz="8" w:color="auto"/>
            </w:tcBorders>
          </w:tcPr>
          <w:p>
            <w:pPr>
              <w:spacing w:after="0"/>
              <w:rPr>
                <w:sz w:val="17"/>
                <w:szCs w:val="17"/>
                <w:color w:val="auto"/>
              </w:rPr>
            </w:pPr>
          </w:p>
        </w:tc>
        <w:tc>
          <w:tcPr>
            <w:tcW w:w="36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40" w:type="dxa"/>
            <w:vAlign w:val="bottom"/>
            <w:tcBorders>
              <w:bottom w:val="single" w:sz="8" w:color="CCEEFF"/>
            </w:tcBorders>
          </w:tcPr>
          <w:p>
            <w:pPr>
              <w:spacing w:after="0"/>
              <w:rPr>
                <w:sz w:val="17"/>
                <w:szCs w:val="17"/>
                <w:color w:val="auto"/>
              </w:rPr>
            </w:pPr>
          </w:p>
        </w:tc>
      </w:tr>
      <w:tr>
        <w:trPr>
          <w:trHeight w:val="17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Cash paid for amounts included in the measurement of lease liabilities</w:t>
            </w:r>
          </w:p>
        </w:tc>
        <w:tc>
          <w:tcPr>
            <w:tcW w:w="1200" w:type="dxa"/>
            <w:vAlign w:val="bottom"/>
            <w:shd w:val="clear" w:color="auto" w:fill="CCEEFF"/>
          </w:tcPr>
          <w:p>
            <w:pPr>
              <w:jc w:val="right"/>
              <w:ind w:right="1043"/>
              <w:spacing w:after="0"/>
              <w:rPr>
                <w:sz w:val="20"/>
                <w:szCs w:val="20"/>
                <w:color w:val="auto"/>
              </w:rPr>
            </w:pPr>
            <w:r>
              <w:rPr>
                <w:rFonts w:ascii="Times New Roman" w:cs="Times New Roman" w:eastAsia="Times New Roman" w:hAnsi="Times New Roman"/>
                <w:sz w:val="15"/>
                <w:szCs w:val="15"/>
                <w:color w:val="auto"/>
                <w:w w:val="7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1,619,689</w:t>
            </w:r>
          </w:p>
        </w:tc>
        <w:tc>
          <w:tcPr>
            <w:tcW w:w="36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3"/>
              <w:spacing w:after="0"/>
              <w:rPr>
                <w:sz w:val="20"/>
                <w:szCs w:val="20"/>
                <w:color w:val="auto"/>
              </w:rPr>
            </w:pPr>
            <w:r>
              <w:rPr>
                <w:rFonts w:ascii="Times New Roman" w:cs="Times New Roman" w:eastAsia="Times New Roman" w:hAnsi="Times New Roman"/>
                <w:sz w:val="15"/>
                <w:szCs w:val="15"/>
                <w:color w:val="auto"/>
                <w:w w:val="7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1,548,889</w:t>
            </w:r>
          </w:p>
        </w:tc>
        <w:tc>
          <w:tcPr>
            <w:tcW w:w="140" w:type="dxa"/>
            <w:vAlign w:val="bottom"/>
            <w:shd w:val="clear" w:color="auto" w:fill="CCEEFF"/>
          </w:tcPr>
          <w:p>
            <w:pPr>
              <w:spacing w:after="0"/>
              <w:rPr>
                <w:sz w:val="15"/>
                <w:szCs w:val="15"/>
                <w:color w:val="auto"/>
              </w:rPr>
            </w:pPr>
          </w:p>
        </w:tc>
      </w:tr>
      <w:tr>
        <w:trPr>
          <w:trHeight w:val="184"/>
        </w:trPr>
        <w:tc>
          <w:tcPr>
            <w:tcW w:w="6960" w:type="dxa"/>
            <w:vAlign w:val="bottom"/>
          </w:tcPr>
          <w:p>
            <w:pPr>
              <w:spacing w:after="0"/>
              <w:rPr>
                <w:sz w:val="20"/>
                <w:szCs w:val="20"/>
                <w:color w:val="auto"/>
              </w:rPr>
            </w:pPr>
            <w:r>
              <w:rPr>
                <w:rFonts w:ascii="Times New Roman" w:cs="Times New Roman" w:eastAsia="Times New Roman" w:hAnsi="Times New Roman"/>
                <w:sz w:val="15"/>
                <w:szCs w:val="15"/>
                <w:color w:val="auto"/>
              </w:rPr>
              <w:t>Weighted average remaining lease term</w:t>
            </w:r>
          </w:p>
        </w:tc>
        <w:tc>
          <w:tcPr>
            <w:tcW w:w="1200" w:type="dxa"/>
            <w:vAlign w:val="bottom"/>
          </w:tcPr>
          <w:p>
            <w:pPr>
              <w:spacing w:after="0"/>
              <w:rPr>
                <w:sz w:val="16"/>
                <w:szCs w:val="16"/>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5"/>
                <w:szCs w:val="15"/>
                <w:color w:val="auto"/>
              </w:rPr>
              <w:t>1.0 years</w:t>
            </w:r>
          </w:p>
        </w:tc>
        <w:tc>
          <w:tcPr>
            <w:tcW w:w="440" w:type="dxa"/>
            <w:vAlign w:val="bottom"/>
          </w:tcPr>
          <w:p>
            <w:pPr>
              <w:spacing w:after="0"/>
              <w:rPr>
                <w:sz w:val="16"/>
                <w:szCs w:val="16"/>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1.9 years</w:t>
            </w:r>
          </w:p>
        </w:tc>
      </w:tr>
      <w:tr>
        <w:trPr>
          <w:trHeight w:val="184"/>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Weighted average discount rate</w:t>
            </w:r>
          </w:p>
        </w:tc>
        <w:tc>
          <w:tcPr>
            <w:tcW w:w="120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5"/>
                <w:szCs w:val="15"/>
                <w:color w:val="auto"/>
              </w:rPr>
              <w:t>5.14%</w:t>
            </w:r>
          </w:p>
        </w:tc>
        <w:tc>
          <w:tcPr>
            <w:tcW w:w="44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5.00%</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Future undiscounted lease payments for operating leases and a reconciliation of these payments to our operating lease liabilities as of December 31, 2024 are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2"/>
          </w:tcPr>
          <w:p>
            <w:pPr>
              <w:jc w:val="center"/>
              <w:ind w:right="600"/>
              <w:spacing w:after="0"/>
              <w:rPr>
                <w:sz w:val="20"/>
                <w:szCs w:val="20"/>
                <w:color w:val="auto"/>
              </w:rPr>
            </w:pPr>
            <w:r>
              <w:rPr>
                <w:rFonts w:ascii="Times New Roman" w:cs="Times New Roman" w:eastAsia="Times New Roman" w:hAnsi="Times New Roman"/>
                <w:sz w:val="15"/>
                <w:szCs w:val="15"/>
                <w:b w:val="1"/>
                <w:bCs w:val="1"/>
                <w:color w:val="auto"/>
              </w:rPr>
              <w:t>Imputed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5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5"/>
                <w:szCs w:val="15"/>
                <w:b w:val="1"/>
                <w:bCs w:val="1"/>
                <w:color w:val="auto"/>
              </w:rPr>
              <w:t>Future lease</w:t>
            </w:r>
          </w:p>
        </w:tc>
        <w:tc>
          <w:tcPr>
            <w:tcW w:w="280" w:type="dxa"/>
            <w:vAlign w:val="bottom"/>
          </w:tcPr>
          <w:p>
            <w:pPr>
              <w:spacing w:after="0"/>
              <w:rPr>
                <w:sz w:val="16"/>
                <w:szCs w:val="16"/>
                <w:color w:val="auto"/>
              </w:rPr>
            </w:pPr>
          </w:p>
        </w:tc>
        <w:tc>
          <w:tcPr>
            <w:tcW w:w="1520" w:type="dxa"/>
            <w:vAlign w:val="bottom"/>
            <w:gridSpan w:val="2"/>
          </w:tcPr>
          <w:p>
            <w:pPr>
              <w:jc w:val="center"/>
              <w:ind w:right="600"/>
              <w:spacing w:after="0"/>
              <w:rPr>
                <w:sz w:val="20"/>
                <w:szCs w:val="20"/>
                <w:color w:val="auto"/>
              </w:rPr>
            </w:pPr>
            <w:r>
              <w:rPr>
                <w:rFonts w:ascii="Times New Roman" w:cs="Times New Roman" w:eastAsia="Times New Roman" w:hAnsi="Times New Roman"/>
                <w:sz w:val="15"/>
                <w:szCs w:val="15"/>
                <w:b w:val="1"/>
                <w:bCs w:val="1"/>
                <w:color w:val="auto"/>
              </w:rPr>
              <w:t>Interest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Lease</w:t>
            </w:r>
          </w:p>
        </w:tc>
      </w:tr>
      <w:tr>
        <w:trPr>
          <w:trHeight w:val="203"/>
        </w:trPr>
        <w:tc>
          <w:tcPr>
            <w:tcW w:w="58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Years ending December 31,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center"/>
              <w:ind w:right="560"/>
              <w:spacing w:after="0"/>
              <w:rPr>
                <w:sz w:val="20"/>
                <w:szCs w:val="20"/>
                <w:color w:val="auto"/>
              </w:rPr>
            </w:pPr>
            <w:r>
              <w:rPr>
                <w:rFonts w:ascii="Times New Roman" w:cs="Times New Roman" w:eastAsia="Times New Roman" w:hAnsi="Times New Roman"/>
                <w:sz w:val="15"/>
                <w:szCs w:val="15"/>
                <w:b w:val="1"/>
                <w:bCs w:val="1"/>
                <w:color w:val="auto"/>
              </w:rPr>
              <w:t>payments</w:t>
            </w:r>
          </w:p>
        </w:tc>
        <w:tc>
          <w:tcPr>
            <w:tcW w:w="280" w:type="dxa"/>
            <w:vAlign w:val="bottom"/>
          </w:tcPr>
          <w:p>
            <w:pPr>
              <w:spacing w:after="0"/>
              <w:rPr>
                <w:sz w:val="17"/>
                <w:szCs w:val="17"/>
                <w:color w:val="auto"/>
              </w:rPr>
            </w:pPr>
          </w:p>
        </w:tc>
        <w:tc>
          <w:tcPr>
            <w:tcW w:w="1520" w:type="dxa"/>
            <w:vAlign w:val="bottom"/>
            <w:gridSpan w:val="2"/>
          </w:tcPr>
          <w:p>
            <w:pPr>
              <w:jc w:val="center"/>
              <w:ind w:right="580"/>
              <w:spacing w:after="0"/>
              <w:rPr>
                <w:sz w:val="20"/>
                <w:szCs w:val="20"/>
                <w:color w:val="auto"/>
              </w:rPr>
            </w:pPr>
            <w:r>
              <w:rPr>
                <w:rFonts w:ascii="Times New Roman" w:cs="Times New Roman" w:eastAsia="Times New Roman" w:hAnsi="Times New Roman"/>
                <w:sz w:val="15"/>
                <w:szCs w:val="15"/>
                <w:b w:val="1"/>
                <w:bCs w:val="1"/>
                <w:color w:val="auto"/>
              </w:rPr>
              <w:t>Amount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Liabilities</w:t>
            </w:r>
          </w:p>
        </w:tc>
      </w:tr>
      <w:tr>
        <w:trPr>
          <w:trHeight w:val="17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2025</w:t>
            </w:r>
          </w:p>
        </w:tc>
        <w:tc>
          <w:tcPr>
            <w:tcW w:w="2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1,477,622</w:t>
            </w: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33,237</w:t>
            </w:r>
          </w:p>
        </w:tc>
        <w:tc>
          <w:tcPr>
            <w:tcW w:w="3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1,444,385</w:t>
            </w:r>
          </w:p>
        </w:tc>
        <w:tc>
          <w:tcPr>
            <w:tcW w:w="100" w:type="dxa"/>
            <w:vAlign w:val="bottom"/>
            <w:tcBorders>
              <w:top w:val="single" w:sz="8" w:color="CCEEFF"/>
            </w:tcBorders>
            <w:shd w:val="clear" w:color="auto" w:fill="CCEEFF"/>
          </w:tcPr>
          <w:p>
            <w:pPr>
              <w:spacing w:after="0"/>
              <w:rPr>
                <w:sz w:val="15"/>
                <w:szCs w:val="15"/>
                <w:color w:val="auto"/>
              </w:rPr>
            </w:pPr>
          </w:p>
        </w:tc>
      </w:tr>
      <w:tr>
        <w:trPr>
          <w:trHeight w:val="184"/>
        </w:trPr>
        <w:tc>
          <w:tcPr>
            <w:tcW w:w="5860" w:type="dxa"/>
            <w:vAlign w:val="bottom"/>
          </w:tcPr>
          <w:p>
            <w:pPr>
              <w:spacing w:after="0"/>
              <w:rPr>
                <w:sz w:val="20"/>
                <w:szCs w:val="20"/>
                <w:color w:val="auto"/>
              </w:rPr>
            </w:pPr>
            <w:r>
              <w:rPr>
                <w:rFonts w:ascii="Times New Roman" w:cs="Times New Roman" w:eastAsia="Times New Roman" w:hAnsi="Times New Roman"/>
                <w:sz w:val="15"/>
                <w:szCs w:val="15"/>
                <w:color w:val="auto"/>
              </w:rPr>
              <w:t>2026</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24,736</w:t>
            </w:r>
          </w:p>
        </w:tc>
        <w:tc>
          <w:tcPr>
            <w:tcW w:w="280" w:type="dxa"/>
            <w:vAlign w:val="bottom"/>
          </w:tcPr>
          <w:p>
            <w:pPr>
              <w:spacing w:after="0"/>
              <w:rPr>
                <w:sz w:val="16"/>
                <w:szCs w:val="16"/>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3,455</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21,281</w:t>
            </w:r>
          </w:p>
        </w:tc>
      </w:tr>
      <w:tr>
        <w:trPr>
          <w:trHeight w:val="184"/>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2027</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25,636</w:t>
            </w:r>
          </w:p>
        </w:tc>
        <w:tc>
          <w:tcPr>
            <w:tcW w:w="28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1,778</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23,858</w:t>
            </w:r>
          </w:p>
        </w:tc>
      </w:tr>
      <w:tr>
        <w:trPr>
          <w:trHeight w:val="184"/>
        </w:trPr>
        <w:tc>
          <w:tcPr>
            <w:tcW w:w="5860" w:type="dxa"/>
            <w:vAlign w:val="bottom"/>
          </w:tcPr>
          <w:p>
            <w:pPr>
              <w:spacing w:after="0"/>
              <w:rPr>
                <w:sz w:val="20"/>
                <w:szCs w:val="20"/>
                <w:color w:val="auto"/>
              </w:rPr>
            </w:pPr>
            <w:r>
              <w:rPr>
                <w:rFonts w:ascii="Times New Roman" w:cs="Times New Roman" w:eastAsia="Times New Roman" w:hAnsi="Times New Roman"/>
                <w:sz w:val="15"/>
                <w:szCs w:val="15"/>
                <w:color w:val="auto"/>
              </w:rPr>
              <w:t>2028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5"/>
                <w:szCs w:val="15"/>
                <w:color w:val="auto"/>
              </w:rPr>
              <w:t>13,043</w:t>
            </w:r>
          </w:p>
        </w:tc>
        <w:tc>
          <w:tcPr>
            <w:tcW w:w="280" w:type="dxa"/>
            <w:vAlign w:val="bottom"/>
          </w:tcPr>
          <w:p>
            <w:pPr>
              <w:spacing w:after="0"/>
              <w:rPr>
                <w:sz w:val="16"/>
                <w:szCs w:val="16"/>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199</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12,844</w:t>
            </w:r>
          </w:p>
        </w:tc>
      </w:tr>
      <w:tr>
        <w:trPr>
          <w:trHeight w:val="19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2029</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r>
      <w:tr>
        <w:trPr>
          <w:trHeight w:val="187"/>
        </w:trPr>
        <w:tc>
          <w:tcPr>
            <w:tcW w:w="5860" w:type="dxa"/>
            <w:vAlign w:val="bottom"/>
          </w:tcPr>
          <w:p>
            <w:pPr>
              <w:spacing w:after="0"/>
              <w:rPr>
                <w:sz w:val="20"/>
                <w:szCs w:val="20"/>
                <w:color w:val="auto"/>
              </w:rPr>
            </w:pPr>
            <w:r>
              <w:rPr>
                <w:rFonts w:ascii="Times New Roman" w:cs="Times New Roman" w:eastAsia="Times New Roman" w:hAnsi="Times New Roman"/>
                <w:sz w:val="15"/>
                <w:szCs w:val="15"/>
                <w:color w:val="auto"/>
              </w:rPr>
              <w:t>Total future lease payments</w:t>
            </w:r>
          </w:p>
        </w:tc>
        <w:tc>
          <w:tcPr>
            <w:tcW w:w="2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5"/>
                <w:szCs w:val="15"/>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1,541,037</w:t>
            </w:r>
          </w:p>
        </w:tc>
        <w:tc>
          <w:tcPr>
            <w:tcW w:w="34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38,669</w:t>
            </w:r>
          </w:p>
        </w:tc>
        <w:tc>
          <w:tcPr>
            <w:tcW w:w="3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top w:val="single" w:sz="8" w:color="auto"/>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1,502,368</w:t>
            </w:r>
          </w:p>
        </w:tc>
        <w:tc>
          <w:tcPr>
            <w:tcW w:w="100" w:type="dxa"/>
            <w:vAlign w:val="bottom"/>
          </w:tcPr>
          <w:p>
            <w:pPr>
              <w:spacing w:after="0"/>
              <w:rPr>
                <w:sz w:val="16"/>
                <w:szCs w:val="16"/>
                <w:color w:val="auto"/>
              </w:rPr>
            </w:pPr>
          </w:p>
        </w:tc>
      </w:tr>
      <w:tr>
        <w:trPr>
          <w:trHeight w:val="20"/>
        </w:trPr>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15 – COMMITMENTS AND CONTINGENCIES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Litigation</w:t>
      </w:r>
    </w:p>
    <w:p>
      <w:pPr>
        <w:spacing w:after="0" w:line="20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The Company is subject to claims and contingencies related to lawsuits and other matters arising out of the normal course of business. In addition, the Company may receive notifications alleging infringement of patent or other intellectual property rights. The Company has elected to expense legal costs associated with legal contingencies as incurred.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 xml:space="preserve">On December 1, 2021, the Company and Studio Wildcard sent a notice of claimed infringement (the “DCMA Takedown Notice”) to Valve Corporation, which operates the Steam platform, pursuant to the Digital Millennium Copyright Act (“DCMA”). The DCMA Takedown Notice concerned a videogame titled </w:t>
      </w:r>
      <w:r>
        <w:rPr>
          <w:rFonts w:ascii="Times New Roman" w:cs="Times New Roman" w:eastAsia="Times New Roman" w:hAnsi="Times New Roman"/>
          <w:sz w:val="15"/>
          <w:szCs w:val="15"/>
          <w:i w:val="1"/>
          <w:iCs w:val="1"/>
          <w:color w:val="auto"/>
        </w:rPr>
        <w:t>Myth of Empires</w:t>
      </w:r>
      <w:r>
        <w:rPr>
          <w:rFonts w:ascii="Times New Roman" w:cs="Times New Roman" w:eastAsia="Times New Roman" w:hAnsi="Times New Roman"/>
          <w:sz w:val="15"/>
          <w:szCs w:val="15"/>
          <w:color w:val="auto"/>
        </w:rPr>
        <w:t>, which was developed by Suzhou Angela Online Game Technology Co., Ltd. (“Angela Game”) and published by Imperium Interactive Entertainment Limited (“Imperium”).</w:t>
      </w:r>
    </w:p>
    <w:p>
      <w:pPr>
        <w:spacing w:after="0" w:line="14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 xml:space="preserve">On December 9, 2021, Angela Game and Imperium sued the Company and Studio Wildcard in the United States District Court for the Central District of California (the “District Court”) in response to the DCMA Takedown Notice. The lawsuit sought a declaratory judgment on non-liability for copyright infringement and non-liability for trade secret misappropriation, as well as unspecified damages for alleged misrepresentations in the DCMA Takedown Notice. Angela Game and Imperium also filed an application for a temporary restraining order asking the court to order us and Studio Wildcard to rescind the DCMA Takedown Notice so that Steam could reinstate Myth of Empires for download. On December 20, 2021, the Company and Studio Wildcard filed an answer to the complaint, which included counterclaims against Angela Game and Imperium and a third-party complaint against Tencent seeking unspecified damages resulting from the alleged copyright infringement and misappropriation of trade secrets in connection with the </w:t>
      </w:r>
      <w:r>
        <w:rPr>
          <w:rFonts w:ascii="Times New Roman" w:cs="Times New Roman" w:eastAsia="Times New Roman" w:hAnsi="Times New Roman"/>
          <w:sz w:val="15"/>
          <w:szCs w:val="15"/>
          <w:i w:val="1"/>
          <w:iCs w:val="1"/>
          <w:color w:val="auto"/>
        </w:rPr>
        <w:t>ARK: Survival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Evolved </w:t>
      </w:r>
      <w:r>
        <w:rPr>
          <w:rFonts w:ascii="Times New Roman" w:cs="Times New Roman" w:eastAsia="Times New Roman" w:hAnsi="Times New Roman"/>
          <w:sz w:val="15"/>
          <w:szCs w:val="15"/>
          <w:color w:val="auto"/>
        </w:rPr>
        <w:t>source code.</w:t>
      </w:r>
    </w:p>
    <w:p>
      <w:pPr>
        <w:spacing w:after="0" w:line="34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On September 8, 2023, the Company entered into a settlement agreement with Angela Game. The settlement agreement includes an upfront payment from Angela Game to the Company plus ongoing payments. The upfront payment of $1.5 million was recorded as deferred revenue as of December 31, 2023, with $0.3 million of the payment included in “other income” in the 2023 statement of operations and the remaining amount was recognized upon the satisfaction of performance obligations during the twelve months ended December 31, 2024.</w:t>
      </w:r>
    </w:p>
    <w:p>
      <w:pPr>
        <w:spacing w:after="0" w:line="33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On March 14, 2023, Bel Air Soto, LLC (“Plaintiff”) filed suit in the Superior Court of California, County of Los Angeles, against Snail Games USA Inc. and INDIEV, an affiliate company that is owned by Mr. Hai Shi, the Company’s Founder, Co-Chief Executive Officer, Chief Strategy Officer, and Chairman, for breach of contract and related claims arising out of a commercial lease for premises located in Los Angeles County. Plaintiff alleges that the defendants exercised an option to extend the lease and was harmed when defendants instead terminated the lease and vacated the premises. The complaint seeks damages in excess of $3 million. Snail Games USA Inc. disputes the allegations and the amount of damages. The Company has responded to the complaint with an answer and cross-complaint. The cross-complaint seeks return for the $130,000 security deposit. The landlord has answered and denied the allegations of the cross-complaint. The Company intends to vigorously defend against the claims asserted.</w:t>
      </w:r>
    </w:p>
    <w:p>
      <w:pPr>
        <w:spacing w:after="0" w:line="15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auto"/>
        </w:rPr>
        <w:t>There was a mandatory settlement conference in the case which did not yield a settlement. As a result, the Company has filed a motion for summary judgement, which is scheduled to be heard on June 24, 2025. The trial is presently scheduled to commence in February 2026.</w:t>
      </w:r>
    </w:p>
    <w:p>
      <w:pPr>
        <w:spacing w:after="0" w:line="13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On April 21, 2023, Snail Games USA Inc. entered into an indemnity and reimbursement agreement with INDIEV, dated as of April 1, 2023, pursuant to which INDIEV agrees to assume all obligations and liabilities pursuant to the lease and indemnify and reimburse Snail Games USA Inc. for any amounts, damages, expenses, costs or other liability incurred by Snail Games USA Inc. arising under or pursuant to the lease or relating to the premises.</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In October 2023, INDIEV has filed for bankruptcy and the Company does not expect to recover its costs from INDIEV. Accordingly, it is uncertain whether INDIEV would be able to indemnify the Company due to its bankruptcy. At this time, the Company is unable to quantify the magnitude of the potential loss should the plaintiffs’ lawsuit succeed and accordingly no accrual for loss has been recorded in the accompanying financial statements.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Commitments</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 xml:space="preserve">The Company routinely enters contracts with related party developers for the development of new games. These agreements ordinarily include contractual payments to the developers for several milestones that occur at various times through 2026. The aggregate amount of development commitments to related party developers is $6.6 million as of December 31, 2024, Our commitments assume satisfactory performance by our related party software developer. See Note 10 – </w:t>
      </w:r>
      <w:r>
        <w:rPr>
          <w:rFonts w:ascii="Times New Roman" w:cs="Times New Roman" w:eastAsia="Times New Roman" w:hAnsi="Times New Roman"/>
          <w:sz w:val="15"/>
          <w:szCs w:val="15"/>
          <w:i w:val="1"/>
          <w:iCs w:val="1"/>
          <w:color w:val="auto"/>
        </w:rPr>
        <w:t>Accounts Payable – Related Parties</w:t>
      </w:r>
      <w:r>
        <w:rPr>
          <w:rFonts w:ascii="Times New Roman" w:cs="Times New Roman" w:eastAsia="Times New Roman" w:hAnsi="Times New Roman"/>
          <w:sz w:val="15"/>
          <w:szCs w:val="15"/>
          <w:color w:val="auto"/>
        </w:rPr>
        <w:t xml:space="preserve"> and Note 19 – </w:t>
      </w:r>
      <w:r>
        <w:rPr>
          <w:rFonts w:ascii="Times New Roman" w:cs="Times New Roman" w:eastAsia="Times New Roman" w:hAnsi="Times New Roman"/>
          <w:sz w:val="15"/>
          <w:szCs w:val="15"/>
          <w:i w:val="1"/>
          <w:iCs w:val="1"/>
          <w:color w:val="auto"/>
        </w:rPr>
        <w:t>Subsequent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Events </w:t>
      </w:r>
      <w:r>
        <w:rPr>
          <w:rFonts w:ascii="Times New Roman" w:cs="Times New Roman" w:eastAsia="Times New Roman" w:hAnsi="Times New Roman"/>
          <w:sz w:val="15"/>
          <w:szCs w:val="15"/>
          <w:color w:val="auto"/>
        </w:rPr>
        <w:t>for more information.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16 –EARNINGS (LOSS) PER SHARE</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Company uses the two class method to compute its basic earnings (loss) per share (“Basic EPS”) and diluted earnings (loss) per share (“Diluted EPS”). The following table summarizes the computations of basic EPS and diluted EPS. The allocation of earnings between Class A and Class B shares is based on their respective economic rights to the undistributed earnings of the Company. Basic EPS is computed as net income (loss) divided by the weighted-average number of common shares outstanding for the period. Diluted EPS reflects the potential dilution that could occur using the treasury stock and if-converted methods. The following table provides a reconciliation of the weighted average number of shares used in the calculation of Basic and Diluted EPS.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5"/>
          </w:tcPr>
          <w:p>
            <w:pPr>
              <w:jc w:val="center"/>
              <w:ind w:left="183"/>
              <w:spacing w:after="0"/>
              <w:rPr>
                <w:sz w:val="20"/>
                <w:szCs w:val="20"/>
                <w:color w:val="auto"/>
              </w:rPr>
            </w:pPr>
            <w:r>
              <w:rPr>
                <w:rFonts w:ascii="Times New Roman" w:cs="Times New Roman" w:eastAsia="Times New Roman" w:hAnsi="Times New Roman"/>
                <w:sz w:val="15"/>
                <w:szCs w:val="15"/>
                <w:b w:val="1"/>
                <w:bCs w:val="1"/>
                <w:color w:val="auto"/>
              </w:rPr>
              <w:t>For the year ended</w:t>
            </w: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5"/>
          </w:tcPr>
          <w:p>
            <w:pPr>
              <w:jc w:val="center"/>
              <w:ind w:left="203"/>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608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5"/>
                <w:szCs w:val="15"/>
                <w:b w:val="1"/>
                <w:bCs w:val="1"/>
                <w:color w:val="auto"/>
              </w:rPr>
              <w:t>2024</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Basic Earnings (Loss) Per Share:</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(loss) attributable to Class A common stockholders</w:t>
            </w:r>
          </w:p>
        </w:tc>
        <w:tc>
          <w:tcPr>
            <w:tcW w:w="1480" w:type="dxa"/>
            <w:vAlign w:val="bottom"/>
            <w:gridSpan w:val="2"/>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400,576</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16"/>
                <w:szCs w:val="16"/>
                <w:color w:val="auto"/>
              </w:rPr>
            </w:pPr>
          </w:p>
        </w:tc>
        <w:tc>
          <w:tcPr>
            <w:tcW w:w="15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(1,960,813)</w:t>
            </w: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income (loss) attributable to Class B common stockholders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1,431,364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5"/>
                <w:szCs w:val="15"/>
                <w:color w:val="auto"/>
              </w:rPr>
              <w:t>(7,125,262)</w:t>
            </w:r>
          </w:p>
        </w:tc>
        <w:tc>
          <w:tcPr>
            <w:tcW w:w="0" w:type="dxa"/>
            <w:vAlign w:val="bottom"/>
          </w:tcPr>
          <w:p>
            <w:pPr>
              <w:spacing w:after="0"/>
              <w:rPr>
                <w:sz w:val="1"/>
                <w:szCs w:val="1"/>
                <w:color w:val="auto"/>
              </w:rPr>
            </w:pPr>
          </w:p>
        </w:tc>
      </w:tr>
      <w:tr>
        <w:trPr>
          <w:trHeight w:val="227"/>
        </w:trPr>
        <w:tc>
          <w:tcPr>
            <w:tcW w:w="6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Total net income (loss) attributable to Snail Inc.</w:t>
            </w:r>
          </w:p>
        </w:tc>
        <w:tc>
          <w:tcPr>
            <w:tcW w:w="900" w:type="dxa"/>
            <w:vAlign w:val="bottom"/>
            <w:tcBorders>
              <w:bottom w:val="single" w:sz="8" w:color="CCEEFF"/>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1,831,940</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(9,086,075</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9"/>
        </w:trPr>
        <w:tc>
          <w:tcPr>
            <w:tcW w:w="6080" w:type="dxa"/>
            <w:vAlign w:val="bottom"/>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Class A weighted average shares outstanding - basic</w:t>
            </w:r>
          </w:p>
        </w:tc>
        <w:tc>
          <w:tcPr>
            <w:tcW w:w="9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8,045,469</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7,911,369</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Class B weighted average shares outstanding - basic</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28,748,580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28,748,580</w:t>
            </w:r>
          </w:p>
        </w:tc>
        <w:tc>
          <w:tcPr>
            <w:tcW w:w="0" w:type="dxa"/>
            <w:vAlign w:val="bottom"/>
          </w:tcPr>
          <w:p>
            <w:pPr>
              <w:spacing w:after="0"/>
              <w:rPr>
                <w:sz w:val="1"/>
                <w:szCs w:val="1"/>
                <w:color w:val="auto"/>
              </w:rPr>
            </w:pPr>
          </w:p>
        </w:tc>
      </w:tr>
      <w:tr>
        <w:trPr>
          <w:trHeight w:val="187"/>
        </w:trPr>
        <w:tc>
          <w:tcPr>
            <w:tcW w:w="6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A and B basic earnings (loss) per share</w:t>
            </w: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auto"/>
            </w:tcBorders>
            <w:shd w:val="clear" w:color="auto" w:fill="CCEEFF"/>
          </w:tcPr>
          <w:p>
            <w:pPr>
              <w:jc w:val="right"/>
              <w:ind w:right="423"/>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spacing w:after="0"/>
              <w:rPr>
                <w:sz w:val="16"/>
                <w:szCs w:val="16"/>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0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Diluted Earnings (Loss) Per Share:</w:t>
            </w:r>
          </w:p>
        </w:tc>
        <w:tc>
          <w:tcPr>
            <w:tcW w:w="9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6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(loss) attributable to Class A common stockholders</w:t>
            </w:r>
          </w:p>
        </w:tc>
        <w:tc>
          <w:tcPr>
            <w:tcW w:w="1480" w:type="dxa"/>
            <w:vAlign w:val="bottom"/>
            <w:gridSpan w:val="2"/>
          </w:tcPr>
          <w:p>
            <w:pPr>
              <w:jc w:val="right"/>
              <w:ind w:right="423"/>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400,576</w:t>
            </w:r>
          </w:p>
        </w:tc>
        <w:tc>
          <w:tcPr>
            <w:tcW w:w="300" w:type="dxa"/>
            <w:vAlign w:val="bottom"/>
            <w:gridSpan w:val="2"/>
          </w:tcPr>
          <w:p>
            <w:pPr>
              <w:jc w:val="right"/>
              <w:ind w:right="5"/>
              <w:spacing w:after="0"/>
              <w:rPr>
                <w:sz w:val="20"/>
                <w:szCs w:val="20"/>
                <w:color w:val="auto"/>
              </w:rPr>
            </w:pPr>
            <w:r>
              <w:rPr>
                <w:rFonts w:ascii="Times New Roman" w:cs="Times New Roman" w:eastAsia="Times New Roman" w:hAnsi="Times New Roman"/>
                <w:sz w:val="15"/>
                <w:szCs w:val="15"/>
                <w:color w:val="auto"/>
              </w:rPr>
              <w:t>$</w:t>
            </w:r>
          </w:p>
        </w:tc>
        <w:tc>
          <w:tcPr>
            <w:tcW w:w="320" w:type="dxa"/>
            <w:vAlign w:val="bottom"/>
          </w:tcPr>
          <w:p>
            <w:pPr>
              <w:spacing w:after="0"/>
              <w:rPr>
                <w:sz w:val="21"/>
                <w:szCs w:val="21"/>
                <w:color w:val="auto"/>
              </w:rPr>
            </w:pPr>
          </w:p>
        </w:tc>
        <w:tc>
          <w:tcPr>
            <w:tcW w:w="1560" w:type="dxa"/>
            <w:vAlign w:val="bottom"/>
            <w:gridSpan w:val="2"/>
          </w:tcPr>
          <w:p>
            <w:pPr>
              <w:jc w:val="right"/>
              <w:ind w:right="22"/>
              <w:spacing w:after="0"/>
              <w:rPr>
                <w:sz w:val="20"/>
                <w:szCs w:val="20"/>
                <w:color w:val="auto"/>
              </w:rPr>
            </w:pPr>
            <w:r>
              <w:rPr>
                <w:rFonts w:ascii="Times New Roman" w:cs="Times New Roman" w:eastAsia="Times New Roman" w:hAnsi="Times New Roman"/>
                <w:sz w:val="15"/>
                <w:szCs w:val="15"/>
                <w:color w:val="auto"/>
              </w:rPr>
              <w:t>(1,960,813)</w:t>
            </w:r>
          </w:p>
        </w:tc>
        <w:tc>
          <w:tcPr>
            <w:tcW w:w="0" w:type="dxa"/>
            <w:vAlign w:val="bottom"/>
          </w:tcPr>
          <w:p>
            <w:pPr>
              <w:spacing w:after="0"/>
              <w:rPr>
                <w:sz w:val="1"/>
                <w:szCs w:val="1"/>
                <w:color w:val="auto"/>
              </w:rPr>
            </w:pPr>
          </w:p>
        </w:tc>
      </w:tr>
      <w:tr>
        <w:trPr>
          <w:trHeight w:val="159"/>
        </w:trPr>
        <w:tc>
          <w:tcPr>
            <w:tcW w:w="6080" w:type="dxa"/>
            <w:vAlign w:val="bottom"/>
            <w:tcBorders>
              <w:top w:val="single" w:sz="8" w:color="CCEEFF"/>
              <w:bottom w:val="single" w:sz="8" w:color="CCEEFF"/>
            </w:tcBorders>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Net income (loss) attributable to Class B common stockholders</w:t>
            </w: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ind w:right="4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top w:val="single" w:sz="8" w:color="auto"/>
              <w:bottom w:val="single" w:sz="8" w:color="auto"/>
            </w:tcBorders>
            <w:shd w:val="clear" w:color="auto" w:fill="CCEEFF"/>
          </w:tcPr>
          <w:p>
            <w:pPr>
              <w:spacing w:after="0"/>
              <w:rPr>
                <w:sz w:val="13"/>
                <w:szCs w:val="13"/>
                <w:color w:val="auto"/>
              </w:rPr>
            </w:pP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74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1,431,364</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shd w:val="clear" w:color="auto" w:fill="CCEEFF"/>
          </w:tcPr>
          <w:p>
            <w:pPr>
              <w:spacing w:after="0"/>
              <w:rPr>
                <w:sz w:val="13"/>
                <w:szCs w:val="13"/>
                <w:color w:val="auto"/>
              </w:rPr>
            </w:pPr>
          </w:p>
        </w:tc>
        <w:tc>
          <w:tcPr>
            <w:tcW w:w="1460" w:type="dxa"/>
            <w:vAlign w:val="bottom"/>
            <w:tcBorders>
              <w:top w:val="single" w:sz="8" w:color="auto"/>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(7,125,262</w:t>
            </w:r>
          </w:p>
        </w:tc>
        <w:tc>
          <w:tcPr>
            <w:tcW w:w="100" w:type="dxa"/>
            <w:vAlign w:val="bottom"/>
            <w:tcBorders>
              <w:top w:val="single" w:sz="8" w:color="CCEEFF"/>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140"/>
              <w:spacing w:after="0"/>
              <w:rPr>
                <w:sz w:val="20"/>
                <w:szCs w:val="20"/>
                <w:color w:val="auto"/>
              </w:rPr>
            </w:pPr>
            <w:r>
              <w:rPr>
                <w:rFonts w:ascii="Times New Roman" w:cs="Times New Roman" w:eastAsia="Times New Roman" w:hAnsi="Times New Roman"/>
                <w:sz w:val="15"/>
                <w:szCs w:val="15"/>
                <w:color w:val="auto"/>
              </w:rPr>
              <w:t>Class A weighted average shares outstanding - basic</w:t>
            </w:r>
          </w:p>
        </w:tc>
        <w:tc>
          <w:tcPr>
            <w:tcW w:w="9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08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8,045,469</w:t>
            </w:r>
          </w:p>
        </w:tc>
        <w:tc>
          <w:tcPr>
            <w:tcW w:w="1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6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7,911,369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Dilutive effects of common stock equivalents</w:t>
            </w: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Class A weighted average shares outstanding - diluted</w:t>
            </w:r>
          </w:p>
        </w:tc>
        <w:tc>
          <w:tcPr>
            <w:tcW w:w="900" w:type="dxa"/>
            <w:vAlign w:val="bottom"/>
            <w:tcBorders>
              <w:bottom w:val="single" w:sz="8" w:color="CCEEFF"/>
            </w:tcBorders>
          </w:tcPr>
          <w:p>
            <w:pPr>
              <w:spacing w:after="0"/>
              <w:rPr>
                <w:sz w:val="15"/>
                <w:szCs w:val="15"/>
                <w:color w:val="auto"/>
              </w:rPr>
            </w:pPr>
          </w:p>
        </w:tc>
        <w:tc>
          <w:tcPr>
            <w:tcW w:w="58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8,045,469</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7,911,369</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B weighted average shares outstanding - basic</w:t>
            </w:r>
          </w:p>
        </w:tc>
        <w:tc>
          <w:tcPr>
            <w:tcW w:w="9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Dilutive effects of common stock equivalents</w:t>
            </w: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8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Class B weighted average shares outstanding - diluted</w:t>
            </w:r>
          </w:p>
        </w:tc>
        <w:tc>
          <w:tcPr>
            <w:tcW w:w="9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28,748,580</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6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Diluted earnings (loss) per Class A share</w:t>
            </w:r>
          </w:p>
        </w:tc>
        <w:tc>
          <w:tcPr>
            <w:tcW w:w="9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0.05</w:t>
            </w:r>
          </w:p>
        </w:tc>
        <w:tc>
          <w:tcPr>
            <w:tcW w:w="1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(0.25</w:t>
            </w:r>
          </w:p>
        </w:tc>
        <w:tc>
          <w:tcPr>
            <w:tcW w:w="100" w:type="dxa"/>
            <w:vAlign w:val="bottom"/>
            <w:tcBorders>
              <w:bottom w:val="single" w:sz="8" w:color="CCEEFF"/>
            </w:tcBorders>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59"/>
        </w:trPr>
        <w:tc>
          <w:tcPr>
            <w:tcW w:w="6080" w:type="dxa"/>
            <w:vAlign w:val="bottom"/>
            <w:tcBorders>
              <w:bottom w:val="single" w:sz="8" w:color="CCEEFF"/>
            </w:tcBorders>
            <w:shd w:val="clear" w:color="auto" w:fill="CCEEFF"/>
          </w:tcPr>
          <w:p>
            <w:pPr>
              <w:ind w:left="140"/>
              <w:spacing w:after="0" w:line="159" w:lineRule="exact"/>
              <w:rPr>
                <w:sz w:val="20"/>
                <w:szCs w:val="20"/>
                <w:color w:val="auto"/>
              </w:rPr>
            </w:pPr>
            <w:r>
              <w:rPr>
                <w:rFonts w:ascii="Times New Roman" w:cs="Times New Roman" w:eastAsia="Times New Roman" w:hAnsi="Times New Roman"/>
                <w:sz w:val="15"/>
                <w:szCs w:val="15"/>
                <w:color w:val="auto"/>
              </w:rPr>
              <w:t>Diluted earnings (loss) per Class B share</w:t>
            </w:r>
          </w:p>
        </w:tc>
        <w:tc>
          <w:tcPr>
            <w:tcW w:w="9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ind w:right="423"/>
              <w:spacing w:after="0" w:line="159" w:lineRule="exact"/>
              <w:rPr>
                <w:sz w:val="20"/>
                <w:szCs w:val="20"/>
                <w:color w:val="auto"/>
              </w:rPr>
            </w:pPr>
            <w:r>
              <w:rPr>
                <w:rFonts w:ascii="Times New Roman" w:cs="Times New Roman" w:eastAsia="Times New Roman" w:hAnsi="Times New Roman"/>
                <w:sz w:val="15"/>
                <w:szCs w:val="15"/>
                <w:color w:val="auto"/>
                <w:w w:val="79"/>
              </w:rPr>
              <w:t>$</w:t>
            </w:r>
          </w:p>
        </w:tc>
        <w:tc>
          <w:tcPr>
            <w:tcW w:w="340" w:type="dxa"/>
            <w:vAlign w:val="bottom"/>
            <w:tcBorders>
              <w:bottom w:val="single" w:sz="8" w:color="auto"/>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0.05</w:t>
            </w:r>
          </w:p>
        </w:tc>
        <w:tc>
          <w:tcPr>
            <w:tcW w:w="18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5"/>
                <w:szCs w:val="15"/>
                <w:color w:val="auto"/>
              </w:rPr>
              <w:t>(0.25</w:t>
            </w:r>
          </w:p>
        </w:tc>
        <w:tc>
          <w:tcPr>
            <w:tcW w:w="1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698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816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The following table provides a listing of shares excluded from the calculation of Diluted EPS due to their anti-dilutive effects:</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0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2024</w:t>
            </w: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23"/>
              <w:spacing w:after="0"/>
              <w:rPr>
                <w:sz w:val="20"/>
                <w:szCs w:val="20"/>
                <w:color w:val="auto"/>
              </w:rPr>
            </w:pPr>
            <w:r>
              <w:rPr>
                <w:rFonts w:ascii="Times New Roman" w:cs="Times New Roman" w:eastAsia="Times New Roman" w:hAnsi="Times New Roman"/>
                <w:sz w:val="15"/>
                <w:szCs w:val="15"/>
                <w:b w:val="1"/>
                <w:bCs w:val="1"/>
                <w:color w:val="auto"/>
              </w:rPr>
              <w:t>2023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2"/>
          </w:tcPr>
          <w:p>
            <w:pPr>
              <w:jc w:val="right"/>
              <w:ind w:right="542"/>
              <w:spacing w:after="0"/>
              <w:rPr>
                <w:sz w:val="20"/>
                <w:szCs w:val="20"/>
                <w:color w:val="auto"/>
              </w:rPr>
            </w:pPr>
            <w:r>
              <w:rPr>
                <w:rFonts w:ascii="Times New Roman" w:cs="Times New Roman" w:eastAsia="Times New Roman" w:hAnsi="Times New Roman"/>
                <w:sz w:val="15"/>
                <w:szCs w:val="15"/>
                <w:b w:val="1"/>
                <w:bCs w:val="1"/>
                <w:color w:val="auto"/>
              </w:rPr>
              <w:t>Method</w:t>
            </w:r>
          </w:p>
        </w:tc>
        <w:tc>
          <w:tcPr>
            <w:tcW w:w="0" w:type="dxa"/>
            <w:vAlign w:val="bottom"/>
          </w:tcPr>
          <w:p>
            <w:pPr>
              <w:spacing w:after="0"/>
              <w:rPr>
                <w:sz w:val="1"/>
                <w:szCs w:val="1"/>
                <w:color w:val="auto"/>
              </w:rPr>
            </w:pPr>
          </w:p>
        </w:tc>
      </w:tr>
      <w:tr>
        <w:trPr>
          <w:trHeight w:val="176"/>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b w:val="1"/>
                <w:bCs w:val="1"/>
                <w:color w:val="auto"/>
              </w:rPr>
              <w:t>Excluded Shares:</w:t>
            </w:r>
          </w:p>
        </w:tc>
        <w:tc>
          <w:tcPr>
            <w:tcW w:w="9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6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Restricted stock units outstanding</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1,142,284</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40" w:type="dxa"/>
            <w:vAlign w:val="bottom"/>
            <w:gridSpan w:val="5"/>
          </w:tcPr>
          <w:p>
            <w:pPr>
              <w:jc w:val="right"/>
              <w:ind w:right="320"/>
              <w:spacing w:after="0"/>
              <w:rPr>
                <w:sz w:val="20"/>
                <w:szCs w:val="20"/>
                <w:color w:val="auto"/>
              </w:rPr>
            </w:pPr>
            <w:r>
              <w:rPr>
                <w:rFonts w:ascii="Times New Roman" w:cs="Times New Roman" w:eastAsia="Times New Roman" w:hAnsi="Times New Roman"/>
                <w:sz w:val="15"/>
                <w:szCs w:val="15"/>
                <w:color w:val="auto"/>
              </w:rPr>
              <w:t>1,232,725</w:t>
            </w:r>
          </w:p>
        </w:tc>
        <w:tc>
          <w:tcPr>
            <w:tcW w:w="15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Treasury</w:t>
            </w:r>
          </w:p>
        </w:tc>
        <w:tc>
          <w:tcPr>
            <w:tcW w:w="0" w:type="dxa"/>
            <w:vAlign w:val="bottom"/>
          </w:tcPr>
          <w:p>
            <w:pPr>
              <w:spacing w:after="0"/>
              <w:rPr>
                <w:sz w:val="1"/>
                <w:szCs w:val="1"/>
                <w:color w:val="auto"/>
              </w:rPr>
            </w:pPr>
          </w:p>
        </w:tc>
      </w:tr>
      <w:tr>
        <w:trPr>
          <w:trHeight w:val="184"/>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Equity line of credit warrants</w:t>
            </w:r>
          </w:p>
        </w:tc>
        <w:tc>
          <w:tcPr>
            <w:tcW w:w="18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5"/>
                <w:szCs w:val="15"/>
                <w:color w:val="auto"/>
              </w:rPr>
              <w:t>334,314</w:t>
            </w:r>
          </w:p>
        </w:tc>
        <w:tc>
          <w:tcPr>
            <w:tcW w:w="260" w:type="dxa"/>
            <w:vAlign w:val="bottom"/>
            <w:shd w:val="clear" w:color="auto" w:fill="CCEEFF"/>
          </w:tcPr>
          <w:p>
            <w:pPr>
              <w:spacing w:after="0"/>
              <w:rPr>
                <w:sz w:val="16"/>
                <w:szCs w:val="16"/>
                <w:color w:val="auto"/>
              </w:rPr>
            </w:pPr>
          </w:p>
        </w:tc>
        <w:tc>
          <w:tcPr>
            <w:tcW w:w="154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367,647</w:t>
            </w:r>
          </w:p>
        </w:tc>
        <w:tc>
          <w:tcPr>
            <w:tcW w:w="15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Treasury</w:t>
            </w:r>
          </w:p>
        </w:tc>
        <w:tc>
          <w:tcPr>
            <w:tcW w:w="0" w:type="dxa"/>
            <w:vAlign w:val="bottom"/>
          </w:tcPr>
          <w:p>
            <w:pPr>
              <w:spacing w:after="0"/>
              <w:rPr>
                <w:sz w:val="1"/>
                <w:szCs w:val="1"/>
                <w:color w:val="auto"/>
              </w:rPr>
            </w:pPr>
          </w:p>
        </w:tc>
      </w:tr>
      <w:tr>
        <w:trPr>
          <w:trHeight w:val="184"/>
        </w:trPr>
        <w:tc>
          <w:tcPr>
            <w:tcW w:w="6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Underwriters warrants</w:t>
            </w:r>
          </w:p>
        </w:tc>
        <w:tc>
          <w:tcPr>
            <w:tcW w:w="1820" w:type="dxa"/>
            <w:vAlign w:val="bottom"/>
            <w:gridSpan w:val="3"/>
          </w:tcPr>
          <w:p>
            <w:pPr>
              <w:jc w:val="right"/>
              <w:ind w:right="340"/>
              <w:spacing w:after="0"/>
              <w:rPr>
                <w:sz w:val="20"/>
                <w:szCs w:val="20"/>
                <w:color w:val="auto"/>
              </w:rPr>
            </w:pPr>
            <w:r>
              <w:rPr>
                <w:rFonts w:ascii="Times New Roman" w:cs="Times New Roman" w:eastAsia="Times New Roman" w:hAnsi="Times New Roman"/>
                <w:sz w:val="15"/>
                <w:szCs w:val="15"/>
                <w:color w:val="auto"/>
              </w:rPr>
              <w:t>120,000</w:t>
            </w:r>
          </w:p>
        </w:tc>
        <w:tc>
          <w:tcPr>
            <w:tcW w:w="260" w:type="dxa"/>
            <w:vAlign w:val="bottom"/>
          </w:tcPr>
          <w:p>
            <w:pPr>
              <w:spacing w:after="0"/>
              <w:rPr>
                <w:sz w:val="16"/>
                <w:szCs w:val="16"/>
                <w:color w:val="auto"/>
              </w:rPr>
            </w:pPr>
          </w:p>
        </w:tc>
        <w:tc>
          <w:tcPr>
            <w:tcW w:w="1540" w:type="dxa"/>
            <w:vAlign w:val="bottom"/>
            <w:gridSpan w:val="5"/>
          </w:tcPr>
          <w:p>
            <w:pPr>
              <w:jc w:val="right"/>
              <w:ind w:right="320"/>
              <w:spacing w:after="0"/>
              <w:rPr>
                <w:sz w:val="20"/>
                <w:szCs w:val="20"/>
                <w:color w:val="auto"/>
              </w:rPr>
            </w:pPr>
            <w:r>
              <w:rPr>
                <w:rFonts w:ascii="Times New Roman" w:cs="Times New Roman" w:eastAsia="Times New Roman" w:hAnsi="Times New Roman"/>
                <w:sz w:val="15"/>
                <w:szCs w:val="15"/>
                <w:color w:val="auto"/>
              </w:rPr>
              <w:t>120,000</w:t>
            </w:r>
          </w:p>
        </w:tc>
        <w:tc>
          <w:tcPr>
            <w:tcW w:w="15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Treasury</w:t>
            </w:r>
          </w:p>
        </w:tc>
        <w:tc>
          <w:tcPr>
            <w:tcW w:w="0" w:type="dxa"/>
            <w:vAlign w:val="bottom"/>
          </w:tcPr>
          <w:p>
            <w:pPr>
              <w:spacing w:after="0"/>
              <w:rPr>
                <w:sz w:val="1"/>
                <w:szCs w:val="1"/>
                <w:color w:val="auto"/>
              </w:rPr>
            </w:pPr>
          </w:p>
        </w:tc>
      </w:tr>
      <w:tr>
        <w:trPr>
          <w:trHeight w:val="184"/>
        </w:trPr>
        <w:tc>
          <w:tcPr>
            <w:tcW w:w="6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Convertible notes</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540" w:type="dxa"/>
            <w:vAlign w:val="bottom"/>
            <w:gridSpan w:val="5"/>
            <w:shd w:val="clear" w:color="auto" w:fill="CCEEFF"/>
          </w:tcPr>
          <w:p>
            <w:pPr>
              <w:jc w:val="right"/>
              <w:ind w:right="320"/>
              <w:spacing w:after="0"/>
              <w:rPr>
                <w:sz w:val="20"/>
                <w:szCs w:val="20"/>
                <w:color w:val="auto"/>
              </w:rPr>
            </w:pPr>
            <w:r>
              <w:rPr>
                <w:rFonts w:ascii="Times New Roman" w:cs="Times New Roman" w:eastAsia="Times New Roman" w:hAnsi="Times New Roman"/>
                <w:sz w:val="15"/>
                <w:szCs w:val="15"/>
                <w:color w:val="auto"/>
              </w:rPr>
              <w:t>862,275</w:t>
            </w:r>
          </w:p>
        </w:tc>
        <w:tc>
          <w:tcPr>
            <w:tcW w:w="15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5"/>
                <w:szCs w:val="15"/>
                <w:color w:val="auto"/>
              </w:rPr>
              <w:t>If-Converted</w:t>
            </w:r>
          </w:p>
        </w:tc>
        <w:tc>
          <w:tcPr>
            <w:tcW w:w="0" w:type="dxa"/>
            <w:vAlign w:val="bottom"/>
          </w:tcPr>
          <w:p>
            <w:pPr>
              <w:spacing w:after="0"/>
              <w:rPr>
                <w:sz w:val="1"/>
                <w:szCs w:val="1"/>
                <w:color w:val="auto"/>
              </w:rPr>
            </w:pPr>
          </w:p>
        </w:tc>
      </w:tr>
      <w:tr>
        <w:trPr>
          <w:trHeight w:val="199"/>
        </w:trPr>
        <w:tc>
          <w:tcPr>
            <w:tcW w:w="608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Convertible notes warrants</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1,405,470</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5"/>
          </w:tcPr>
          <w:p>
            <w:pPr>
              <w:jc w:val="right"/>
              <w:ind w:right="320"/>
              <w:spacing w:after="0"/>
              <w:rPr>
                <w:sz w:val="20"/>
                <w:szCs w:val="20"/>
                <w:color w:val="auto"/>
              </w:rPr>
            </w:pPr>
            <w:r>
              <w:rPr>
                <w:rFonts w:ascii="Times New Roman" w:cs="Times New Roman" w:eastAsia="Times New Roman" w:hAnsi="Times New Roman"/>
                <w:sz w:val="15"/>
                <w:szCs w:val="15"/>
                <w:color w:val="auto"/>
              </w:rPr>
              <w:t>1,607,849</w:t>
            </w:r>
          </w:p>
        </w:tc>
        <w:tc>
          <w:tcPr>
            <w:tcW w:w="1560" w:type="dxa"/>
            <w:vAlign w:val="bottom"/>
            <w:gridSpan w:val="2"/>
          </w:tcPr>
          <w:p>
            <w:pPr>
              <w:jc w:val="right"/>
              <w:ind w:right="62"/>
              <w:spacing w:after="0"/>
              <w:rPr>
                <w:sz w:val="20"/>
                <w:szCs w:val="20"/>
                <w:color w:val="auto"/>
              </w:rPr>
            </w:pPr>
            <w:r>
              <w:rPr>
                <w:rFonts w:ascii="Times New Roman" w:cs="Times New Roman" w:eastAsia="Times New Roman" w:hAnsi="Times New Roman"/>
                <w:sz w:val="15"/>
                <w:szCs w:val="15"/>
                <w:color w:val="auto"/>
              </w:rPr>
              <w:t>Treasury</w:t>
            </w:r>
          </w:p>
        </w:tc>
        <w:tc>
          <w:tcPr>
            <w:tcW w:w="0" w:type="dxa"/>
            <w:vAlign w:val="bottom"/>
          </w:tcPr>
          <w:p>
            <w:pPr>
              <w:spacing w:after="0"/>
              <w:rPr>
                <w:sz w:val="1"/>
                <w:szCs w:val="1"/>
                <w:color w:val="auto"/>
              </w:rPr>
            </w:pP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17 – EQUITY</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Company has authorized two classes of common stock, Class A and Class B. The rights of the holders of both Class A and Class B common stock will be identical, except with respect to voting, conversion and transfer restrictions applicable to the Class B common stock. Each share of Class A common stock will be entitled to one vote. Each share of Class B common stock will be entitled to ten votes and will be convertible into one share of Class A common stock automatically upon transfer, subject to certain exceptions. Holders of Class A common stock and Class B common stock will vote together as a single class on all matters unless otherwise required by law.</w:t>
      </w:r>
    </w:p>
    <w:p>
      <w:pPr>
        <w:spacing w:after="0" w:line="15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5"/>
          <w:szCs w:val="15"/>
          <w:color w:val="auto"/>
        </w:rPr>
        <w:t>In connection with our IPO, on November 9, 2022, the Company issued to the Underwriters warrants to purchase 120,000 shares of Class A common stock (the “Underwriters Warrants”). The Underwriters Warrants may be exercised at a price per share equal to 125% of the IPO price, or $6.25 per share. The Underwriters Warrants are exercisable, in whole or in part, commencing on November 9, 2022, and expiring on the three-year anniversary thereof. The Underwriters Warrants have not been exercised as of the filing of this Annual Report.</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8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The Underwriters Warrants are legally detachable and separately exercisable from the Class A common stock; therefore, they meet the definition of freestanding and are not considered embedded in the Firm Shares.</w:t>
      </w:r>
    </w:p>
    <w:p>
      <w:pPr>
        <w:spacing w:after="0" w:line="13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5"/>
          <w:szCs w:val="15"/>
          <w:color w:val="auto"/>
        </w:rPr>
        <w:t>The Underwriters Warrants are considered indexed to the Company’s own stock. Additionally, the Company concludes that the Underwriters Warrants meet all requirements for equity classification. Because the Underwriters Warrants were issued to the Underwriters for their services and can be exercised immediately (subject to certain transfer conditions) they were measured at their fair value on their date of issuance and recorded within stockholders’ equity. As long as the Underwriters Warrants remain classified as equity, they shall not be revalued.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Convertible Debt</w:t>
      </w:r>
    </w:p>
    <w:p>
      <w:pPr>
        <w:spacing w:after="0" w:line="2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In August 2023, pursuant to a securities purchase agreement (the “SPA”), the Company issued to two accredited investors (the convertible debt “Investors”) convertible notes with an aggregate principal amount of $1,080,000 (the “Convertible Notes”) and warrants to purchase up to an aggregate of 714,285 shares of the Company’s Class A common stock for gross proceeds of $1,000,000 (the “Convertible Notes Financing”).</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In connection with the Convertible Notes Financing, the Company also entered into a registration rights agreement with the Investors. So long as the Company complies with certain conditions set forth in the SPA and the registration rights agreement, the Company will sell and the Investors will purchase, an additional $1,080,000 of aggregate principal amount of notes and warrants in the second tranche of the Convertible Note Financing. The second tranche closing has not yet taken place.</w:t>
      </w:r>
    </w:p>
    <w:p>
      <w:pPr>
        <w:spacing w:after="0" w:line="14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The Convertible Notes carried an original issue discount of approximately 7.4%, bear interest at a rate of 7.5% per annum (16% per annum in case of an event of default), and were repaid in equal consecutive monthly installments that began in February 2024 and matured on May 24, 2024 (the “Maturity Date”).</w:t>
      </w:r>
    </w:p>
    <w:p>
      <w:pPr>
        <w:spacing w:after="0" w:line="1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Subject to certain ownership limitations, starting three months after their issuance, the Convertible Notes could be converted at the option of the holder at any time into shares of the Company’s Class A common, at a conversion price equal to 90% (85% in case of an event of default) of the average of the three the lowest daily volume weighted average price (“VWAP”) of the Class A common stock during the ten (10) trading days period prior the receipt of the notice of conversion. The conversion price may be adjusted if the Company issues a qualifying security at a lower price than the then conversion price.</w:t>
      </w:r>
    </w:p>
    <w:p>
      <w:pPr>
        <w:spacing w:after="0" w:line="151"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5"/>
          <w:szCs w:val="15"/>
          <w:color w:val="auto"/>
        </w:rPr>
        <w:t>If, upon receipt of conversion notice, the Company cannot issue shares of Class A common stock for any reason, then it is required to issue as many shares of Class A common stock as it is able to issue and, with respect to the unconverted principle portion, the Noteholder may elect for the Company to pay for each shares of Class A common stock that could not be issued at a price equal to the higher of the then conversion price or the VWAP as of the date of the conversion notice.</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Company determined that the Convertible Notes included features that required bifurcation from the debt host and met the criteria to be accounted for as a derivative liability that is accounted for at fair value. On the date of issuance, the compound derivative had an estimated fair value that was not significant due to the remoteness of the events that would trigger the redemption features. The derivative liability uses level 3 inputs, is to be measured at fair value each reporting date with change in fair value being reported in other income. The change in fair value during the years ended December 31, 2024 and 2023, was not significant and as such, was not recorded.</w:t>
      </w:r>
    </w:p>
    <w:p>
      <w:pPr>
        <w:spacing w:after="0" w:line="15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auto"/>
        </w:rPr>
        <w:t>On the date of issuance, the Company allocated the proceeds between the instruments issued using fair value for the derivative liability with the residual amounts allocated to the convertible notes and warrants using relative fair value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5140" w:type="dxa"/>
            <w:vAlign w:val="bottom"/>
            <w:gridSpan w:val="2"/>
            <w:shd w:val="clear" w:color="auto" w:fill="CCEEFF"/>
          </w:tcPr>
          <w:p>
            <w:pPr>
              <w:jc w:val="right"/>
              <w:ind w:right="343"/>
              <w:spacing w:after="0"/>
              <w:rPr>
                <w:sz w:val="20"/>
                <w:szCs w:val="20"/>
                <w:color w:val="auto"/>
              </w:rPr>
            </w:pPr>
            <w:r>
              <w:rPr>
                <w:rFonts w:ascii="Times New Roman" w:cs="Times New Roman" w:eastAsia="Times New Roman" w:hAnsi="Times New Roman"/>
                <w:sz w:val="15"/>
                <w:szCs w:val="15"/>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554,246</w:t>
            </w:r>
          </w:p>
        </w:tc>
        <w:tc>
          <w:tcPr>
            <w:tcW w:w="1140" w:type="dxa"/>
            <w:vAlign w:val="bottom"/>
          </w:tcPr>
          <w:p>
            <w:pPr>
              <w:spacing w:after="0"/>
              <w:rPr>
                <w:sz w:val="16"/>
                <w:szCs w:val="16"/>
                <w:color w:val="auto"/>
              </w:rPr>
            </w:pPr>
          </w:p>
        </w:tc>
      </w:tr>
      <w:tr>
        <w:trPr>
          <w:trHeight w:val="184"/>
        </w:trPr>
        <w:tc>
          <w:tcPr>
            <w:tcW w:w="11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5"/>
                <w:szCs w:val="15"/>
                <w:color w:val="auto"/>
              </w:rPr>
              <w:t>Derivative liability</w:t>
            </w:r>
          </w:p>
        </w:tc>
        <w:tc>
          <w:tcPr>
            <w:tcW w:w="4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c>
          <w:tcPr>
            <w:tcW w:w="1140" w:type="dxa"/>
            <w:vAlign w:val="bottom"/>
          </w:tcPr>
          <w:p>
            <w:pPr>
              <w:spacing w:after="0"/>
              <w:rPr>
                <w:sz w:val="16"/>
                <w:szCs w:val="16"/>
                <w:color w:val="auto"/>
              </w:rPr>
            </w:pPr>
          </w:p>
        </w:tc>
      </w:tr>
      <w:tr>
        <w:trPr>
          <w:trHeight w:val="196"/>
        </w:trPr>
        <w:tc>
          <w:tcPr>
            <w:tcW w:w="1120" w:type="dxa"/>
            <w:vAlign w:val="bottom"/>
          </w:tcPr>
          <w:p>
            <w:pPr>
              <w:spacing w:after="0"/>
              <w:rPr>
                <w:sz w:val="17"/>
                <w:szCs w:val="17"/>
                <w:color w:val="auto"/>
              </w:rPr>
            </w:pPr>
          </w:p>
        </w:tc>
        <w:tc>
          <w:tcPr>
            <w:tcW w:w="27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Warrants</w:t>
            </w:r>
          </w:p>
        </w:tc>
        <w:tc>
          <w:tcPr>
            <w:tcW w:w="4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445,754</w:t>
            </w:r>
          </w:p>
        </w:tc>
        <w:tc>
          <w:tcPr>
            <w:tcW w:w="1140" w:type="dxa"/>
            <w:vAlign w:val="bottom"/>
          </w:tcPr>
          <w:p>
            <w:pPr>
              <w:spacing w:after="0"/>
              <w:rPr>
                <w:sz w:val="17"/>
                <w:szCs w:val="17"/>
                <w:color w:val="auto"/>
              </w:rPr>
            </w:pPr>
          </w:p>
        </w:tc>
      </w:tr>
      <w:tr>
        <w:trPr>
          <w:trHeight w:val="187"/>
        </w:trPr>
        <w:tc>
          <w:tcPr>
            <w:tcW w:w="1120" w:type="dxa"/>
            <w:vAlign w:val="bottom"/>
          </w:tcPr>
          <w:p>
            <w:pPr>
              <w:spacing w:after="0"/>
              <w:rPr>
                <w:sz w:val="16"/>
                <w:szCs w:val="16"/>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5"/>
                <w:szCs w:val="15"/>
                <w:color w:val="auto"/>
              </w:rPr>
              <w:t>Total proceeds</w:t>
            </w:r>
          </w:p>
        </w:tc>
        <w:tc>
          <w:tcPr>
            <w:tcW w:w="4640" w:type="dxa"/>
            <w:vAlign w:val="bottom"/>
          </w:tcPr>
          <w:p>
            <w:pPr>
              <w:spacing w:after="0"/>
              <w:rPr>
                <w:sz w:val="16"/>
                <w:szCs w:val="16"/>
                <w:color w:val="auto"/>
              </w:rPr>
            </w:pPr>
          </w:p>
        </w:tc>
        <w:tc>
          <w:tcPr>
            <w:tcW w:w="500" w:type="dxa"/>
            <w:vAlign w:val="bottom"/>
            <w:tcBorders>
              <w:top w:val="single" w:sz="8" w:color="auto"/>
              <w:bottom w:val="single" w:sz="8" w:color="auto"/>
            </w:tcBorders>
          </w:tcPr>
          <w:p>
            <w:pPr>
              <w:jc w:val="right"/>
              <w:ind w:right="343"/>
              <w:spacing w:after="0"/>
              <w:rPr>
                <w:sz w:val="20"/>
                <w:szCs w:val="20"/>
                <w:color w:val="auto"/>
              </w:rPr>
            </w:pPr>
            <w:r>
              <w:rPr>
                <w:rFonts w:ascii="Times New Roman" w:cs="Times New Roman" w:eastAsia="Times New Roman" w:hAnsi="Times New Roman"/>
                <w:sz w:val="15"/>
                <w:szCs w:val="15"/>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1,000,000</w:t>
            </w: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1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3"/>
        </w:trPr>
        <w:tc>
          <w:tcPr>
            <w:tcW w:w="1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gridSpan w:val="2"/>
          </w:tcPr>
          <w:p>
            <w:pPr>
              <w:jc w:val="right"/>
              <w:ind w:right="3183"/>
              <w:spacing w:after="0"/>
              <w:rPr>
                <w:sz w:val="20"/>
                <w:szCs w:val="20"/>
                <w:color w:val="auto"/>
              </w:rPr>
            </w:pPr>
            <w:r>
              <w:rPr>
                <w:rFonts w:ascii="Times New Roman" w:cs="Times New Roman" w:eastAsia="Times New Roman" w:hAnsi="Times New Roman"/>
                <w:sz w:val="15"/>
                <w:szCs w:val="15"/>
                <w:color w:val="auto"/>
              </w:rPr>
              <w:t>F-29</w:t>
            </w: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5" w:right="31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8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The difference of $525,754 between the allocated proceeds to the Convertible Notes and the aggregate principal amount will be accreted during the life of the notes. Additionally, $152,500 of transaction costs incurred by the Company were recorded as debt discount. As of December 31, 2024, the Company has repaid the balance of the convertible notes.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is a summary of the Convertible Notes as of December 31,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color w:val="auto"/>
              </w:rPr>
              <w:t>Unamortized</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color w:val="auto"/>
              </w:rPr>
              <w:t>debt discount</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0"/>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540"/>
              <w:spacing w:after="0"/>
              <w:rPr>
                <w:sz w:val="20"/>
                <w:szCs w:val="20"/>
                <w:color w:val="auto"/>
              </w:rPr>
            </w:pPr>
            <w:r>
              <w:rPr>
                <w:rFonts w:ascii="Times New Roman" w:cs="Times New Roman" w:eastAsia="Times New Roman" w:hAnsi="Times New Roman"/>
                <w:sz w:val="15"/>
                <w:szCs w:val="15"/>
                <w:color w:val="auto"/>
              </w:rPr>
              <w:t>Principal</w:t>
            </w:r>
          </w:p>
        </w:tc>
        <w:tc>
          <w:tcPr>
            <w:tcW w:w="1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rPr>
              <w:t>and issuance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rPr>
              <w:t>Net carrying</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5"/>
                <w:szCs w:val="15"/>
                <w:color w:val="auto"/>
              </w:rPr>
              <w:t>Fair value</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4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520"/>
              <w:spacing w:after="0"/>
              <w:rPr>
                <w:sz w:val="20"/>
                <w:szCs w:val="20"/>
                <w:color w:val="auto"/>
              </w:rPr>
            </w:pPr>
            <w:r>
              <w:rPr>
                <w:rFonts w:ascii="Times New Roman" w:cs="Times New Roman" w:eastAsia="Times New Roman" w:hAnsi="Times New Roman"/>
                <w:sz w:val="15"/>
                <w:szCs w:val="15"/>
                <w:color w:val="auto"/>
              </w:rPr>
              <w:t>Amount</w:t>
            </w:r>
          </w:p>
        </w:tc>
        <w:tc>
          <w:tcPr>
            <w:tcW w:w="100" w:type="dxa"/>
            <w:vAlign w:val="bottom"/>
          </w:tcPr>
          <w:p>
            <w:pPr>
              <w:spacing w:after="0"/>
              <w:rPr>
                <w:sz w:val="16"/>
                <w:szCs w:val="16"/>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w w:val="99"/>
              </w:rPr>
              <w:t>costs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color w:val="auto"/>
              </w:rPr>
              <w:t>amount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5"/>
                <w:szCs w:val="15"/>
                <w:color w:val="auto"/>
              </w:rPr>
              <w:t>Amount</w:t>
            </w:r>
          </w:p>
        </w:tc>
        <w:tc>
          <w:tcPr>
            <w:tcW w:w="92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Levelling</w:t>
            </w:r>
          </w:p>
        </w:tc>
        <w:tc>
          <w:tcPr>
            <w:tcW w:w="100" w:type="dxa"/>
            <w:vAlign w:val="bottom"/>
          </w:tcPr>
          <w:p>
            <w:pPr>
              <w:spacing w:after="0"/>
              <w:rPr>
                <w:sz w:val="16"/>
                <w:szCs w:val="16"/>
                <w:color w:val="auto"/>
              </w:rPr>
            </w:pPr>
          </w:p>
        </w:tc>
      </w:tr>
      <w:tr>
        <w:trPr>
          <w:trHeight w:val="176"/>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Convertible Notes</w:t>
            </w: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860,910</w:t>
            </w:r>
          </w:p>
        </w:tc>
        <w:tc>
          <w:tcPr>
            <w:tcW w:w="3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(63,549)</w:t>
            </w: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797,361</w:t>
            </w: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536,170</w:t>
            </w:r>
          </w:p>
        </w:tc>
        <w:tc>
          <w:tcPr>
            <w:tcW w:w="3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5"/>
                <w:szCs w:val="15"/>
                <w:color w:val="auto"/>
              </w:rPr>
              <w:t>Level 3</w:t>
            </w:r>
          </w:p>
        </w:tc>
        <w:tc>
          <w:tcPr>
            <w:tcW w:w="100" w:type="dxa"/>
            <w:vAlign w:val="bottom"/>
            <w:tcBorders>
              <w:top w:val="single" w:sz="8" w:color="CCEEFF"/>
            </w:tcBorders>
            <w:shd w:val="clear" w:color="auto" w:fill="CCEEFF"/>
          </w:tcPr>
          <w:p>
            <w:pPr>
              <w:spacing w:after="0"/>
              <w:rPr>
                <w:sz w:val="15"/>
                <w:szCs w:val="15"/>
                <w:color w:val="auto"/>
              </w:rPr>
            </w:pPr>
          </w:p>
        </w:tc>
      </w:tr>
    </w:tbl>
    <w:p>
      <w:pPr>
        <w:spacing w:after="0" w:line="17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debt discount was amortized to interest expense over the maturity period using the effective interest method at a rate of 103.4%. The effective interest rate is based on the principal balance discounted by stated interest, debt issuance costs and fair value allocated to the related warrants. For the year ended December 31, 2024, the Company recognized $309,433 of interest expense related to the Convertible Notes, comprising of $22,725 of contractual interest expense, $222,628 in accretion and $64,080 of amortization of debt discount and issuance costs. For the year ended December 31, 2023, the Company recognized $424,460 of interest expense related to the Convertible Notes, comprising of $29,025 of contractual interest expense, $306,664 in accretion and $88,951 of amortization of debt discount and issuance costs.</w:t>
      </w:r>
    </w:p>
    <w:p>
      <w:pPr>
        <w:spacing w:after="0" w:line="153"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auto"/>
        </w:rPr>
        <w:t>During the year ended December 31, 2024, the Company repaid $1,071,750 of principal and accrued interest and the investors converted $60,000 of principal into 71,460 shares of Class A common stock.</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Convertible Note Warrants</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 xml:space="preserve">On August 24, 2023, the Company issued warrants in connection with its convertible debt for the purchase of 714,285 shares (the “Convertible Note Warrants”). The Convertible Note Warrants are accounted for as liabilities and are included in the accrued expenses and other liabilities in the consolidated balance sheets. The Convertible Note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convertible note warrants allow the Investors to purchase an aggregate of 714,285 shares of the Company’s Class A common stock at an exercise price of $1.89. The warrants can be exercised, subject to certain ownership limitations, in whole or in part during the exercise period commencing on November 24, 2023 and ending on the date that is five years thereafter.</w:t>
      </w:r>
    </w:p>
    <w:p>
      <w:pPr>
        <w:spacing w:after="0" w:line="32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The exercise price and the number of shares of the warrants are subject to adjustment for standard anti-dilution provisions and also for subsequent issuance at a price lower than the then exercise price and adjustments to the strike price of other equity-linked instruments to a lower price than the then exercise price.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Due to their adjustment provisions, the warrants are classified as a liability on the consolidated balance sheet. The fair value of the warrants at issuance has been estimated using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Monte-Carlo model as follows:</w:t>
      </w:r>
    </w:p>
    <w:p>
      <w:pPr>
        <w:spacing w:after="0" w:line="193"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December 31, 2024</w:t>
            </w:r>
          </w:p>
        </w:tc>
        <w:tc>
          <w:tcPr>
            <w:tcW w:w="16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December 31, 2023</w:t>
            </w:r>
          </w:p>
        </w:tc>
      </w:tr>
      <w:tr>
        <w:trPr>
          <w:trHeight w:val="176"/>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price</w:t>
            </w: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w w:val="91"/>
              </w:rPr>
              <w:t>1.86</w:t>
            </w: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w w:val="91"/>
              </w:rPr>
              <w:t>1.21</w:t>
            </w:r>
          </w:p>
        </w:tc>
        <w:tc>
          <w:tcPr>
            <w:tcW w:w="140" w:type="dxa"/>
            <w:vAlign w:val="bottom"/>
            <w:tcBorders>
              <w:top w:val="single" w:sz="8" w:color="CCEEFF"/>
            </w:tcBorders>
            <w:shd w:val="clear" w:color="auto" w:fill="CCEEFF"/>
          </w:tcPr>
          <w:p>
            <w:pPr>
              <w:spacing w:after="0"/>
              <w:rPr>
                <w:sz w:val="15"/>
                <w:szCs w:val="15"/>
                <w:color w:val="auto"/>
              </w:rPr>
            </w:pPr>
          </w:p>
        </w:tc>
      </w:tr>
      <w:tr>
        <w:trPr>
          <w:trHeight w:val="184"/>
        </w:trPr>
        <w:tc>
          <w:tcPr>
            <w:tcW w:w="5180" w:type="dxa"/>
            <w:vAlign w:val="bottom"/>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0.84</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1.89</w:t>
            </w:r>
          </w:p>
        </w:tc>
      </w:tr>
      <w:tr>
        <w:trPr>
          <w:trHeight w:val="18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Contractual term (years)</w:t>
            </w:r>
          </w:p>
        </w:tc>
        <w:tc>
          <w:tcPr>
            <w:tcW w:w="1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3.65</w:t>
            </w:r>
          </w:p>
        </w:tc>
        <w:tc>
          <w:tcPr>
            <w:tcW w:w="16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4.65</w:t>
            </w:r>
          </w:p>
        </w:tc>
      </w:tr>
      <w:tr>
        <w:trPr>
          <w:trHeight w:val="184"/>
        </w:trPr>
        <w:tc>
          <w:tcPr>
            <w:tcW w:w="518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160" w:type="dxa"/>
            <w:vAlign w:val="bottom"/>
          </w:tcPr>
          <w:p>
            <w:pPr>
              <w:spacing w:after="0"/>
              <w:rPr>
                <w:sz w:val="16"/>
                <w:szCs w:val="16"/>
                <w:color w:val="auto"/>
              </w:rPr>
            </w:pPr>
          </w:p>
        </w:tc>
        <w:tc>
          <w:tcPr>
            <w:tcW w:w="184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60.0%</w:t>
            </w:r>
          </w:p>
        </w:tc>
        <w:tc>
          <w:tcPr>
            <w:tcW w:w="160" w:type="dxa"/>
            <w:vAlign w:val="bottom"/>
          </w:tcPr>
          <w:p>
            <w:pPr>
              <w:spacing w:after="0"/>
              <w:rPr>
                <w:sz w:val="16"/>
                <w:szCs w:val="16"/>
                <w:color w:val="auto"/>
              </w:rPr>
            </w:pPr>
          </w:p>
        </w:tc>
        <w:tc>
          <w:tcPr>
            <w:tcW w:w="166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w w:val="97"/>
              </w:rPr>
              <w:t>50.0%</w:t>
            </w:r>
          </w:p>
        </w:tc>
      </w:tr>
      <w:tr>
        <w:trPr>
          <w:trHeight w:val="18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1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4.31%</w:t>
            </w:r>
          </w:p>
        </w:tc>
        <w:tc>
          <w:tcPr>
            <w:tcW w:w="16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w w:val="97"/>
              </w:rPr>
              <w:t>3.87%</w:t>
            </w:r>
          </w:p>
        </w:tc>
      </w:tr>
    </w:tbl>
    <w:p>
      <w:pPr>
        <w:spacing w:after="0" w:line="170"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auto"/>
        </w:rPr>
        <w:t>Expected volatility is the estimate of the expected volatility of the Company’s Class A common stock, based on the Company’s weekly trading history then reduced by 5% as it is generally accepted that market participants to not pay for the full volatility.</w:t>
      </w:r>
    </w:p>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warrant liability, which uses level 3 inputs, is to be measured at fair value each reporting period with the change in fair value being recognized in other income (expense). The measured fair value may be uncertain due to the use of unobservable inputs. At December 31, 2024 and 2023, the fair value of the warrant liability was $1,448,109 and $480,281, respectively, and was included in the accrued expenses and other liabilities in the Company’s consolidated balance sheets. The changes in fair value during the years ended December 31, 2024 and 2023, amounted to a loss of $1,006,294 and $34,527, respectively, included in other income (expense) in our consolidated statements of operations and comprehensive income (loss).</w:t>
      </w:r>
    </w:p>
    <w:p>
      <w:pPr>
        <w:spacing w:after="0" w:line="15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During the year ended December 31, 2024, the Investors exercised 202,379 warrants, for which the Company received $170,000 in proceeds and recorded a loss of $115,800 upon revaluation of the exercised warrants. The loss is included in other income (expense) in our consolidated statements of operations and comprehensive income (loss).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Equity Line Purchase Agreement</w:t>
      </w:r>
    </w:p>
    <w:p>
      <w:pPr>
        <w:spacing w:after="0" w:line="20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On August 24, 2023, the Company entered into a common stock purchase agreement (the “Equity Line Purchase Agreement”) and a registration rights agreement (the “Registration Rights Agreement”) with an investor, pursuant to which the investor has committed to purchase up to $5,000,000 in shares of the Company’s Class A common stock, subject to certain limitations and conditions set forth in the Equity Line Purchase Agreement. The Company shall not issue or sell any shares of common stock under the Equity Line Purchase Agreement which, when aggregated with all other shares of common stock beneficially owned by the investor, would result in beneficial ownership of more than 9.99% of the Company’s outstanding shares of common stock.</w:t>
      </w:r>
    </w:p>
    <w:p>
      <w:pPr>
        <w:spacing w:after="0" w:line="15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Under the terms of the Equity Line Purchase Agreement, the Company has the right, but not the obligation, to sell to the investor, shares of Class A common stock over the period commencing on the execution date of the Equity Line Purchase Agreement and ending on the earlier of (i) December 31, 2025, or (ii) the date on which the investor shall have purchased Securities pursuant to the Equity Line Purchase Agreement for an aggregate purchase price of the $5,000,000, provided that a registration statement covering the resale of shares of Class A common stock that have been and may be issued under the Equity Line Purchase Agreement is declared effective by the SEC. As of December 31, 2024, the Company has not sold any Class A common stock under the Equity Line Purchase Agreement.</w:t>
      </w:r>
    </w:p>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The registration statement covering the offer and sale of up 15,093,768 shares of Class A common stock was effective on October 10, 2023. The purchase price will be calculated as 92% of the volume weighted average prices of the Company’s common stock during normal trading hours for five business days prior to the closing date with respect of a purchase notice.</w:t>
      </w:r>
    </w:p>
    <w:p>
      <w:pPr>
        <w:spacing w:after="0" w:line="32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Concurrently with the signing of the Equity Line Purchase Agreement, the Company issued the equity line warrant to purchase 367,647 shares of its Class A common stock to the investor as a commitment fee. The total fair value, at the date of issuance, of the equity line warrant of approximately $105,411 was recorded as a liability and deferred offering cost and is included in other assets on our consolidated balance sheets.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Equity Line Warrants</w:t>
      </w:r>
    </w:p>
    <w:p>
      <w:pPr>
        <w:spacing w:after="0" w:line="2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 xml:space="preserve">On August 24, 2023, the Company issued a warrant to an investor (the “Equity Line Warrant”) for the purchase of 367,647 shares of Class A common stock in consideration of the investor’s commitment to purchase Class A common stock. The fair value of the Equity Line Warrant is recorded as a warrant liability and is included in the accrued expenses and other liabilities in the Company’s consolidated balance sheets. The Equity Line Warrants may require partial cash settlement in the future, include various adjustment provisions, meet the definition of a derivative and are classified as a liability, as such the warrants are measured at fair value in accordance with ASC 815 – </w:t>
      </w:r>
      <w:r>
        <w:rPr>
          <w:rFonts w:ascii="Times New Roman" w:cs="Times New Roman" w:eastAsia="Times New Roman" w:hAnsi="Times New Roman"/>
          <w:sz w:val="15"/>
          <w:szCs w:val="15"/>
          <w:i w:val="1"/>
          <w:iCs w:val="1"/>
          <w:color w:val="auto"/>
        </w:rPr>
        <w:t>“Derivatives and Hedging”</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auto"/>
        </w:rPr>
        <w:t>The Investors warrants allow them to purchase the 367,647 shares of the Company’s Class A common stock for an exercise price of $1.50. The warrants can be exercised, subject to certain ownership limitations, in whole or in part during the exercise period commencing on August 24, 2023 and ending on the date that is five years thereafter.</w:t>
      </w:r>
    </w:p>
    <w:p>
      <w:pPr>
        <w:spacing w:after="0" w:line="13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The exercise price and the number of shares of the warrants are subject to adjustment for standard anti-dilution provisions, for subsequent common share issuance at a price lower than the then exercise price of the warrants and adjustments to the strike price of other equity-linked instruments to a lower price than the then exercise price of the warrants.</w:t>
      </w:r>
    </w:p>
    <w:p>
      <w:pPr>
        <w:spacing w:after="0" w:line="133"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auto"/>
        </w:rPr>
        <w:t>Due to their adjustment provision, the warrants are classified as a liability on the consolidated balance sheet. The fair value of the warrants has been estimated using a Monte-Carlo model as follows:</w:t>
      </w:r>
    </w:p>
    <w:p>
      <w:pPr>
        <w:spacing w:after="0" w:line="145" w:lineRule="exact"/>
        <w:rPr>
          <w:sz w:val="20"/>
          <w:szCs w:val="20"/>
          <w:color w:val="auto"/>
        </w:rPr>
      </w:pPr>
    </w:p>
    <w:tbl>
      <w:tblPr>
        <w:tblLayout w:type="fixed"/>
        <w:tblInd w:w="1120" w:type="dxa"/>
        <w:tblCellMar>
          <w:top w:w="0" w:type="dxa"/>
          <w:left w:w="0" w:type="dxa"/>
          <w:bottom w:w="0" w:type="dxa"/>
          <w:right w:w="0" w:type="dxa"/>
        </w:tblCellMar>
      </w:tblPr>
      <w:tr>
        <w:trPr>
          <w:trHeight w:val="199"/>
        </w:trPr>
        <w:tc>
          <w:tcPr>
            <w:tcW w:w="5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December 31, 2024</w:t>
            </w:r>
          </w:p>
        </w:tc>
        <w:tc>
          <w:tcPr>
            <w:tcW w:w="160" w:type="dxa"/>
            <w:vAlign w:val="bottom"/>
          </w:tcPr>
          <w:p>
            <w:pPr>
              <w:spacing w:after="0"/>
              <w:rPr>
                <w:sz w:val="17"/>
                <w:szCs w:val="17"/>
                <w:color w:val="auto"/>
              </w:rPr>
            </w:pPr>
          </w:p>
        </w:tc>
        <w:tc>
          <w:tcPr>
            <w:tcW w:w="166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December 31, 2023</w:t>
            </w:r>
          </w:p>
        </w:tc>
      </w:tr>
      <w:tr>
        <w:trPr>
          <w:trHeight w:val="176"/>
        </w:trPr>
        <w:tc>
          <w:tcPr>
            <w:tcW w:w="5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Stock price</w:t>
            </w:r>
          </w:p>
        </w:tc>
        <w:tc>
          <w:tcPr>
            <w:tcW w:w="160" w:type="dxa"/>
            <w:vAlign w:val="bottom"/>
            <w:tcBorders>
              <w:top w:val="single" w:sz="8" w:color="auto"/>
            </w:tcBorders>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w w:val="91"/>
              </w:rPr>
              <w:t>1.86</w:t>
            </w:r>
          </w:p>
        </w:tc>
        <w:tc>
          <w:tcPr>
            <w:tcW w:w="3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520" w:type="dxa"/>
            <w:vAlign w:val="bottom"/>
            <w:tcBorders>
              <w:top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w w:val="91"/>
              </w:rPr>
              <w:t>1.21</w:t>
            </w:r>
          </w:p>
        </w:tc>
        <w:tc>
          <w:tcPr>
            <w:tcW w:w="140" w:type="dxa"/>
            <w:vAlign w:val="bottom"/>
            <w:tcBorders>
              <w:top w:val="single" w:sz="8" w:color="CCEEFF"/>
            </w:tcBorders>
            <w:shd w:val="clear" w:color="auto" w:fill="CCEEFF"/>
          </w:tcPr>
          <w:p>
            <w:pPr>
              <w:spacing w:after="0"/>
              <w:rPr>
                <w:sz w:val="15"/>
                <w:szCs w:val="15"/>
                <w:color w:val="auto"/>
              </w:rPr>
            </w:pPr>
          </w:p>
        </w:tc>
      </w:tr>
      <w:tr>
        <w:trPr>
          <w:trHeight w:val="184"/>
        </w:trPr>
        <w:tc>
          <w:tcPr>
            <w:tcW w:w="5180" w:type="dxa"/>
            <w:vAlign w:val="bottom"/>
          </w:tcPr>
          <w:p>
            <w:pPr>
              <w:spacing w:after="0"/>
              <w:rPr>
                <w:sz w:val="20"/>
                <w:szCs w:val="20"/>
                <w:color w:val="auto"/>
              </w:rPr>
            </w:pPr>
            <w:r>
              <w:rPr>
                <w:rFonts w:ascii="Times New Roman" w:cs="Times New Roman" w:eastAsia="Times New Roman" w:hAnsi="Times New Roman"/>
                <w:sz w:val="15"/>
                <w:szCs w:val="15"/>
                <w:color w:val="auto"/>
              </w:rPr>
              <w:t>Exercise price</w:t>
            </w:r>
          </w:p>
        </w:tc>
        <w:tc>
          <w:tcPr>
            <w:tcW w:w="16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w w:val="71"/>
              </w:rPr>
              <w:t>$</w:t>
            </w:r>
          </w:p>
        </w:tc>
        <w:tc>
          <w:tcPr>
            <w:tcW w:w="184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1.50</w:t>
            </w:r>
          </w:p>
        </w:tc>
        <w:tc>
          <w:tcPr>
            <w:tcW w:w="160" w:type="dxa"/>
            <w:vAlign w:val="bottom"/>
          </w:tcPr>
          <w:p>
            <w:pPr>
              <w:jc w:val="right"/>
              <w:ind w:right="3"/>
              <w:spacing w:after="0"/>
              <w:rPr>
                <w:sz w:val="20"/>
                <w:szCs w:val="20"/>
                <w:color w:val="auto"/>
              </w:rPr>
            </w:pPr>
            <w:r>
              <w:rPr>
                <w:rFonts w:ascii="Times New Roman" w:cs="Times New Roman" w:eastAsia="Times New Roman" w:hAnsi="Times New Roman"/>
                <w:sz w:val="15"/>
                <w:szCs w:val="15"/>
                <w:color w:val="auto"/>
                <w:w w:val="79"/>
              </w:rPr>
              <w:t>$</w:t>
            </w:r>
          </w:p>
        </w:tc>
        <w:tc>
          <w:tcPr>
            <w:tcW w:w="166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1.50</w:t>
            </w:r>
          </w:p>
        </w:tc>
      </w:tr>
      <w:tr>
        <w:trPr>
          <w:trHeight w:val="18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Contractual term (years)</w:t>
            </w:r>
          </w:p>
        </w:tc>
        <w:tc>
          <w:tcPr>
            <w:tcW w:w="1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3.65</w:t>
            </w:r>
          </w:p>
        </w:tc>
        <w:tc>
          <w:tcPr>
            <w:tcW w:w="16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4.65</w:t>
            </w:r>
          </w:p>
        </w:tc>
      </w:tr>
      <w:tr>
        <w:trPr>
          <w:trHeight w:val="184"/>
        </w:trPr>
        <w:tc>
          <w:tcPr>
            <w:tcW w:w="5180" w:type="dxa"/>
            <w:vAlign w:val="bottom"/>
          </w:tcPr>
          <w:p>
            <w:pPr>
              <w:spacing w:after="0"/>
              <w:rPr>
                <w:sz w:val="20"/>
                <w:szCs w:val="20"/>
                <w:color w:val="auto"/>
              </w:rPr>
            </w:pPr>
            <w:r>
              <w:rPr>
                <w:rFonts w:ascii="Times New Roman" w:cs="Times New Roman" w:eastAsia="Times New Roman" w:hAnsi="Times New Roman"/>
                <w:sz w:val="15"/>
                <w:szCs w:val="15"/>
                <w:color w:val="auto"/>
              </w:rPr>
              <w:t>Volatility</w:t>
            </w:r>
          </w:p>
        </w:tc>
        <w:tc>
          <w:tcPr>
            <w:tcW w:w="160" w:type="dxa"/>
            <w:vAlign w:val="bottom"/>
          </w:tcPr>
          <w:p>
            <w:pPr>
              <w:spacing w:after="0"/>
              <w:rPr>
                <w:sz w:val="16"/>
                <w:szCs w:val="16"/>
                <w:color w:val="auto"/>
              </w:rPr>
            </w:pPr>
          </w:p>
        </w:tc>
        <w:tc>
          <w:tcPr>
            <w:tcW w:w="184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rPr>
              <w:t>60.0%</w:t>
            </w:r>
          </w:p>
        </w:tc>
        <w:tc>
          <w:tcPr>
            <w:tcW w:w="160" w:type="dxa"/>
            <w:vAlign w:val="bottom"/>
          </w:tcPr>
          <w:p>
            <w:pPr>
              <w:spacing w:after="0"/>
              <w:rPr>
                <w:sz w:val="16"/>
                <w:szCs w:val="16"/>
                <w:color w:val="auto"/>
              </w:rPr>
            </w:pPr>
          </w:p>
        </w:tc>
        <w:tc>
          <w:tcPr>
            <w:tcW w:w="1660" w:type="dxa"/>
            <w:vAlign w:val="bottom"/>
            <w:gridSpan w:val="2"/>
          </w:tcPr>
          <w:p>
            <w:pPr>
              <w:ind w:left="1260"/>
              <w:spacing w:after="0"/>
              <w:rPr>
                <w:sz w:val="20"/>
                <w:szCs w:val="20"/>
                <w:color w:val="auto"/>
              </w:rPr>
            </w:pPr>
            <w:r>
              <w:rPr>
                <w:rFonts w:ascii="Times New Roman" w:cs="Times New Roman" w:eastAsia="Times New Roman" w:hAnsi="Times New Roman"/>
                <w:sz w:val="15"/>
                <w:szCs w:val="15"/>
                <w:color w:val="auto"/>
                <w:w w:val="97"/>
              </w:rPr>
              <w:t>50.0%</w:t>
            </w:r>
          </w:p>
        </w:tc>
      </w:tr>
      <w:tr>
        <w:trPr>
          <w:trHeight w:val="18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Risk-free rate</w:t>
            </w:r>
          </w:p>
        </w:tc>
        <w:tc>
          <w:tcPr>
            <w:tcW w:w="160" w:type="dxa"/>
            <w:vAlign w:val="bottom"/>
            <w:shd w:val="clear" w:color="auto" w:fill="CCEEFF"/>
          </w:tcPr>
          <w:p>
            <w:pPr>
              <w:spacing w:after="0"/>
              <w:rPr>
                <w:sz w:val="16"/>
                <w:szCs w:val="16"/>
                <w:color w:val="auto"/>
              </w:rPr>
            </w:pPr>
          </w:p>
        </w:tc>
        <w:tc>
          <w:tcPr>
            <w:tcW w:w="184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rPr>
              <w:t>4.31%</w:t>
            </w:r>
          </w:p>
        </w:tc>
        <w:tc>
          <w:tcPr>
            <w:tcW w:w="16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ind w:left="1260"/>
              <w:spacing w:after="0"/>
              <w:rPr>
                <w:sz w:val="20"/>
                <w:szCs w:val="20"/>
                <w:color w:val="auto"/>
              </w:rPr>
            </w:pPr>
            <w:r>
              <w:rPr>
                <w:rFonts w:ascii="Times New Roman" w:cs="Times New Roman" w:eastAsia="Times New Roman" w:hAnsi="Times New Roman"/>
                <w:sz w:val="15"/>
                <w:szCs w:val="15"/>
                <w:color w:val="auto"/>
                <w:w w:val="97"/>
              </w:rPr>
              <w:t>3.87%</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Expected volatility is the estimate of the expected volatility of the Company’s Class A common stock, based on the Company’s weekly trading history then reduced by 5%.</w:t>
      </w:r>
    </w:p>
    <w:p>
      <w:pPr>
        <w:spacing w:after="0" w:line="1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The warrant liability, which uses level 3 inputs, is to be measured at fair value at each reporting period and with the change in fair value being recognized in earnings. The measured fair value may be uncertain due to the use of unobservable inputs. At December 31, 2024 and 2023, the fair value of the warrant liability was $292,004 and $103,767, respectively, and included in the accrued expenses and other liabilities in the Company’s consolidated balance sheets. The changes in fair value during the years ended December 31, 2024 and 2023, amounted to a loss of ($192,945) and income of $1,644, respectively, and is included in other income (expense) in our consolidated statements of operations and comprehensive income (loss).</w:t>
      </w:r>
    </w:p>
    <w:p>
      <w:pPr>
        <w:spacing w:after="0" w:line="15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During the year ended December 31, 2024, the Investor exercised 33,333 warrants, for which the Company received $50,000 in proceeds and recorded a loss of $17,776 upon revaluation of the exercised warrants. The loss is included in other income (expense) in our consolidated statements of operations and comprehensive income (loss).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Restricted Stock Units (“RSUs”)</w:t>
      </w:r>
    </w:p>
    <w:p>
      <w:pPr>
        <w:spacing w:after="0" w:line="200"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RSUs granted to directors vest based on the directors’ continued employment with us through each applicable vest date, which is generally over one year. If the vesting conditions are not met, unvested RSUs will be forfeited. The following table summarizes our RSU units activity with directors for the years ended December 31, 2024 and 2023.</w:t>
      </w:r>
    </w:p>
    <w:p>
      <w:pPr>
        <w:spacing w:after="0" w:line="129"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Weighted-</w:t>
            </w:r>
          </w:p>
        </w:tc>
      </w:tr>
      <w:tr>
        <w:trPr>
          <w:trHeight w:val="184"/>
        </w:trPr>
        <w:tc>
          <w:tcPr>
            <w:tcW w:w="5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Average</w:t>
            </w:r>
          </w:p>
        </w:tc>
      </w:tr>
      <w:tr>
        <w:trPr>
          <w:trHeight w:val="184"/>
        </w:trPr>
        <w:tc>
          <w:tcPr>
            <w:tcW w:w="5220" w:type="dxa"/>
            <w:vAlign w:val="bottom"/>
          </w:tcPr>
          <w:p>
            <w:pPr>
              <w:spacing w:after="0"/>
              <w:rPr>
                <w:sz w:val="16"/>
                <w:szCs w:val="16"/>
                <w:color w:val="auto"/>
              </w:rPr>
            </w:pPr>
          </w:p>
        </w:tc>
        <w:tc>
          <w:tcPr>
            <w:tcW w:w="1240" w:type="dxa"/>
            <w:vAlign w:val="bottom"/>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Grant-Date</w:t>
            </w:r>
          </w:p>
        </w:tc>
      </w:tr>
      <w:tr>
        <w:trPr>
          <w:trHeight w:val="203"/>
        </w:trPr>
        <w:tc>
          <w:tcPr>
            <w:tcW w:w="5220" w:type="dxa"/>
            <w:vAlign w:val="bottom"/>
          </w:tcPr>
          <w:p>
            <w:pPr>
              <w:spacing w:after="0"/>
              <w:rPr>
                <w:sz w:val="17"/>
                <w:szCs w:val="17"/>
                <w:color w:val="auto"/>
              </w:rPr>
            </w:pPr>
          </w:p>
        </w:tc>
        <w:tc>
          <w:tcPr>
            <w:tcW w:w="1240" w:type="dxa"/>
            <w:vAlign w:val="bottom"/>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Fair Values</w:t>
            </w:r>
          </w:p>
        </w:tc>
      </w:tr>
      <w:tr>
        <w:trPr>
          <w:trHeight w:val="176"/>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2024</w:t>
            </w:r>
          </w:p>
        </w:tc>
        <w:tc>
          <w:tcPr>
            <w:tcW w:w="12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43,478</w:t>
            </w: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Borders>
              <w:top w:val="single" w:sz="8" w:color="CCEEFF"/>
            </w:tcBorders>
            <w:shd w:val="clear" w:color="auto" w:fill="CCEEFF"/>
          </w:tcPr>
          <w:p>
            <w:pPr>
              <w:spacing w:after="0"/>
              <w:rPr>
                <w:sz w:val="15"/>
                <w:szCs w:val="15"/>
                <w:color w:val="auto"/>
              </w:rPr>
            </w:pPr>
          </w:p>
        </w:tc>
      </w:tr>
      <w:tr>
        <w:trPr>
          <w:trHeight w:val="184"/>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Granted</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6"/>
                <w:szCs w:val="16"/>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(43,478)</w:t>
            </w:r>
          </w:p>
        </w:tc>
        <w:tc>
          <w:tcPr>
            <w:tcW w:w="2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(1.38)</w:t>
            </w:r>
          </w:p>
        </w:tc>
      </w:tr>
      <w:tr>
        <w:trPr>
          <w:trHeight w:val="196"/>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Forfeited or cancelled</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December 31, 2024</w:t>
            </w:r>
          </w:p>
        </w:tc>
        <w:tc>
          <w:tcPr>
            <w:tcW w:w="124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r>
      <w:tr>
        <w:trPr>
          <w:trHeight w:val="341"/>
        </w:trPr>
        <w:tc>
          <w:tcPr>
            <w:tcW w:w="5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Weighted-</w:t>
            </w:r>
          </w:p>
        </w:tc>
      </w:tr>
      <w:tr>
        <w:trPr>
          <w:trHeight w:val="184"/>
        </w:trPr>
        <w:tc>
          <w:tcPr>
            <w:tcW w:w="5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rPr>
              <w:t>Average</w:t>
            </w:r>
          </w:p>
        </w:tc>
      </w:tr>
      <w:tr>
        <w:trPr>
          <w:trHeight w:val="184"/>
        </w:trPr>
        <w:tc>
          <w:tcPr>
            <w:tcW w:w="5220" w:type="dxa"/>
            <w:vAlign w:val="bottom"/>
          </w:tcPr>
          <w:p>
            <w:pPr>
              <w:spacing w:after="0"/>
              <w:rPr>
                <w:sz w:val="16"/>
                <w:szCs w:val="16"/>
                <w:color w:val="auto"/>
              </w:rPr>
            </w:pPr>
          </w:p>
        </w:tc>
        <w:tc>
          <w:tcPr>
            <w:tcW w:w="1240" w:type="dxa"/>
            <w:vAlign w:val="bottom"/>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2"/>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rPr>
              <w:t>Grant-Date</w:t>
            </w:r>
          </w:p>
        </w:tc>
      </w:tr>
      <w:tr>
        <w:trPr>
          <w:trHeight w:val="203"/>
        </w:trPr>
        <w:tc>
          <w:tcPr>
            <w:tcW w:w="5220" w:type="dxa"/>
            <w:vAlign w:val="bottom"/>
          </w:tcPr>
          <w:p>
            <w:pPr>
              <w:spacing w:after="0"/>
              <w:rPr>
                <w:sz w:val="17"/>
                <w:szCs w:val="17"/>
                <w:color w:val="auto"/>
              </w:rPr>
            </w:pPr>
          </w:p>
        </w:tc>
        <w:tc>
          <w:tcPr>
            <w:tcW w:w="1240" w:type="dxa"/>
            <w:vAlign w:val="bottom"/>
          </w:tcPr>
          <w:p>
            <w:pPr>
              <w:jc w:val="center"/>
              <w:ind w:left="423"/>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2"/>
          </w:tcPr>
          <w:p>
            <w:pPr>
              <w:jc w:val="center"/>
              <w:ind w:right="360"/>
              <w:spacing w:after="0"/>
              <w:rPr>
                <w:sz w:val="20"/>
                <w:szCs w:val="20"/>
                <w:color w:val="auto"/>
              </w:rPr>
            </w:pPr>
            <w:r>
              <w:rPr>
                <w:rFonts w:ascii="Times New Roman" w:cs="Times New Roman" w:eastAsia="Times New Roman" w:hAnsi="Times New Roman"/>
                <w:sz w:val="15"/>
                <w:szCs w:val="15"/>
                <w:b w:val="1"/>
                <w:bCs w:val="1"/>
                <w:color w:val="auto"/>
                <w:w w:val="99"/>
              </w:rPr>
              <w:t>Fair Values</w:t>
            </w:r>
          </w:p>
        </w:tc>
      </w:tr>
      <w:tr>
        <w:trPr>
          <w:trHeight w:val="176"/>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2023</w:t>
            </w:r>
          </w:p>
        </w:tc>
        <w:tc>
          <w:tcPr>
            <w:tcW w:w="12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24,000</w:t>
            </w: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top w:val="single" w:sz="8" w:color="CCEEFF"/>
            </w:tcBorders>
            <w:shd w:val="clear" w:color="auto" w:fill="CCEEFF"/>
          </w:tcPr>
          <w:p>
            <w:pPr>
              <w:spacing w:after="0"/>
              <w:rPr>
                <w:sz w:val="15"/>
                <w:szCs w:val="15"/>
                <w:color w:val="auto"/>
              </w:rPr>
            </w:pPr>
          </w:p>
        </w:tc>
      </w:tr>
      <w:tr>
        <w:trPr>
          <w:trHeight w:val="184"/>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Granted</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43,478</w:t>
            </w:r>
          </w:p>
        </w:tc>
        <w:tc>
          <w:tcPr>
            <w:tcW w:w="280" w:type="dxa"/>
            <w:vAlign w:val="bottom"/>
          </w:tcPr>
          <w:p>
            <w:pPr>
              <w:spacing w:after="0"/>
              <w:rPr>
                <w:sz w:val="16"/>
                <w:szCs w:val="16"/>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1.38</w:t>
            </w:r>
          </w:p>
        </w:tc>
      </w:tr>
      <w:tr>
        <w:trPr>
          <w:trHeight w:val="184"/>
        </w:trPr>
        <w:tc>
          <w:tcPr>
            <w:tcW w:w="6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5"/>
                <w:szCs w:val="15"/>
                <w:color w:val="auto"/>
              </w:rPr>
              <w:t>(24,000)</w:t>
            </w:r>
          </w:p>
        </w:tc>
        <w:tc>
          <w:tcPr>
            <w:tcW w:w="2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5"/>
                <w:szCs w:val="15"/>
                <w:color w:val="auto"/>
              </w:rPr>
              <w:t>(5.00)</w:t>
            </w:r>
          </w:p>
        </w:tc>
      </w:tr>
      <w:tr>
        <w:trPr>
          <w:trHeight w:val="196"/>
        </w:trPr>
        <w:tc>
          <w:tcPr>
            <w:tcW w:w="64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Forfeited or cancelled</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76"/>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December 31, 2023</w:t>
            </w:r>
          </w:p>
        </w:tc>
        <w:tc>
          <w:tcPr>
            <w:tcW w:w="1240" w:type="dxa"/>
            <w:vAlign w:val="bottom"/>
            <w:tcBorders>
              <w:top w:val="single" w:sz="8" w:color="auto"/>
              <w:bottom w:val="single" w:sz="8" w:color="auto"/>
            </w:tcBorders>
            <w:shd w:val="clear" w:color="auto" w:fill="CCEEFF"/>
          </w:tcPr>
          <w:p>
            <w:pPr>
              <w:spacing w:after="0"/>
              <w:rPr>
                <w:sz w:val="15"/>
                <w:szCs w:val="15"/>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43,478</w:t>
            </w:r>
          </w:p>
        </w:tc>
        <w:tc>
          <w:tcPr>
            <w:tcW w:w="2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w:t>
            </w:r>
          </w:p>
        </w:tc>
        <w:tc>
          <w:tcPr>
            <w:tcW w:w="80" w:type="dxa"/>
            <w:vAlign w:val="bottom"/>
            <w:tcBorders>
              <w:top w:val="single" w:sz="8" w:color="CCEEFF"/>
            </w:tcBorders>
            <w:shd w:val="clear" w:color="auto" w:fill="CCEEFF"/>
          </w:tcPr>
          <w:p>
            <w:pPr>
              <w:spacing w:after="0"/>
              <w:rPr>
                <w:sz w:val="15"/>
                <w:szCs w:val="15"/>
                <w:color w:val="auto"/>
              </w:rPr>
            </w:pPr>
          </w:p>
        </w:tc>
      </w:tr>
    </w:tbl>
    <w:p>
      <w:pPr>
        <w:spacing w:after="0" w:line="170" w:lineRule="exact"/>
        <w:rPr>
          <w:sz w:val="20"/>
          <w:szCs w:val="20"/>
          <w:color w:val="auto"/>
        </w:rPr>
      </w:pPr>
    </w:p>
    <w:p>
      <w:pPr>
        <w:ind w:right="20"/>
        <w:spacing w:after="0" w:line="292" w:lineRule="auto"/>
        <w:rPr>
          <w:sz w:val="20"/>
          <w:szCs w:val="20"/>
          <w:color w:val="auto"/>
        </w:rPr>
      </w:pPr>
      <w:r>
        <w:rPr>
          <w:rFonts w:ascii="Times New Roman" w:cs="Times New Roman" w:eastAsia="Times New Roman" w:hAnsi="Times New Roman"/>
          <w:sz w:val="15"/>
          <w:szCs w:val="15"/>
          <w:color w:val="auto"/>
        </w:rPr>
        <w:t>The grant date fair value of RSUs granted to directors is based on the quoted market price of our common stock on the date of grant. The total fair value of RSUs vested during the years ended December 31, 2024 and 2023, were $60,000 and $120,000, respectively.</w:t>
      </w:r>
    </w:p>
    <w:p>
      <w:pPr>
        <w:sectPr>
          <w:pgSz w:w="11900" w:h="16838" w:orient="portrait"/>
          <w:cols w:equalWidth="0" w:num="1">
            <w:col w:w="11260"/>
          </w:cols>
          <w:pgMar w:left="320" w:top="605" w:right="319" w:bottom="0" w:gutter="0" w:footer="0" w:header="0"/>
        </w:sectPr>
      </w:pPr>
    </w:p>
    <w:bookmarkStart w:id="94" w:name="page95"/>
    <w:bookmarkEnd w:id="94"/>
    <w:p>
      <w:pPr>
        <w:jc w:val="center"/>
        <w:ind w:right="19"/>
        <w:spacing w:after="0"/>
        <w:rPr>
          <w:sz w:val="20"/>
          <w:szCs w:val="20"/>
          <w:color w:val="auto"/>
        </w:rPr>
      </w:pPr>
      <w:r>
        <w:rPr>
          <w:rFonts w:ascii="Times New Roman" w:cs="Times New Roman" w:eastAsia="Times New Roman" w:hAnsi="Times New Roman"/>
          <w:sz w:val="14"/>
          <w:szCs w:val="14"/>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24130</wp:posOffset>
            </wp:positionV>
            <wp:extent cx="715264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5"/>
          <w:szCs w:val="15"/>
          <w:b w:val="1"/>
          <w:bCs w:val="1"/>
          <w:color w:val="auto"/>
        </w:rPr>
        <w:t>Snail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Notes to Consolidated Financial Statements</w:t>
      </w:r>
    </w:p>
    <w:p>
      <w:pPr>
        <w:spacing w:after="0" w:line="18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Our RSUs granted to employees vest upon the achievement of pre-determined performance-based milestones as well as service conditions (“PSUs”). The pre-determined performance-based milestones are based on specified percentages of the PSUs that would vest at each of the first five anniversaries of the IPO date if the Company’s average annual growth rate (“AAGR”) is calculated to be at a target percentage or above during the period between the Company’s IPO Date and the annual revenue for each of the anniversary year. If these performance-based milestones are not met but service conditions are met, the PSUs will not vest, in which case any compensation expense the Company has recognized to date will be reversed. Generally, the total aggregate measurement period of our PSUs is 5 years, with awards cliff-vesting after each annual measurement period during the total aggregate measurement period.</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5"/>
          <w:szCs w:val="15"/>
          <w:color w:val="auto"/>
        </w:rPr>
        <w:t>Each quarter, the Company updates our assessment of the probability that the performance milestones will be achieved. The Company amortizes the fair values of PSUs over the requisite service period. Each performance-based milestone is weighted evenly and the number of shares that vest based on each performance-based milestone is independent from the other.</w:t>
      </w:r>
    </w:p>
    <w:p>
      <w:pPr>
        <w:spacing w:after="0" w:line="326" w:lineRule="exact"/>
        <w:rPr>
          <w:sz w:val="20"/>
          <w:szCs w:val="20"/>
          <w:color w:val="auto"/>
        </w:rPr>
      </w:pPr>
    </w:p>
    <w:p>
      <w:pPr>
        <w:jc w:val="both"/>
        <w:ind w:right="20"/>
        <w:spacing w:after="0" w:line="292" w:lineRule="auto"/>
        <w:rPr>
          <w:sz w:val="20"/>
          <w:szCs w:val="20"/>
          <w:color w:val="auto"/>
        </w:rPr>
      </w:pPr>
      <w:r>
        <w:rPr>
          <w:rFonts w:ascii="Times New Roman" w:cs="Times New Roman" w:eastAsia="Times New Roman" w:hAnsi="Times New Roman"/>
          <w:sz w:val="15"/>
          <w:szCs w:val="15"/>
          <w:color w:val="auto"/>
        </w:rPr>
        <w:t>The following table summarizes our PSU activity with employees, presented with the maximum number of shares that could potentially vest, for the years ended December 31, 2024 and 2023.</w:t>
      </w:r>
    </w:p>
    <w:p>
      <w:pPr>
        <w:spacing w:after="0" w:line="129" w:lineRule="exact"/>
        <w:rPr>
          <w:sz w:val="20"/>
          <w:szCs w:val="20"/>
          <w:color w:val="auto"/>
        </w:rPr>
      </w:pPr>
    </w:p>
    <w:tbl>
      <w:tblPr>
        <w:tblLayout w:type="fixed"/>
        <w:tblInd w:w="112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Weighted-</w:t>
            </w:r>
          </w:p>
        </w:tc>
      </w:tr>
      <w:tr>
        <w:trPr>
          <w:trHeight w:val="184"/>
        </w:trPr>
        <w:tc>
          <w:tcPr>
            <w:tcW w:w="5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rPr>
              <w:t>Average</w:t>
            </w:r>
          </w:p>
        </w:tc>
      </w:tr>
      <w:tr>
        <w:trPr>
          <w:trHeight w:val="184"/>
        </w:trPr>
        <w:tc>
          <w:tcPr>
            <w:tcW w:w="5600" w:type="dxa"/>
            <w:vAlign w:val="bottom"/>
          </w:tcPr>
          <w:p>
            <w:pPr>
              <w:spacing w:after="0"/>
              <w:rPr>
                <w:sz w:val="16"/>
                <w:szCs w:val="16"/>
                <w:color w:val="auto"/>
              </w:rPr>
            </w:pPr>
          </w:p>
        </w:tc>
        <w:tc>
          <w:tcPr>
            <w:tcW w:w="1800" w:type="dxa"/>
            <w:vAlign w:val="bottom"/>
            <w:gridSpan w:val="2"/>
          </w:tcPr>
          <w:p>
            <w:pPr>
              <w:jc w:val="right"/>
              <w:ind w:right="700"/>
              <w:spacing w:after="0"/>
              <w:rPr>
                <w:sz w:val="20"/>
                <w:szCs w:val="20"/>
                <w:color w:val="auto"/>
              </w:rPr>
            </w:pPr>
            <w:r>
              <w:rPr>
                <w:rFonts w:ascii="Times New Roman" w:cs="Times New Roman" w:eastAsia="Times New Roman" w:hAnsi="Times New Roman"/>
                <w:sz w:val="15"/>
                <w:szCs w:val="15"/>
                <w:b w:val="1"/>
                <w:bCs w:val="1"/>
                <w:color w:val="auto"/>
              </w:rPr>
              <w:t>Restricted</w:t>
            </w:r>
          </w:p>
        </w:tc>
        <w:tc>
          <w:tcPr>
            <w:tcW w:w="24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5"/>
                <w:szCs w:val="15"/>
                <w:b w:val="1"/>
                <w:bCs w:val="1"/>
                <w:color w:val="auto"/>
              </w:rPr>
              <w:t>Grant-Date</w:t>
            </w:r>
          </w:p>
        </w:tc>
      </w:tr>
      <w:tr>
        <w:trPr>
          <w:trHeight w:val="203"/>
        </w:trPr>
        <w:tc>
          <w:tcPr>
            <w:tcW w:w="5600" w:type="dxa"/>
            <w:vAlign w:val="bottom"/>
          </w:tcPr>
          <w:p>
            <w:pPr>
              <w:spacing w:after="0"/>
              <w:rPr>
                <w:sz w:val="17"/>
                <w:szCs w:val="17"/>
                <w:color w:val="auto"/>
              </w:rPr>
            </w:pPr>
          </w:p>
        </w:tc>
        <w:tc>
          <w:tcPr>
            <w:tcW w:w="1800" w:type="dxa"/>
            <w:vAlign w:val="bottom"/>
            <w:gridSpan w:val="2"/>
          </w:tcPr>
          <w:p>
            <w:pPr>
              <w:jc w:val="right"/>
              <w:ind w:right="660"/>
              <w:spacing w:after="0"/>
              <w:rPr>
                <w:sz w:val="20"/>
                <w:szCs w:val="20"/>
                <w:color w:val="auto"/>
              </w:rPr>
            </w:pPr>
            <w:r>
              <w:rPr>
                <w:rFonts w:ascii="Times New Roman" w:cs="Times New Roman" w:eastAsia="Times New Roman" w:hAnsi="Times New Roman"/>
                <w:sz w:val="15"/>
                <w:szCs w:val="15"/>
                <w:b w:val="1"/>
                <w:bCs w:val="1"/>
                <w:color w:val="auto"/>
              </w:rPr>
              <w:t>Stock Units</w:t>
            </w:r>
          </w:p>
        </w:tc>
        <w:tc>
          <w:tcPr>
            <w:tcW w:w="24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5"/>
                <w:szCs w:val="15"/>
                <w:b w:val="1"/>
                <w:bCs w:val="1"/>
                <w:color w:val="auto"/>
                <w:w w:val="99"/>
              </w:rPr>
              <w:t>Fair Values</w:t>
            </w:r>
          </w:p>
        </w:tc>
      </w:tr>
      <w:tr>
        <w:trPr>
          <w:trHeight w:val="17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January 1, 2024</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1,165,247</w:t>
            </w:r>
          </w:p>
        </w:tc>
        <w:tc>
          <w:tcPr>
            <w:tcW w:w="2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top w:val="single" w:sz="8" w:color="CCEEFF"/>
            </w:tcBorders>
            <w:shd w:val="clear" w:color="auto" w:fill="CCEEFF"/>
          </w:tcPr>
          <w:p>
            <w:pPr>
              <w:spacing w:after="0"/>
              <w:rPr>
                <w:sz w:val="15"/>
                <w:szCs w:val="15"/>
                <w:color w:val="auto"/>
              </w:rPr>
            </w:pPr>
          </w:p>
        </w:tc>
      </w:tr>
      <w:tr>
        <w:trPr>
          <w:trHeight w:val="184"/>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6"/>
                <w:szCs w:val="16"/>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Forfeited or cancelled</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(22,963)</w:t>
            </w:r>
          </w:p>
        </w:tc>
        <w:tc>
          <w:tcPr>
            <w:tcW w:w="240" w:type="dxa"/>
            <w:vAlign w:val="bottom"/>
          </w:tcPr>
          <w:p>
            <w:pPr>
              <w:spacing w:after="0"/>
              <w:rPr>
                <w:sz w:val="17"/>
                <w:szCs w:val="17"/>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(5.00)</w:t>
            </w:r>
          </w:p>
        </w:tc>
      </w:tr>
      <w:tr>
        <w:trPr>
          <w:trHeight w:val="187"/>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December 31, 2024</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1,142,284</w:t>
            </w: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5"/>
                <w:szCs w:val="15"/>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6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1">
            <w:col w:w="11260"/>
          </w:cols>
          <w:pgMar w:left="320" w:top="605" w:right="319" w:bottom="0" w:gutter="0" w:footer="0" w:header="0"/>
        </w:sectPr>
      </w:pPr>
    </w:p>
    <w:p>
      <w:pPr>
        <w:spacing w:after="0" w:line="368"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5"/>
          <w:szCs w:val="15"/>
          <w:b w:val="1"/>
          <w:bCs w:val="1"/>
          <w:color w:val="auto"/>
        </w:rPr>
        <w:t>Restricted</w:t>
      </w:r>
    </w:p>
    <w:p>
      <w:pPr>
        <w:spacing w:after="0" w:line="30"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5"/>
          <w:szCs w:val="15"/>
          <w:b w:val="1"/>
          <w:bCs w:val="1"/>
          <w:color w:val="auto"/>
        </w:rPr>
        <w:t>Stock Units</w:t>
      </w:r>
    </w:p>
    <w:p>
      <w:pPr>
        <w:spacing w:after="0" w:line="20" w:lineRule="exact"/>
        <w:rPr>
          <w:sz w:val="20"/>
          <w:szCs w:val="20"/>
          <w:color w:val="auto"/>
        </w:rPr>
      </w:pPr>
      <w:r>
        <w:rPr>
          <w:sz w:val="20"/>
          <w:szCs w:val="20"/>
          <w:color w:val="auto"/>
        </w:rPr>
        <w:br w:type="column"/>
      </w:r>
    </w:p>
    <w:p>
      <w:pPr>
        <w:jc w:val="center"/>
        <w:ind w:right="1600"/>
        <w:spacing w:after="0"/>
        <w:rPr>
          <w:sz w:val="20"/>
          <w:szCs w:val="20"/>
          <w:color w:val="auto"/>
        </w:rPr>
      </w:pPr>
      <w:r>
        <w:rPr>
          <w:rFonts w:ascii="Times New Roman" w:cs="Times New Roman" w:eastAsia="Times New Roman" w:hAnsi="Times New Roman"/>
          <w:sz w:val="15"/>
          <w:szCs w:val="15"/>
          <w:b w:val="1"/>
          <w:bCs w:val="1"/>
          <w:color w:val="auto"/>
        </w:rPr>
        <w:t>Weighted-</w:t>
      </w:r>
    </w:p>
    <w:p>
      <w:pPr>
        <w:spacing w:after="0" w:line="30"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5"/>
          <w:szCs w:val="15"/>
          <w:b w:val="1"/>
          <w:bCs w:val="1"/>
          <w:color w:val="auto"/>
        </w:rPr>
        <w:t>Average</w:t>
      </w:r>
    </w:p>
    <w:p>
      <w:pPr>
        <w:spacing w:after="0" w:line="12"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5"/>
          <w:szCs w:val="15"/>
          <w:b w:val="1"/>
          <w:bCs w:val="1"/>
          <w:color w:val="auto"/>
        </w:rPr>
        <w:t>Grant-Date</w:t>
      </w:r>
    </w:p>
    <w:p>
      <w:pPr>
        <w:spacing w:after="0" w:line="12" w:lineRule="exact"/>
        <w:rPr>
          <w:sz w:val="20"/>
          <w:szCs w:val="20"/>
          <w:color w:val="auto"/>
        </w:rPr>
      </w:pPr>
    </w:p>
    <w:p>
      <w:pPr>
        <w:jc w:val="center"/>
        <w:ind w:right="1600"/>
        <w:spacing w:after="0"/>
        <w:rPr>
          <w:sz w:val="20"/>
          <w:szCs w:val="20"/>
          <w:color w:val="auto"/>
        </w:rPr>
      </w:pPr>
      <w:r>
        <w:rPr>
          <w:rFonts w:ascii="Times New Roman" w:cs="Times New Roman" w:eastAsia="Times New Roman" w:hAnsi="Times New Roman"/>
          <w:sz w:val="15"/>
          <w:szCs w:val="15"/>
          <w:b w:val="1"/>
          <w:bCs w:val="1"/>
          <w:color w:val="auto"/>
        </w:rPr>
        <w:t>Fair Values</w:t>
      </w:r>
    </w:p>
    <w:p>
      <w:pPr>
        <w:spacing w:after="0" w:line="32" w:lineRule="exact"/>
        <w:rPr>
          <w:sz w:val="20"/>
          <w:szCs w:val="20"/>
          <w:color w:val="auto"/>
        </w:rPr>
      </w:pPr>
    </w:p>
    <w:p>
      <w:pPr>
        <w:sectPr>
          <w:pgSz w:w="11900" w:h="16838" w:orient="portrait"/>
          <w:cols w:equalWidth="0" w:num="2">
            <w:col w:w="8180" w:space="720"/>
            <w:col w:w="2360"/>
          </w:cols>
          <w:pgMar w:left="320" w:top="605" w:right="319" w:bottom="0" w:gutter="0" w:footer="0" w:header="0"/>
          <w:type w:val="continuous"/>
        </w:sectPr>
      </w:pPr>
    </w:p>
    <w:tbl>
      <w:tblPr>
        <w:tblLayout w:type="fixed"/>
        <w:tblInd w:w="1120" w:type="dxa"/>
        <w:tblCellMar>
          <w:top w:w="0" w:type="dxa"/>
          <w:left w:w="0" w:type="dxa"/>
          <w:bottom w:w="0" w:type="dxa"/>
          <w:right w:w="0" w:type="dxa"/>
        </w:tblCellMar>
      </w:tblPr>
      <w:tr>
        <w:trPr>
          <w:trHeight w:val="20"/>
        </w:trPr>
        <w:tc>
          <w:tcPr>
            <w:tcW w:w="56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156"/>
        </w:trPr>
        <w:tc>
          <w:tcPr>
            <w:tcW w:w="5600" w:type="dxa"/>
            <w:vAlign w:val="bottom"/>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Outstanding as of January 1, 2023</w:t>
            </w:r>
          </w:p>
        </w:tc>
        <w:tc>
          <w:tcPr>
            <w:tcW w:w="154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1,197,552</w:t>
            </w: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483"/>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60" w:type="dxa"/>
            <w:vAlign w:val="bottom"/>
            <w:gridSpan w:val="2"/>
            <w:shd w:val="clear" w:color="auto" w:fill="CCEEFF"/>
          </w:tcPr>
          <w:p>
            <w:pPr>
              <w:jc w:val="right"/>
              <w:ind w:right="80"/>
              <w:spacing w:after="0" w:line="156" w:lineRule="exact"/>
              <w:rPr>
                <w:sz w:val="20"/>
                <w:szCs w:val="20"/>
                <w:color w:val="auto"/>
              </w:rPr>
            </w:pPr>
            <w:r>
              <w:rPr>
                <w:rFonts w:ascii="Times New Roman" w:cs="Times New Roman" w:eastAsia="Times New Roman" w:hAnsi="Times New Roman"/>
                <w:sz w:val="15"/>
                <w:szCs w:val="15"/>
                <w:color w:val="auto"/>
              </w:rPr>
              <w:t>5.00</w:t>
            </w:r>
          </w:p>
        </w:tc>
      </w:tr>
      <w:tr>
        <w:trPr>
          <w:trHeight w:val="184"/>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Granted</w:t>
            </w: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84"/>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Vested</w:t>
            </w:r>
          </w:p>
        </w:tc>
        <w:tc>
          <w:tcPr>
            <w:tcW w:w="1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5"/>
                <w:szCs w:val="15"/>
                <w:color w:val="auto"/>
              </w:rPr>
              <w:t>—</w:t>
            </w:r>
          </w:p>
        </w:tc>
      </w:tr>
      <w:tr>
        <w:trPr>
          <w:trHeight w:val="196"/>
        </w:trPr>
        <w:tc>
          <w:tcPr>
            <w:tcW w:w="5600" w:type="dxa"/>
            <w:vAlign w:val="bottom"/>
          </w:tcPr>
          <w:p>
            <w:pPr>
              <w:spacing w:after="0"/>
              <w:rPr>
                <w:sz w:val="20"/>
                <w:szCs w:val="20"/>
                <w:color w:val="auto"/>
              </w:rPr>
            </w:pPr>
            <w:r>
              <w:rPr>
                <w:rFonts w:ascii="Times New Roman" w:cs="Times New Roman" w:eastAsia="Times New Roman" w:hAnsi="Times New Roman"/>
                <w:sz w:val="15"/>
                <w:szCs w:val="15"/>
                <w:color w:val="auto"/>
              </w:rPr>
              <w:t>Forfeited or cancelled</w:t>
            </w:r>
          </w:p>
        </w:tc>
        <w:tc>
          <w:tcPr>
            <w:tcW w:w="180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(32,305)</w:t>
            </w:r>
          </w:p>
        </w:tc>
        <w:tc>
          <w:tcPr>
            <w:tcW w:w="64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(5.00)</w:t>
            </w:r>
          </w:p>
        </w:tc>
      </w:tr>
      <w:tr>
        <w:trPr>
          <w:trHeight w:val="17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Outstanding as of December 31, 2023</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1,165,247</w:t>
            </w:r>
          </w:p>
        </w:tc>
        <w:tc>
          <w:tcPr>
            <w:tcW w:w="2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ind w:right="483"/>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5.00</w:t>
            </w:r>
          </w:p>
        </w:tc>
        <w:tc>
          <w:tcPr>
            <w:tcW w:w="80" w:type="dxa"/>
            <w:vAlign w:val="bottom"/>
            <w:tcBorders>
              <w:top w:val="single" w:sz="8" w:color="CCEEFF"/>
            </w:tcBorders>
            <w:shd w:val="clear" w:color="auto" w:fill="CCEEFF"/>
          </w:tcPr>
          <w:p>
            <w:pPr>
              <w:spacing w:after="0"/>
              <w:rPr>
                <w:sz w:val="15"/>
                <w:szCs w:val="15"/>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grant date fair value of PSUs granted to employees is based on the quoted market price of our common stock on the date of grant.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Repurchase Activity</w:t>
      </w:r>
    </w:p>
    <w:p>
      <w:pPr>
        <w:spacing w:after="0" w:line="20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All share repurchases settled in the year ended December 31, 2023 were open market transactions. As of December 31, 2024 and 2023, 1,350,275 shares of Class A common stock were repurchased pursuant to the Share Repurchase Program for an aggregate purchase price of approximately $3.7 million. The average price paid per share was $2.72 and approximately $1.3 million aggregate amount of shares of Class A common stock remain available for repurchase under the Share Repurchase Program.</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There were no share repurchases made during the year ended December 31, 2024. During the year ended December 31, 2023, 152,626 shares of Class A common stock were repurchased pursuant to the Share Repurchase Program for an aggregate purchase price of approximately $0.3 million. The average price paid per share during the year ended December 31, 2023 was $1.68.</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Stock-Based Compensation Expense (Income)</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5"/>
          <w:szCs w:val="15"/>
          <w:color w:val="auto"/>
        </w:rPr>
        <w:t>During the year ended December 31, 2024, the Company determined that it is probable that the Company will not meet the performance-based milestones required by the RSU’s granted to employees. Accordingly, the Company has reversed the previously recognized compensation expense related to RSU’s. Stock-based compensation expense (income) resulting from RSUs and PSUs of ($828,495) and 799,955 are recorded under general and administrative expenses included in our consolidated statements of operations and comprehensive income (loss) for the years ended December 31, 2024 and 2023, respectively. Stock-based compensation expense (income) resulting from PSUs of ($61,713) and $48,080 are recorded under research and development expenses included in our consolidated statements of operations and comprehensive income (loss) for the years ended December 31, 2024 and 2023, respectively.</w:t>
      </w:r>
    </w:p>
    <w:p>
      <w:pPr>
        <w:spacing w:after="0" w:line="15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During the twelve months ended December 31, 2024 and 2023, the Company recognized approximately $201,815 of deferred income tax expense, and $185,432 of deferred income tax benefit, respectively, related to our stock-based compensation expense.</w:t>
      </w:r>
    </w:p>
    <w:p>
      <w:pPr>
        <w:spacing w:after="0" w:line="13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As of December 31, 2024, our total unrecognized compensation cost related to RSUs and PSUs was approximately $2.1 million and is expected to be recognized over a weighted-average service period of 2.0 years.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18 – OPERATING SEGMENTS</w:t>
      </w:r>
    </w:p>
    <w:p>
      <w:pPr>
        <w:spacing w:after="0" w:line="200"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5"/>
          <w:szCs w:val="15"/>
          <w:color w:val="auto"/>
        </w:rPr>
        <w:t>The Company’s Chief Operating Decision Maker (“CODM”) is our Founder, Co-Chief Executive Officer, Chief Strategy Officer, and Chairman Mr. Hai Shi. The CODM assesses performance and decides how to allocate resources based on net income (loss) to evaluate operational efficiency and direct resources of the Company. Segment assets are reported on the consolidated balance sheet as total assets. The table below presents segment revenue, operating profit and significant expenses for the years ended December 31, 2024 and 2023:</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37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b w:val="1"/>
                <w:bCs w:val="1"/>
                <w:i w:val="1"/>
                <w:iCs w:val="1"/>
                <w:color w:val="auto"/>
              </w:rPr>
              <w:t>2024</w:t>
            </w: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ind w:right="723"/>
              <w:spacing w:after="0"/>
              <w:rPr>
                <w:sz w:val="20"/>
                <w:szCs w:val="20"/>
                <w:color w:val="auto"/>
              </w:rPr>
            </w:pPr>
            <w:r>
              <w:rPr>
                <w:rFonts w:ascii="Times New Roman" w:cs="Times New Roman" w:eastAsia="Times New Roman" w:hAnsi="Times New Roman"/>
                <w:sz w:val="15"/>
                <w:szCs w:val="15"/>
                <w:b w:val="1"/>
                <w:bCs w:val="1"/>
                <w:i w:val="1"/>
                <w:iCs w:val="1"/>
                <w:color w:val="auto"/>
              </w:rPr>
              <w:t>2023</w:t>
            </w:r>
          </w:p>
        </w:tc>
        <w:tc>
          <w:tcPr>
            <w:tcW w:w="100" w:type="dxa"/>
            <w:vAlign w:val="bottom"/>
          </w:tcPr>
          <w:p>
            <w:pPr>
              <w:spacing w:after="0"/>
              <w:rPr>
                <w:sz w:val="17"/>
                <w:szCs w:val="17"/>
                <w:color w:val="auto"/>
              </w:rPr>
            </w:pPr>
          </w:p>
        </w:tc>
      </w:tr>
      <w:tr>
        <w:trPr>
          <w:trHeight w:val="176"/>
        </w:trPr>
        <w:tc>
          <w:tcPr>
            <w:tcW w:w="440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4"/>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Revenues, net</w:t>
            </w:r>
          </w:p>
        </w:tc>
        <w:tc>
          <w:tcPr>
            <w:tcW w:w="3760" w:type="dxa"/>
            <w:vAlign w:val="bottom"/>
            <w:gridSpan w:val="2"/>
            <w:shd w:val="clear" w:color="auto" w:fill="CCEEFF"/>
          </w:tcPr>
          <w:p>
            <w:pPr>
              <w:jc w:val="right"/>
              <w:ind w:right="1100"/>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84,467,047</w:t>
            </w:r>
          </w:p>
        </w:tc>
        <w:tc>
          <w:tcPr>
            <w:tcW w:w="6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5"/>
                <w:szCs w:val="15"/>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5"/>
                <w:szCs w:val="15"/>
                <w:color w:val="auto"/>
              </w:rPr>
              <w:t>60,902,098</w:t>
            </w:r>
          </w:p>
        </w:tc>
      </w:tr>
      <w:tr>
        <w:trPr>
          <w:trHeight w:val="196"/>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Cost of revenues</w:t>
            </w:r>
          </w:p>
        </w:tc>
        <w:tc>
          <w:tcPr>
            <w:tcW w:w="2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54,236,342</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48,306,403</w:t>
            </w:r>
          </w:p>
        </w:tc>
      </w:tr>
      <w:tr>
        <w:trPr>
          <w:trHeight w:val="176"/>
        </w:trPr>
        <w:tc>
          <w:tcPr>
            <w:tcW w:w="4400" w:type="dxa"/>
            <w:vAlign w:val="bottom"/>
            <w:tcBorders>
              <w:top w:val="single" w:sz="8" w:color="CCEEFF"/>
            </w:tcBorders>
            <w:shd w:val="clear" w:color="auto" w:fill="CCEEFF"/>
          </w:tcPr>
          <w:p>
            <w:pPr>
              <w:spacing w:after="0"/>
              <w:rPr>
                <w:sz w:val="15"/>
                <w:szCs w:val="15"/>
                <w:color w:val="auto"/>
              </w:rPr>
            </w:pPr>
          </w:p>
        </w:tc>
        <w:tc>
          <w:tcPr>
            <w:tcW w:w="25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96"/>
        </w:trPr>
        <w:tc>
          <w:tcPr>
            <w:tcW w:w="4400" w:type="dxa"/>
            <w:vAlign w:val="bottom"/>
          </w:tcPr>
          <w:p>
            <w:pPr>
              <w:spacing w:after="0"/>
              <w:rPr>
                <w:sz w:val="20"/>
                <w:szCs w:val="20"/>
                <w:color w:val="auto"/>
              </w:rPr>
            </w:pPr>
            <w:r>
              <w:rPr>
                <w:rFonts w:ascii="Times New Roman" w:cs="Times New Roman" w:eastAsia="Times New Roman" w:hAnsi="Times New Roman"/>
                <w:sz w:val="15"/>
                <w:szCs w:val="15"/>
                <w:color w:val="auto"/>
              </w:rPr>
              <w:t>Gross profit</w:t>
            </w:r>
          </w:p>
        </w:tc>
        <w:tc>
          <w:tcPr>
            <w:tcW w:w="2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30,230,705</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12,595,695</w:t>
            </w:r>
          </w:p>
        </w:tc>
      </w:tr>
      <w:tr>
        <w:trPr>
          <w:trHeight w:val="176"/>
        </w:trPr>
        <w:tc>
          <w:tcPr>
            <w:tcW w:w="4400" w:type="dxa"/>
            <w:vAlign w:val="bottom"/>
            <w:tcBorders>
              <w:top w:val="single" w:sz="8" w:color="CCEEFF"/>
            </w:tcBorders>
            <w:shd w:val="clear" w:color="auto" w:fill="CCEEFF"/>
          </w:tcPr>
          <w:p>
            <w:pPr>
              <w:spacing w:after="0"/>
              <w:rPr>
                <w:sz w:val="15"/>
                <w:szCs w:val="15"/>
                <w:color w:val="auto"/>
              </w:rPr>
            </w:pPr>
          </w:p>
        </w:tc>
        <w:tc>
          <w:tcPr>
            <w:tcW w:w="25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184"/>
        </w:trPr>
        <w:tc>
          <w:tcPr>
            <w:tcW w:w="44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Operating expenses:</w:t>
            </w:r>
          </w:p>
        </w:tc>
        <w:tc>
          <w:tcPr>
            <w:tcW w:w="2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4"/>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Salaries and Wages</w:t>
            </w:r>
          </w:p>
        </w:tc>
        <w:tc>
          <w:tcPr>
            <w:tcW w:w="25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4,962,697</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6,288,594</w:t>
            </w:r>
          </w:p>
        </w:tc>
        <w:tc>
          <w:tcPr>
            <w:tcW w:w="100" w:type="dxa"/>
            <w:vAlign w:val="bottom"/>
            <w:shd w:val="clear" w:color="auto" w:fill="CCEEFF"/>
          </w:tcPr>
          <w:p>
            <w:pPr>
              <w:spacing w:after="0"/>
              <w:rPr>
                <w:sz w:val="16"/>
                <w:szCs w:val="16"/>
                <w:color w:val="auto"/>
              </w:rPr>
            </w:pPr>
          </w:p>
        </w:tc>
      </w:tr>
      <w:tr>
        <w:trPr>
          <w:trHeight w:val="184"/>
        </w:trPr>
        <w:tc>
          <w:tcPr>
            <w:tcW w:w="4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Public Company Expenses</w:t>
            </w:r>
          </w:p>
        </w:tc>
        <w:tc>
          <w:tcPr>
            <w:tcW w:w="2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567,285</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963,109</w:t>
            </w:r>
          </w:p>
        </w:tc>
        <w:tc>
          <w:tcPr>
            <w:tcW w:w="100" w:type="dxa"/>
            <w:vAlign w:val="bottom"/>
          </w:tcPr>
          <w:p>
            <w:pPr>
              <w:spacing w:after="0"/>
              <w:rPr>
                <w:sz w:val="16"/>
                <w:szCs w:val="16"/>
                <w:color w:val="auto"/>
              </w:rPr>
            </w:pPr>
          </w:p>
        </w:tc>
      </w:tr>
      <w:tr>
        <w:trPr>
          <w:trHeight w:val="184"/>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General and administrative</w:t>
            </w:r>
          </w:p>
        </w:tc>
        <w:tc>
          <w:tcPr>
            <w:tcW w:w="25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7,337,228</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8,564,812</w:t>
            </w:r>
          </w:p>
        </w:tc>
        <w:tc>
          <w:tcPr>
            <w:tcW w:w="100" w:type="dxa"/>
            <w:vAlign w:val="bottom"/>
            <w:shd w:val="clear" w:color="auto" w:fill="CCEEFF"/>
          </w:tcPr>
          <w:p>
            <w:pPr>
              <w:spacing w:after="0"/>
              <w:rPr>
                <w:sz w:val="16"/>
                <w:szCs w:val="16"/>
                <w:color w:val="auto"/>
              </w:rPr>
            </w:pPr>
          </w:p>
        </w:tc>
      </w:tr>
      <w:tr>
        <w:trPr>
          <w:trHeight w:val="184"/>
        </w:trPr>
        <w:tc>
          <w:tcPr>
            <w:tcW w:w="4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Research and development</w:t>
            </w:r>
          </w:p>
        </w:tc>
        <w:tc>
          <w:tcPr>
            <w:tcW w:w="2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11,647,293</w:t>
            </w: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5,057,421</w:t>
            </w:r>
          </w:p>
        </w:tc>
        <w:tc>
          <w:tcPr>
            <w:tcW w:w="100" w:type="dxa"/>
            <w:vAlign w:val="bottom"/>
          </w:tcPr>
          <w:p>
            <w:pPr>
              <w:spacing w:after="0"/>
              <w:rPr>
                <w:sz w:val="16"/>
                <w:szCs w:val="16"/>
                <w:color w:val="auto"/>
              </w:rPr>
            </w:pPr>
          </w:p>
        </w:tc>
      </w:tr>
      <w:tr>
        <w:trPr>
          <w:trHeight w:val="184"/>
        </w:trPr>
        <w:tc>
          <w:tcPr>
            <w:tcW w:w="4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Advertising and marketing</w:t>
            </w:r>
          </w:p>
        </w:tc>
        <w:tc>
          <w:tcPr>
            <w:tcW w:w="258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1,523,398</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1,582,464</w:t>
            </w:r>
          </w:p>
        </w:tc>
        <w:tc>
          <w:tcPr>
            <w:tcW w:w="100" w:type="dxa"/>
            <w:vAlign w:val="bottom"/>
            <w:shd w:val="clear" w:color="auto" w:fill="CCEEFF"/>
          </w:tcPr>
          <w:p>
            <w:pPr>
              <w:spacing w:after="0"/>
              <w:rPr>
                <w:sz w:val="16"/>
                <w:szCs w:val="16"/>
                <w:color w:val="auto"/>
              </w:rPr>
            </w:pPr>
          </w:p>
        </w:tc>
      </w:tr>
      <w:tr>
        <w:trPr>
          <w:trHeight w:val="196"/>
        </w:trPr>
        <w:tc>
          <w:tcPr>
            <w:tcW w:w="440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Depreciation</w:t>
            </w:r>
          </w:p>
        </w:tc>
        <w:tc>
          <w:tcPr>
            <w:tcW w:w="25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303,714</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432,306</w:t>
            </w:r>
          </w:p>
        </w:tc>
        <w:tc>
          <w:tcPr>
            <w:tcW w:w="100" w:type="dxa"/>
            <w:vAlign w:val="bottom"/>
          </w:tcPr>
          <w:p>
            <w:pPr>
              <w:spacing w:after="0"/>
              <w:rPr>
                <w:sz w:val="17"/>
                <w:szCs w:val="17"/>
                <w:color w:val="auto"/>
              </w:rPr>
            </w:pPr>
          </w:p>
        </w:tc>
      </w:tr>
      <w:tr>
        <w:trPr>
          <w:trHeight w:val="176"/>
        </w:trPr>
        <w:tc>
          <w:tcPr>
            <w:tcW w:w="440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Total operating expenses</w:t>
            </w:r>
          </w:p>
        </w:tc>
        <w:tc>
          <w:tcPr>
            <w:tcW w:w="258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26,341,615</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bottom w:val="single" w:sz="8" w:color="auto"/>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22,888,706</w:t>
            </w:r>
          </w:p>
        </w:tc>
        <w:tc>
          <w:tcPr>
            <w:tcW w:w="100" w:type="dxa"/>
            <w:vAlign w:val="bottom"/>
            <w:tcBorders>
              <w:top w:val="single" w:sz="8" w:color="CCEEFF"/>
            </w:tcBorders>
            <w:shd w:val="clear" w:color="auto" w:fill="CCEEFF"/>
          </w:tcPr>
          <w:p>
            <w:pPr>
              <w:spacing w:after="0"/>
              <w:rPr>
                <w:sz w:val="15"/>
                <w:szCs w:val="15"/>
                <w:color w:val="auto"/>
              </w:rPr>
            </w:pPr>
          </w:p>
        </w:tc>
      </w:tr>
    </w:tbl>
    <w:p>
      <w:pPr>
        <w:spacing w:after="0" w:line="20" w:lineRule="exact"/>
        <w:rPr>
          <w:sz w:val="20"/>
          <w:szCs w:val="20"/>
          <w:color w:val="auto"/>
        </w:rPr>
      </w:pPr>
    </w:p>
    <w:p>
      <w:pPr>
        <w:sectPr>
          <w:pgSz w:w="11900" w:h="16838" w:orient="portrait"/>
          <w:cols w:equalWidth="0" w:num="1">
            <w:col w:w="11260"/>
          </w:cols>
          <w:pgMar w:left="320" w:top="605" w:right="319" w:bottom="0" w:gutter="0" w:footer="0" w:header="0"/>
          <w:type w:val="continuous"/>
        </w:sectPr>
      </w:pPr>
    </w:p>
    <w:bookmarkStart w:id="96" w:name="page97"/>
    <w:bookmarkEnd w:id="96"/>
    <w:tbl>
      <w:tblPr>
        <w:tblLayout w:type="fixed"/>
        <w:tblInd w:w="0" w:type="dxa"/>
        <w:tblCellMar>
          <w:top w:w="0" w:type="dxa"/>
          <w:left w:w="0" w:type="dxa"/>
          <w:bottom w:w="0" w:type="dxa"/>
          <w:right w:w="0" w:type="dxa"/>
        </w:tblCellMar>
      </w:tblPr>
      <w:tr>
        <w:trPr>
          <w:trHeight w:val="19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(loss) from operations</w:t>
            </w:r>
          </w:p>
        </w:tc>
        <w:tc>
          <w:tcPr>
            <w:tcW w:w="1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3,889,090</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(10,293,011)</w:t>
            </w:r>
          </w:p>
        </w:tc>
      </w:tr>
      <w:tr>
        <w:trPr>
          <w:trHeight w:val="176"/>
        </w:trPr>
        <w:tc>
          <w:tcPr>
            <w:tcW w:w="5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Total other income (expense), net</w:t>
            </w:r>
          </w:p>
        </w:tc>
        <w:tc>
          <w:tcPr>
            <w:tcW w:w="1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(1,429,891)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(1,202,065)</w:t>
            </w:r>
          </w:p>
        </w:tc>
      </w:tr>
      <w:tr>
        <w:trPr>
          <w:trHeight w:val="176"/>
        </w:trPr>
        <w:tc>
          <w:tcPr>
            <w:tcW w:w="5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Income (loss) before provision for (benefit from) income taxes</w:t>
            </w:r>
          </w:p>
        </w:tc>
        <w:tc>
          <w:tcPr>
            <w:tcW w:w="2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2,459,199</w:t>
            </w:r>
          </w:p>
        </w:tc>
        <w:tc>
          <w:tcPr>
            <w:tcW w:w="78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5"/>
                <w:szCs w:val="15"/>
                <w:color w:val="auto"/>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(11,495,076)</w:t>
            </w:r>
          </w:p>
        </w:tc>
      </w:tr>
      <w:tr>
        <w:trPr>
          <w:trHeight w:val="219"/>
        </w:trPr>
        <w:tc>
          <w:tcPr>
            <w:tcW w:w="5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Provision for (benefit from) income taxes</w:t>
            </w:r>
          </w:p>
        </w:tc>
        <w:tc>
          <w:tcPr>
            <w:tcW w:w="1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632,124</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(2,400,652)</w:t>
            </w:r>
          </w:p>
        </w:tc>
      </w:tr>
      <w:tr>
        <w:trPr>
          <w:trHeight w:val="176"/>
        </w:trPr>
        <w:tc>
          <w:tcPr>
            <w:tcW w:w="54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7"/>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Net income (loss)</w:t>
            </w:r>
          </w:p>
        </w:tc>
        <w:tc>
          <w:tcPr>
            <w:tcW w:w="224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5"/>
                <w:szCs w:val="15"/>
                <w:color w:val="auto"/>
              </w:rPr>
              <w:t>$</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5"/>
                <w:szCs w:val="15"/>
                <w:color w:val="auto"/>
              </w:rPr>
              <w:t>1,827,075</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5"/>
                <w:szCs w:val="15"/>
                <w:color w:val="auto"/>
              </w:rPr>
              <w:t>(9,094,424)</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377" w:lineRule="exact"/>
        <w:rPr>
          <w:sz w:val="20"/>
          <w:szCs w:val="20"/>
          <w:color w:val="auto"/>
        </w:rPr>
      </w:pPr>
    </w:p>
    <w:p>
      <w:pPr>
        <w:jc w:val="both"/>
        <w:ind w:right="100"/>
        <w:spacing w:after="0" w:line="274" w:lineRule="auto"/>
        <w:rPr>
          <w:sz w:val="20"/>
          <w:szCs w:val="20"/>
          <w:color w:val="auto"/>
        </w:rPr>
      </w:pPr>
      <w:r>
        <w:rPr>
          <w:rFonts w:ascii="Times New Roman" w:cs="Times New Roman" w:eastAsia="Times New Roman" w:hAnsi="Times New Roman"/>
          <w:sz w:val="15"/>
          <w:szCs w:val="15"/>
          <w:color w:val="auto"/>
        </w:rPr>
        <w:t xml:space="preserve">There are no additional segment items requiring separate disclosure. Interest income, interest expense, other income and foreign currency transactions are captured in the total other income (expense), net line item. The Company continues to report revenue by geographic region as part of its revenue disclosures, see Note 3 – </w:t>
      </w:r>
      <w:r>
        <w:rPr>
          <w:rFonts w:ascii="Times New Roman" w:cs="Times New Roman" w:eastAsia="Times New Roman" w:hAnsi="Times New Roman"/>
          <w:sz w:val="15"/>
          <w:szCs w:val="15"/>
          <w:i w:val="1"/>
          <w:iCs w:val="1"/>
          <w:color w:val="auto"/>
        </w:rPr>
        <w:t>Revenue from Contracts with</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 xml:space="preserve">Customers. </w:t>
      </w:r>
      <w:r>
        <w:rPr>
          <w:rFonts w:ascii="Times New Roman" w:cs="Times New Roman" w:eastAsia="Times New Roman" w:hAnsi="Times New Roman"/>
          <w:sz w:val="15"/>
          <w:szCs w:val="15"/>
          <w:color w:val="auto"/>
        </w:rPr>
        <w:t>The CFO provides reports to the CODM for key decision making purposes.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NOTE 19 – SUBSEQUENT EVENTS</w:t>
      </w:r>
    </w:p>
    <w:p>
      <w:pPr>
        <w:spacing w:after="0" w:line="200" w:lineRule="exact"/>
        <w:rPr>
          <w:sz w:val="20"/>
          <w:szCs w:val="20"/>
          <w:color w:val="auto"/>
        </w:rPr>
      </w:pPr>
    </w:p>
    <w:p>
      <w:pPr>
        <w:jc w:val="both"/>
        <w:ind w:left="540" w:right="20" w:hanging="271"/>
        <w:spacing w:after="0" w:line="272" w:lineRule="auto"/>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January 2025, the Company extended its development with its related party, Suzhou Snail, to outsource completion of the For the Stars project. Under the terms of the agreement, Suzhou Snail will develop and outsource development need to complete the project For the Stars. The Company will retain all rights, title and interest, including the intellectual property for the project. In return, the Company will pay Suzhou Snail $4.1 million in twelve equal monthly installments of $340,600, beginning on January 1, 2025.</w:t>
      </w:r>
    </w:p>
    <w:p>
      <w:pPr>
        <w:spacing w:after="0" w:line="165" w:lineRule="exact"/>
        <w:rPr>
          <w:rFonts w:ascii="Times New Roman" w:cs="Times New Roman" w:eastAsia="Times New Roman" w:hAnsi="Times New Roman"/>
          <w:sz w:val="15"/>
          <w:szCs w:val="15"/>
          <w:color w:val="auto"/>
        </w:rPr>
      </w:pPr>
    </w:p>
    <w:p>
      <w:pPr>
        <w:jc w:val="both"/>
        <w:ind w:left="540" w:hanging="271"/>
        <w:spacing w:after="0" w:line="256" w:lineRule="auto"/>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2025, the Company issued $3.3 million of convertible debt to the holders of the Company’s previous convertible notes. The Company issued the notes at a 10% discount and the notes bear interest at a rate of 5%. The convertible notes initial conversion price is $5.00 or the market price subject to certain adjustments. The notes are repayable in equal monthly amounts beginning in May 2025 and ending in February 2026.</w:t>
      </w:r>
    </w:p>
    <w:p>
      <w:pPr>
        <w:ind w:left="540" w:hanging="271"/>
        <w:spacing w:after="0" w:line="272" w:lineRule="auto"/>
        <w:tabs>
          <w:tab w:leader="none" w:pos="54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February 2025, the Company entered into a subscription agreement with one of its platforms for a period of five weeks. In return, the Company will receive a one time payment.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140"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5"/>
          <w:szCs w:val="15"/>
          <w:b w:val="1"/>
          <w:bCs w:val="1"/>
          <w:color w:val="auto"/>
        </w:rPr>
        <w:t>Item 9. Changes in and Disagreements With Accountants on Accounting and Financial Disclosure.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9A. Controls and Procedures.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Disclosure Controls and Procedures</w:t>
      </w:r>
    </w:p>
    <w:p>
      <w:pPr>
        <w:spacing w:after="0" w:line="200" w:lineRule="exact"/>
        <w:rPr>
          <w:sz w:val="20"/>
          <w:szCs w:val="20"/>
          <w:color w:val="auto"/>
        </w:rPr>
      </w:pPr>
    </w:p>
    <w:p>
      <w:pPr>
        <w:jc w:val="both"/>
        <w:ind w:firstLine="276"/>
        <w:spacing w:after="0" w:line="268" w:lineRule="auto"/>
        <w:rPr>
          <w:sz w:val="20"/>
          <w:szCs w:val="20"/>
          <w:color w:val="auto"/>
        </w:rPr>
      </w:pPr>
      <w:r>
        <w:rPr>
          <w:rFonts w:ascii="Times New Roman" w:cs="Times New Roman" w:eastAsia="Times New Roman" w:hAnsi="Times New Roman"/>
          <w:sz w:val="15"/>
          <w:szCs w:val="15"/>
          <w:color w:val="auto"/>
        </w:rPr>
        <w:t>The Company maintains disclosure controls and procedures (as defined in Rule 13a-15(e) under the Exchange Act) that are designed to ensure that information required to be disclosed in the Company’s reports under the Exchange Act is recorded, processed, summarized and reported within the time periods specified in the Securities and Exchange Commission’s rules and forms, and that such information is accumulated and communicated to the Company’s management, including the Co-Chief Executive Officers and the Chief Financial Officer, as appropriate, to allow timely decisions regarding required disclosure.</w:t>
      </w:r>
    </w:p>
    <w:p>
      <w:pPr>
        <w:spacing w:after="0" w:line="151"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Under the supervision and with the participation of our management, including the Co-Chief Executive Officers and Chief Financial Officer, we have evaluated the effectiveness of our disclosure controls and procedures (as defined in Rules 13a-15(e) and 15d-15(e) under the Exchange Act), as of December 31, 2024. A material weakness is a deficiency, or combination of deficiencies, in internal control over financial reporting, such that there is a reasonable possibility that a material misstatement of our annual and interim financial statements will not be prevented or detected in a timely manner. Based on that evaluation, the Company’s Co-Chief Executive Officer and Chief Financial Officer have concluded that our disclosure controls and procedures were not effective as of such date due to a material weakness in the internal control over financial reporting as discussed below.</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Management’s Report on Internal Control over Financial Reporting</w:t>
      </w:r>
    </w:p>
    <w:p>
      <w:pPr>
        <w:spacing w:after="0" w:line="200"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Our management is responsible for establishing and maintaining adequate internal control over financial reporting for the Company. Internal control over financial reporting is a process to provide reasonable assurance regarding the reliability of our financial reporting for external purposes in accordance with accounting principles generally accepted in the United States of America. Internal control over financial reporting includes maintaining records that in reasonable detail accurately and fairly reflect our transactions; providing reasonable assurance that transactions are recorded as necessary for preparation of our financial statements; because of its inherent limitations, internal control over financial reporting is not intended to provide absolute assurance that a misstatement of our financial statements would be prevented or detected.</w:t>
      </w:r>
    </w:p>
    <w:p>
      <w:pPr>
        <w:spacing w:after="0" w:line="153" w:lineRule="exact"/>
        <w:rPr>
          <w:sz w:val="20"/>
          <w:szCs w:val="20"/>
          <w:color w:val="auto"/>
        </w:rPr>
      </w:pPr>
    </w:p>
    <w:p>
      <w:pPr>
        <w:jc w:val="both"/>
        <w:ind w:firstLine="276"/>
        <w:spacing w:after="0" w:line="265" w:lineRule="auto"/>
        <w:rPr>
          <w:sz w:val="20"/>
          <w:szCs w:val="20"/>
          <w:color w:val="auto"/>
        </w:rPr>
      </w:pPr>
      <w:r>
        <w:rPr>
          <w:rFonts w:ascii="Times New Roman" w:cs="Times New Roman" w:eastAsia="Times New Roman" w:hAnsi="Times New Roman"/>
          <w:sz w:val="15"/>
          <w:szCs w:val="15"/>
          <w:color w:val="auto"/>
        </w:rPr>
        <w:t xml:space="preserve">Under the supervision and with the participation of management, including the persons serving as our Co-Chief Executive officers and Chief Financial Officer, we conducted an evaluation of the effectiveness of our internal control over financial reporting based on the framework in Internal Control — Integrated Framework (2013) issued by the Committee of Sponsoring Organizations of the Treadway Commission (“COSO”). Based on this evaluation, management has concluded that our internal control over financial reporting was not effective as of December 31, 2024, due to the material weakness related to the failure to properly value the fair value of warrants related to the convertible notes and equity line of credit in accordance with ASC 820 </w:t>
      </w:r>
      <w:r>
        <w:rPr>
          <w:rFonts w:ascii="Times New Roman" w:cs="Times New Roman" w:eastAsia="Times New Roman" w:hAnsi="Times New Roman"/>
          <w:sz w:val="15"/>
          <w:szCs w:val="15"/>
          <w:i w:val="1"/>
          <w:iCs w:val="1"/>
          <w:color w:val="auto"/>
        </w:rPr>
        <w:t>Fair Value Measurement</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98" w:name="page99"/>
    <w:bookmarkEnd w:id="98"/>
    <w:p>
      <w:pPr>
        <w:jc w:val="both"/>
        <w:ind w:left="8" w:firstLine="276"/>
        <w:spacing w:after="0" w:line="263" w:lineRule="auto"/>
        <w:rPr>
          <w:sz w:val="20"/>
          <w:szCs w:val="20"/>
          <w:color w:val="auto"/>
        </w:rPr>
      </w:pPr>
      <w:r>
        <w:rPr>
          <w:rFonts w:ascii="Times New Roman" w:cs="Times New Roman" w:eastAsia="Times New Roman" w:hAnsi="Times New Roman"/>
          <w:sz w:val="15"/>
          <w:szCs w:val="15"/>
          <w:color w:val="auto"/>
        </w:rPr>
        <w:t>We are taking steps to remediate the material weakness, which include enhancing our financial reporting close control procedures by improving our review over fair value and hire experts to assist in performing valuations of complex financial instruments. However, our efforts to remediate the material weaknesses may not be effective in preventing a future material weakness or significant deficiency in our internal control over financial reporting. See “Risk Factors—General Risk Factors—We identified a material weakness in our internal controls over financial reporting and we may identify additional material weaknesses in the future that may cause us to fail to meet our reporting obligations or result in material misstatements of our financial statements. If we do not effectively remediate the material weakness or if we otherwise fail to maintain effective internal controls over financial reporting, we may not be able to accurately and timely report our financial results.”</w:t>
      </w:r>
    </w:p>
    <w:p>
      <w:pPr>
        <w:spacing w:after="0" w:line="156" w:lineRule="exact"/>
        <w:rPr>
          <w:sz w:val="20"/>
          <w:szCs w:val="20"/>
          <w:color w:val="auto"/>
        </w:rPr>
      </w:pPr>
    </w:p>
    <w:p>
      <w:pPr>
        <w:jc w:val="both"/>
        <w:ind w:left="8" w:firstLine="276"/>
        <w:spacing w:after="0" w:line="272" w:lineRule="auto"/>
        <w:rPr>
          <w:sz w:val="20"/>
          <w:szCs w:val="20"/>
          <w:color w:val="auto"/>
        </w:rPr>
      </w:pPr>
      <w:r>
        <w:rPr>
          <w:rFonts w:ascii="Times New Roman" w:cs="Times New Roman" w:eastAsia="Times New Roman" w:hAnsi="Times New Roman"/>
          <w:sz w:val="15"/>
          <w:szCs w:val="15"/>
          <w:color w:val="auto"/>
        </w:rPr>
        <w:t>In light of the material weakness, we performed additional analyses of the assumptions used and valuations performed over complex financial instruments to determine that our consolidated financial statements are prepared in accordance with U.S. GAAP. Accordingly, the Co-Chief Executive Officers and Chief Financial Officer concluded that the consolidated financial statements included in this Annual Report fairly present in all material respects our financial condition, results of operations and cash flows for the periods presented.</w:t>
      </w:r>
    </w:p>
    <w:p>
      <w:pPr>
        <w:spacing w:after="0" w:line="3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Remediation of Prior Material Weaknesses</w:t>
      </w:r>
    </w:p>
    <w:p>
      <w:pPr>
        <w:spacing w:after="0" w:line="200" w:lineRule="exact"/>
        <w:rPr>
          <w:sz w:val="20"/>
          <w:szCs w:val="20"/>
          <w:color w:val="auto"/>
        </w:rPr>
      </w:pPr>
    </w:p>
    <w:p>
      <w:pPr>
        <w:jc w:val="both"/>
        <w:ind w:left="8" w:right="20" w:firstLine="276"/>
        <w:spacing w:after="0" w:line="292" w:lineRule="auto"/>
        <w:rPr>
          <w:sz w:val="20"/>
          <w:szCs w:val="20"/>
          <w:color w:val="auto"/>
        </w:rPr>
      </w:pPr>
      <w:r>
        <w:rPr>
          <w:rFonts w:ascii="Times New Roman" w:cs="Times New Roman" w:eastAsia="Times New Roman" w:hAnsi="Times New Roman"/>
          <w:sz w:val="15"/>
          <w:szCs w:val="15"/>
          <w:color w:val="auto"/>
        </w:rPr>
        <w:t>As previously disclosed in our Annual Report on Form 10-K, for the year ended December 31, 2023, we identified material weaknesses in our internal control over financial reporting. The material weaknesses identified are listed below inclusive of the remediation efforts designed and implemented by management.</w:t>
      </w:r>
    </w:p>
    <w:p>
      <w:pPr>
        <w:spacing w:after="0" w:line="133" w:lineRule="exact"/>
        <w:rPr>
          <w:sz w:val="20"/>
          <w:szCs w:val="20"/>
          <w:color w:val="auto"/>
        </w:rPr>
      </w:pPr>
    </w:p>
    <w:p>
      <w:pPr>
        <w:ind w:left="268" w:hanging="268"/>
        <w:spacing w:after="0" w:line="266" w:lineRule="auto"/>
        <w:tabs>
          <w:tab w:leader="none" w:pos="268"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properly design and implement controls related to the accounting for income taxes and disclosure controls related to deferred taxes in the consolidated financial statements;</w:t>
      </w:r>
    </w:p>
    <w:p>
      <w:pPr>
        <w:spacing w:after="0" w:line="361" w:lineRule="exact"/>
        <w:rPr>
          <w:rFonts w:ascii="Times New Roman" w:cs="Times New Roman" w:eastAsia="Times New Roman" w:hAnsi="Times New Roman"/>
          <w:sz w:val="15"/>
          <w:szCs w:val="15"/>
          <w:color w:val="auto"/>
        </w:rPr>
      </w:pPr>
    </w:p>
    <w:p>
      <w:pPr>
        <w:ind w:left="828" w:hanging="275"/>
        <w:spacing w:after="0" w:line="292" w:lineRule="auto"/>
        <w:tabs>
          <w:tab w:leader="none" w:pos="828"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engaged a new third party income tax expert, enhanced our controls over income tax provisions and designed and implemented a new control on income tax disclosures.</w:t>
      </w:r>
    </w:p>
    <w:p>
      <w:pPr>
        <w:spacing w:after="0" w:line="133"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properly classify certain operating expenses and games server costs as cost of revenues in the consolidated financial statements;</w:t>
      </w:r>
    </w:p>
    <w:p>
      <w:pPr>
        <w:spacing w:after="0" w:line="196" w:lineRule="exact"/>
        <w:rPr>
          <w:rFonts w:ascii="Times New Roman" w:cs="Times New Roman" w:eastAsia="Times New Roman" w:hAnsi="Times New Roman"/>
          <w:sz w:val="15"/>
          <w:szCs w:val="15"/>
          <w:color w:val="auto"/>
        </w:rPr>
      </w:pPr>
    </w:p>
    <w:p>
      <w:pPr>
        <w:ind w:left="828" w:hanging="275"/>
        <w:spacing w:after="0" w:line="292" w:lineRule="auto"/>
        <w:tabs>
          <w:tab w:leader="none" w:pos="828"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implemented additional reviews over quarterly operating expenses and costs of revenues, strengthened the review and approval controls and developed and defined clear criteria for each type of expense category.</w:t>
      </w:r>
    </w:p>
    <w:p>
      <w:pPr>
        <w:spacing w:after="0" w:line="133"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identify and allocate the consideration received from a settlement between the settlement gain and revenues generating activities;</w:t>
      </w:r>
    </w:p>
    <w:p>
      <w:pPr>
        <w:spacing w:after="0" w:line="196" w:lineRule="exact"/>
        <w:rPr>
          <w:rFonts w:ascii="Times New Roman" w:cs="Times New Roman" w:eastAsia="Times New Roman" w:hAnsi="Times New Roman"/>
          <w:sz w:val="15"/>
          <w:szCs w:val="15"/>
          <w:color w:val="auto"/>
        </w:rPr>
      </w:pPr>
    </w:p>
    <w:p>
      <w:pPr>
        <w:jc w:val="both"/>
        <w:ind w:left="828" w:right="20" w:hanging="275"/>
        <w:spacing w:after="0" w:line="274" w:lineRule="auto"/>
        <w:tabs>
          <w:tab w:leader="none" w:pos="828"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engaged third party qualified experts to assist in developing accounting policies for complex revenue arrangements and analyzing non-routine transactions in accordance with the applicable accounting standards. Management implemented review controls related to the review of complex accounting transactions. This enhanced control directed addressed the causal factors that contributed to the reported material weakness.</w:t>
      </w:r>
    </w:p>
    <w:p>
      <w:pPr>
        <w:spacing w:after="0" w:line="14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properly determine the stand-alone selling prices of each performance obligation for certain digital revenue contracts;</w:t>
      </w:r>
    </w:p>
    <w:p>
      <w:pPr>
        <w:spacing w:after="0" w:line="196" w:lineRule="exact"/>
        <w:rPr>
          <w:rFonts w:ascii="Times New Roman" w:cs="Times New Roman" w:eastAsia="Times New Roman" w:hAnsi="Times New Roman"/>
          <w:sz w:val="15"/>
          <w:szCs w:val="15"/>
          <w:color w:val="auto"/>
        </w:rPr>
      </w:pPr>
    </w:p>
    <w:p>
      <w:pPr>
        <w:ind w:left="828" w:right="20" w:hanging="275"/>
        <w:spacing w:after="0" w:line="292" w:lineRule="auto"/>
        <w:tabs>
          <w:tab w:leader="none" w:pos="828"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developed a formal and clear framework for assessing stand-alone selling prices of each performance obligation in accordance with Topic 606, developed a pricing model based on market data and implemented review process over the assumptions used in determining the stand-alone selling prices.</w:t>
      </w:r>
    </w:p>
    <w:p>
      <w:pPr>
        <w:spacing w:after="0" w:line="133" w:lineRule="exact"/>
        <w:rPr>
          <w:rFonts w:ascii="Times New Roman" w:cs="Times New Roman" w:eastAsia="Times New Roman" w:hAnsi="Times New Roman"/>
          <w:sz w:val="15"/>
          <w:szCs w:val="15"/>
          <w:color w:val="auto"/>
        </w:rPr>
      </w:pPr>
    </w:p>
    <w:p>
      <w:pPr>
        <w:ind w:left="268" w:right="20" w:hanging="268"/>
        <w:spacing w:after="0" w:line="292" w:lineRule="auto"/>
        <w:tabs>
          <w:tab w:leader="none" w:pos="268"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design and implement information technology general controls related to segregation of duties within an information system relevant to the preparation of the Company’s consolidated financial statements.</w:t>
      </w:r>
    </w:p>
    <w:p>
      <w:pPr>
        <w:spacing w:after="0" w:line="133" w:lineRule="exact"/>
        <w:rPr>
          <w:rFonts w:ascii="Times New Roman" w:cs="Times New Roman" w:eastAsia="Times New Roman" w:hAnsi="Times New Roman"/>
          <w:sz w:val="15"/>
          <w:szCs w:val="15"/>
          <w:color w:val="auto"/>
        </w:rPr>
      </w:pPr>
    </w:p>
    <w:p>
      <w:pPr>
        <w:ind w:left="828" w:hanging="275"/>
        <w:spacing w:after="0"/>
        <w:tabs>
          <w:tab w:leader="none" w:pos="828" w:val="left"/>
        </w:tabs>
        <w:numPr>
          <w:ilvl w:val="1"/>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revoked administrative access from certain accounting personnel to enforce segregation of duties in the ERP system.</w:t>
      </w:r>
    </w:p>
    <w:p>
      <w:pPr>
        <w:spacing w:after="0" w:line="196"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5"/>
          <w:szCs w:val="15"/>
          <w:color w:val="auto"/>
        </w:rPr>
        <w:t>Additionally, as previously disclosed in our Quarterly Report on Form 10-Q, for the six month period ended June 30, 2024, we identified a material weakness in our internal control over financial reporting related to the disclosure of the amount of revenue recognized over time and at a point in time. The Company believes the lack of review procedures over this disclosure gave rise to a material weakness. Accordingly, to remediate the identified material weakness, management has created a separate control process to clearly identify revenues that are recognized at a point in time or over time and has separated the review process for this footnote disclosure from our ordinary disclosure review process.</w:t>
      </w:r>
    </w:p>
    <w:p>
      <w:pPr>
        <w:spacing w:after="0" w:line="151" w:lineRule="exact"/>
        <w:rPr>
          <w:sz w:val="20"/>
          <w:szCs w:val="20"/>
          <w:color w:val="auto"/>
        </w:rPr>
      </w:pPr>
    </w:p>
    <w:p>
      <w:pPr>
        <w:jc w:val="both"/>
        <w:ind w:left="8"/>
        <w:spacing w:after="0" w:line="274" w:lineRule="auto"/>
        <w:rPr>
          <w:sz w:val="20"/>
          <w:szCs w:val="20"/>
          <w:color w:val="auto"/>
        </w:rPr>
      </w:pPr>
      <w:r>
        <w:rPr>
          <w:rFonts w:ascii="Times New Roman" w:cs="Times New Roman" w:eastAsia="Times New Roman" w:hAnsi="Times New Roman"/>
          <w:sz w:val="15"/>
          <w:szCs w:val="15"/>
          <w:color w:val="auto"/>
        </w:rPr>
        <w:t>Management has completed the execution of the remediation plan to address these listed material weaknesses and tested the effectiveness of these changes to internal control over financial reporting. We have verified the effective design and operating effectiveness of these procedures and ensured they have operated for a sufficient period of time to conclude that the previously identified material weaknesses have been remediated as of December 31, 2024.</w:t>
      </w:r>
    </w:p>
    <w:p>
      <w:pPr>
        <w:spacing w:after="0" w:line="1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Changes in Internal Control Over Financial Reporting</w:t>
      </w:r>
    </w:p>
    <w:p>
      <w:pPr>
        <w:spacing w:after="0" w:line="200" w:lineRule="exact"/>
        <w:rPr>
          <w:sz w:val="20"/>
          <w:szCs w:val="20"/>
          <w:color w:val="auto"/>
        </w:rPr>
      </w:pPr>
    </w:p>
    <w:p>
      <w:pPr>
        <w:jc w:val="both"/>
        <w:ind w:left="8" w:right="20" w:firstLine="276"/>
        <w:spacing w:after="0" w:line="274" w:lineRule="auto"/>
        <w:rPr>
          <w:sz w:val="20"/>
          <w:szCs w:val="20"/>
          <w:color w:val="auto"/>
        </w:rPr>
      </w:pPr>
      <w:r>
        <w:rPr>
          <w:rFonts w:ascii="Times New Roman" w:cs="Times New Roman" w:eastAsia="Times New Roman" w:hAnsi="Times New Roman"/>
          <w:sz w:val="15"/>
          <w:szCs w:val="15"/>
          <w:color w:val="auto"/>
        </w:rPr>
        <w:t>Except for the remediation efforts described above, we have not made changes in our internal control over financial reporting (as defined in Rules 13a-15(f) and 15d-15(f) under the Exchange Act) during the quarter ended December 31, 2024, which have materially affected, or are reasonably likely to materially affect, our internal control over financial reporting other than the remediation efforts described above.</w:t>
      </w:r>
    </w:p>
    <w:p>
      <w:pPr>
        <w:spacing w:after="0" w:line="14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i w:val="1"/>
          <w:iCs w:val="1"/>
          <w:color w:val="auto"/>
        </w:rPr>
        <w:t>Attestation Report of Independent Registered Public Accounting Firm</w:t>
      </w:r>
    </w:p>
    <w:p>
      <w:pPr>
        <w:spacing w:after="0" w:line="200" w:lineRule="exact"/>
        <w:rPr>
          <w:sz w:val="20"/>
          <w:szCs w:val="20"/>
          <w:color w:val="auto"/>
        </w:rPr>
      </w:pPr>
    </w:p>
    <w:p>
      <w:pPr>
        <w:jc w:val="both"/>
        <w:ind w:left="8" w:right="20" w:firstLine="276"/>
        <w:spacing w:after="0" w:line="292" w:lineRule="auto"/>
        <w:rPr>
          <w:sz w:val="20"/>
          <w:szCs w:val="20"/>
          <w:color w:val="auto"/>
        </w:rPr>
      </w:pPr>
      <w:r>
        <w:rPr>
          <w:rFonts w:ascii="Times New Roman" w:cs="Times New Roman" w:eastAsia="Times New Roman" w:hAnsi="Times New Roman"/>
          <w:sz w:val="15"/>
          <w:szCs w:val="15"/>
          <w:color w:val="auto"/>
        </w:rPr>
        <w:t>This Annual Report does not include an attestation report of our registered independent public accounting firm regarding internal control over financial reporting due to an exemption established by the JOBS Act for “emerging growth companies.”</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9B. Other Information.</w:t>
      </w:r>
    </w:p>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i w:val="1"/>
          <w:iCs w:val="1"/>
          <w:color w:val="auto"/>
        </w:rPr>
        <w:t>Insider Trading Arrangements</w:t>
      </w:r>
    </w:p>
    <w:p>
      <w:pPr>
        <w:spacing w:after="0" w:line="200" w:lineRule="exact"/>
        <w:rPr>
          <w:sz w:val="20"/>
          <w:szCs w:val="20"/>
          <w:color w:val="auto"/>
        </w:rPr>
      </w:pPr>
    </w:p>
    <w:p>
      <w:pPr>
        <w:jc w:val="both"/>
        <w:ind w:left="8" w:right="20"/>
        <w:spacing w:after="0" w:line="292" w:lineRule="auto"/>
        <w:rPr>
          <w:sz w:val="20"/>
          <w:szCs w:val="20"/>
          <w:color w:val="auto"/>
        </w:rPr>
      </w:pPr>
      <w:r>
        <w:rPr>
          <w:rFonts w:ascii="Times New Roman" w:cs="Times New Roman" w:eastAsia="Times New Roman" w:hAnsi="Times New Roman"/>
          <w:sz w:val="15"/>
          <w:szCs w:val="15"/>
          <w:color w:val="auto"/>
        </w:rPr>
        <w:t>During the twelve months ended December 31, 2024, no director or officer of the Company adopted or terminated a “Rule 10b5-1 trading arrangement” or “non-Rule 10b5-1 trading arrangement,” as each term is defined in Item 408(a) of Regulation S-K.</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9C. Disclosure Regarding Foreign Jurisdictions that Prevent Inspections.</w:t>
      </w:r>
    </w:p>
    <w:p>
      <w:pPr>
        <w:spacing w:after="0" w:line="2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Not applicable.</w:t>
      </w:r>
    </w:p>
    <w:p>
      <w:pPr>
        <w:spacing w:after="0" w:line="1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5264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9" w:right="3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5"/>
          <w:szCs w:val="15"/>
          <w:b w:val="1"/>
          <w:bCs w:val="1"/>
          <w:color w:val="auto"/>
        </w:rPr>
        <w:t>PART III</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10. Directors, Executive Officers and Corporate Governance.</w:t>
      </w:r>
    </w:p>
    <w:p>
      <w:pPr>
        <w:spacing w:after="0" w:line="200" w:lineRule="exact"/>
        <w:rPr>
          <w:sz w:val="20"/>
          <w:szCs w:val="20"/>
          <w:color w:val="auto"/>
        </w:rPr>
      </w:pPr>
    </w:p>
    <w:p>
      <w:pPr>
        <w:jc w:val="both"/>
        <w:ind w:right="20" w:firstLine="276"/>
        <w:spacing w:after="0" w:line="292" w:lineRule="auto"/>
        <w:rPr>
          <w:sz w:val="20"/>
          <w:szCs w:val="20"/>
          <w:color w:val="auto"/>
        </w:rPr>
      </w:pPr>
      <w:r>
        <w:rPr>
          <w:rFonts w:ascii="Times New Roman" w:cs="Times New Roman" w:eastAsia="Times New Roman" w:hAnsi="Times New Roman"/>
          <w:sz w:val="15"/>
          <w:szCs w:val="15"/>
          <w:color w:val="auto"/>
        </w:rPr>
        <w:t>Except as set forth below, the information required by this item will be included in an amendment to this Annual Report on Form 10-K or incorporated by reference from our Proxy Statement.</w:t>
      </w:r>
    </w:p>
    <w:p>
      <w:pPr>
        <w:spacing w:after="0" w:line="133" w:lineRule="exact"/>
        <w:rPr>
          <w:sz w:val="20"/>
          <w:szCs w:val="20"/>
          <w:color w:val="auto"/>
        </w:rPr>
      </w:pPr>
    </w:p>
    <w:p>
      <w:pPr>
        <w:jc w:val="both"/>
        <w:ind w:right="20" w:firstLine="276"/>
        <w:spacing w:after="0" w:line="274" w:lineRule="auto"/>
        <w:rPr>
          <w:sz w:val="20"/>
          <w:szCs w:val="20"/>
          <w:color w:val="auto"/>
        </w:rPr>
      </w:pPr>
      <w:r>
        <w:rPr>
          <w:rFonts w:ascii="Times New Roman" w:cs="Times New Roman" w:eastAsia="Times New Roman" w:hAnsi="Times New Roman"/>
          <w:sz w:val="15"/>
          <w:szCs w:val="15"/>
          <w:color w:val="auto"/>
        </w:rPr>
        <w:t xml:space="preserve">We have adopted a written code of business conduct and ethics (the “Code”) which applies to all of our directors, officers, and employees, including our co-chief executive officers and chief financial officer. The Code is available on our website, </w:t>
      </w:r>
      <w:r>
        <w:rPr>
          <w:rFonts w:ascii="Times New Roman" w:cs="Times New Roman" w:eastAsia="Times New Roman" w:hAnsi="Times New Roman"/>
          <w:sz w:val="15"/>
          <w:szCs w:val="15"/>
          <w:i w:val="1"/>
          <w:iCs w:val="1"/>
          <w:color w:val="auto"/>
        </w:rPr>
        <w:t>www.snail.com (under the tab entitled “Investor—Corporate Governance”</w:t>
      </w:r>
      <w:r>
        <w:rPr>
          <w:rFonts w:ascii="Times New Roman" w:cs="Times New Roman" w:eastAsia="Times New Roman" w:hAnsi="Times New Roman"/>
          <w:sz w:val="15"/>
          <w:szCs w:val="15"/>
          <w:color w:val="auto"/>
        </w:rPr>
        <w:t>). Any waiver of the provisions in the Code for our executive officers or directors may only be granted by our Board of Directors and will be disclosed to our shareholders within four business days.</w:t>
      </w:r>
    </w:p>
    <w:p>
      <w:pPr>
        <w:spacing w:after="0" w:line="146" w:lineRule="exact"/>
        <w:rPr>
          <w:sz w:val="20"/>
          <w:szCs w:val="20"/>
          <w:color w:val="auto"/>
        </w:rPr>
      </w:pPr>
    </w:p>
    <w:p>
      <w:pPr>
        <w:jc w:val="both"/>
        <w:ind w:firstLine="276"/>
        <w:spacing w:after="0" w:line="274" w:lineRule="auto"/>
        <w:rPr>
          <w:sz w:val="20"/>
          <w:szCs w:val="20"/>
          <w:color w:val="auto"/>
        </w:rPr>
      </w:pPr>
      <w:r>
        <w:rPr>
          <w:rFonts w:ascii="Times New Roman" w:cs="Times New Roman" w:eastAsia="Times New Roman" w:hAnsi="Times New Roman"/>
          <w:sz w:val="15"/>
          <w:szCs w:val="15"/>
          <w:color w:val="auto"/>
        </w:rPr>
        <w:t>We also have an insider trading policy which governs the purchase, sale and/or other dispositions of our securities by our directors, executive officers and employees that we believe is reasonably designed to promote compliance with insider trading laws, rules and regulations, and the exchange listing standards applicable to us. A copy of our insider trading policy is filed as Exhibit 19.1 to this Annual Report on Form 10-K.</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11. Executive Compensation.</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information required by this item will be included in an amendment to this Annual Report on Form 10-K or incorporated by reference from our Proxy Statement.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12. Security Ownership of Certain Beneficial Owners and Management and Related Stockholder Matters.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information required by this item will be included in an amendment to this Annual Report on Form 10-K or incorporated by reference from our Proxy Statement.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13. Certain Relationships and Related Transactions, and Director Independence.</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information required by this item will be included in an amendment to this Annual Report on Form 10-K or incorporated by reference from our Proxy Statement.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Item 14. Principal Accountant Fees and Services.</w:t>
      </w:r>
    </w:p>
    <w:p>
      <w:pPr>
        <w:spacing w:after="0" w:line="20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5"/>
          <w:szCs w:val="15"/>
          <w:color w:val="auto"/>
        </w:rPr>
        <w:t>The information required by this item will be included in an amendment to this Annual Report on Form 10-K or incorporated by reference from our Proxy Statement.</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100" w:name="page101"/>
    <w:bookmarkEnd w:id="100"/>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PART IV</w:t>
      </w:r>
    </w:p>
    <w:p>
      <w:pPr>
        <w:spacing w:after="0" w:line="19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15. Exhibits, Financial Statement Schedules.</w:t>
      </w:r>
    </w:p>
    <w:p>
      <w:pPr>
        <w:spacing w:after="0" w:line="200" w:lineRule="exact"/>
        <w:rPr>
          <w:sz w:val="20"/>
          <w:szCs w:val="20"/>
          <w:color w:val="auto"/>
        </w:rPr>
      </w:pPr>
    </w:p>
    <w:p>
      <w:pPr>
        <w:ind w:left="268" w:hanging="268"/>
        <w:spacing w:after="0" w:line="292" w:lineRule="auto"/>
        <w:tabs>
          <w:tab w:leader="none" w:pos="268"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Consolidated Financial Statements. For a list of the financial statements included herein, see Index to the Consolidated Financial Statements in “Item 8. Financial Statements and Supplementary Data.”</w:t>
      </w:r>
    </w:p>
    <w:p>
      <w:pPr>
        <w:spacing w:after="0" w:line="133" w:lineRule="exact"/>
        <w:rPr>
          <w:rFonts w:ascii="Times New Roman" w:cs="Times New Roman" w:eastAsia="Times New Roman" w:hAnsi="Times New Roman"/>
          <w:sz w:val="15"/>
          <w:szCs w:val="15"/>
          <w:color w:val="auto"/>
        </w:rPr>
      </w:pPr>
    </w:p>
    <w:p>
      <w:pPr>
        <w:ind w:left="268" w:right="20" w:hanging="268"/>
        <w:spacing w:after="0" w:line="292" w:lineRule="auto"/>
        <w:tabs>
          <w:tab w:leader="none" w:pos="268"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Statement Schedule: All schedules have been omitted because they are not required or because the required information is given in the consolidated financial statements or notes thereto.</w:t>
      </w:r>
    </w:p>
    <w:p>
      <w:pPr>
        <w:spacing w:after="0" w:line="133"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Exhibits: The exhibits listed in the accompanying index to exhibits are filed or incorporated by reference as part of this Annual Report on Form 10-K.</w:t>
      </w:r>
    </w:p>
    <w:p>
      <w:pPr>
        <w:spacing w:after="0" w:line="192"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0" w:type="dxa"/>
            <w:vAlign w:val="bottom"/>
            <w:gridSpan w:val="7"/>
          </w:tcPr>
          <w:p>
            <w:pPr>
              <w:jc w:val="center"/>
              <w:ind w:right="980"/>
              <w:spacing w:after="0"/>
              <w:rPr>
                <w:sz w:val="20"/>
                <w:szCs w:val="20"/>
                <w:color w:val="auto"/>
              </w:rPr>
            </w:pPr>
            <w:r>
              <w:rPr>
                <w:rFonts w:ascii="Times New Roman" w:cs="Times New Roman" w:eastAsia="Times New Roman" w:hAnsi="Times New Roman"/>
                <w:sz w:val="15"/>
                <w:szCs w:val="15"/>
                <w:b w:val="1"/>
                <w:bCs w:val="1"/>
                <w:color w:val="auto"/>
              </w:rPr>
              <w:t>Exhibit Index</w:t>
            </w: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372"/>
        </w:trPr>
        <w:tc>
          <w:tcPr>
            <w:tcW w:w="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5"/>
                <w:szCs w:val="15"/>
                <w:b w:val="1"/>
                <w:bCs w:val="1"/>
                <w:color w:val="auto"/>
              </w:rPr>
              <w:t>Incorporation by Reference</w:t>
            </w:r>
          </w:p>
        </w:tc>
      </w:tr>
      <w:tr>
        <w:trPr>
          <w:trHeight w:val="196"/>
        </w:trPr>
        <w:tc>
          <w:tcPr>
            <w:tcW w:w="54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w w:val="97"/>
              </w:rPr>
              <w:t>Number</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gridSpan w:val="9"/>
          </w:tcPr>
          <w:p>
            <w:pPr>
              <w:ind w:left="180"/>
              <w:spacing w:after="0"/>
              <w:rPr>
                <w:sz w:val="20"/>
                <w:szCs w:val="20"/>
                <w:color w:val="auto"/>
              </w:rPr>
            </w:pPr>
            <w:r>
              <w:rPr>
                <w:rFonts w:ascii="Times New Roman" w:cs="Times New Roman" w:eastAsia="Times New Roman" w:hAnsi="Times New Roman"/>
                <w:sz w:val="15"/>
                <w:szCs w:val="15"/>
                <w:b w:val="1"/>
                <w:bCs w:val="1"/>
                <w:color w:val="auto"/>
              </w:rPr>
              <w:t>Description</w:t>
            </w:r>
          </w:p>
        </w:tc>
        <w:tc>
          <w:tcPr>
            <w:tcW w:w="560" w:type="dxa"/>
            <w:vAlign w:val="bottom"/>
          </w:tcPr>
          <w:p>
            <w:pPr>
              <w:ind w:left="100"/>
              <w:spacing w:after="0"/>
              <w:rPr>
                <w:sz w:val="20"/>
                <w:szCs w:val="20"/>
                <w:color w:val="auto"/>
              </w:rPr>
            </w:pPr>
            <w:r>
              <w:rPr>
                <w:rFonts w:ascii="Times New Roman" w:cs="Times New Roman" w:eastAsia="Times New Roman" w:hAnsi="Times New Roman"/>
                <w:sz w:val="15"/>
                <w:szCs w:val="15"/>
                <w:b w:val="1"/>
                <w:bCs w:val="1"/>
                <w:color w:val="auto"/>
              </w:rPr>
              <w:t>Form</w:t>
            </w:r>
          </w:p>
        </w:tc>
        <w:tc>
          <w:tcPr>
            <w:tcW w:w="100" w:type="dxa"/>
            <w:vAlign w:val="bottom"/>
          </w:tcPr>
          <w:p>
            <w:pPr>
              <w:spacing w:after="0"/>
              <w:rPr>
                <w:sz w:val="17"/>
                <w:szCs w:val="17"/>
                <w:color w:val="auto"/>
              </w:rPr>
            </w:pPr>
          </w:p>
        </w:tc>
        <w:tc>
          <w:tcPr>
            <w:tcW w:w="94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File No.</w:t>
            </w:r>
          </w:p>
        </w:tc>
        <w:tc>
          <w:tcPr>
            <w:tcW w:w="560" w:type="dxa"/>
            <w:vAlign w:val="bottom"/>
          </w:tcPr>
          <w:p>
            <w:pPr>
              <w:ind w:left="40"/>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00" w:type="dxa"/>
            <w:vAlign w:val="bottom"/>
          </w:tcPr>
          <w:p>
            <w:pPr>
              <w:spacing w:after="0"/>
              <w:rPr>
                <w:sz w:val="17"/>
                <w:szCs w:val="17"/>
                <w:color w:val="auto"/>
              </w:rPr>
            </w:pPr>
          </w:p>
        </w:tc>
        <w:tc>
          <w:tcPr>
            <w:tcW w:w="1380" w:type="dxa"/>
            <w:vAlign w:val="bottom"/>
          </w:tcPr>
          <w:p>
            <w:pPr>
              <w:ind w:left="320"/>
              <w:spacing w:after="0"/>
              <w:rPr>
                <w:sz w:val="20"/>
                <w:szCs w:val="20"/>
                <w:color w:val="auto"/>
              </w:rPr>
            </w:pPr>
            <w:r>
              <w:rPr>
                <w:rFonts w:ascii="Times New Roman" w:cs="Times New Roman" w:eastAsia="Times New Roman" w:hAnsi="Times New Roman"/>
                <w:sz w:val="15"/>
                <w:szCs w:val="15"/>
                <w:b w:val="1"/>
                <w:bCs w:val="1"/>
                <w:color w:val="auto"/>
              </w:rPr>
              <w:t>Filing Date</w:t>
            </w:r>
          </w:p>
        </w:tc>
      </w:tr>
      <w:tr>
        <w:trPr>
          <w:trHeight w:val="176"/>
        </w:trPr>
        <w:tc>
          <w:tcPr>
            <w:tcW w:w="5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r>
      <w:tr>
        <w:trPr>
          <w:trHeight w:val="164"/>
        </w:trPr>
        <w:tc>
          <w:tcPr>
            <w:tcW w:w="5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4"/>
                <w:szCs w:val="14"/>
                <w:color w:val="auto"/>
              </w:rPr>
            </w:pPr>
          </w:p>
        </w:tc>
        <w:tc>
          <w:tcPr>
            <w:tcW w:w="6980" w:type="dxa"/>
            <w:vAlign w:val="bottom"/>
            <w:gridSpan w:val="21"/>
            <w:shd w:val="clear" w:color="auto" w:fill="CCEEFF"/>
          </w:tcPr>
          <w:p>
            <w:pPr>
              <w:spacing w:after="0" w:line="150" w:lineRule="exact"/>
              <w:rPr>
                <w:rFonts w:ascii="Times New Roman" w:cs="Times New Roman" w:eastAsia="Times New Roman" w:hAnsi="Times New Roman"/>
                <w:sz w:val="15"/>
                <w:szCs w:val="15"/>
                <w:color w:val="0000EE"/>
              </w:rPr>
            </w:pPr>
            <w:hyperlink r:id="rId110">
              <w:r>
                <w:rPr>
                  <w:rFonts w:ascii="Times New Roman" w:cs="Times New Roman" w:eastAsia="Times New Roman" w:hAnsi="Times New Roman"/>
                  <w:sz w:val="15"/>
                  <w:szCs w:val="15"/>
                  <w:color w:val="0000EE"/>
                </w:rPr>
                <w:t>Amended and Restated Certificate of Incorporation of Snail, Inc.</w:t>
              </w:r>
            </w:hyperlink>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94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3.1</w:t>
            </w:r>
          </w:p>
        </w:tc>
        <w:tc>
          <w:tcPr>
            <w:tcW w:w="148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November 15, 2022</w:t>
            </w:r>
          </w:p>
        </w:tc>
      </w:tr>
      <w:tr>
        <w:trPr>
          <w:trHeight w:val="184"/>
        </w:trPr>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64"/>
        </w:trPr>
        <w:tc>
          <w:tcPr>
            <w:tcW w:w="5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3.2</w:t>
            </w:r>
          </w:p>
        </w:tc>
        <w:tc>
          <w:tcPr>
            <w:tcW w:w="100" w:type="dxa"/>
            <w:vAlign w:val="bottom"/>
            <w:shd w:val="clear" w:color="auto" w:fill="CCEEFF"/>
          </w:tcPr>
          <w:p>
            <w:pPr>
              <w:spacing w:after="0"/>
              <w:rPr>
                <w:sz w:val="14"/>
                <w:szCs w:val="14"/>
                <w:color w:val="auto"/>
              </w:rPr>
            </w:pPr>
          </w:p>
        </w:tc>
        <w:tc>
          <w:tcPr>
            <w:tcW w:w="6980" w:type="dxa"/>
            <w:vAlign w:val="bottom"/>
            <w:gridSpan w:val="21"/>
            <w:shd w:val="clear" w:color="auto" w:fill="CCEEFF"/>
          </w:tcPr>
          <w:p>
            <w:pPr>
              <w:spacing w:after="0" w:line="150" w:lineRule="exact"/>
              <w:rPr>
                <w:rFonts w:ascii="Times New Roman" w:cs="Times New Roman" w:eastAsia="Times New Roman" w:hAnsi="Times New Roman"/>
                <w:sz w:val="15"/>
                <w:szCs w:val="15"/>
                <w:color w:val="0000EE"/>
              </w:rPr>
            </w:pPr>
            <w:hyperlink r:id="rId111">
              <w:r>
                <w:rPr>
                  <w:rFonts w:ascii="Times New Roman" w:cs="Times New Roman" w:eastAsia="Times New Roman" w:hAnsi="Times New Roman"/>
                  <w:sz w:val="15"/>
                  <w:szCs w:val="15"/>
                  <w:color w:val="0000EE"/>
                </w:rPr>
                <w:t>Amended and Restated Bylaws of Snail, Inc.</w:t>
              </w:r>
            </w:hyperlink>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94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3.2</w:t>
            </w:r>
          </w:p>
        </w:tc>
        <w:tc>
          <w:tcPr>
            <w:tcW w:w="148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November 15, 2022</w:t>
            </w:r>
          </w:p>
        </w:tc>
      </w:tr>
      <w:tr>
        <w:trPr>
          <w:trHeight w:val="184"/>
        </w:trPr>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64"/>
        </w:trPr>
        <w:tc>
          <w:tcPr>
            <w:tcW w:w="5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4.1</w:t>
            </w:r>
          </w:p>
        </w:tc>
        <w:tc>
          <w:tcPr>
            <w:tcW w:w="100" w:type="dxa"/>
            <w:vAlign w:val="bottom"/>
            <w:shd w:val="clear" w:color="auto" w:fill="CCEEFF"/>
          </w:tcPr>
          <w:p>
            <w:pPr>
              <w:spacing w:after="0"/>
              <w:rPr>
                <w:sz w:val="14"/>
                <w:szCs w:val="14"/>
                <w:color w:val="auto"/>
              </w:rPr>
            </w:pPr>
          </w:p>
        </w:tc>
        <w:tc>
          <w:tcPr>
            <w:tcW w:w="6980" w:type="dxa"/>
            <w:vAlign w:val="bottom"/>
            <w:gridSpan w:val="21"/>
            <w:shd w:val="clear" w:color="auto" w:fill="CCEEFF"/>
          </w:tcPr>
          <w:p>
            <w:pPr>
              <w:spacing w:after="0" w:line="150" w:lineRule="exact"/>
              <w:rPr>
                <w:rFonts w:ascii="Times New Roman" w:cs="Times New Roman" w:eastAsia="Times New Roman" w:hAnsi="Times New Roman"/>
                <w:sz w:val="15"/>
                <w:szCs w:val="15"/>
                <w:color w:val="0000EE"/>
              </w:rPr>
            </w:pPr>
            <w:hyperlink r:id="rId112">
              <w:r>
                <w:rPr>
                  <w:rFonts w:ascii="Times New Roman" w:cs="Times New Roman" w:eastAsia="Times New Roman" w:hAnsi="Times New Roman"/>
                  <w:sz w:val="15"/>
                  <w:szCs w:val="15"/>
                  <w:color w:val="0000EE"/>
                </w:rPr>
                <w:t>Form of Certificate of Class A Common Stock</w:t>
              </w:r>
            </w:hyperlink>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S-1</w:t>
            </w:r>
          </w:p>
        </w:tc>
        <w:tc>
          <w:tcPr>
            <w:tcW w:w="94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4.1</w:t>
            </w:r>
          </w:p>
        </w:tc>
        <w:tc>
          <w:tcPr>
            <w:tcW w:w="148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September 16, 2022</w:t>
            </w:r>
          </w:p>
        </w:tc>
      </w:tr>
      <w:tr>
        <w:trPr>
          <w:trHeight w:val="184"/>
        </w:trPr>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64"/>
        </w:trPr>
        <w:tc>
          <w:tcPr>
            <w:tcW w:w="5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4.2</w:t>
            </w:r>
          </w:p>
        </w:tc>
        <w:tc>
          <w:tcPr>
            <w:tcW w:w="100" w:type="dxa"/>
            <w:vAlign w:val="bottom"/>
            <w:shd w:val="clear" w:color="auto" w:fill="CCEEFF"/>
          </w:tcPr>
          <w:p>
            <w:pPr>
              <w:spacing w:after="0"/>
              <w:rPr>
                <w:sz w:val="14"/>
                <w:szCs w:val="14"/>
                <w:color w:val="auto"/>
              </w:rPr>
            </w:pPr>
          </w:p>
        </w:tc>
        <w:tc>
          <w:tcPr>
            <w:tcW w:w="6980" w:type="dxa"/>
            <w:vAlign w:val="bottom"/>
            <w:gridSpan w:val="21"/>
            <w:shd w:val="clear" w:color="auto" w:fill="CCEEFF"/>
          </w:tcPr>
          <w:p>
            <w:pPr>
              <w:spacing w:after="0" w:line="150" w:lineRule="exact"/>
              <w:rPr>
                <w:rFonts w:ascii="Times New Roman" w:cs="Times New Roman" w:eastAsia="Times New Roman" w:hAnsi="Times New Roman"/>
                <w:sz w:val="15"/>
                <w:szCs w:val="15"/>
                <w:color w:val="0000EE"/>
              </w:rPr>
            </w:pPr>
            <w:hyperlink r:id="rId113">
              <w:r>
                <w:rPr>
                  <w:rFonts w:ascii="Times New Roman" w:cs="Times New Roman" w:eastAsia="Times New Roman" w:hAnsi="Times New Roman"/>
                  <w:sz w:val="15"/>
                  <w:szCs w:val="15"/>
                  <w:color w:val="0000EE"/>
                </w:rPr>
                <w:t>Form of Underwriters’ Warrants</w:t>
              </w:r>
            </w:hyperlink>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S-1/A</w:t>
            </w:r>
          </w:p>
        </w:tc>
        <w:tc>
          <w:tcPr>
            <w:tcW w:w="94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4.2</w:t>
            </w:r>
          </w:p>
        </w:tc>
        <w:tc>
          <w:tcPr>
            <w:tcW w:w="148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October 17, 2022</w:t>
            </w:r>
          </w:p>
        </w:tc>
      </w:tr>
      <w:tr>
        <w:trPr>
          <w:trHeight w:val="184"/>
        </w:trPr>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64"/>
        </w:trPr>
        <w:tc>
          <w:tcPr>
            <w:tcW w:w="5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4.3</w:t>
            </w:r>
          </w:p>
        </w:tc>
        <w:tc>
          <w:tcPr>
            <w:tcW w:w="100" w:type="dxa"/>
            <w:vAlign w:val="bottom"/>
            <w:shd w:val="clear" w:color="auto" w:fill="CCEEFF"/>
          </w:tcPr>
          <w:p>
            <w:pPr>
              <w:spacing w:after="0"/>
              <w:rPr>
                <w:sz w:val="14"/>
                <w:szCs w:val="14"/>
                <w:color w:val="auto"/>
              </w:rPr>
            </w:pPr>
          </w:p>
        </w:tc>
        <w:tc>
          <w:tcPr>
            <w:tcW w:w="6980" w:type="dxa"/>
            <w:vAlign w:val="bottom"/>
            <w:gridSpan w:val="21"/>
            <w:shd w:val="clear" w:color="auto" w:fill="CCEEFF"/>
          </w:tcPr>
          <w:p>
            <w:pPr>
              <w:spacing w:after="0" w:line="150" w:lineRule="exact"/>
              <w:rPr>
                <w:rFonts w:ascii="Times New Roman" w:cs="Times New Roman" w:eastAsia="Times New Roman" w:hAnsi="Times New Roman"/>
                <w:sz w:val="15"/>
                <w:szCs w:val="15"/>
                <w:color w:val="0000EE"/>
              </w:rPr>
            </w:pPr>
            <w:hyperlink r:id="rId114">
              <w:r>
                <w:rPr>
                  <w:rFonts w:ascii="Times New Roman" w:cs="Times New Roman" w:eastAsia="Times New Roman" w:hAnsi="Times New Roman"/>
                  <w:sz w:val="15"/>
                  <w:szCs w:val="15"/>
                  <w:color w:val="0000EE"/>
                </w:rPr>
                <w:t>Description of the Registrant’s Securities</w:t>
              </w:r>
            </w:hyperlink>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10-K</w:t>
            </w:r>
          </w:p>
        </w:tc>
        <w:tc>
          <w:tcPr>
            <w:tcW w:w="94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4.3</w:t>
            </w:r>
          </w:p>
        </w:tc>
        <w:tc>
          <w:tcPr>
            <w:tcW w:w="148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March 29, 2023</w:t>
            </w:r>
          </w:p>
        </w:tc>
      </w:tr>
      <w:tr>
        <w:trPr>
          <w:trHeight w:val="184"/>
        </w:trPr>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64"/>
        </w:trPr>
        <w:tc>
          <w:tcPr>
            <w:tcW w:w="5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4.4</w:t>
            </w:r>
          </w:p>
        </w:tc>
        <w:tc>
          <w:tcPr>
            <w:tcW w:w="100" w:type="dxa"/>
            <w:vAlign w:val="bottom"/>
            <w:shd w:val="clear" w:color="auto" w:fill="CCEEFF"/>
          </w:tcPr>
          <w:p>
            <w:pPr>
              <w:spacing w:after="0"/>
              <w:rPr>
                <w:sz w:val="14"/>
                <w:szCs w:val="14"/>
                <w:color w:val="auto"/>
              </w:rPr>
            </w:pPr>
          </w:p>
        </w:tc>
        <w:tc>
          <w:tcPr>
            <w:tcW w:w="6980" w:type="dxa"/>
            <w:vAlign w:val="bottom"/>
            <w:gridSpan w:val="21"/>
            <w:shd w:val="clear" w:color="auto" w:fill="CCEEFF"/>
          </w:tcPr>
          <w:p>
            <w:pPr>
              <w:spacing w:after="0" w:line="150" w:lineRule="exact"/>
              <w:rPr>
                <w:rFonts w:ascii="Times New Roman" w:cs="Times New Roman" w:eastAsia="Times New Roman" w:hAnsi="Times New Roman"/>
                <w:sz w:val="15"/>
                <w:szCs w:val="15"/>
                <w:color w:val="0000EE"/>
              </w:rPr>
            </w:pPr>
            <w:hyperlink r:id="rId115">
              <w:r>
                <w:rPr>
                  <w:rFonts w:ascii="Times New Roman" w:cs="Times New Roman" w:eastAsia="Times New Roman" w:hAnsi="Times New Roman"/>
                  <w:sz w:val="15"/>
                  <w:szCs w:val="15"/>
                  <w:color w:val="0000EE"/>
                </w:rPr>
                <w:t>Form of Warrant</w:t>
              </w:r>
            </w:hyperlink>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94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4.1</w:t>
            </w:r>
          </w:p>
        </w:tc>
        <w:tc>
          <w:tcPr>
            <w:tcW w:w="148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August 30, 2023</w:t>
            </w:r>
          </w:p>
        </w:tc>
      </w:tr>
      <w:tr>
        <w:trPr>
          <w:trHeight w:val="184"/>
        </w:trPr>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64"/>
        </w:trPr>
        <w:tc>
          <w:tcPr>
            <w:tcW w:w="5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4.5</w:t>
            </w:r>
          </w:p>
        </w:tc>
        <w:tc>
          <w:tcPr>
            <w:tcW w:w="100" w:type="dxa"/>
            <w:vAlign w:val="bottom"/>
            <w:shd w:val="clear" w:color="auto" w:fill="CCEEFF"/>
          </w:tcPr>
          <w:p>
            <w:pPr>
              <w:spacing w:after="0"/>
              <w:rPr>
                <w:sz w:val="14"/>
                <w:szCs w:val="14"/>
                <w:color w:val="auto"/>
              </w:rPr>
            </w:pPr>
          </w:p>
        </w:tc>
        <w:tc>
          <w:tcPr>
            <w:tcW w:w="6980" w:type="dxa"/>
            <w:vAlign w:val="bottom"/>
            <w:gridSpan w:val="21"/>
            <w:shd w:val="clear" w:color="auto" w:fill="CCEEFF"/>
          </w:tcPr>
          <w:p>
            <w:pPr>
              <w:spacing w:after="0" w:line="150" w:lineRule="exact"/>
              <w:rPr>
                <w:rFonts w:ascii="Times New Roman" w:cs="Times New Roman" w:eastAsia="Times New Roman" w:hAnsi="Times New Roman"/>
                <w:sz w:val="15"/>
                <w:szCs w:val="15"/>
                <w:color w:val="0000EE"/>
              </w:rPr>
            </w:pPr>
            <w:hyperlink r:id="rId116">
              <w:r>
                <w:rPr>
                  <w:rFonts w:ascii="Times New Roman" w:cs="Times New Roman" w:eastAsia="Times New Roman" w:hAnsi="Times New Roman"/>
                  <w:sz w:val="15"/>
                  <w:szCs w:val="15"/>
                  <w:color w:val="0000EE"/>
                </w:rPr>
                <w:t>Form of Equity Line Warrant</w:t>
              </w:r>
            </w:hyperlink>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94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4.2</w:t>
            </w:r>
          </w:p>
        </w:tc>
        <w:tc>
          <w:tcPr>
            <w:tcW w:w="148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August 30, 2023</w:t>
            </w:r>
          </w:p>
        </w:tc>
      </w:tr>
      <w:tr>
        <w:trPr>
          <w:trHeight w:val="184"/>
        </w:trPr>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64"/>
        </w:trPr>
        <w:tc>
          <w:tcPr>
            <w:tcW w:w="5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4.6</w:t>
            </w:r>
          </w:p>
        </w:tc>
        <w:tc>
          <w:tcPr>
            <w:tcW w:w="100" w:type="dxa"/>
            <w:vAlign w:val="bottom"/>
            <w:shd w:val="clear" w:color="auto" w:fill="CCEEFF"/>
          </w:tcPr>
          <w:p>
            <w:pPr>
              <w:spacing w:after="0"/>
              <w:rPr>
                <w:sz w:val="14"/>
                <w:szCs w:val="14"/>
                <w:color w:val="auto"/>
              </w:rPr>
            </w:pPr>
          </w:p>
        </w:tc>
        <w:tc>
          <w:tcPr>
            <w:tcW w:w="6980" w:type="dxa"/>
            <w:vAlign w:val="bottom"/>
            <w:gridSpan w:val="21"/>
            <w:shd w:val="clear" w:color="auto" w:fill="CCEEFF"/>
          </w:tcPr>
          <w:p>
            <w:pPr>
              <w:spacing w:after="0" w:line="150" w:lineRule="exact"/>
              <w:rPr>
                <w:rFonts w:ascii="Times New Roman" w:cs="Times New Roman" w:eastAsia="Times New Roman" w:hAnsi="Times New Roman"/>
                <w:sz w:val="15"/>
                <w:szCs w:val="15"/>
                <w:color w:val="0000EE"/>
              </w:rPr>
            </w:pPr>
            <w:hyperlink r:id="rId117">
              <w:r>
                <w:rPr>
                  <w:rFonts w:ascii="Times New Roman" w:cs="Times New Roman" w:eastAsia="Times New Roman" w:hAnsi="Times New Roman"/>
                  <w:sz w:val="15"/>
                  <w:szCs w:val="15"/>
                  <w:color w:val="0000EE"/>
                </w:rPr>
                <w:t>Form of Note</w:t>
              </w:r>
            </w:hyperlink>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94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4.3</w:t>
            </w:r>
          </w:p>
        </w:tc>
        <w:tc>
          <w:tcPr>
            <w:tcW w:w="148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August 30, 2023</w:t>
            </w:r>
          </w:p>
        </w:tc>
      </w:tr>
      <w:tr>
        <w:trPr>
          <w:trHeight w:val="184"/>
        </w:trPr>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64"/>
        </w:trPr>
        <w:tc>
          <w:tcPr>
            <w:tcW w:w="5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4.7</w:t>
            </w:r>
          </w:p>
        </w:tc>
        <w:tc>
          <w:tcPr>
            <w:tcW w:w="100" w:type="dxa"/>
            <w:vAlign w:val="bottom"/>
            <w:shd w:val="clear" w:color="auto" w:fill="CCEEFF"/>
          </w:tcPr>
          <w:p>
            <w:pPr>
              <w:spacing w:after="0"/>
              <w:rPr>
                <w:sz w:val="14"/>
                <w:szCs w:val="14"/>
                <w:color w:val="auto"/>
              </w:rPr>
            </w:pPr>
          </w:p>
        </w:tc>
        <w:tc>
          <w:tcPr>
            <w:tcW w:w="6980" w:type="dxa"/>
            <w:vAlign w:val="bottom"/>
            <w:gridSpan w:val="21"/>
            <w:shd w:val="clear" w:color="auto" w:fill="CCEEFF"/>
          </w:tcPr>
          <w:p>
            <w:pPr>
              <w:spacing w:after="0" w:line="150" w:lineRule="exact"/>
              <w:rPr>
                <w:rFonts w:ascii="Times New Roman" w:cs="Times New Roman" w:eastAsia="Times New Roman" w:hAnsi="Times New Roman"/>
                <w:sz w:val="15"/>
                <w:szCs w:val="15"/>
                <w:color w:val="0000EE"/>
              </w:rPr>
            </w:pPr>
            <w:hyperlink r:id="rId118">
              <w:r>
                <w:rPr>
                  <w:rFonts w:ascii="Times New Roman" w:cs="Times New Roman" w:eastAsia="Times New Roman" w:hAnsi="Times New Roman"/>
                  <w:sz w:val="15"/>
                  <w:szCs w:val="15"/>
                  <w:color w:val="0000EE"/>
                </w:rPr>
                <w:t>Form of Indenture</w:t>
              </w:r>
            </w:hyperlink>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S-3</w:t>
            </w:r>
          </w:p>
        </w:tc>
        <w:tc>
          <w:tcPr>
            <w:tcW w:w="94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333-282030</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4.7</w:t>
            </w:r>
          </w:p>
        </w:tc>
        <w:tc>
          <w:tcPr>
            <w:tcW w:w="148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September 11, 2024</w:t>
            </w:r>
          </w:p>
        </w:tc>
      </w:tr>
      <w:tr>
        <w:trPr>
          <w:trHeight w:val="184"/>
        </w:trPr>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64"/>
        </w:trPr>
        <w:tc>
          <w:tcPr>
            <w:tcW w:w="5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4.8</w:t>
            </w:r>
          </w:p>
        </w:tc>
        <w:tc>
          <w:tcPr>
            <w:tcW w:w="100" w:type="dxa"/>
            <w:vAlign w:val="bottom"/>
            <w:shd w:val="clear" w:color="auto" w:fill="CCEEFF"/>
          </w:tcPr>
          <w:p>
            <w:pPr>
              <w:spacing w:after="0"/>
              <w:rPr>
                <w:sz w:val="14"/>
                <w:szCs w:val="14"/>
                <w:color w:val="auto"/>
              </w:rPr>
            </w:pPr>
          </w:p>
        </w:tc>
        <w:tc>
          <w:tcPr>
            <w:tcW w:w="6980" w:type="dxa"/>
            <w:vAlign w:val="bottom"/>
            <w:gridSpan w:val="21"/>
            <w:shd w:val="clear" w:color="auto" w:fill="CCEEFF"/>
          </w:tcPr>
          <w:p>
            <w:pPr>
              <w:spacing w:after="0" w:line="150" w:lineRule="exact"/>
              <w:rPr>
                <w:rFonts w:ascii="Times New Roman" w:cs="Times New Roman" w:eastAsia="Times New Roman" w:hAnsi="Times New Roman"/>
                <w:sz w:val="15"/>
                <w:szCs w:val="15"/>
                <w:color w:val="0000EE"/>
              </w:rPr>
            </w:pPr>
            <w:hyperlink r:id="rId119">
              <w:r>
                <w:rPr>
                  <w:rFonts w:ascii="Times New Roman" w:cs="Times New Roman" w:eastAsia="Times New Roman" w:hAnsi="Times New Roman"/>
                  <w:sz w:val="15"/>
                  <w:szCs w:val="15"/>
                  <w:color w:val="0000EE"/>
                </w:rPr>
                <w:t>Form of Convertible Promissory Notes</w:t>
              </w:r>
            </w:hyperlink>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94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4.1</w:t>
            </w:r>
          </w:p>
        </w:tc>
        <w:tc>
          <w:tcPr>
            <w:tcW w:w="148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February 25, 2025</w:t>
            </w:r>
          </w:p>
        </w:tc>
      </w:tr>
      <w:tr>
        <w:trPr>
          <w:trHeight w:val="184"/>
        </w:trPr>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50"/>
        </w:trPr>
        <w:tc>
          <w:tcPr>
            <w:tcW w:w="54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w:t>
            </w:r>
          </w:p>
        </w:tc>
        <w:tc>
          <w:tcPr>
            <w:tcW w:w="100" w:type="dxa"/>
            <w:vAlign w:val="bottom"/>
            <w:tcBorders>
              <w:bottom w:val="single" w:sz="8" w:color="CCEEFF"/>
            </w:tcBorders>
            <w:shd w:val="clear" w:color="auto" w:fill="CCEEFF"/>
          </w:tcPr>
          <w:p>
            <w:pPr>
              <w:spacing w:after="0"/>
              <w:rPr>
                <w:sz w:val="13"/>
                <w:szCs w:val="13"/>
                <w:color w:val="auto"/>
              </w:rPr>
            </w:pPr>
          </w:p>
        </w:tc>
        <w:tc>
          <w:tcPr>
            <w:tcW w:w="6360" w:type="dxa"/>
            <w:vAlign w:val="bottom"/>
            <w:tcBorders>
              <w:bottom w:val="single" w:sz="8" w:color="0000EE"/>
            </w:tcBorders>
            <w:gridSpan w:val="17"/>
            <w:shd w:val="clear" w:color="auto" w:fill="CCEEFF"/>
          </w:tcPr>
          <w:p>
            <w:pPr>
              <w:spacing w:after="0" w:line="150" w:lineRule="exact"/>
              <w:rPr>
                <w:rFonts w:ascii="Times New Roman" w:cs="Times New Roman" w:eastAsia="Times New Roman" w:hAnsi="Times New Roman"/>
                <w:sz w:val="15"/>
                <w:szCs w:val="15"/>
                <w:color w:val="0000EE"/>
              </w:rPr>
            </w:pPr>
            <w:hyperlink r:id="rId120">
              <w:r>
                <w:rPr>
                  <w:rFonts w:ascii="Times New Roman" w:cs="Times New Roman" w:eastAsia="Times New Roman" w:hAnsi="Times New Roman"/>
                  <w:sz w:val="15"/>
                  <w:szCs w:val="15"/>
                  <w:color w:val="0000EE"/>
                </w:rPr>
                <w:t>Amended and Restated Exclusive Software License Agreement, effective as of January 1, 2022, by and</w:t>
              </w:r>
            </w:hyperlink>
          </w:p>
        </w:tc>
        <w:tc>
          <w:tcPr>
            <w:tcW w:w="620" w:type="dxa"/>
            <w:vAlign w:val="bottom"/>
            <w:tcBorders>
              <w:bottom w:val="single" w:sz="8" w:color="CCEEFF"/>
            </w:tcBorders>
            <w:gridSpan w:val="4"/>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S-1/A</w:t>
            </w:r>
          </w:p>
        </w:tc>
        <w:tc>
          <w:tcPr>
            <w:tcW w:w="940" w:type="dxa"/>
            <w:vAlign w:val="bottom"/>
            <w:tcBorders>
              <w:bottom w:val="single" w:sz="8" w:color="CCEEFF"/>
            </w:tcBorders>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10.12</w:t>
            </w:r>
          </w:p>
        </w:tc>
        <w:tc>
          <w:tcPr>
            <w:tcW w:w="1480" w:type="dxa"/>
            <w:vAlign w:val="bottom"/>
            <w:tcBorders>
              <w:bottom w:val="single" w:sz="8" w:color="CCEEFF"/>
            </w:tcBorders>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October 17, 2022</w:t>
            </w:r>
          </w:p>
        </w:tc>
      </w:tr>
      <w:tr>
        <w:trPr>
          <w:trHeight w:val="179"/>
        </w:trPr>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980" w:type="dxa"/>
            <w:vAlign w:val="bottom"/>
            <w:gridSpan w:val="21"/>
            <w:shd w:val="clear" w:color="auto" w:fill="CCEEFF"/>
          </w:tcPr>
          <w:p>
            <w:pPr>
              <w:spacing w:after="0" w:line="164" w:lineRule="exact"/>
              <w:rPr>
                <w:rFonts w:ascii="Times New Roman" w:cs="Times New Roman" w:eastAsia="Times New Roman" w:hAnsi="Times New Roman"/>
                <w:sz w:val="15"/>
                <w:szCs w:val="15"/>
                <w:color w:val="0000EE"/>
              </w:rPr>
            </w:pPr>
            <w:hyperlink r:id="rId120">
              <w:r>
                <w:rPr>
                  <w:rFonts w:ascii="Times New Roman" w:cs="Times New Roman" w:eastAsia="Times New Roman" w:hAnsi="Times New Roman"/>
                  <w:sz w:val="15"/>
                  <w:szCs w:val="15"/>
                  <w:color w:val="0000EE"/>
                </w:rPr>
                <w:t>between Snail Games USA, Inc. and SDE Inc.</w:t>
              </w:r>
            </w:hyperlink>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4"/>
        </w:trPr>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50"/>
        </w:trPr>
        <w:tc>
          <w:tcPr>
            <w:tcW w:w="54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10.2</w:t>
            </w:r>
          </w:p>
        </w:tc>
        <w:tc>
          <w:tcPr>
            <w:tcW w:w="100" w:type="dxa"/>
            <w:vAlign w:val="bottom"/>
            <w:tcBorders>
              <w:bottom w:val="single" w:sz="8" w:color="CCEEFF"/>
            </w:tcBorders>
            <w:shd w:val="clear" w:color="auto" w:fill="CCEEFF"/>
          </w:tcPr>
          <w:p>
            <w:pPr>
              <w:spacing w:after="0"/>
              <w:rPr>
                <w:sz w:val="13"/>
                <w:szCs w:val="13"/>
                <w:color w:val="auto"/>
              </w:rPr>
            </w:pPr>
          </w:p>
        </w:tc>
        <w:tc>
          <w:tcPr>
            <w:tcW w:w="6860" w:type="dxa"/>
            <w:vAlign w:val="bottom"/>
            <w:tcBorders>
              <w:bottom w:val="single" w:sz="8" w:color="0000EE"/>
            </w:tcBorders>
            <w:gridSpan w:val="19"/>
            <w:shd w:val="clear" w:color="auto" w:fill="CCEEFF"/>
          </w:tcPr>
          <w:p>
            <w:pPr>
              <w:spacing w:after="0" w:line="150" w:lineRule="exact"/>
              <w:rPr>
                <w:rFonts w:ascii="Times New Roman" w:cs="Times New Roman" w:eastAsia="Times New Roman" w:hAnsi="Times New Roman"/>
                <w:sz w:val="15"/>
                <w:szCs w:val="15"/>
                <w:color w:val="0000EE"/>
              </w:rPr>
            </w:pPr>
            <w:hyperlink r:id="rId121">
              <w:r>
                <w:rPr>
                  <w:rFonts w:ascii="Times New Roman" w:cs="Times New Roman" w:eastAsia="Times New Roman" w:hAnsi="Times New Roman"/>
                  <w:sz w:val="15"/>
                  <w:szCs w:val="15"/>
                  <w:color w:val="0000EE"/>
                </w:rPr>
                <w:t>Amendment No. 1 to Amended and Restated Exclusive Software License Agreement, effective as of December</w:t>
              </w:r>
            </w:hyperlink>
          </w:p>
        </w:tc>
        <w:tc>
          <w:tcPr>
            <w:tcW w:w="120" w:type="dxa"/>
            <w:vAlign w:val="bottom"/>
            <w:tcBorders>
              <w:bottom w:val="single" w:sz="8" w:color="CCEEFF"/>
            </w:tcBorders>
            <w:gridSpan w:val="2"/>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10-Q</w:t>
            </w:r>
          </w:p>
        </w:tc>
        <w:tc>
          <w:tcPr>
            <w:tcW w:w="940" w:type="dxa"/>
            <w:vAlign w:val="bottom"/>
            <w:tcBorders>
              <w:bottom w:val="single" w:sz="8" w:color="CCEEFF"/>
            </w:tcBorders>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10.2</w:t>
            </w:r>
          </w:p>
        </w:tc>
        <w:tc>
          <w:tcPr>
            <w:tcW w:w="1480" w:type="dxa"/>
            <w:vAlign w:val="bottom"/>
            <w:tcBorders>
              <w:bottom w:val="single" w:sz="8" w:color="CCEEFF"/>
            </w:tcBorders>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December 15, 2022</w:t>
            </w:r>
          </w:p>
        </w:tc>
      </w:tr>
      <w:tr>
        <w:trPr>
          <w:trHeight w:val="179"/>
        </w:trPr>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980" w:type="dxa"/>
            <w:vAlign w:val="bottom"/>
            <w:gridSpan w:val="21"/>
            <w:shd w:val="clear" w:color="auto" w:fill="CCEEFF"/>
          </w:tcPr>
          <w:p>
            <w:pPr>
              <w:spacing w:after="0" w:line="164" w:lineRule="exact"/>
              <w:rPr>
                <w:rFonts w:ascii="Times New Roman" w:cs="Times New Roman" w:eastAsia="Times New Roman" w:hAnsi="Times New Roman"/>
                <w:sz w:val="15"/>
                <w:szCs w:val="15"/>
                <w:color w:val="0000EE"/>
              </w:rPr>
            </w:pPr>
            <w:hyperlink r:id="rId121">
              <w:r>
                <w:rPr>
                  <w:rFonts w:ascii="Times New Roman" w:cs="Times New Roman" w:eastAsia="Times New Roman" w:hAnsi="Times New Roman"/>
                  <w:sz w:val="15"/>
                  <w:szCs w:val="15"/>
                  <w:color w:val="0000EE"/>
                </w:rPr>
                <w:t>13, 2022, by and between Snail Games USA, Inc. and SDE Inc.</w:t>
              </w:r>
            </w:hyperlink>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4"/>
        </w:trPr>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50"/>
        </w:trPr>
        <w:tc>
          <w:tcPr>
            <w:tcW w:w="54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10.3</w:t>
            </w:r>
          </w:p>
        </w:tc>
        <w:tc>
          <w:tcPr>
            <w:tcW w:w="100" w:type="dxa"/>
            <w:vAlign w:val="bottom"/>
            <w:tcBorders>
              <w:bottom w:val="single" w:sz="8" w:color="CCEEFF"/>
            </w:tcBorders>
            <w:shd w:val="clear" w:color="auto" w:fill="CCEEFF"/>
          </w:tcPr>
          <w:p>
            <w:pPr>
              <w:spacing w:after="0"/>
              <w:rPr>
                <w:sz w:val="13"/>
                <w:szCs w:val="13"/>
                <w:color w:val="auto"/>
              </w:rPr>
            </w:pPr>
          </w:p>
        </w:tc>
        <w:tc>
          <w:tcPr>
            <w:tcW w:w="6840" w:type="dxa"/>
            <w:vAlign w:val="bottom"/>
            <w:tcBorders>
              <w:bottom w:val="single" w:sz="8" w:color="0000EE"/>
            </w:tcBorders>
            <w:gridSpan w:val="18"/>
            <w:shd w:val="clear" w:color="auto" w:fill="CCEEFF"/>
          </w:tcPr>
          <w:p>
            <w:pPr>
              <w:spacing w:after="0" w:line="150" w:lineRule="exact"/>
              <w:rPr>
                <w:rFonts w:ascii="Times New Roman" w:cs="Times New Roman" w:eastAsia="Times New Roman" w:hAnsi="Times New Roman"/>
                <w:sz w:val="15"/>
                <w:szCs w:val="15"/>
                <w:color w:val="0000EE"/>
              </w:rPr>
            </w:pPr>
            <w:hyperlink r:id="rId122">
              <w:r>
                <w:rPr>
                  <w:rFonts w:ascii="Times New Roman" w:cs="Times New Roman" w:eastAsia="Times New Roman" w:hAnsi="Times New Roman"/>
                  <w:sz w:val="15"/>
                  <w:szCs w:val="15"/>
                  <w:color w:val="0000EE"/>
                </w:rPr>
                <w:t>Exclusive License Agreement, effective as of April 27, 2022, by and between Snail Games USA, Inc. and SDE</w:t>
              </w:r>
            </w:hyperlink>
          </w:p>
        </w:tc>
        <w:tc>
          <w:tcPr>
            <w:tcW w:w="140" w:type="dxa"/>
            <w:vAlign w:val="bottom"/>
            <w:tcBorders>
              <w:bottom w:val="single" w:sz="8" w:color="CCEEFF"/>
            </w:tcBorders>
            <w:gridSpan w:val="3"/>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S-1/A</w:t>
            </w:r>
          </w:p>
        </w:tc>
        <w:tc>
          <w:tcPr>
            <w:tcW w:w="940" w:type="dxa"/>
            <w:vAlign w:val="bottom"/>
            <w:tcBorders>
              <w:bottom w:val="single" w:sz="8" w:color="CCEEFF"/>
            </w:tcBorders>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10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10.5</w:t>
            </w:r>
          </w:p>
        </w:tc>
        <w:tc>
          <w:tcPr>
            <w:tcW w:w="1480" w:type="dxa"/>
            <w:vAlign w:val="bottom"/>
            <w:tcBorders>
              <w:bottom w:val="single" w:sz="8" w:color="CCEEFF"/>
            </w:tcBorders>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October 17, 2022</w:t>
            </w:r>
          </w:p>
        </w:tc>
      </w:tr>
      <w:tr>
        <w:trPr>
          <w:trHeight w:val="179"/>
        </w:trPr>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980" w:type="dxa"/>
            <w:vAlign w:val="bottom"/>
            <w:gridSpan w:val="21"/>
            <w:shd w:val="clear" w:color="auto" w:fill="CCEEFF"/>
          </w:tcPr>
          <w:p>
            <w:pPr>
              <w:spacing w:after="0" w:line="164" w:lineRule="exact"/>
              <w:rPr>
                <w:rFonts w:ascii="Times New Roman" w:cs="Times New Roman" w:eastAsia="Times New Roman" w:hAnsi="Times New Roman"/>
                <w:sz w:val="15"/>
                <w:szCs w:val="15"/>
                <w:color w:val="0000EE"/>
              </w:rPr>
            </w:pPr>
            <w:hyperlink r:id="rId122">
              <w:r>
                <w:rPr>
                  <w:rFonts w:ascii="Times New Roman" w:cs="Times New Roman" w:eastAsia="Times New Roman" w:hAnsi="Times New Roman"/>
                  <w:sz w:val="15"/>
                  <w:szCs w:val="15"/>
                  <w:color w:val="0000EE"/>
                </w:rPr>
                <w:t>Inc.</w:t>
              </w:r>
            </w:hyperlink>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r>
      <w:tr>
        <w:trPr>
          <w:trHeight w:val="184"/>
        </w:trPr>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64"/>
        </w:trPr>
        <w:tc>
          <w:tcPr>
            <w:tcW w:w="5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10.4†</w:t>
            </w:r>
          </w:p>
        </w:tc>
        <w:tc>
          <w:tcPr>
            <w:tcW w:w="100" w:type="dxa"/>
            <w:vAlign w:val="bottom"/>
            <w:shd w:val="clear" w:color="auto" w:fill="CCEEFF"/>
          </w:tcPr>
          <w:p>
            <w:pPr>
              <w:spacing w:after="0"/>
              <w:rPr>
                <w:sz w:val="14"/>
                <w:szCs w:val="14"/>
                <w:color w:val="auto"/>
              </w:rPr>
            </w:pPr>
          </w:p>
        </w:tc>
        <w:tc>
          <w:tcPr>
            <w:tcW w:w="6980" w:type="dxa"/>
            <w:vAlign w:val="bottom"/>
            <w:gridSpan w:val="21"/>
            <w:shd w:val="clear" w:color="auto" w:fill="CCEEFF"/>
          </w:tcPr>
          <w:p>
            <w:pPr>
              <w:spacing w:after="0" w:line="150" w:lineRule="exact"/>
              <w:rPr>
                <w:rFonts w:ascii="Times New Roman" w:cs="Times New Roman" w:eastAsia="Times New Roman" w:hAnsi="Times New Roman"/>
                <w:sz w:val="15"/>
                <w:szCs w:val="15"/>
                <w:color w:val="0000EE"/>
              </w:rPr>
            </w:pPr>
            <w:hyperlink r:id="rId123">
              <w:r>
                <w:rPr>
                  <w:rFonts w:ascii="Times New Roman" w:cs="Times New Roman" w:eastAsia="Times New Roman" w:hAnsi="Times New Roman"/>
                  <w:sz w:val="15"/>
                  <w:szCs w:val="15"/>
                  <w:color w:val="0000EE"/>
                </w:rPr>
                <w:t>Snail, Inc. 2022 Omnibus Incentive Plan</w:t>
              </w:r>
            </w:hyperlink>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S-1/A</w:t>
            </w:r>
          </w:p>
        </w:tc>
        <w:tc>
          <w:tcPr>
            <w:tcW w:w="94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10.11</w:t>
            </w:r>
          </w:p>
        </w:tc>
        <w:tc>
          <w:tcPr>
            <w:tcW w:w="148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October 26, 2022</w:t>
            </w:r>
          </w:p>
        </w:tc>
      </w:tr>
      <w:tr>
        <w:trPr>
          <w:trHeight w:val="184"/>
        </w:trPr>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64"/>
        </w:trPr>
        <w:tc>
          <w:tcPr>
            <w:tcW w:w="5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10.5†</w:t>
            </w:r>
          </w:p>
        </w:tc>
        <w:tc>
          <w:tcPr>
            <w:tcW w:w="100" w:type="dxa"/>
            <w:vAlign w:val="bottom"/>
            <w:shd w:val="clear" w:color="auto" w:fill="CCEEFF"/>
          </w:tcPr>
          <w:p>
            <w:pPr>
              <w:spacing w:after="0"/>
              <w:rPr>
                <w:sz w:val="14"/>
                <w:szCs w:val="14"/>
                <w:color w:val="auto"/>
              </w:rPr>
            </w:pPr>
          </w:p>
        </w:tc>
        <w:tc>
          <w:tcPr>
            <w:tcW w:w="6980" w:type="dxa"/>
            <w:vAlign w:val="bottom"/>
            <w:gridSpan w:val="21"/>
            <w:shd w:val="clear" w:color="auto" w:fill="CCEEFF"/>
          </w:tcPr>
          <w:p>
            <w:pPr>
              <w:spacing w:after="0" w:line="150" w:lineRule="exact"/>
              <w:rPr>
                <w:rFonts w:ascii="Times New Roman" w:cs="Times New Roman" w:eastAsia="Times New Roman" w:hAnsi="Times New Roman"/>
                <w:sz w:val="15"/>
                <w:szCs w:val="15"/>
                <w:color w:val="0000EE"/>
              </w:rPr>
            </w:pPr>
            <w:hyperlink r:id="rId124">
              <w:r>
                <w:rPr>
                  <w:rFonts w:ascii="Times New Roman" w:cs="Times New Roman" w:eastAsia="Times New Roman" w:hAnsi="Times New Roman"/>
                  <w:sz w:val="15"/>
                  <w:szCs w:val="15"/>
                  <w:color w:val="0000EE"/>
                </w:rPr>
                <w:t>Form of RSU Award Agreement (Employee) pursuant to the Snail, Inc. Omnibus Incentive Plan</w:t>
              </w:r>
            </w:hyperlink>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S-1/A</w:t>
            </w:r>
          </w:p>
        </w:tc>
        <w:tc>
          <w:tcPr>
            <w:tcW w:w="94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10.15</w:t>
            </w:r>
          </w:p>
        </w:tc>
        <w:tc>
          <w:tcPr>
            <w:tcW w:w="148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October 17, 2022</w:t>
            </w:r>
          </w:p>
        </w:tc>
      </w:tr>
      <w:tr>
        <w:trPr>
          <w:trHeight w:val="184"/>
        </w:trPr>
        <w:tc>
          <w:tcPr>
            <w:tcW w:w="5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60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40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920" w:type="dxa"/>
            <w:vAlign w:val="bottom"/>
            <w:tcBorders>
              <w:top w:val="single" w:sz="8" w:color="0000EE"/>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380" w:type="dxa"/>
            <w:vAlign w:val="bottom"/>
            <w:tcBorders>
              <w:top w:val="single" w:sz="8" w:color="CCEEFF"/>
            </w:tcBorders>
          </w:tcPr>
          <w:p>
            <w:pPr>
              <w:spacing w:after="0"/>
              <w:rPr>
                <w:sz w:val="16"/>
                <w:szCs w:val="16"/>
                <w:color w:val="auto"/>
              </w:rPr>
            </w:pPr>
          </w:p>
        </w:tc>
      </w:tr>
      <w:tr>
        <w:trPr>
          <w:trHeight w:val="150"/>
        </w:trPr>
        <w:tc>
          <w:tcPr>
            <w:tcW w:w="5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10.6†</w:t>
            </w:r>
          </w:p>
        </w:tc>
        <w:tc>
          <w:tcPr>
            <w:tcW w:w="100" w:type="dxa"/>
            <w:vAlign w:val="bottom"/>
            <w:shd w:val="clear" w:color="auto" w:fill="CCEEFF"/>
          </w:tcPr>
          <w:p>
            <w:pPr>
              <w:spacing w:after="0"/>
              <w:rPr>
                <w:sz w:val="13"/>
                <w:szCs w:val="13"/>
                <w:color w:val="auto"/>
              </w:rPr>
            </w:pPr>
          </w:p>
        </w:tc>
        <w:tc>
          <w:tcPr>
            <w:tcW w:w="6980" w:type="dxa"/>
            <w:vAlign w:val="bottom"/>
            <w:gridSpan w:val="21"/>
            <w:shd w:val="clear" w:color="auto" w:fill="CCEEFF"/>
          </w:tcPr>
          <w:p>
            <w:pPr>
              <w:spacing w:after="0" w:line="150" w:lineRule="exact"/>
              <w:rPr>
                <w:rFonts w:ascii="Times New Roman" w:cs="Times New Roman" w:eastAsia="Times New Roman" w:hAnsi="Times New Roman"/>
                <w:sz w:val="15"/>
                <w:szCs w:val="15"/>
                <w:color w:val="0000EE"/>
              </w:rPr>
            </w:pPr>
            <w:hyperlink r:id="rId125">
              <w:r>
                <w:rPr>
                  <w:rFonts w:ascii="Times New Roman" w:cs="Times New Roman" w:eastAsia="Times New Roman" w:hAnsi="Times New Roman"/>
                  <w:sz w:val="15"/>
                  <w:szCs w:val="15"/>
                  <w:color w:val="0000EE"/>
                </w:rPr>
                <w:t>Form of RSU Award Agreement (Non-Employee) pursuant to the Snail, Inc. Omnibus Incentive Plan</w:t>
              </w:r>
            </w:hyperlink>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S-1/A</w:t>
            </w:r>
          </w:p>
        </w:tc>
        <w:tc>
          <w:tcPr>
            <w:tcW w:w="94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10.16</w:t>
            </w:r>
          </w:p>
        </w:tc>
        <w:tc>
          <w:tcPr>
            <w:tcW w:w="1480" w:type="dxa"/>
            <w:vAlign w:val="bottom"/>
            <w:gridSpan w:val="2"/>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October 17, 2022</w:t>
            </w:r>
          </w:p>
        </w:tc>
      </w:tr>
      <w:tr>
        <w:trPr>
          <w:trHeight w:val="199"/>
        </w:trPr>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0000EE"/>
            </w:tcBorders>
            <w:shd w:val="clear" w:color="auto" w:fill="CCEEFF"/>
          </w:tcPr>
          <w:p>
            <w:pPr>
              <w:spacing w:after="0"/>
              <w:rPr>
                <w:sz w:val="17"/>
                <w:szCs w:val="17"/>
                <w:color w:val="auto"/>
              </w:rPr>
            </w:pPr>
          </w:p>
        </w:tc>
        <w:tc>
          <w:tcPr>
            <w:tcW w:w="60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200" w:type="dxa"/>
            <w:vAlign w:val="bottom"/>
            <w:tcBorders>
              <w:top w:val="single" w:sz="8" w:color="0000EE"/>
            </w:tcBorders>
            <w:shd w:val="clear" w:color="auto" w:fill="CCEEFF"/>
          </w:tcPr>
          <w:p>
            <w:pPr>
              <w:spacing w:after="0"/>
              <w:rPr>
                <w:sz w:val="17"/>
                <w:szCs w:val="17"/>
                <w:color w:val="auto"/>
              </w:rPr>
            </w:pPr>
          </w:p>
        </w:tc>
        <w:tc>
          <w:tcPr>
            <w:tcW w:w="40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40" w:type="dxa"/>
            <w:vAlign w:val="bottom"/>
            <w:tcBorders>
              <w:top w:val="single" w:sz="8" w:color="0000EE"/>
            </w:tcBorders>
            <w:shd w:val="clear" w:color="auto" w:fill="CCEEFF"/>
          </w:tcPr>
          <w:p>
            <w:pPr>
              <w:spacing w:after="0"/>
              <w:rPr>
                <w:sz w:val="17"/>
                <w:szCs w:val="17"/>
                <w:color w:val="auto"/>
              </w:rPr>
            </w:pPr>
          </w:p>
        </w:tc>
        <w:tc>
          <w:tcPr>
            <w:tcW w:w="22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20" w:type="dxa"/>
            <w:vAlign w:val="bottom"/>
            <w:tcBorders>
              <w:top w:val="single" w:sz="8" w:color="0000EE"/>
            </w:tcBorders>
            <w:shd w:val="clear" w:color="auto" w:fill="CCEEFF"/>
          </w:tcPr>
          <w:p>
            <w:pPr>
              <w:spacing w:after="0"/>
              <w:rPr>
                <w:sz w:val="17"/>
                <w:szCs w:val="17"/>
                <w:color w:val="auto"/>
              </w:rPr>
            </w:pPr>
          </w:p>
        </w:tc>
        <w:tc>
          <w:tcPr>
            <w:tcW w:w="1040" w:type="dxa"/>
            <w:vAlign w:val="bottom"/>
            <w:tcBorders>
              <w:top w:val="single" w:sz="8" w:color="0000EE"/>
            </w:tcBorders>
            <w:shd w:val="clear" w:color="auto" w:fill="CCEEFF"/>
          </w:tcPr>
          <w:p>
            <w:pPr>
              <w:spacing w:after="0"/>
              <w:rPr>
                <w:sz w:val="17"/>
                <w:szCs w:val="17"/>
                <w:color w:val="auto"/>
              </w:rPr>
            </w:pPr>
          </w:p>
        </w:tc>
        <w:tc>
          <w:tcPr>
            <w:tcW w:w="60" w:type="dxa"/>
            <w:vAlign w:val="bottom"/>
            <w:tcBorders>
              <w:top w:val="single" w:sz="8" w:color="0000EE"/>
            </w:tcBorders>
            <w:shd w:val="clear" w:color="auto" w:fill="CCEEFF"/>
          </w:tcPr>
          <w:p>
            <w:pPr>
              <w:spacing w:after="0"/>
              <w:rPr>
                <w:sz w:val="17"/>
                <w:szCs w:val="17"/>
                <w:color w:val="auto"/>
              </w:rPr>
            </w:pPr>
          </w:p>
        </w:tc>
        <w:tc>
          <w:tcPr>
            <w:tcW w:w="192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0000EE"/>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CCEEFF"/>
            </w:tcBorders>
            <w:shd w:val="clear" w:color="auto" w:fill="CCEEFF"/>
          </w:tcPr>
          <w:p>
            <w:pPr>
              <w:spacing w:after="0"/>
              <w:rPr>
                <w:sz w:val="17"/>
                <w:szCs w:val="17"/>
                <w:color w:val="auto"/>
              </w:rPr>
            </w:pPr>
          </w:p>
        </w:tc>
      </w:tr>
      <w:tr>
        <w:trPr>
          <w:trHeight w:val="369"/>
        </w:trPr>
        <w:tc>
          <w:tcPr>
            <w:tcW w:w="54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16"/>
          </w:tcPr>
          <w:p>
            <w:pPr>
              <w:jc w:val="right"/>
              <w:ind w:right="763"/>
              <w:spacing w:after="0"/>
              <w:rPr>
                <w:sz w:val="20"/>
                <w:szCs w:val="20"/>
                <w:color w:val="auto"/>
              </w:rPr>
            </w:pPr>
            <w:r>
              <w:rPr>
                <w:rFonts w:ascii="Times New Roman" w:cs="Times New Roman" w:eastAsia="Times New Roman" w:hAnsi="Times New Roman"/>
                <w:sz w:val="15"/>
                <w:szCs w:val="15"/>
                <w:color w:val="auto"/>
              </w:rPr>
              <w:t>62</w:t>
            </w: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8"/>
          </w:cols>
          <w:pgMar w:left="312" w:top="605" w:right="31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10.7</w:t>
            </w:r>
          </w:p>
        </w:tc>
        <w:tc>
          <w:tcPr>
            <w:tcW w:w="6860" w:type="dxa"/>
            <w:vAlign w:val="bottom"/>
            <w:gridSpan w:val="24"/>
            <w:shd w:val="clear" w:color="auto" w:fill="CCEEFF"/>
          </w:tcPr>
          <w:p>
            <w:pPr>
              <w:spacing w:after="0"/>
              <w:rPr>
                <w:rFonts w:ascii="Times New Roman" w:cs="Times New Roman" w:eastAsia="Times New Roman" w:hAnsi="Times New Roman"/>
                <w:sz w:val="15"/>
                <w:szCs w:val="15"/>
                <w:color w:val="0000EE"/>
              </w:rPr>
            </w:pPr>
            <w:hyperlink r:id="rId126">
              <w:r>
                <w:rPr>
                  <w:rFonts w:ascii="Times New Roman" w:cs="Times New Roman" w:eastAsia="Times New Roman" w:hAnsi="Times New Roman"/>
                  <w:sz w:val="15"/>
                  <w:szCs w:val="15"/>
                  <w:color w:val="0000EE"/>
                </w:rPr>
                <w:t>Form of Indemnification Agreement between Snail, Inc. and Its Directors and Officers</w:t>
              </w:r>
            </w:hyperlink>
          </w:p>
        </w:tc>
        <w:tc>
          <w:tcPr>
            <w:tcW w:w="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5"/>
                <w:szCs w:val="15"/>
                <w:color w:val="auto"/>
              </w:rPr>
              <w:t>S-1</w:t>
            </w:r>
          </w:p>
        </w:tc>
        <w:tc>
          <w:tcPr>
            <w:tcW w:w="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333-267483</w:t>
            </w:r>
          </w:p>
        </w:tc>
        <w:tc>
          <w:tcPr>
            <w:tcW w:w="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10.1</w:t>
            </w:r>
          </w:p>
        </w:tc>
        <w:tc>
          <w:tcPr>
            <w:tcW w:w="1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5"/>
                <w:szCs w:val="15"/>
                <w:color w:val="auto"/>
              </w:rPr>
              <w:t>September 16, 2022</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50"/>
        </w:trPr>
        <w:tc>
          <w:tcPr>
            <w:tcW w:w="64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10.8</w:t>
            </w:r>
          </w:p>
        </w:tc>
        <w:tc>
          <w:tcPr>
            <w:tcW w:w="6820" w:type="dxa"/>
            <w:vAlign w:val="bottom"/>
            <w:tcBorders>
              <w:bottom w:val="single" w:sz="8" w:color="0000EE"/>
            </w:tcBorders>
            <w:gridSpan w:val="23"/>
            <w:shd w:val="clear" w:color="auto" w:fill="CCEEFF"/>
          </w:tcPr>
          <w:p>
            <w:pPr>
              <w:spacing w:after="0" w:line="150" w:lineRule="exact"/>
              <w:rPr>
                <w:rFonts w:ascii="Times New Roman" w:cs="Times New Roman" w:eastAsia="Times New Roman" w:hAnsi="Times New Roman"/>
                <w:sz w:val="15"/>
                <w:szCs w:val="15"/>
                <w:color w:val="0000EE"/>
              </w:rPr>
            </w:pPr>
            <w:hyperlink r:id="rId127">
              <w:r>
                <w:rPr>
                  <w:rFonts w:ascii="Times New Roman" w:cs="Times New Roman" w:eastAsia="Times New Roman" w:hAnsi="Times New Roman"/>
                  <w:sz w:val="15"/>
                  <w:szCs w:val="15"/>
                  <w:color w:val="0000EE"/>
                </w:rPr>
                <w:t>Second Amended and Restated Revolving Loan and Security Agreement, dated as of January 26, 2022, by and</w:t>
              </w:r>
            </w:hyperlink>
          </w:p>
        </w:tc>
        <w:tc>
          <w:tcPr>
            <w:tcW w:w="4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S-1</w:t>
            </w:r>
          </w:p>
        </w:tc>
        <w:tc>
          <w:tcPr>
            <w:tcW w:w="980" w:type="dxa"/>
            <w:vAlign w:val="bottom"/>
            <w:tcBorders>
              <w:bottom w:val="single" w:sz="8" w:color="CCEEFF"/>
            </w:tcBorders>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600" w:type="dxa"/>
            <w:vAlign w:val="bottom"/>
            <w:tcBorders>
              <w:bottom w:val="single" w:sz="8" w:color="CCEEFF"/>
            </w:tcBorders>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10.2</w:t>
            </w:r>
          </w:p>
        </w:tc>
        <w:tc>
          <w:tcPr>
            <w:tcW w:w="1540" w:type="dxa"/>
            <w:vAlign w:val="bottom"/>
            <w:tcBorders>
              <w:bottom w:val="single" w:sz="8" w:color="CCEEFF"/>
            </w:tcBorders>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September 16, 2022</w:t>
            </w:r>
          </w:p>
        </w:tc>
      </w:tr>
      <w:tr>
        <w:trPr>
          <w:trHeight w:val="179"/>
        </w:trPr>
        <w:tc>
          <w:tcPr>
            <w:tcW w:w="640" w:type="dxa"/>
            <w:vAlign w:val="bottom"/>
            <w:shd w:val="clear" w:color="auto" w:fill="CCEEFF"/>
          </w:tcPr>
          <w:p>
            <w:pPr>
              <w:spacing w:after="0"/>
              <w:rPr>
                <w:sz w:val="15"/>
                <w:szCs w:val="15"/>
                <w:color w:val="auto"/>
              </w:rPr>
            </w:pPr>
          </w:p>
        </w:tc>
        <w:tc>
          <w:tcPr>
            <w:tcW w:w="6860" w:type="dxa"/>
            <w:vAlign w:val="bottom"/>
            <w:gridSpan w:val="24"/>
            <w:shd w:val="clear" w:color="auto" w:fill="CCEEFF"/>
          </w:tcPr>
          <w:p>
            <w:pPr>
              <w:spacing w:after="0" w:line="164" w:lineRule="exact"/>
              <w:rPr>
                <w:rFonts w:ascii="Times New Roman" w:cs="Times New Roman" w:eastAsia="Times New Roman" w:hAnsi="Times New Roman"/>
                <w:sz w:val="15"/>
                <w:szCs w:val="15"/>
                <w:color w:val="0000EE"/>
              </w:rPr>
            </w:pPr>
            <w:hyperlink r:id="rId127">
              <w:r>
                <w:rPr>
                  <w:rFonts w:ascii="Times New Roman" w:cs="Times New Roman" w:eastAsia="Times New Roman" w:hAnsi="Times New Roman"/>
                  <w:sz w:val="15"/>
                  <w:szCs w:val="15"/>
                  <w:color w:val="0000EE"/>
                </w:rPr>
                <w:t>between Snail Games USA, Inc. and Cathay Bank</w:t>
              </w:r>
            </w:hyperlink>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10.9</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28">
              <w:r>
                <w:rPr>
                  <w:rFonts w:ascii="Times New Roman" w:cs="Times New Roman" w:eastAsia="Times New Roman" w:hAnsi="Times New Roman"/>
                  <w:sz w:val="15"/>
                  <w:szCs w:val="15"/>
                  <w:color w:val="0000EE"/>
                </w:rPr>
                <w:t>Promissory Note, dated January 26, 2022, by and between Snail Games USA, Inc. and Cathay Bank</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S-1</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10.3</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September 16, 2022</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10.10</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29">
              <w:r>
                <w:rPr>
                  <w:rFonts w:ascii="Times New Roman" w:cs="Times New Roman" w:eastAsia="Times New Roman" w:hAnsi="Times New Roman"/>
                  <w:sz w:val="15"/>
                  <w:szCs w:val="15"/>
                  <w:color w:val="0000EE"/>
                </w:rPr>
                <w:t>Form of Independent Director Agreement between Snail, Inc. and each of Its Independent Directors</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S-1/A</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10.13</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October 17, 2022</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50"/>
        </w:trPr>
        <w:tc>
          <w:tcPr>
            <w:tcW w:w="64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10.11</w:t>
            </w:r>
          </w:p>
        </w:tc>
        <w:tc>
          <w:tcPr>
            <w:tcW w:w="6600" w:type="dxa"/>
            <w:vAlign w:val="bottom"/>
            <w:tcBorders>
              <w:bottom w:val="single" w:sz="8" w:color="0000EE"/>
            </w:tcBorders>
            <w:gridSpan w:val="21"/>
            <w:shd w:val="clear" w:color="auto" w:fill="CCEEFF"/>
          </w:tcPr>
          <w:p>
            <w:pPr>
              <w:spacing w:after="0" w:line="150" w:lineRule="exact"/>
              <w:rPr>
                <w:rFonts w:ascii="Times New Roman" w:cs="Times New Roman" w:eastAsia="Times New Roman" w:hAnsi="Times New Roman"/>
                <w:sz w:val="15"/>
                <w:szCs w:val="15"/>
                <w:color w:val="0000EE"/>
              </w:rPr>
            </w:pPr>
            <w:hyperlink r:id="rId130">
              <w:r>
                <w:rPr>
                  <w:rFonts w:ascii="Times New Roman" w:cs="Times New Roman" w:eastAsia="Times New Roman" w:hAnsi="Times New Roman"/>
                  <w:sz w:val="15"/>
                  <w:szCs w:val="15"/>
                  <w:color w:val="0000EE"/>
                </w:rPr>
                <w:t>Form of Securities Exchange Agreement by and among Snail, Inc. and each Securityholder of Snail Games</w:t>
              </w:r>
            </w:hyperlink>
          </w:p>
        </w:tc>
        <w:tc>
          <w:tcPr>
            <w:tcW w:w="260" w:type="dxa"/>
            <w:vAlign w:val="bottom"/>
            <w:tcBorders>
              <w:bottom w:val="single" w:sz="8" w:color="CCEEFF"/>
            </w:tcBorders>
            <w:gridSpan w:val="3"/>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S-1/A</w:t>
            </w:r>
          </w:p>
        </w:tc>
        <w:tc>
          <w:tcPr>
            <w:tcW w:w="980" w:type="dxa"/>
            <w:vAlign w:val="bottom"/>
            <w:tcBorders>
              <w:bottom w:val="single" w:sz="8" w:color="CCEEFF"/>
            </w:tcBorders>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600" w:type="dxa"/>
            <w:vAlign w:val="bottom"/>
            <w:tcBorders>
              <w:bottom w:val="single" w:sz="8" w:color="CCEEFF"/>
            </w:tcBorders>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10.14</w:t>
            </w:r>
          </w:p>
        </w:tc>
        <w:tc>
          <w:tcPr>
            <w:tcW w:w="1540" w:type="dxa"/>
            <w:vAlign w:val="bottom"/>
            <w:tcBorders>
              <w:bottom w:val="single" w:sz="8" w:color="CCEEFF"/>
            </w:tcBorders>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October 17, 2022</w:t>
            </w:r>
          </w:p>
        </w:tc>
      </w:tr>
      <w:tr>
        <w:trPr>
          <w:trHeight w:val="179"/>
        </w:trPr>
        <w:tc>
          <w:tcPr>
            <w:tcW w:w="640" w:type="dxa"/>
            <w:vAlign w:val="bottom"/>
            <w:shd w:val="clear" w:color="auto" w:fill="CCEEFF"/>
          </w:tcPr>
          <w:p>
            <w:pPr>
              <w:spacing w:after="0"/>
              <w:rPr>
                <w:sz w:val="15"/>
                <w:szCs w:val="15"/>
                <w:color w:val="auto"/>
              </w:rPr>
            </w:pPr>
          </w:p>
        </w:tc>
        <w:tc>
          <w:tcPr>
            <w:tcW w:w="6860" w:type="dxa"/>
            <w:vAlign w:val="bottom"/>
            <w:gridSpan w:val="24"/>
            <w:shd w:val="clear" w:color="auto" w:fill="CCEEFF"/>
          </w:tcPr>
          <w:p>
            <w:pPr>
              <w:spacing w:after="0" w:line="164" w:lineRule="exact"/>
              <w:rPr>
                <w:rFonts w:ascii="Times New Roman" w:cs="Times New Roman" w:eastAsia="Times New Roman" w:hAnsi="Times New Roman"/>
                <w:sz w:val="15"/>
                <w:szCs w:val="15"/>
                <w:color w:val="0000EE"/>
              </w:rPr>
            </w:pPr>
            <w:hyperlink r:id="rId130">
              <w:r>
                <w:rPr>
                  <w:rFonts w:ascii="Times New Roman" w:cs="Times New Roman" w:eastAsia="Times New Roman" w:hAnsi="Times New Roman"/>
                  <w:sz w:val="15"/>
                  <w:szCs w:val="15"/>
                  <w:color w:val="0000EE"/>
                </w:rPr>
                <w:t>USA, Inc.</w:t>
              </w:r>
            </w:hyperlink>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10.12</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31">
              <w:r>
                <w:rPr>
                  <w:rFonts w:ascii="Times New Roman" w:cs="Times New Roman" w:eastAsia="Times New Roman" w:hAnsi="Times New Roman"/>
                  <w:sz w:val="15"/>
                  <w:szCs w:val="15"/>
                  <w:color w:val="0000EE"/>
                </w:rPr>
                <w:t>Loan Agreement, dated as of June 17, 2021, by and between Snail Games USA, Inc. and Cathay Bank</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S-1</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10.4</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September 16, 2022</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10.13†</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32">
              <w:r>
                <w:rPr>
                  <w:rFonts w:ascii="Times New Roman" w:cs="Times New Roman" w:eastAsia="Times New Roman" w:hAnsi="Times New Roman"/>
                  <w:sz w:val="15"/>
                  <w:szCs w:val="15"/>
                  <w:color w:val="0000EE"/>
                </w:rPr>
                <w:t>Offer Letter, dated as of August 31, 2020, between Jim S. Tsai and Snail Games USA, Inc.</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S-1</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10.6</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September 16, 2022</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10.14†</w:t>
            </w:r>
          </w:p>
        </w:tc>
        <w:tc>
          <w:tcPr>
            <w:tcW w:w="6860" w:type="dxa"/>
            <w:vAlign w:val="bottom"/>
            <w:tcBorders>
              <w:bottom w:val="single" w:sz="8" w:color="0000EE"/>
            </w:tcBorders>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33">
              <w:r>
                <w:rPr>
                  <w:rFonts w:ascii="Times New Roman" w:cs="Times New Roman" w:eastAsia="Times New Roman" w:hAnsi="Times New Roman"/>
                  <w:sz w:val="15"/>
                  <w:szCs w:val="15"/>
                  <w:color w:val="0000EE"/>
                </w:rPr>
                <w:t>Amendment, effective as of November 1, 2021, to Offer Letter between Jim S. Tsai and Snail Games USA, Inc.</w:t>
              </w:r>
            </w:hyperlink>
          </w:p>
        </w:tc>
        <w:tc>
          <w:tcPr>
            <w:tcW w:w="640" w:type="dxa"/>
            <w:vAlign w:val="bottom"/>
            <w:tcBorders>
              <w:bottom w:val="single" w:sz="8" w:color="CCEEFF"/>
            </w:tcBorders>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S-1</w:t>
            </w:r>
          </w:p>
        </w:tc>
        <w:tc>
          <w:tcPr>
            <w:tcW w:w="980" w:type="dxa"/>
            <w:vAlign w:val="bottom"/>
            <w:tcBorders>
              <w:bottom w:val="single" w:sz="8" w:color="CCEEFF"/>
            </w:tcBorders>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600" w:type="dxa"/>
            <w:vAlign w:val="bottom"/>
            <w:tcBorders>
              <w:bottom w:val="single" w:sz="8" w:color="CCEEFF"/>
            </w:tcBorders>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10.7</w:t>
            </w:r>
          </w:p>
        </w:tc>
        <w:tc>
          <w:tcPr>
            <w:tcW w:w="1540" w:type="dxa"/>
            <w:vAlign w:val="bottom"/>
            <w:tcBorders>
              <w:bottom w:val="single" w:sz="8" w:color="CCEEFF"/>
            </w:tcBorders>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September 16, 2022</w:t>
            </w:r>
          </w:p>
        </w:tc>
      </w:tr>
      <w:tr>
        <w:trPr>
          <w:trHeight w:val="184"/>
        </w:trPr>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10.15†</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34">
              <w:r>
                <w:rPr>
                  <w:rFonts w:ascii="Times New Roman" w:cs="Times New Roman" w:eastAsia="Times New Roman" w:hAnsi="Times New Roman"/>
                  <w:sz w:val="15"/>
                  <w:szCs w:val="15"/>
                  <w:color w:val="0000EE"/>
                </w:rPr>
                <w:t>Offer Letter, dated as of August 28, 2020, between Heidy Chow and Snail Games USA, Inc.</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S-1</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10.8</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September 16, 2022</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10.16†</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35">
              <w:r>
                <w:rPr>
                  <w:rFonts w:ascii="Times New Roman" w:cs="Times New Roman" w:eastAsia="Times New Roman" w:hAnsi="Times New Roman"/>
                  <w:sz w:val="15"/>
                  <w:szCs w:val="15"/>
                  <w:color w:val="0000EE"/>
                </w:rPr>
                <w:t>Employment Agreement, dated as of December 10, 2012, between Peter Kang and Snail Games USA, Inc.</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S-1</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10.9</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September 16, 2022</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50"/>
        </w:trPr>
        <w:tc>
          <w:tcPr>
            <w:tcW w:w="64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10.17†</w:t>
            </w:r>
          </w:p>
        </w:tc>
        <w:tc>
          <w:tcPr>
            <w:tcW w:w="6520" w:type="dxa"/>
            <w:vAlign w:val="bottom"/>
            <w:tcBorders>
              <w:bottom w:val="single" w:sz="8" w:color="0000EE"/>
            </w:tcBorders>
            <w:gridSpan w:val="19"/>
            <w:shd w:val="clear" w:color="auto" w:fill="CCEEFF"/>
          </w:tcPr>
          <w:p>
            <w:pPr>
              <w:spacing w:after="0" w:line="150" w:lineRule="exact"/>
              <w:rPr>
                <w:rFonts w:ascii="Times New Roman" w:cs="Times New Roman" w:eastAsia="Times New Roman" w:hAnsi="Times New Roman"/>
                <w:sz w:val="15"/>
                <w:szCs w:val="15"/>
                <w:color w:val="0000EE"/>
              </w:rPr>
            </w:pPr>
            <w:hyperlink r:id="rId136">
              <w:r>
                <w:rPr>
                  <w:rFonts w:ascii="Times New Roman" w:cs="Times New Roman" w:eastAsia="Times New Roman" w:hAnsi="Times New Roman"/>
                  <w:sz w:val="15"/>
                  <w:szCs w:val="15"/>
                  <w:color w:val="0000EE"/>
                </w:rPr>
                <w:t>Amendment, effective as of December 1, 2021, to Employment Agreement between Peter Kang and Snail</w:t>
              </w:r>
            </w:hyperlink>
          </w:p>
        </w:tc>
        <w:tc>
          <w:tcPr>
            <w:tcW w:w="340" w:type="dxa"/>
            <w:vAlign w:val="bottom"/>
            <w:tcBorders>
              <w:bottom w:val="single" w:sz="8" w:color="CCEEFF"/>
            </w:tcBorders>
            <w:gridSpan w:val="5"/>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S-1</w:t>
            </w:r>
          </w:p>
        </w:tc>
        <w:tc>
          <w:tcPr>
            <w:tcW w:w="980" w:type="dxa"/>
            <w:vAlign w:val="bottom"/>
            <w:tcBorders>
              <w:bottom w:val="single" w:sz="8" w:color="CCEEFF"/>
            </w:tcBorders>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600" w:type="dxa"/>
            <w:vAlign w:val="bottom"/>
            <w:tcBorders>
              <w:bottom w:val="single" w:sz="8" w:color="CCEEFF"/>
            </w:tcBorders>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10.10</w:t>
            </w:r>
          </w:p>
        </w:tc>
        <w:tc>
          <w:tcPr>
            <w:tcW w:w="1540" w:type="dxa"/>
            <w:vAlign w:val="bottom"/>
            <w:tcBorders>
              <w:bottom w:val="single" w:sz="8" w:color="CCEEFF"/>
            </w:tcBorders>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September 16, 2022</w:t>
            </w:r>
          </w:p>
        </w:tc>
      </w:tr>
      <w:tr>
        <w:trPr>
          <w:trHeight w:val="179"/>
        </w:trPr>
        <w:tc>
          <w:tcPr>
            <w:tcW w:w="640" w:type="dxa"/>
            <w:vAlign w:val="bottom"/>
            <w:shd w:val="clear" w:color="auto" w:fill="CCEEFF"/>
          </w:tcPr>
          <w:p>
            <w:pPr>
              <w:spacing w:after="0"/>
              <w:rPr>
                <w:sz w:val="15"/>
                <w:szCs w:val="15"/>
                <w:color w:val="auto"/>
              </w:rPr>
            </w:pPr>
          </w:p>
        </w:tc>
        <w:tc>
          <w:tcPr>
            <w:tcW w:w="6860" w:type="dxa"/>
            <w:vAlign w:val="bottom"/>
            <w:gridSpan w:val="24"/>
            <w:shd w:val="clear" w:color="auto" w:fill="CCEEFF"/>
          </w:tcPr>
          <w:p>
            <w:pPr>
              <w:spacing w:after="0" w:line="164" w:lineRule="exact"/>
              <w:rPr>
                <w:rFonts w:ascii="Times New Roman" w:cs="Times New Roman" w:eastAsia="Times New Roman" w:hAnsi="Times New Roman"/>
                <w:sz w:val="15"/>
                <w:szCs w:val="15"/>
                <w:color w:val="0000EE"/>
              </w:rPr>
            </w:pPr>
            <w:hyperlink r:id="rId136">
              <w:r>
                <w:rPr>
                  <w:rFonts w:ascii="Times New Roman" w:cs="Times New Roman" w:eastAsia="Times New Roman" w:hAnsi="Times New Roman"/>
                  <w:sz w:val="15"/>
                  <w:szCs w:val="15"/>
                  <w:color w:val="0000EE"/>
                </w:rPr>
                <w:t>Games USA, Inc.</w:t>
              </w:r>
            </w:hyperlink>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10.18†</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37">
              <w:r>
                <w:rPr>
                  <w:rFonts w:ascii="Times New Roman" w:cs="Times New Roman" w:eastAsia="Times New Roman" w:hAnsi="Times New Roman"/>
                  <w:sz w:val="15"/>
                  <w:szCs w:val="15"/>
                  <w:color w:val="0000EE"/>
                </w:rPr>
                <w:t>Offer Letter, dated as of March 27, 2023, between Hai Shi and Snail Games USA, Inc.</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10-K</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10.18</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March 29, 2023</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50"/>
        </w:trPr>
        <w:tc>
          <w:tcPr>
            <w:tcW w:w="64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10.19</w:t>
            </w:r>
          </w:p>
        </w:tc>
        <w:tc>
          <w:tcPr>
            <w:tcW w:w="6800" w:type="dxa"/>
            <w:vAlign w:val="bottom"/>
            <w:tcBorders>
              <w:bottom w:val="single" w:sz="8" w:color="0000EE"/>
            </w:tcBorders>
            <w:gridSpan w:val="22"/>
            <w:shd w:val="clear" w:color="auto" w:fill="CCEEFF"/>
          </w:tcPr>
          <w:p>
            <w:pPr>
              <w:spacing w:after="0" w:line="150" w:lineRule="exact"/>
              <w:rPr>
                <w:rFonts w:ascii="Times New Roman" w:cs="Times New Roman" w:eastAsia="Times New Roman" w:hAnsi="Times New Roman"/>
                <w:sz w:val="15"/>
                <w:szCs w:val="15"/>
                <w:color w:val="0000EE"/>
              </w:rPr>
            </w:pPr>
            <w:hyperlink r:id="rId138">
              <w:r>
                <w:rPr>
                  <w:rFonts w:ascii="Times New Roman" w:cs="Times New Roman" w:eastAsia="Times New Roman" w:hAnsi="Times New Roman"/>
                  <w:sz w:val="15"/>
                  <w:szCs w:val="15"/>
                  <w:color w:val="0000EE"/>
                </w:rPr>
                <w:t>First Amendment to Amended and Restated Exclusive Software License Agreement, effective as of March 10,</w:t>
              </w:r>
            </w:hyperlink>
          </w:p>
        </w:tc>
        <w:tc>
          <w:tcPr>
            <w:tcW w:w="60" w:type="dxa"/>
            <w:vAlign w:val="bottom"/>
            <w:tcBorders>
              <w:bottom w:val="single" w:sz="8" w:color="CCEEFF"/>
            </w:tcBorders>
            <w:gridSpan w:val="2"/>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10-K</w:t>
            </w:r>
          </w:p>
        </w:tc>
        <w:tc>
          <w:tcPr>
            <w:tcW w:w="980" w:type="dxa"/>
            <w:vAlign w:val="bottom"/>
            <w:tcBorders>
              <w:bottom w:val="single" w:sz="8" w:color="CCEEFF"/>
            </w:tcBorders>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600" w:type="dxa"/>
            <w:vAlign w:val="bottom"/>
            <w:tcBorders>
              <w:bottom w:val="single" w:sz="8" w:color="CCEEFF"/>
            </w:tcBorders>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10.19</w:t>
            </w:r>
          </w:p>
        </w:tc>
        <w:tc>
          <w:tcPr>
            <w:tcW w:w="1540" w:type="dxa"/>
            <w:vAlign w:val="bottom"/>
            <w:tcBorders>
              <w:bottom w:val="single" w:sz="8" w:color="CCEEFF"/>
            </w:tcBorders>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March 29, 2023</w:t>
            </w:r>
          </w:p>
        </w:tc>
      </w:tr>
      <w:tr>
        <w:trPr>
          <w:trHeight w:val="179"/>
        </w:trPr>
        <w:tc>
          <w:tcPr>
            <w:tcW w:w="640" w:type="dxa"/>
            <w:vAlign w:val="bottom"/>
            <w:shd w:val="clear" w:color="auto" w:fill="CCEEFF"/>
          </w:tcPr>
          <w:p>
            <w:pPr>
              <w:spacing w:after="0"/>
              <w:rPr>
                <w:sz w:val="15"/>
                <w:szCs w:val="15"/>
                <w:color w:val="auto"/>
              </w:rPr>
            </w:pPr>
          </w:p>
        </w:tc>
        <w:tc>
          <w:tcPr>
            <w:tcW w:w="6860" w:type="dxa"/>
            <w:vAlign w:val="bottom"/>
            <w:gridSpan w:val="24"/>
            <w:shd w:val="clear" w:color="auto" w:fill="CCEEFF"/>
          </w:tcPr>
          <w:p>
            <w:pPr>
              <w:spacing w:after="0" w:line="164" w:lineRule="exact"/>
              <w:rPr>
                <w:rFonts w:ascii="Times New Roman" w:cs="Times New Roman" w:eastAsia="Times New Roman" w:hAnsi="Times New Roman"/>
                <w:sz w:val="15"/>
                <w:szCs w:val="15"/>
                <w:color w:val="0000EE"/>
              </w:rPr>
            </w:pPr>
            <w:hyperlink r:id="rId138">
              <w:r>
                <w:rPr>
                  <w:rFonts w:ascii="Times New Roman" w:cs="Times New Roman" w:eastAsia="Times New Roman" w:hAnsi="Times New Roman"/>
                  <w:sz w:val="15"/>
                  <w:szCs w:val="15"/>
                  <w:color w:val="0000EE"/>
                </w:rPr>
                <w:t>2023, between SDE Inc. and Snail Games USA, Inc.</w:t>
              </w:r>
            </w:hyperlink>
          </w:p>
        </w:tc>
        <w:tc>
          <w:tcPr>
            <w:tcW w:w="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10.20</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39">
              <w:r>
                <w:rPr>
                  <w:rFonts w:ascii="Times New Roman" w:cs="Times New Roman" w:eastAsia="Times New Roman" w:hAnsi="Times New Roman"/>
                  <w:sz w:val="15"/>
                  <w:szCs w:val="15"/>
                  <w:color w:val="0000EE"/>
                </w:rPr>
                <w:t>Cooperation Agreement between Snail Games USA, Inc. and Marbis GmbH, dated July 26, 2023</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10.1</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August 1, 2023</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10.21</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40">
              <w:r>
                <w:rPr>
                  <w:rFonts w:ascii="Times New Roman" w:cs="Times New Roman" w:eastAsia="Times New Roman" w:hAnsi="Times New Roman"/>
                  <w:sz w:val="15"/>
                  <w:szCs w:val="15"/>
                  <w:color w:val="0000EE"/>
                </w:rPr>
                <w:t>Form of Purchase Agreement</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10.1</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August 30, 2023</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10.22</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41">
              <w:r>
                <w:rPr>
                  <w:rFonts w:ascii="Times New Roman" w:cs="Times New Roman" w:eastAsia="Times New Roman" w:hAnsi="Times New Roman"/>
                  <w:sz w:val="15"/>
                  <w:szCs w:val="15"/>
                  <w:color w:val="0000EE"/>
                </w:rPr>
                <w:t>Form of Registration Rights Agreement</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10.2</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August 30, 2023</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10.23</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42">
              <w:r>
                <w:rPr>
                  <w:rFonts w:ascii="Times New Roman" w:cs="Times New Roman" w:eastAsia="Times New Roman" w:hAnsi="Times New Roman"/>
                  <w:sz w:val="15"/>
                  <w:szCs w:val="15"/>
                  <w:color w:val="0000EE"/>
                </w:rPr>
                <w:t>Form of Equity Line Purchase Agreement</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10.3</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August 30, 2023</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10.24</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43">
              <w:r>
                <w:rPr>
                  <w:rFonts w:ascii="Times New Roman" w:cs="Times New Roman" w:eastAsia="Times New Roman" w:hAnsi="Times New Roman"/>
                  <w:sz w:val="15"/>
                  <w:szCs w:val="15"/>
                  <w:color w:val="0000EE"/>
                </w:rPr>
                <w:t>Independent Director Agreement</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10.1</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November 16, 2023</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10.25</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44">
              <w:r>
                <w:rPr>
                  <w:rFonts w:ascii="Times New Roman" w:cs="Times New Roman" w:eastAsia="Times New Roman" w:hAnsi="Times New Roman"/>
                  <w:sz w:val="15"/>
                  <w:szCs w:val="15"/>
                  <w:color w:val="0000EE"/>
                </w:rPr>
                <w:t>Offer Letter, dated as of April 15, 2024, between Xuedong (Tony) Tian and Snail Games USA, Inc.</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10.1</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April 19, 2024</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10.26</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45">
              <w:r>
                <w:rPr>
                  <w:rFonts w:ascii="Times New Roman" w:cs="Times New Roman" w:eastAsia="Times New Roman" w:hAnsi="Times New Roman"/>
                  <w:sz w:val="15"/>
                  <w:szCs w:val="15"/>
                  <w:color w:val="0000EE"/>
                </w:rPr>
                <w:t>Form of Securities Purchase Agreements, dated February 21, 2025</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10.1</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February 25, 2025</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10.27</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46">
              <w:r>
                <w:rPr>
                  <w:rFonts w:ascii="Times New Roman" w:cs="Times New Roman" w:eastAsia="Times New Roman" w:hAnsi="Times New Roman"/>
                  <w:sz w:val="15"/>
                  <w:szCs w:val="15"/>
                  <w:color w:val="0000EE"/>
                </w:rPr>
                <w:t>Form of Registration Rights Agreements, dated February 21, 2025</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8-K</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10.2</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February 25, 2025</w:t>
            </w: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5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19.1*</w:t>
            </w:r>
          </w:p>
        </w:tc>
        <w:tc>
          <w:tcPr>
            <w:tcW w:w="6860" w:type="dxa"/>
            <w:vAlign w:val="bottom"/>
            <w:gridSpan w:val="24"/>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rPr>
              <w:t>Insider Trading Policy</w:t>
            </w:r>
          </w:p>
        </w:tc>
        <w:tc>
          <w:tcPr>
            <w:tcW w:w="6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r>
      <w:tr>
        <w:trPr>
          <w:trHeight w:val="184"/>
        </w:trPr>
        <w:tc>
          <w:tcPr>
            <w:tcW w:w="640" w:type="dxa"/>
            <w:vAlign w:val="bottom"/>
            <w:tcBorders>
              <w:top w:val="single" w:sz="8" w:color="CCEEFF"/>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480" w:type="dxa"/>
            <w:vAlign w:val="bottom"/>
            <w:tcBorders>
              <w:top w:val="single" w:sz="8" w:color="0000EE"/>
            </w:tcBorders>
          </w:tcPr>
          <w:p>
            <w:pPr>
              <w:spacing w:after="0"/>
              <w:rPr>
                <w:sz w:val="16"/>
                <w:szCs w:val="16"/>
                <w:color w:val="auto"/>
              </w:rPr>
            </w:pPr>
          </w:p>
        </w:tc>
        <w:tc>
          <w:tcPr>
            <w:tcW w:w="280" w:type="dxa"/>
            <w:vAlign w:val="bottom"/>
            <w:tcBorders>
              <w:top w:val="single" w:sz="8" w:color="0000EE"/>
            </w:tcBorders>
          </w:tcPr>
          <w:p>
            <w:pPr>
              <w:spacing w:after="0"/>
              <w:rPr>
                <w:sz w:val="16"/>
                <w:szCs w:val="16"/>
                <w:color w:val="auto"/>
              </w:rPr>
            </w:pPr>
          </w:p>
        </w:tc>
        <w:tc>
          <w:tcPr>
            <w:tcW w:w="4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64"/>
        </w:trPr>
        <w:tc>
          <w:tcPr>
            <w:tcW w:w="64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21.1</w:t>
            </w:r>
          </w:p>
        </w:tc>
        <w:tc>
          <w:tcPr>
            <w:tcW w:w="6860" w:type="dxa"/>
            <w:vAlign w:val="bottom"/>
            <w:gridSpan w:val="24"/>
            <w:shd w:val="clear" w:color="auto" w:fill="CCEEFF"/>
          </w:tcPr>
          <w:p>
            <w:pPr>
              <w:spacing w:after="0" w:line="150" w:lineRule="exact"/>
              <w:rPr>
                <w:rFonts w:ascii="Times New Roman" w:cs="Times New Roman" w:eastAsia="Times New Roman" w:hAnsi="Times New Roman"/>
                <w:sz w:val="15"/>
                <w:szCs w:val="15"/>
                <w:color w:val="0000EE"/>
              </w:rPr>
            </w:pPr>
            <w:hyperlink r:id="rId147">
              <w:r>
                <w:rPr>
                  <w:rFonts w:ascii="Times New Roman" w:cs="Times New Roman" w:eastAsia="Times New Roman" w:hAnsi="Times New Roman"/>
                  <w:sz w:val="15"/>
                  <w:szCs w:val="15"/>
                  <w:color w:val="0000EE"/>
                </w:rPr>
                <w:t>Subsidiaries of the Registrant</w:t>
              </w:r>
            </w:hyperlink>
          </w:p>
        </w:tc>
        <w:tc>
          <w:tcPr>
            <w:tcW w:w="640" w:type="dxa"/>
            <w:vAlign w:val="bottom"/>
            <w:shd w:val="clear" w:color="auto" w:fill="CCEEFF"/>
          </w:tcPr>
          <w:p>
            <w:pPr>
              <w:ind w:left="120"/>
              <w:spacing w:after="0" w:line="150" w:lineRule="exact"/>
              <w:rPr>
                <w:sz w:val="20"/>
                <w:szCs w:val="20"/>
                <w:color w:val="auto"/>
              </w:rPr>
            </w:pPr>
            <w:r>
              <w:rPr>
                <w:rFonts w:ascii="Times New Roman" w:cs="Times New Roman" w:eastAsia="Times New Roman" w:hAnsi="Times New Roman"/>
                <w:sz w:val="15"/>
                <w:szCs w:val="15"/>
                <w:color w:val="auto"/>
              </w:rPr>
              <w:t>S-1/A</w:t>
            </w:r>
          </w:p>
        </w:tc>
        <w:tc>
          <w:tcPr>
            <w:tcW w:w="980" w:type="dxa"/>
            <w:vAlign w:val="bottom"/>
            <w:shd w:val="clear" w:color="auto" w:fill="CCEEFF"/>
          </w:tcPr>
          <w:p>
            <w:pPr>
              <w:ind w:left="140"/>
              <w:spacing w:after="0" w:line="150" w:lineRule="exact"/>
              <w:rPr>
                <w:sz w:val="20"/>
                <w:szCs w:val="20"/>
                <w:color w:val="auto"/>
              </w:rPr>
            </w:pPr>
            <w:r>
              <w:rPr>
                <w:rFonts w:ascii="Times New Roman" w:cs="Times New Roman" w:eastAsia="Times New Roman" w:hAnsi="Times New Roman"/>
                <w:sz w:val="15"/>
                <w:szCs w:val="15"/>
                <w:color w:val="auto"/>
              </w:rPr>
              <w:t>333-267483</w:t>
            </w:r>
          </w:p>
        </w:tc>
        <w:tc>
          <w:tcPr>
            <w:tcW w:w="600" w:type="dxa"/>
            <w:vAlign w:val="bottom"/>
            <w:shd w:val="clear" w:color="auto" w:fill="CCEEFF"/>
          </w:tcPr>
          <w:p>
            <w:pPr>
              <w:ind w:left="100"/>
              <w:spacing w:after="0" w:line="150" w:lineRule="exact"/>
              <w:rPr>
                <w:sz w:val="20"/>
                <w:szCs w:val="20"/>
                <w:color w:val="auto"/>
              </w:rPr>
            </w:pPr>
            <w:r>
              <w:rPr>
                <w:rFonts w:ascii="Times New Roman" w:cs="Times New Roman" w:eastAsia="Times New Roman" w:hAnsi="Times New Roman"/>
                <w:sz w:val="15"/>
                <w:szCs w:val="15"/>
                <w:color w:val="auto"/>
              </w:rPr>
              <w:t>21.1</w:t>
            </w:r>
          </w:p>
        </w:tc>
        <w:tc>
          <w:tcPr>
            <w:tcW w:w="1540" w:type="dxa"/>
            <w:vAlign w:val="bottom"/>
            <w:shd w:val="clear" w:color="auto" w:fill="CCEEFF"/>
          </w:tcPr>
          <w:p>
            <w:pPr>
              <w:ind w:left="160"/>
              <w:spacing w:after="0" w:line="150" w:lineRule="exact"/>
              <w:rPr>
                <w:sz w:val="20"/>
                <w:szCs w:val="20"/>
                <w:color w:val="auto"/>
              </w:rPr>
            </w:pPr>
            <w:r>
              <w:rPr>
                <w:rFonts w:ascii="Times New Roman" w:cs="Times New Roman" w:eastAsia="Times New Roman" w:hAnsi="Times New Roman"/>
                <w:sz w:val="15"/>
                <w:szCs w:val="15"/>
                <w:color w:val="auto"/>
              </w:rPr>
              <w:t>October 17, 2022</w:t>
            </w:r>
          </w:p>
        </w:tc>
      </w:tr>
      <w:tr>
        <w:trPr>
          <w:trHeight w:val="369"/>
        </w:trPr>
        <w:tc>
          <w:tcPr>
            <w:tcW w:w="640" w:type="dxa"/>
            <w:vAlign w:val="bottom"/>
            <w:tcBorders>
              <w:top w:val="single" w:sz="8" w:color="CCEEFF"/>
              <w:bottom w:val="single" w:sz="8" w:color="auto"/>
            </w:tcBorders>
          </w:tcPr>
          <w:p>
            <w:pPr>
              <w:spacing w:after="0"/>
              <w:rPr>
                <w:sz w:val="24"/>
                <w:szCs w:val="24"/>
                <w:color w:val="auto"/>
              </w:rPr>
            </w:pPr>
          </w:p>
        </w:tc>
        <w:tc>
          <w:tcPr>
            <w:tcW w:w="1820" w:type="dxa"/>
            <w:vAlign w:val="bottom"/>
            <w:tcBorders>
              <w:top w:val="single" w:sz="8" w:color="0000EE"/>
              <w:bottom w:val="single" w:sz="8" w:color="auto"/>
            </w:tcBorders>
            <w:gridSpan w:val="4"/>
          </w:tcPr>
          <w:p>
            <w:pPr>
              <w:spacing w:after="0"/>
              <w:rPr>
                <w:sz w:val="24"/>
                <w:szCs w:val="24"/>
                <w:color w:val="auto"/>
              </w:rPr>
            </w:pPr>
          </w:p>
        </w:tc>
        <w:tc>
          <w:tcPr>
            <w:tcW w:w="3500" w:type="dxa"/>
            <w:vAlign w:val="bottom"/>
            <w:tcBorders>
              <w:top w:val="single" w:sz="8" w:color="CCEEFF"/>
              <w:bottom w:val="single" w:sz="8" w:color="auto"/>
            </w:tcBorders>
            <w:gridSpan w:val="7"/>
          </w:tcPr>
          <w:p>
            <w:pPr>
              <w:jc w:val="right"/>
              <w:ind w:right="260"/>
              <w:spacing w:after="0"/>
              <w:rPr>
                <w:sz w:val="20"/>
                <w:szCs w:val="20"/>
                <w:color w:val="auto"/>
              </w:rPr>
            </w:pPr>
            <w:r>
              <w:rPr>
                <w:rFonts w:ascii="Times New Roman" w:cs="Times New Roman" w:eastAsia="Times New Roman" w:hAnsi="Times New Roman"/>
                <w:sz w:val="15"/>
                <w:szCs w:val="15"/>
                <w:color w:val="auto"/>
              </w:rPr>
              <w:t>63</w:t>
            </w:r>
          </w:p>
        </w:tc>
        <w:tc>
          <w:tcPr>
            <w:tcW w:w="26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CCEEFF"/>
              <w:bottom w:val="single" w:sz="8" w:color="auto"/>
            </w:tcBorders>
          </w:tcPr>
          <w:p>
            <w:pPr>
              <w:spacing w:after="0"/>
              <w:rPr>
                <w:sz w:val="24"/>
                <w:szCs w:val="24"/>
                <w:color w:val="auto"/>
              </w:rPr>
            </w:pPr>
          </w:p>
        </w:tc>
        <w:tc>
          <w:tcPr>
            <w:tcW w:w="98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600" w:right="319" w:bottom="1440" w:gutter="0" w:footer="0" w:header="0"/>
        </w:sectPr>
      </w:pPr>
    </w:p>
    <w:bookmarkStart w:id="102" w:name="page103"/>
    <w:bookmarkEnd w:id="102"/>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87"/>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23.1*</w:t>
            </w:r>
          </w:p>
        </w:tc>
        <w:tc>
          <w:tcPr>
            <w:tcW w:w="6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0000EE"/>
              </w:rPr>
              <w:t>Consent of BDO USA, P.C., Independent Registered Public Accounting Firm</w:t>
            </w: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4"/>
        </w:trPr>
        <w:tc>
          <w:tcPr>
            <w:tcW w:w="680" w:type="dxa"/>
            <w:vAlign w:val="bottom"/>
            <w:tcBorders>
              <w:top w:val="single" w:sz="8" w:color="CCEEFF"/>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50"/>
        </w:trPr>
        <w:tc>
          <w:tcPr>
            <w:tcW w:w="68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31.1*</w:t>
            </w:r>
          </w:p>
        </w:tc>
        <w:tc>
          <w:tcPr>
            <w:tcW w:w="6860" w:type="dxa"/>
            <w:vAlign w:val="bottom"/>
            <w:tcBorders>
              <w:bottom w:val="single" w:sz="8" w:color="0000EE"/>
            </w:tcBorders>
            <w:gridSpan w:val="7"/>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rPr>
              <w:t>Certification of Co-Principal Executive Officer Pursuant to Rules 13a-14(a) and 15d-14(a), under the Securities</w:t>
            </w:r>
          </w:p>
        </w:tc>
        <w:tc>
          <w:tcPr>
            <w:tcW w:w="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r>
      <w:tr>
        <w:trPr>
          <w:trHeight w:val="179"/>
        </w:trPr>
        <w:tc>
          <w:tcPr>
            <w:tcW w:w="680" w:type="dxa"/>
            <w:vAlign w:val="bottom"/>
            <w:shd w:val="clear" w:color="auto" w:fill="CCEEFF"/>
          </w:tcPr>
          <w:p>
            <w:pPr>
              <w:spacing w:after="0"/>
              <w:rPr>
                <w:sz w:val="15"/>
                <w:szCs w:val="15"/>
                <w:color w:val="auto"/>
              </w:rPr>
            </w:pPr>
          </w:p>
        </w:tc>
        <w:tc>
          <w:tcPr>
            <w:tcW w:w="690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Exchange Act of 1934, as Adopted pursuant to Section 302 of the Sarbanes-Oxley Act of 2002.</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84"/>
        </w:trPr>
        <w:tc>
          <w:tcPr>
            <w:tcW w:w="680" w:type="dxa"/>
            <w:vAlign w:val="bottom"/>
            <w:tcBorders>
              <w:top w:val="single" w:sz="8" w:color="CCEEFF"/>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50"/>
        </w:trPr>
        <w:tc>
          <w:tcPr>
            <w:tcW w:w="68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31.2*</w:t>
            </w:r>
          </w:p>
        </w:tc>
        <w:tc>
          <w:tcPr>
            <w:tcW w:w="6860" w:type="dxa"/>
            <w:vAlign w:val="bottom"/>
            <w:tcBorders>
              <w:bottom w:val="single" w:sz="8" w:color="0000EE"/>
            </w:tcBorders>
            <w:gridSpan w:val="7"/>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rPr>
              <w:t>Certification of Principal Financial Officer Pursuant to Rules 13a-14(a) and 15d-14(a) under the Securities</w:t>
            </w:r>
          </w:p>
        </w:tc>
        <w:tc>
          <w:tcPr>
            <w:tcW w:w="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r>
      <w:tr>
        <w:trPr>
          <w:trHeight w:val="179"/>
        </w:trPr>
        <w:tc>
          <w:tcPr>
            <w:tcW w:w="680" w:type="dxa"/>
            <w:vAlign w:val="bottom"/>
            <w:shd w:val="clear" w:color="auto" w:fill="CCEEFF"/>
          </w:tcPr>
          <w:p>
            <w:pPr>
              <w:spacing w:after="0"/>
              <w:rPr>
                <w:sz w:val="15"/>
                <w:szCs w:val="15"/>
                <w:color w:val="auto"/>
              </w:rPr>
            </w:pPr>
          </w:p>
        </w:tc>
        <w:tc>
          <w:tcPr>
            <w:tcW w:w="690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Exchange Act of 1934, as Adopted Pursuant to Section 302 of the Sarbanes-Oxley Act of 2002.</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84"/>
        </w:trPr>
        <w:tc>
          <w:tcPr>
            <w:tcW w:w="680" w:type="dxa"/>
            <w:vAlign w:val="bottom"/>
            <w:tcBorders>
              <w:top w:val="single" w:sz="8" w:color="CCEEFF"/>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1120" w:type="dxa"/>
            <w:vAlign w:val="bottom"/>
            <w:tcBorders>
              <w:top w:val="single" w:sz="8" w:color="0000EE"/>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50"/>
        </w:trPr>
        <w:tc>
          <w:tcPr>
            <w:tcW w:w="68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32.1**</w:t>
            </w:r>
          </w:p>
        </w:tc>
        <w:tc>
          <w:tcPr>
            <w:tcW w:w="6860" w:type="dxa"/>
            <w:vAlign w:val="bottom"/>
            <w:tcBorders>
              <w:bottom w:val="single" w:sz="8" w:color="0000EE"/>
            </w:tcBorders>
            <w:gridSpan w:val="7"/>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rPr>
              <w:t>Certification of Co-Principal Executive Officer Pursuant to 18 U.S.C. Section 1350, as Adopted Pursuant to</w:t>
            </w:r>
          </w:p>
        </w:tc>
        <w:tc>
          <w:tcPr>
            <w:tcW w:w="4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r>
      <w:tr>
        <w:trPr>
          <w:trHeight w:val="179"/>
        </w:trPr>
        <w:tc>
          <w:tcPr>
            <w:tcW w:w="680" w:type="dxa"/>
            <w:vAlign w:val="bottom"/>
            <w:shd w:val="clear" w:color="auto" w:fill="CCEEFF"/>
          </w:tcPr>
          <w:p>
            <w:pPr>
              <w:spacing w:after="0"/>
              <w:rPr>
                <w:sz w:val="15"/>
                <w:szCs w:val="15"/>
                <w:color w:val="auto"/>
              </w:rPr>
            </w:pPr>
          </w:p>
        </w:tc>
        <w:tc>
          <w:tcPr>
            <w:tcW w:w="690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Section 906 of the Sarbanes-Oxley Act of 2002.</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84"/>
        </w:trPr>
        <w:tc>
          <w:tcPr>
            <w:tcW w:w="680" w:type="dxa"/>
            <w:vAlign w:val="bottom"/>
            <w:tcBorders>
              <w:top w:val="single" w:sz="8" w:color="CCEEFF"/>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50"/>
        </w:trPr>
        <w:tc>
          <w:tcPr>
            <w:tcW w:w="680" w:type="dxa"/>
            <w:vAlign w:val="bottom"/>
            <w:tcBorders>
              <w:bottom w:val="single" w:sz="8" w:color="CCEEFF"/>
            </w:tcBorders>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32.2**</w:t>
            </w:r>
          </w:p>
        </w:tc>
        <w:tc>
          <w:tcPr>
            <w:tcW w:w="6840" w:type="dxa"/>
            <w:vAlign w:val="bottom"/>
            <w:tcBorders>
              <w:bottom w:val="single" w:sz="8" w:color="0000EE"/>
            </w:tcBorders>
            <w:gridSpan w:val="6"/>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0000EE"/>
              </w:rPr>
              <w:t>Certification of Principal Financial Officer Pursuant to 18 U.S.C. Section 1350, as Adopted Pursuant to Section</w:t>
            </w:r>
          </w:p>
        </w:tc>
        <w:tc>
          <w:tcPr>
            <w:tcW w:w="60" w:type="dxa"/>
            <w:vAlign w:val="bottom"/>
            <w:tcBorders>
              <w:bottom w:val="single" w:sz="8" w:color="CCEEFF"/>
            </w:tcBorders>
            <w:gridSpan w:val="2"/>
            <w:shd w:val="clear" w:color="auto" w:fill="CCEEFF"/>
          </w:tcPr>
          <w:p>
            <w:pPr>
              <w:spacing w:after="0"/>
              <w:rPr>
                <w:sz w:val="13"/>
                <w:szCs w:val="13"/>
                <w:color w:val="auto"/>
              </w:rPr>
            </w:pPr>
          </w:p>
        </w:tc>
        <w:tc>
          <w:tcPr>
            <w:tcW w:w="5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shd w:val="clear" w:color="auto" w:fill="CCEEFF"/>
          </w:tcPr>
          <w:p>
            <w:pPr>
              <w:spacing w:after="0"/>
              <w:rPr>
                <w:sz w:val="13"/>
                <w:szCs w:val="13"/>
                <w:color w:val="auto"/>
              </w:rPr>
            </w:pPr>
          </w:p>
        </w:tc>
      </w:tr>
      <w:tr>
        <w:trPr>
          <w:trHeight w:val="179"/>
        </w:trPr>
        <w:tc>
          <w:tcPr>
            <w:tcW w:w="680" w:type="dxa"/>
            <w:vAlign w:val="bottom"/>
            <w:shd w:val="clear" w:color="auto" w:fill="CCEEFF"/>
          </w:tcPr>
          <w:p>
            <w:pPr>
              <w:spacing w:after="0"/>
              <w:rPr>
                <w:sz w:val="15"/>
                <w:szCs w:val="15"/>
                <w:color w:val="auto"/>
              </w:rPr>
            </w:pPr>
          </w:p>
        </w:tc>
        <w:tc>
          <w:tcPr>
            <w:tcW w:w="6900" w:type="dxa"/>
            <w:vAlign w:val="bottom"/>
            <w:gridSpan w:val="8"/>
            <w:shd w:val="clear" w:color="auto" w:fill="CCEEFF"/>
          </w:tcPr>
          <w:p>
            <w:pPr>
              <w:spacing w:after="0" w:line="164" w:lineRule="exact"/>
              <w:rPr>
                <w:sz w:val="20"/>
                <w:szCs w:val="20"/>
                <w:color w:val="auto"/>
              </w:rPr>
            </w:pPr>
            <w:r>
              <w:rPr>
                <w:rFonts w:ascii="Times New Roman" w:cs="Times New Roman" w:eastAsia="Times New Roman" w:hAnsi="Times New Roman"/>
                <w:sz w:val="15"/>
                <w:szCs w:val="15"/>
                <w:color w:val="0000EE"/>
              </w:rPr>
              <w:t>906 of the Sarbanes-Oxley Act of 2002.</w:t>
            </w:r>
          </w:p>
        </w:tc>
        <w:tc>
          <w:tcPr>
            <w:tcW w:w="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r>
      <w:tr>
        <w:trPr>
          <w:trHeight w:val="184"/>
        </w:trPr>
        <w:tc>
          <w:tcPr>
            <w:tcW w:w="680" w:type="dxa"/>
            <w:vAlign w:val="bottom"/>
            <w:tcBorders>
              <w:top w:val="single" w:sz="8" w:color="CCEEFF"/>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5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64"/>
        </w:trPr>
        <w:tc>
          <w:tcPr>
            <w:tcW w:w="680" w:type="dxa"/>
            <w:vAlign w:val="bottom"/>
            <w:shd w:val="clear" w:color="auto" w:fill="CCEEFF"/>
          </w:tcPr>
          <w:p>
            <w:pPr>
              <w:spacing w:after="0" w:line="150" w:lineRule="exact"/>
              <w:rPr>
                <w:sz w:val="20"/>
                <w:szCs w:val="20"/>
                <w:color w:val="auto"/>
              </w:rPr>
            </w:pPr>
            <w:r>
              <w:rPr>
                <w:rFonts w:ascii="Times New Roman" w:cs="Times New Roman" w:eastAsia="Times New Roman" w:hAnsi="Times New Roman"/>
                <w:sz w:val="15"/>
                <w:szCs w:val="15"/>
                <w:color w:val="auto"/>
              </w:rPr>
              <w:t>97.1</w:t>
            </w:r>
          </w:p>
        </w:tc>
        <w:tc>
          <w:tcPr>
            <w:tcW w:w="6900" w:type="dxa"/>
            <w:vAlign w:val="bottom"/>
            <w:gridSpan w:val="8"/>
            <w:shd w:val="clear" w:color="auto" w:fill="CCEEFF"/>
          </w:tcPr>
          <w:p>
            <w:pPr>
              <w:spacing w:after="0" w:line="150" w:lineRule="exact"/>
              <w:rPr>
                <w:rFonts w:ascii="Times New Roman" w:cs="Times New Roman" w:eastAsia="Times New Roman" w:hAnsi="Times New Roman"/>
                <w:sz w:val="15"/>
                <w:szCs w:val="15"/>
                <w:color w:val="0000EE"/>
              </w:rPr>
            </w:pPr>
            <w:hyperlink r:id="rId148">
              <w:r>
                <w:rPr>
                  <w:rFonts w:ascii="Times New Roman" w:cs="Times New Roman" w:eastAsia="Times New Roman" w:hAnsi="Times New Roman"/>
                  <w:sz w:val="15"/>
                  <w:szCs w:val="15"/>
                  <w:color w:val="0000EE"/>
                </w:rPr>
                <w:t>Snail, Inc. Clawback Policy, adopted November 30, 2023</w:t>
              </w:r>
            </w:hyperlink>
          </w:p>
        </w:tc>
        <w:tc>
          <w:tcPr>
            <w:tcW w:w="540" w:type="dxa"/>
            <w:vAlign w:val="bottom"/>
            <w:shd w:val="clear" w:color="auto" w:fill="CCEEFF"/>
          </w:tcPr>
          <w:p>
            <w:pPr>
              <w:ind w:left="40"/>
              <w:spacing w:after="0" w:line="150" w:lineRule="exact"/>
              <w:rPr>
                <w:sz w:val="20"/>
                <w:szCs w:val="20"/>
                <w:color w:val="auto"/>
              </w:rPr>
            </w:pPr>
            <w:r>
              <w:rPr>
                <w:rFonts w:ascii="Times New Roman" w:cs="Times New Roman" w:eastAsia="Times New Roman" w:hAnsi="Times New Roman"/>
                <w:sz w:val="15"/>
                <w:szCs w:val="15"/>
                <w:color w:val="auto"/>
              </w:rPr>
              <w:t>10-K</w:t>
            </w:r>
          </w:p>
        </w:tc>
        <w:tc>
          <w:tcPr>
            <w:tcW w:w="960" w:type="dxa"/>
            <w:vAlign w:val="bottom"/>
            <w:shd w:val="clear" w:color="auto" w:fill="CCEEFF"/>
          </w:tcPr>
          <w:p>
            <w:pPr>
              <w:jc w:val="right"/>
              <w:ind w:right="63"/>
              <w:spacing w:after="0" w:line="150" w:lineRule="exact"/>
              <w:rPr>
                <w:sz w:val="20"/>
                <w:szCs w:val="20"/>
                <w:color w:val="auto"/>
              </w:rPr>
            </w:pPr>
            <w:r>
              <w:rPr>
                <w:rFonts w:ascii="Times New Roman" w:cs="Times New Roman" w:eastAsia="Times New Roman" w:hAnsi="Times New Roman"/>
                <w:sz w:val="15"/>
                <w:szCs w:val="15"/>
                <w:color w:val="auto"/>
              </w:rPr>
              <w:t>001-41556</w:t>
            </w:r>
          </w:p>
        </w:tc>
        <w:tc>
          <w:tcPr>
            <w:tcW w:w="600" w:type="dxa"/>
            <w:vAlign w:val="bottom"/>
            <w:shd w:val="clear" w:color="auto" w:fill="CCEEFF"/>
          </w:tcPr>
          <w:p>
            <w:pPr>
              <w:jc w:val="right"/>
              <w:ind w:right="123"/>
              <w:spacing w:after="0" w:line="150" w:lineRule="exact"/>
              <w:rPr>
                <w:sz w:val="20"/>
                <w:szCs w:val="20"/>
                <w:color w:val="auto"/>
              </w:rPr>
            </w:pPr>
            <w:r>
              <w:rPr>
                <w:rFonts w:ascii="Times New Roman" w:cs="Times New Roman" w:eastAsia="Times New Roman" w:hAnsi="Times New Roman"/>
                <w:sz w:val="15"/>
                <w:szCs w:val="15"/>
                <w:color w:val="auto"/>
              </w:rPr>
              <w:t>97.1</w:t>
            </w:r>
          </w:p>
        </w:tc>
        <w:tc>
          <w:tcPr>
            <w:tcW w:w="1580" w:type="dxa"/>
            <w:vAlign w:val="bottom"/>
            <w:shd w:val="clear" w:color="auto" w:fill="CCEEFF"/>
          </w:tcPr>
          <w:p>
            <w:pPr>
              <w:ind w:left="200"/>
              <w:spacing w:after="0" w:line="150" w:lineRule="exact"/>
              <w:rPr>
                <w:sz w:val="20"/>
                <w:szCs w:val="20"/>
                <w:color w:val="auto"/>
              </w:rPr>
            </w:pPr>
            <w:r>
              <w:rPr>
                <w:rFonts w:ascii="Times New Roman" w:cs="Times New Roman" w:eastAsia="Times New Roman" w:hAnsi="Times New Roman"/>
                <w:sz w:val="15"/>
                <w:szCs w:val="15"/>
                <w:color w:val="auto"/>
              </w:rPr>
              <w:t>April 1, 2024</w:t>
            </w:r>
          </w:p>
        </w:tc>
      </w:tr>
      <w:tr>
        <w:trPr>
          <w:trHeight w:val="184"/>
        </w:trPr>
        <w:tc>
          <w:tcPr>
            <w:tcW w:w="680" w:type="dxa"/>
            <w:vAlign w:val="bottom"/>
            <w:tcBorders>
              <w:top w:val="single" w:sz="8" w:color="CCEEFF"/>
            </w:tcBorders>
          </w:tcPr>
          <w:p>
            <w:pPr>
              <w:spacing w:after="0"/>
              <w:rPr>
                <w:sz w:val="16"/>
                <w:szCs w:val="16"/>
                <w:color w:val="auto"/>
              </w:rPr>
            </w:pPr>
          </w:p>
        </w:tc>
        <w:tc>
          <w:tcPr>
            <w:tcW w:w="244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540" w:type="dxa"/>
            <w:vAlign w:val="bottom"/>
            <w:tcBorders>
              <w:top w:val="single" w:sz="8" w:color="CCEEFF"/>
            </w:tcBorders>
          </w:tcPr>
          <w:p>
            <w:pPr>
              <w:spacing w:after="0"/>
              <w:rPr>
                <w:sz w:val="16"/>
                <w:szCs w:val="16"/>
                <w:color w:val="auto"/>
              </w:rPr>
            </w:pPr>
          </w:p>
        </w:tc>
        <w:tc>
          <w:tcPr>
            <w:tcW w:w="960" w:type="dxa"/>
            <w:vAlign w:val="bottom"/>
            <w:tcBorders>
              <w:top w:val="single" w:sz="8" w:color="CCEEFF"/>
            </w:tcBorders>
          </w:tcPr>
          <w:p>
            <w:pPr>
              <w:spacing w:after="0"/>
              <w:rPr>
                <w:sz w:val="16"/>
                <w:szCs w:val="16"/>
                <w:color w:val="auto"/>
              </w:rPr>
            </w:pPr>
          </w:p>
        </w:tc>
        <w:tc>
          <w:tcPr>
            <w:tcW w:w="600" w:type="dxa"/>
            <w:vAlign w:val="bottom"/>
            <w:tcBorders>
              <w:top w:val="single" w:sz="8" w:color="CCEEFF"/>
            </w:tcBorders>
          </w:tcPr>
          <w:p>
            <w:pPr>
              <w:spacing w:after="0"/>
              <w:rPr>
                <w:sz w:val="16"/>
                <w:szCs w:val="16"/>
                <w:color w:val="auto"/>
              </w:rPr>
            </w:pPr>
          </w:p>
        </w:tc>
        <w:tc>
          <w:tcPr>
            <w:tcW w:w="1580" w:type="dxa"/>
            <w:vAlign w:val="bottom"/>
            <w:tcBorders>
              <w:top w:val="single" w:sz="8" w:color="CCEEFF"/>
            </w:tcBorders>
          </w:tcPr>
          <w:p>
            <w:pPr>
              <w:spacing w:after="0"/>
              <w:rPr>
                <w:sz w:val="16"/>
                <w:szCs w:val="16"/>
                <w:color w:val="auto"/>
              </w:rPr>
            </w:pPr>
          </w:p>
        </w:tc>
      </w:tr>
      <w:tr>
        <w:trPr>
          <w:trHeight w:val="184"/>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101.INS</w:t>
            </w:r>
          </w:p>
        </w:tc>
        <w:tc>
          <w:tcPr>
            <w:tcW w:w="6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Instance Document</w:t>
            </w: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4"/>
        </w:trPr>
        <w:tc>
          <w:tcPr>
            <w:tcW w:w="6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4"/>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101.SCH</w:t>
            </w:r>
          </w:p>
        </w:tc>
        <w:tc>
          <w:tcPr>
            <w:tcW w:w="6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4"/>
        </w:trPr>
        <w:tc>
          <w:tcPr>
            <w:tcW w:w="6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4"/>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101.CAL</w:t>
            </w:r>
          </w:p>
        </w:tc>
        <w:tc>
          <w:tcPr>
            <w:tcW w:w="6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4"/>
        </w:trPr>
        <w:tc>
          <w:tcPr>
            <w:tcW w:w="6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4"/>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101.DEF</w:t>
            </w:r>
          </w:p>
        </w:tc>
        <w:tc>
          <w:tcPr>
            <w:tcW w:w="6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4"/>
        </w:trPr>
        <w:tc>
          <w:tcPr>
            <w:tcW w:w="6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4"/>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101.LAB</w:t>
            </w:r>
          </w:p>
        </w:tc>
        <w:tc>
          <w:tcPr>
            <w:tcW w:w="6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Label Linkbase Document</w:t>
            </w: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r>
        <w:trPr>
          <w:trHeight w:val="184"/>
        </w:trPr>
        <w:tc>
          <w:tcPr>
            <w:tcW w:w="6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184"/>
        </w:trPr>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101.PRE</w:t>
            </w:r>
          </w:p>
        </w:tc>
        <w:tc>
          <w:tcPr>
            <w:tcW w:w="69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c>
          <w:tcPr>
            <w:tcW w:w="5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r>
    </w:tbl>
    <w:p>
      <w:pPr>
        <w:spacing w:after="0" w:line="170" w:lineRule="exact"/>
        <w:rPr>
          <w:sz w:val="20"/>
          <w:szCs w:val="20"/>
          <w:color w:val="auto"/>
        </w:rPr>
      </w:pPr>
    </w:p>
    <w:p>
      <w:pPr>
        <w:ind w:left="688" w:hanging="688"/>
        <w:spacing w:after="0"/>
        <w:tabs>
          <w:tab w:leader="none" w:pos="688"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w:t>
      </w:r>
    </w:p>
    <w:p>
      <w:pPr>
        <w:spacing w:after="0" w:line="196" w:lineRule="exact"/>
        <w:rPr>
          <w:rFonts w:ascii="Times New Roman" w:cs="Times New Roman" w:eastAsia="Times New Roman" w:hAnsi="Times New Roman"/>
          <w:sz w:val="15"/>
          <w:szCs w:val="15"/>
          <w:color w:val="auto"/>
        </w:rPr>
      </w:pPr>
    </w:p>
    <w:p>
      <w:pPr>
        <w:ind w:left="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-333375</wp:posOffset>
            </wp:positionV>
            <wp:extent cx="7152640" cy="1168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9">
                      <a:extLst>
                        <a:ext uri="{28A0092B-C50C-407E-A947-70E740481C1C}"/>
                      </a:extLst>
                    </a:blip>
                    <a:srcRect/>
                    <a:stretch>
                      <a:fillRect/>
                    </a:stretch>
                  </pic:blipFill>
                  <pic:spPr bwMode="auto">
                    <a:xfrm>
                      <a:off x="0" y="0"/>
                      <a:ext cx="7152640" cy="116840"/>
                    </a:xfrm>
                    <a:prstGeom prst="rect">
                      <a:avLst/>
                    </a:prstGeom>
                    <a:noFill/>
                  </pic:spPr>
                </pic:pic>
              </a:graphicData>
            </a:graphic>
          </wp:anchor>
        </w:drawing>
      </w:r>
    </w:p>
    <w:p>
      <w:pPr>
        <w:spacing w:after="0" w:line="176" w:lineRule="exact"/>
        <w:rPr>
          <w:sz w:val="20"/>
          <w:szCs w:val="20"/>
          <w:color w:val="auto"/>
        </w:rPr>
      </w:pPr>
    </w:p>
    <w:p>
      <w:pPr>
        <w:jc w:val="both"/>
        <w:ind w:left="548" w:hanging="548"/>
        <w:spacing w:after="0" w:line="274" w:lineRule="auto"/>
        <w:tabs>
          <w:tab w:leader="none" w:pos="548"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These certifications are being furnished solely to accompany this Annual Report on Form 10-K pursuant to 18 U.S.C. Section 1350, and are not being filed for purposes of Section 18 of the Securities Exchange Act of 1934 and are not to be incorporated by reference into any filing of Snail, Inc., whether made before or after the date hereof, regardless of any general incorporation language in such filing.</w:t>
      </w:r>
    </w:p>
    <w:p>
      <w:pPr>
        <w:spacing w:after="0" w:line="146" w:lineRule="exact"/>
        <w:rPr>
          <w:sz w:val="20"/>
          <w:szCs w:val="20"/>
          <w:color w:val="auto"/>
        </w:rPr>
      </w:pPr>
    </w:p>
    <w:p>
      <w:pPr>
        <w:ind w:left="268" w:hanging="268"/>
        <w:spacing w:after="0"/>
        <w:tabs>
          <w:tab w:leader="none" w:pos="268"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Indicates management contract or compensatory plan.</w:t>
      </w:r>
    </w:p>
    <w:p>
      <w:pPr>
        <w:spacing w:after="0" w:line="1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b w:val="1"/>
          <w:bCs w:val="1"/>
          <w:color w:val="auto"/>
        </w:rPr>
        <w:t>Item 16. Form 10-K Summary.</w:t>
      </w:r>
    </w:p>
    <w:p>
      <w:pPr>
        <w:spacing w:after="0" w:line="2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None.</w:t>
      </w:r>
    </w:p>
    <w:p>
      <w:pPr>
        <w:spacing w:after="0" w:line="1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5264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0" w:right="31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0" w:lineRule="exact"/>
        <w:rPr>
          <w:sz w:val="20"/>
          <w:szCs w:val="20"/>
          <w:color w:val="auto"/>
        </w:rPr>
      </w:pPr>
    </w:p>
    <w:p>
      <w:pPr>
        <w:ind w:firstLine="276"/>
        <w:spacing w:after="0" w:line="292" w:lineRule="auto"/>
        <w:rPr>
          <w:sz w:val="20"/>
          <w:szCs w:val="20"/>
          <w:color w:val="auto"/>
        </w:rPr>
      </w:pPr>
      <w:r>
        <w:rPr>
          <w:rFonts w:ascii="Times New Roman" w:cs="Times New Roman" w:eastAsia="Times New Roman" w:hAnsi="Times New Roman"/>
          <w:sz w:val="15"/>
          <w:szCs w:val="15"/>
          <w:color w:val="auto"/>
        </w:rPr>
        <w:t>Pursuant to the requirements of Section 13 or 15(d) of the Securities Exchange Act of 1934, as amended, the Registrant has duly caused this Report to be signed on its behalf by the undersigned, thereunto duly authorized, in Culver City, California, on March 26, 2025</w:t>
      </w:r>
      <w:r>
        <w:rPr>
          <w:rFonts w:ascii="Times New Roman" w:cs="Times New Roman" w:eastAsia="Times New Roman" w:hAnsi="Times New Roman"/>
          <w:sz w:val="15"/>
          <w:szCs w:val="15"/>
          <w:b w:val="1"/>
          <w:bCs w:val="1"/>
          <w:color w:val="auto"/>
        </w:rPr>
        <w: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580" w:type="dxa"/>
            <w:vAlign w:val="bottom"/>
          </w:tcPr>
          <w:p>
            <w:pPr>
              <w:spacing w:after="0"/>
              <w:rPr>
                <w:sz w:val="17"/>
                <w:szCs w:val="17"/>
                <w:color w:val="auto"/>
              </w:rPr>
            </w:pPr>
          </w:p>
        </w:tc>
        <w:tc>
          <w:tcPr>
            <w:tcW w:w="7680" w:type="dxa"/>
            <w:vAlign w:val="bottom"/>
            <w:gridSpan w:val="2"/>
          </w:tcPr>
          <w:p>
            <w:pPr>
              <w:ind w:left="2060"/>
              <w:spacing w:after="0"/>
              <w:rPr>
                <w:sz w:val="20"/>
                <w:szCs w:val="20"/>
                <w:color w:val="auto"/>
              </w:rPr>
            </w:pPr>
            <w:r>
              <w:rPr>
                <w:rFonts w:ascii="Times New Roman" w:cs="Times New Roman" w:eastAsia="Times New Roman" w:hAnsi="Times New Roman"/>
                <w:sz w:val="15"/>
                <w:szCs w:val="15"/>
                <w:color w:val="auto"/>
              </w:rPr>
              <w:t>Snail, Inc.</w:t>
            </w:r>
          </w:p>
        </w:tc>
      </w:tr>
      <w:tr>
        <w:trPr>
          <w:trHeight w:val="369"/>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Date:   March 26, 2025</w:t>
            </w:r>
          </w:p>
        </w:tc>
        <w:tc>
          <w:tcPr>
            <w:tcW w:w="7680" w:type="dxa"/>
            <w:vAlign w:val="bottom"/>
            <w:gridSpan w:val="2"/>
          </w:tcPr>
          <w:p>
            <w:pPr>
              <w:ind w:left="206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Xuedong Tian</w:t>
            </w:r>
          </w:p>
        </w:tc>
      </w:tr>
      <w:tr>
        <w:trPr>
          <w:trHeight w:val="157"/>
        </w:trPr>
        <w:tc>
          <w:tcPr>
            <w:tcW w:w="3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300" w:type="dxa"/>
            <w:vAlign w:val="bottom"/>
            <w:tcBorders>
              <w:top w:val="single" w:sz="8" w:color="auto"/>
            </w:tcBorders>
          </w:tcPr>
          <w:p>
            <w:pPr>
              <w:spacing w:after="0" w:line="157" w:lineRule="exact"/>
              <w:rPr>
                <w:sz w:val="20"/>
                <w:szCs w:val="20"/>
                <w:color w:val="auto"/>
              </w:rPr>
            </w:pPr>
            <w:r>
              <w:rPr>
                <w:rFonts w:ascii="Times New Roman" w:cs="Times New Roman" w:eastAsia="Times New Roman" w:hAnsi="Times New Roman"/>
                <w:sz w:val="15"/>
                <w:szCs w:val="15"/>
                <w:b w:val="1"/>
                <w:bCs w:val="1"/>
                <w:color w:val="auto"/>
              </w:rPr>
              <w:t>Xuedong Tian</w:t>
            </w:r>
          </w:p>
        </w:tc>
      </w:tr>
      <w:tr>
        <w:trPr>
          <w:trHeight w:val="203"/>
        </w:trPr>
        <w:tc>
          <w:tcPr>
            <w:tcW w:w="35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Co-Chief Executive Officer</w:t>
            </w:r>
          </w:p>
        </w:tc>
      </w:tr>
    </w:tbl>
    <w:p>
      <w:pPr>
        <w:spacing w:after="0" w:line="170" w:lineRule="exact"/>
        <w:rPr>
          <w:sz w:val="20"/>
          <w:szCs w:val="20"/>
          <w:color w:val="auto"/>
        </w:rPr>
      </w:pPr>
    </w:p>
    <w:p>
      <w:pPr>
        <w:jc w:val="both"/>
        <w:ind w:right="20" w:firstLine="276"/>
        <w:spacing w:after="0" w:line="292"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as amended, this Report has been signed below by the following persons on behalf of the Registrant in the capacities and on the dates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5"/>
                <w:szCs w:val="15"/>
                <w:b w:val="1"/>
                <w:bCs w:val="1"/>
                <w:color w:val="auto"/>
              </w:rPr>
              <w:t>Signature</w:t>
            </w:r>
          </w:p>
        </w:tc>
        <w:tc>
          <w:tcPr>
            <w:tcW w:w="220" w:type="dxa"/>
            <w:vAlign w:val="bottom"/>
          </w:tcPr>
          <w:p>
            <w:pPr>
              <w:spacing w:after="0"/>
              <w:rPr>
                <w:sz w:val="17"/>
                <w:szCs w:val="17"/>
                <w:color w:val="auto"/>
              </w:rPr>
            </w:pP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Title</w:t>
            </w:r>
          </w:p>
        </w:tc>
        <w:tc>
          <w:tcPr>
            <w:tcW w:w="220" w:type="dxa"/>
            <w:vAlign w:val="bottom"/>
          </w:tcPr>
          <w:p>
            <w:pPr>
              <w:spacing w:after="0"/>
              <w:rPr>
                <w:sz w:val="17"/>
                <w:szCs w:val="17"/>
                <w:color w:val="auto"/>
              </w:rPr>
            </w:pPr>
          </w:p>
        </w:tc>
        <w:tc>
          <w:tcPr>
            <w:tcW w:w="1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b w:val="1"/>
                <w:bCs w:val="1"/>
                <w:color w:val="auto"/>
              </w:rPr>
              <w:t>Date</w:t>
            </w:r>
          </w:p>
        </w:tc>
      </w:tr>
      <w:tr>
        <w:trPr>
          <w:trHeight w:val="360"/>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/s/ Xuedong Tian</w:t>
            </w:r>
          </w:p>
        </w:tc>
        <w:tc>
          <w:tcPr>
            <w:tcW w:w="54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Co-Chief Executive Officer and Director</w:t>
            </w: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March 26, 2025</w:t>
            </w:r>
          </w:p>
        </w:tc>
      </w:tr>
      <w:tr>
        <w:trPr>
          <w:trHeight w:val="190"/>
        </w:trPr>
        <w:tc>
          <w:tcPr>
            <w:tcW w:w="34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Xuedong Tian</w:t>
            </w:r>
          </w:p>
        </w:tc>
        <w:tc>
          <w:tcPr>
            <w:tcW w:w="54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(Co-Principal Executive Officer)</w:t>
            </w:r>
          </w:p>
        </w:tc>
        <w:tc>
          <w:tcPr>
            <w:tcW w:w="1800" w:type="dxa"/>
            <w:vAlign w:val="bottom"/>
          </w:tcPr>
          <w:p>
            <w:pPr>
              <w:spacing w:after="0"/>
              <w:rPr>
                <w:sz w:val="16"/>
                <w:szCs w:val="16"/>
                <w:color w:val="auto"/>
              </w:rPr>
            </w:pPr>
          </w:p>
        </w:tc>
      </w:tr>
      <w:tr>
        <w:trPr>
          <w:trHeight w:val="339"/>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720" w:type="dxa"/>
            <w:vAlign w:val="bottom"/>
            <w:gridSpan w:val="2"/>
          </w:tcPr>
          <w:p>
            <w:pPr>
              <w:spacing w:after="0"/>
              <w:rPr>
                <w:sz w:val="20"/>
                <w:szCs w:val="20"/>
                <w:color w:val="auto"/>
              </w:rPr>
            </w:pPr>
            <w:r>
              <w:rPr>
                <w:rFonts w:ascii="Times New Roman" w:cs="Times New Roman" w:eastAsia="Times New Roman" w:hAnsi="Times New Roman"/>
                <w:sz w:val="15"/>
                <w:szCs w:val="15"/>
                <w:i w:val="1"/>
                <w:iCs w:val="1"/>
                <w:color w:val="auto"/>
              </w:rPr>
              <w:t>/s/ Hai Shi</w:t>
            </w:r>
          </w:p>
        </w:tc>
        <w:tc>
          <w:tcPr>
            <w:tcW w:w="54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Founder, Co-Chief Executive Officer,</w:t>
            </w: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March 26, 2025</w:t>
            </w:r>
          </w:p>
        </w:tc>
      </w:tr>
      <w:tr>
        <w:trPr>
          <w:trHeight w:val="199"/>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Borders>
              <w:bottom w:val="single" w:sz="8" w:color="auto"/>
            </w:tcBorders>
          </w:tcPr>
          <w:p>
            <w:pPr>
              <w:spacing w:after="0"/>
              <w:rPr>
                <w:sz w:val="17"/>
                <w:szCs w:val="17"/>
                <w:color w:val="auto"/>
              </w:rPr>
            </w:pPr>
          </w:p>
        </w:tc>
        <w:tc>
          <w:tcPr>
            <w:tcW w:w="54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Chief Strategy Officer and Chairman</w:t>
            </w:r>
          </w:p>
        </w:tc>
        <w:tc>
          <w:tcPr>
            <w:tcW w:w="1800" w:type="dxa"/>
            <w:vAlign w:val="bottom"/>
          </w:tcPr>
          <w:p>
            <w:pPr>
              <w:spacing w:after="0"/>
              <w:rPr>
                <w:sz w:val="17"/>
                <w:szCs w:val="17"/>
                <w:color w:val="auto"/>
              </w:rPr>
            </w:pPr>
          </w:p>
        </w:tc>
      </w:tr>
      <w:tr>
        <w:trPr>
          <w:trHeight w:val="190"/>
        </w:trPr>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20"/>
                <w:szCs w:val="20"/>
                <w:color w:val="auto"/>
              </w:rPr>
            </w:pPr>
            <w:r>
              <w:rPr>
                <w:rFonts w:ascii="Times New Roman" w:cs="Times New Roman" w:eastAsia="Times New Roman" w:hAnsi="Times New Roman"/>
                <w:sz w:val="15"/>
                <w:szCs w:val="15"/>
                <w:color w:val="auto"/>
              </w:rPr>
              <w:t>Hai Shi</w:t>
            </w:r>
          </w:p>
        </w:tc>
        <w:tc>
          <w:tcPr>
            <w:tcW w:w="54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of the Board (Co-Principal Executive Officer)</w:t>
            </w:r>
          </w:p>
        </w:tc>
        <w:tc>
          <w:tcPr>
            <w:tcW w:w="1800" w:type="dxa"/>
            <w:vAlign w:val="bottom"/>
          </w:tcPr>
          <w:p>
            <w:pPr>
              <w:spacing w:after="0"/>
              <w:rPr>
                <w:sz w:val="16"/>
                <w:szCs w:val="16"/>
                <w:color w:val="auto"/>
              </w:rPr>
            </w:pPr>
          </w:p>
        </w:tc>
      </w:tr>
      <w:tr>
        <w:trPr>
          <w:trHeight w:val="354"/>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/s/ Heidy Chow</w:t>
            </w:r>
          </w:p>
        </w:tc>
        <w:tc>
          <w:tcPr>
            <w:tcW w:w="54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Chief Financial Officer and Director</w:t>
            </w: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March 26, 2025</w:t>
            </w:r>
          </w:p>
        </w:tc>
      </w:tr>
      <w:tr>
        <w:trPr>
          <w:trHeight w:val="190"/>
        </w:trPr>
        <w:tc>
          <w:tcPr>
            <w:tcW w:w="34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Heidy Chow</w:t>
            </w:r>
          </w:p>
        </w:tc>
        <w:tc>
          <w:tcPr>
            <w:tcW w:w="54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(Principal Financial and Accounting Officer)</w:t>
            </w:r>
          </w:p>
        </w:tc>
        <w:tc>
          <w:tcPr>
            <w:tcW w:w="1800" w:type="dxa"/>
            <w:vAlign w:val="bottom"/>
          </w:tcPr>
          <w:p>
            <w:pPr>
              <w:spacing w:after="0"/>
              <w:rPr>
                <w:sz w:val="16"/>
                <w:szCs w:val="16"/>
                <w:color w:val="auto"/>
              </w:rPr>
            </w:pPr>
          </w:p>
        </w:tc>
      </w:tr>
      <w:tr>
        <w:trPr>
          <w:trHeight w:val="354"/>
        </w:trPr>
        <w:tc>
          <w:tcPr>
            <w:tcW w:w="40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Jim S. Tsai</w:t>
            </w:r>
          </w:p>
        </w:tc>
        <w:tc>
          <w:tcPr>
            <w:tcW w:w="54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March 26, 2025</w:t>
            </w:r>
          </w:p>
        </w:tc>
      </w:tr>
      <w:tr>
        <w:trPr>
          <w:trHeight w:val="190"/>
        </w:trPr>
        <w:tc>
          <w:tcPr>
            <w:tcW w:w="340" w:type="dxa"/>
            <w:vAlign w:val="bottom"/>
          </w:tcPr>
          <w:p>
            <w:pPr>
              <w:spacing w:after="0"/>
              <w:rPr>
                <w:sz w:val="16"/>
                <w:szCs w:val="16"/>
                <w:color w:val="auto"/>
              </w:rPr>
            </w:pPr>
          </w:p>
        </w:tc>
        <w:tc>
          <w:tcPr>
            <w:tcW w:w="37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5"/>
                <w:szCs w:val="15"/>
                <w:color w:val="auto"/>
              </w:rPr>
              <w:t>Jim S. Tsai</w:t>
            </w:r>
          </w:p>
        </w:tc>
        <w:tc>
          <w:tcPr>
            <w:tcW w:w="2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54"/>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/s/ Peter Kang</w:t>
            </w:r>
          </w:p>
        </w:tc>
        <w:tc>
          <w:tcPr>
            <w:tcW w:w="54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March 26, 2025</w:t>
            </w:r>
          </w:p>
        </w:tc>
      </w:tr>
      <w:tr>
        <w:trPr>
          <w:trHeight w:val="190"/>
        </w:trPr>
        <w:tc>
          <w:tcPr>
            <w:tcW w:w="34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Peter Kang</w:t>
            </w:r>
          </w:p>
        </w:tc>
        <w:tc>
          <w:tcPr>
            <w:tcW w:w="2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54"/>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/s/ Ying Zhou</w:t>
            </w:r>
          </w:p>
        </w:tc>
        <w:tc>
          <w:tcPr>
            <w:tcW w:w="54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March 26, 2025</w:t>
            </w:r>
          </w:p>
        </w:tc>
      </w:tr>
      <w:tr>
        <w:trPr>
          <w:trHeight w:val="190"/>
        </w:trPr>
        <w:tc>
          <w:tcPr>
            <w:tcW w:w="34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Ying Zhou</w:t>
            </w:r>
          </w:p>
        </w:tc>
        <w:tc>
          <w:tcPr>
            <w:tcW w:w="2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54"/>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/s/ Neil Foster</w:t>
            </w:r>
          </w:p>
        </w:tc>
        <w:tc>
          <w:tcPr>
            <w:tcW w:w="54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March 26, 2025</w:t>
            </w:r>
          </w:p>
        </w:tc>
      </w:tr>
      <w:tr>
        <w:trPr>
          <w:trHeight w:val="190"/>
        </w:trPr>
        <w:tc>
          <w:tcPr>
            <w:tcW w:w="34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Neil Foster</w:t>
            </w:r>
          </w:p>
        </w:tc>
        <w:tc>
          <w:tcPr>
            <w:tcW w:w="2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54"/>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/s/ Sandra Pundman</w:t>
            </w:r>
          </w:p>
        </w:tc>
        <w:tc>
          <w:tcPr>
            <w:tcW w:w="54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March 26, 2025</w:t>
            </w:r>
          </w:p>
        </w:tc>
      </w:tr>
      <w:tr>
        <w:trPr>
          <w:trHeight w:val="190"/>
        </w:trPr>
        <w:tc>
          <w:tcPr>
            <w:tcW w:w="34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Sandra Pundman</w:t>
            </w:r>
          </w:p>
        </w:tc>
        <w:tc>
          <w:tcPr>
            <w:tcW w:w="2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54"/>
        </w:trPr>
        <w:tc>
          <w:tcPr>
            <w:tcW w:w="34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3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5"/>
                <w:szCs w:val="15"/>
                <w:i w:val="1"/>
                <w:iCs w:val="1"/>
                <w:color w:val="auto"/>
              </w:rPr>
              <w:t>/s/ Ryan Jamieson</w:t>
            </w:r>
          </w:p>
        </w:tc>
        <w:tc>
          <w:tcPr>
            <w:tcW w:w="540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Director</w:t>
            </w:r>
          </w:p>
        </w:tc>
        <w:tc>
          <w:tcPr>
            <w:tcW w:w="1800" w:type="dxa"/>
            <w:vAlign w:val="bottom"/>
          </w:tcPr>
          <w:p>
            <w:pPr>
              <w:spacing w:after="0"/>
              <w:rPr>
                <w:sz w:val="20"/>
                <w:szCs w:val="20"/>
                <w:color w:val="auto"/>
              </w:rPr>
            </w:pPr>
            <w:r>
              <w:rPr>
                <w:rFonts w:ascii="Times New Roman" w:cs="Times New Roman" w:eastAsia="Times New Roman" w:hAnsi="Times New Roman"/>
                <w:sz w:val="15"/>
                <w:szCs w:val="15"/>
                <w:color w:val="auto"/>
              </w:rPr>
              <w:t>March 26, 2025</w:t>
            </w:r>
          </w:p>
        </w:tc>
      </w:tr>
      <w:tr>
        <w:trPr>
          <w:trHeight w:val="190"/>
        </w:trPr>
        <w:tc>
          <w:tcPr>
            <w:tcW w:w="340" w:type="dxa"/>
            <w:vAlign w:val="bottom"/>
          </w:tcPr>
          <w:p>
            <w:pPr>
              <w:spacing w:after="0"/>
              <w:rPr>
                <w:sz w:val="16"/>
                <w:szCs w:val="16"/>
                <w:color w:val="auto"/>
              </w:rPr>
            </w:pPr>
          </w:p>
        </w:tc>
        <w:tc>
          <w:tcPr>
            <w:tcW w:w="37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Ryan Jamieson</w:t>
            </w:r>
          </w:p>
        </w:tc>
        <w:tc>
          <w:tcPr>
            <w:tcW w:w="2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354"/>
        </w:trPr>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gridSpan w:val="2"/>
          </w:tcPr>
          <w:p>
            <w:pPr>
              <w:jc w:val="right"/>
              <w:ind w:right="3463"/>
              <w:spacing w:after="0"/>
              <w:rPr>
                <w:sz w:val="20"/>
                <w:szCs w:val="20"/>
                <w:color w:val="auto"/>
              </w:rPr>
            </w:pPr>
            <w:r>
              <w:rPr>
                <w:rFonts w:ascii="Times New Roman" w:cs="Times New Roman" w:eastAsia="Times New Roman" w:hAnsi="Times New Roman"/>
                <w:sz w:val="15"/>
                <w:szCs w:val="15"/>
                <w:color w:val="auto"/>
              </w:rPr>
              <w:t>65</w:t>
            </w: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605" w:right="31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5"/>
          <w:szCs w:val="15"/>
          <w:b w:val="1"/>
          <w:bCs w:val="1"/>
          <w:color w:val="auto"/>
        </w:rPr>
        <w:t>Exhibit 19.1</w:t>
      </w:r>
    </w:p>
    <w:p>
      <w:pPr>
        <w:spacing w:after="0" w:line="19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SNAIL, INC.</w:t>
      </w:r>
    </w:p>
    <w:p>
      <w:pPr>
        <w:spacing w:after="0" w:line="196"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b w:val="1"/>
          <w:bCs w:val="1"/>
          <w:color w:val="auto"/>
        </w:rPr>
        <w:t>Statement of Policy Concerning Trading in Company Securities</w:t>
      </w:r>
    </w:p>
    <w:p>
      <w:pPr>
        <w:spacing w:after="0" w:line="200"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5"/>
          <w:szCs w:val="15"/>
          <w:color w:val="auto"/>
        </w:rPr>
        <w:t>Adopted November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-715645</wp:posOffset>
            </wp:positionH>
            <wp:positionV relativeFrom="paragraph">
              <wp:posOffset>250825</wp:posOffset>
            </wp:positionV>
            <wp:extent cx="715264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1">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0140"/>
          </w:cols>
          <w:pgMar w:left="1440" w:top="305" w:right="31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520" w:type="dxa"/>
            <w:vAlign w:val="bottom"/>
          </w:tcPr>
          <w:p>
            <w:pPr>
              <w:ind w:left="390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5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b w:val="1"/>
                <w:bCs w:val="1"/>
                <w:color w:val="auto"/>
              </w:rPr>
              <w:t>Page No.</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5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w:t>
            </w:r>
          </w:p>
        </w:tc>
        <w:tc>
          <w:tcPr>
            <w:tcW w:w="10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SUMMARY OF POLICY CONCERNING TRADING IN COMPANY SECURITIES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006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II.</w:t>
            </w:r>
          </w:p>
        </w:tc>
        <w:tc>
          <w:tcPr>
            <w:tcW w:w="10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THE USE OF INSIDE INFORMATION IN CONNECTION WITH TRADING IN SECURITIES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General Rule.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B.</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Who Does the Policy Apply To?</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Other Companies’ Stock.</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Hedging and Derivatives.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[Pledging of Securities, Margin Accounts.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General Guidelines.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G.</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10b5-1 Plans.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H.</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Applicability of U.S. Securities Laws to International Transactions.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0060" w:type="dxa"/>
            <w:vAlign w:val="bottom"/>
            <w:gridSpan w:val="2"/>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5"/>
                <w:szCs w:val="15"/>
                <w:color w:val="auto"/>
              </w:rPr>
              <w:t>III.</w:t>
            </w:r>
          </w:p>
        </w:tc>
        <w:tc>
          <w:tcPr>
            <w:tcW w:w="100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OTHER LIMITATIONS ON SECURITIES TRANSACTIONS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A.</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Public Resales – Rule 144.</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B.</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Private Resales.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C.</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Restrictions on Purchases of Company Securities.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D.</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Disgorgement of Profits on Short-Swing Transactions – Section 16(b).</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E.</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Prohibition of Short Sales.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5"/>
                <w:szCs w:val="15"/>
                <w:color w:val="auto"/>
              </w:rPr>
              <w:t>F.</w:t>
            </w:r>
          </w:p>
        </w:tc>
        <w:tc>
          <w:tcPr>
            <w:tcW w:w="95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5"/>
                <w:szCs w:val="15"/>
                <w:color w:val="auto"/>
              </w:rPr>
              <w:t>Filing Requirements.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69"/>
        </w:trPr>
        <w:tc>
          <w:tcPr>
            <w:tcW w:w="3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520" w:type="dxa"/>
            <w:vAlign w:val="bottom"/>
            <w:tcBorders>
              <w:bottom w:val="single" w:sz="8" w:color="auto"/>
            </w:tcBorders>
          </w:tcPr>
          <w:p>
            <w:pPr>
              <w:ind w:left="4700"/>
              <w:spacing w:after="0"/>
              <w:rPr>
                <w:sz w:val="20"/>
                <w:szCs w:val="20"/>
                <w:color w:val="auto"/>
              </w:rPr>
            </w:pPr>
            <w:r>
              <w:rPr>
                <w:rFonts w:ascii="Times New Roman" w:cs="Times New Roman" w:eastAsia="Times New Roman" w:hAnsi="Times New Roman"/>
                <w:sz w:val="15"/>
                <w:szCs w:val="15"/>
                <w:color w:val="auto"/>
              </w:rPr>
              <w:t>i</w:t>
            </w: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605" w:right="319" w:bottom="1440" w:gutter="0" w:footer="0" w:header="0"/>
        </w:sectPr>
      </w:pPr>
    </w:p>
    <w:bookmarkStart w:id="106" w:name="page107"/>
    <w:bookmarkEnd w:id="106"/>
    <w:p>
      <w:pPr>
        <w:ind w:left="268" w:hanging="268"/>
        <w:spacing w:after="0"/>
        <w:tabs>
          <w:tab w:leader="none" w:pos="268" w:val="left"/>
        </w:tabs>
        <w:numPr>
          <w:ilvl w:val="0"/>
          <w:numId w:val="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SUMMARY OF POLICY CONCERNING TRADING IN COMPANY SECURITIES</w:t>
      </w:r>
    </w:p>
    <w:p>
      <w:pPr>
        <w:spacing w:after="0" w:line="223"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5"/>
          <w:szCs w:val="15"/>
          <w:color w:val="auto"/>
        </w:rPr>
        <w:t>It is Snail, Inc.’s and its subsidiaries’ (collectively, the “Company”) policy that it will, without exception, comply with all applicable laws and regulations in conducting its business. Each employee and each director is expected to abide by this policy. When carrying out Company business, employees and directors must avoid any activity that violates applicable laws or regulations. In order to avoid even an appearance of impropriety, the Company’s directors, officers and certain other employees are subject to pre-approval requirements described below and other limitations on their ability to enter into transactions involving the Company’s securities. Although these limitations do not apply to transactions pursuant to written plans for trading securities that comply with Rule 10b5-1 under the Securities Exchange Act of 1934 (the “Exchange Act”), the entry into, amendment or termination of any such written trading plan is subject to pre-approval requirements and other limitations, as described below.</w:t>
      </w:r>
    </w:p>
    <w:p>
      <w:pPr>
        <w:spacing w:after="0" w:line="152" w:lineRule="exact"/>
        <w:rPr>
          <w:sz w:val="20"/>
          <w:szCs w:val="20"/>
          <w:color w:val="auto"/>
        </w:rPr>
      </w:pPr>
    </w:p>
    <w:p>
      <w:pPr>
        <w:ind w:left="268" w:right="4620" w:hanging="268"/>
        <w:spacing w:after="0" w:line="547" w:lineRule="auto"/>
        <w:tabs>
          <w:tab w:leader="none" w:pos="268" w:val="left"/>
        </w:tabs>
        <w:numPr>
          <w:ilvl w:val="0"/>
          <w:numId w:val="3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THE USE OF INSIDE INFORMATION IN CONNECTION WITH TRADING IN SECURITIES </w:t>
      </w:r>
      <w:r>
        <w:rPr>
          <w:rFonts w:ascii="Times New Roman" w:cs="Times New Roman" w:eastAsia="Times New Roman" w:hAnsi="Times New Roman"/>
          <w:sz w:val="15"/>
          <w:szCs w:val="15"/>
          <w:b w:val="1"/>
          <w:bCs w:val="1"/>
          <w:i w:val="1"/>
          <w:iCs w:val="1"/>
          <w:color w:val="auto"/>
        </w:rPr>
        <w:t>A. General Rule.</w:t>
      </w:r>
    </w:p>
    <w:p>
      <w:pPr>
        <w:spacing w:after="0" w:line="1" w:lineRule="exact"/>
        <w:rPr>
          <w:sz w:val="20"/>
          <w:szCs w:val="20"/>
          <w:color w:val="auto"/>
        </w:rPr>
      </w:pPr>
    </w:p>
    <w:p>
      <w:pPr>
        <w:jc w:val="both"/>
        <w:ind w:left="8"/>
        <w:spacing w:after="0" w:line="274" w:lineRule="auto"/>
        <w:rPr>
          <w:sz w:val="20"/>
          <w:szCs w:val="20"/>
          <w:color w:val="auto"/>
        </w:rPr>
      </w:pPr>
      <w:r>
        <w:rPr>
          <w:rFonts w:ascii="Times New Roman" w:cs="Times New Roman" w:eastAsia="Times New Roman" w:hAnsi="Times New Roman"/>
          <w:sz w:val="15"/>
          <w:szCs w:val="15"/>
          <w:color w:val="auto"/>
        </w:rPr>
        <w:t>The U.S. securities laws regulate the sale and purchase of securities in the interest of protecting the investing public. U.S. securities laws give the Company, its officers and directors, and other employees the responsibility to ensure that information about the Company is not used unlawfully in the purchase and sale of securities (such as stocks, bonds, notes, debentures, limited partnership units or other equity or debt securities).</w:t>
      </w:r>
    </w:p>
    <w:p>
      <w:pPr>
        <w:spacing w:after="0" w:line="146"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5"/>
          <w:szCs w:val="15"/>
          <w:color w:val="auto"/>
        </w:rPr>
        <w:t>All employees and directors should pay particularly close attention to the laws against trading on “inside” information. These laws are based upon the belief that all persons trading in a company’s securities should have equal access to all “material” information about that company. For example, if an employee or a director of a company knows material inside financial information, that employee or director is prohibited from buying or selling shares in the company until the information has been adequately disclosed to the public. This is because the employee or director knows information that could cause the share price to change, and it would be unfair for the employee or director to have an advantage (knowledge that the share price could change) that the rest of the investing public does not have. In fact, it is more than unfair; it is considered to be fraudulent and illegal. Civil and criminal penalties for this kind of activity are severe.</w:t>
      </w:r>
    </w:p>
    <w:p>
      <w:pPr>
        <w:spacing w:after="0" w:line="156"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5"/>
          <w:szCs w:val="15"/>
          <w:color w:val="auto"/>
        </w:rPr>
        <w:t>The general rule can be stated as follows: It is a violation of federal securities laws for any person to buy or sell securities if he or she is in possession of material inside information. Information is material if there is a substantial likelihood that a reasonable investor would consider it important in making an investment decision. Material information can be favorable or unfavorable. If it is not clear whether inside information is material, it should be treated as if it was material. Some examples of information that could be considered material include:</w:t>
      </w:r>
    </w:p>
    <w:p>
      <w:pPr>
        <w:spacing w:after="0" w:line="335" w:lineRule="exact"/>
        <w:rPr>
          <w:sz w:val="20"/>
          <w:szCs w:val="20"/>
          <w:color w:val="auto"/>
        </w:rPr>
      </w:pPr>
    </w:p>
    <w:p>
      <w:pPr>
        <w:ind w:left="548" w:hanging="271"/>
        <w:spacing w:after="0"/>
        <w:tabs>
          <w:tab w:leader="none" w:pos="548"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changes in key performance indicators of the Company,</w:t>
      </w:r>
    </w:p>
    <w:p>
      <w:pPr>
        <w:spacing w:after="0" w:line="196" w:lineRule="exact"/>
        <w:rPr>
          <w:rFonts w:ascii="Times New Roman" w:cs="Times New Roman" w:eastAsia="Times New Roman" w:hAnsi="Times New Roman"/>
          <w:sz w:val="15"/>
          <w:szCs w:val="15"/>
          <w:color w:val="auto"/>
        </w:rPr>
      </w:pPr>
    </w:p>
    <w:p>
      <w:pPr>
        <w:ind w:left="548" w:hanging="271"/>
        <w:spacing w:after="0"/>
        <w:tabs>
          <w:tab w:leader="none" w:pos="548"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Actual, anticipated or targeted earnings and dividends and other financial information,</w:t>
      </w:r>
    </w:p>
    <w:p>
      <w:pPr>
        <w:spacing w:after="0" w:line="196" w:lineRule="exact"/>
        <w:rPr>
          <w:rFonts w:ascii="Times New Roman" w:cs="Times New Roman" w:eastAsia="Times New Roman" w:hAnsi="Times New Roman"/>
          <w:sz w:val="15"/>
          <w:szCs w:val="15"/>
          <w:color w:val="auto"/>
        </w:rPr>
      </w:pPr>
    </w:p>
    <w:p>
      <w:pPr>
        <w:ind w:left="5588" w:right="4000" w:hanging="5311"/>
        <w:spacing w:after="0" w:line="394" w:lineRule="auto"/>
        <w:tabs>
          <w:tab w:leader="none" w:pos="547"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Financial, sales and other significant internal business forecasts, or a change in previously released estimates,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15264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2">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27" w:right="319" w:bottom="1440" w:gutter="0" w:footer="0" w:header="0"/>
        </w:sectPr>
      </w:pPr>
    </w:p>
    <w:bookmarkStart w:id="107" w:name="page108"/>
    <w:bookmarkEnd w:id="107"/>
    <w:p>
      <w:pPr>
        <w:ind w:left="540" w:hanging="271"/>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Mergers, business acquisitions or dispositions, or the expansion or curtailment of operations,</w:t>
      </w:r>
    </w:p>
    <w:p>
      <w:pPr>
        <w:spacing w:after="0" w:line="196" w:lineRule="exact"/>
        <w:rPr>
          <w:rFonts w:ascii="Times New Roman" w:cs="Times New Roman" w:eastAsia="Times New Roman" w:hAnsi="Times New Roman"/>
          <w:sz w:val="15"/>
          <w:szCs w:val="15"/>
          <w:color w:val="auto"/>
        </w:rPr>
      </w:pPr>
    </w:p>
    <w:p>
      <w:pPr>
        <w:ind w:left="540" w:right="20" w:hanging="271"/>
        <w:spacing w:after="0" w:line="292" w:lineRule="auto"/>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events affecting the Company’s operations, including any breach of information systems that compromises the functioning of the Company’s information or other systems or results in the exposure or loss of customer information, in particular personal information,</w:t>
      </w:r>
    </w:p>
    <w:p>
      <w:pPr>
        <w:spacing w:after="0" w:line="133"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 equity or debt offerings or significant borrowing,</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debt ratings, or analyst upgrades or downgrades of the issuer or one of its securities,</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changes in accounting treatment, write-offs or effective tax rate,</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Significant litigation or governmental investigation,</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Changes in top management, and</w:t>
      </w:r>
    </w:p>
    <w:p>
      <w:pPr>
        <w:spacing w:after="0" w:line="196" w:lineRule="exact"/>
        <w:rPr>
          <w:rFonts w:ascii="Times New Roman" w:cs="Times New Roman" w:eastAsia="Times New Roman" w:hAnsi="Times New Roman"/>
          <w:sz w:val="15"/>
          <w:szCs w:val="15"/>
          <w:color w:val="auto"/>
        </w:rPr>
      </w:pPr>
    </w:p>
    <w:p>
      <w:pPr>
        <w:ind w:left="540" w:hanging="271"/>
        <w:spacing w:after="0"/>
        <w:tabs>
          <w:tab w:leader="none" w:pos="540"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Stock splits or other corporate actions.</w:t>
      </w:r>
    </w:p>
    <w:p>
      <w:pPr>
        <w:spacing w:after="0" w:line="1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It is inside information if it has not been publicly disclosed in a manner making it available to investors generally on a broad-based non-exclusionary basis (e.g., the filing of an 8-K). If it is not clear whether material information has been sufficiently publicized, it should be treated as if it is inside information. Furthermore, it is illegal for any officer, director or other employee in possession of material inside information to provide other people with such information or to recommend that they buy or sell the securities. (This is called “tipping”). In that case, they may both be held liable.</w:t>
      </w:r>
    </w:p>
    <w:p>
      <w:pPr>
        <w:spacing w:after="0" w:line="15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The Securities and Exchange Commission (the “SEC”), prosecutors, the stock exchanges and plaintiffs’ lawyers focus on uncovering insider trading. A breach of the insider trading laws could expose the insider or anyone who trades on information provided by an insider to criminal fines up to three times the profits earned and imprisonment up to ten years, in addition to civil penalties (up to three times of the profits earned), and injunctive actions.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Inside information does not belong to the individual directors, officers or other employees who may handle it or otherwise become knowledgeable about it. It is an asset of the Company. For any person to use such information for personal benefit or to disclose it to others outside the Company violates the Company’s interests. More particularly, in connection with trading in the Company’s securities, it is a fraud against members of the investing public and against the Company. The mere perception that an employee or director traded with the knowledge of material inside information could harm the reputation of both the Company and that employee or director.</w:t>
      </w:r>
    </w:p>
    <w:p>
      <w:pPr>
        <w:spacing w:after="0" w:line="147" w:lineRule="exact"/>
        <w:rPr>
          <w:sz w:val="20"/>
          <w:szCs w:val="20"/>
          <w:color w:val="auto"/>
        </w:rPr>
      </w:pPr>
    </w:p>
    <w:p>
      <w:pPr>
        <w:ind w:left="260"/>
        <w:spacing w:after="0"/>
        <w:tabs>
          <w:tab w:leader="none" w:pos="520" w:val="left"/>
        </w:tabs>
        <w:rPr>
          <w:sz w:val="20"/>
          <w:szCs w:val="20"/>
          <w:color w:val="auto"/>
        </w:rPr>
      </w:pPr>
      <w:r>
        <w:rPr>
          <w:rFonts w:ascii="Times New Roman" w:cs="Times New Roman" w:eastAsia="Times New Roman" w:hAnsi="Times New Roman"/>
          <w:sz w:val="15"/>
          <w:szCs w:val="15"/>
          <w:b w:val="1"/>
          <w:bCs w:val="1"/>
          <w:i w:val="1"/>
          <w:iCs w:val="1"/>
          <w:color w:val="auto"/>
        </w:rPr>
        <w:t>B.</w:t>
        <w:tab/>
        <w:t>Who Does the Policy Apply To?</w:t>
      </w:r>
    </w:p>
    <w:p>
      <w:pPr>
        <w:spacing w:after="0" w:line="22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The prohibition against trading on inside information applies to directors, officers and all other domestic and international employees of the Company and its subsidiaries, and to other people who gain access to that information. The prohibition also applies to:</w:t>
      </w:r>
    </w:p>
    <w:p>
      <w:pPr>
        <w:spacing w:after="0" w:line="133" w:lineRule="exact"/>
        <w:rPr>
          <w:sz w:val="20"/>
          <w:szCs w:val="20"/>
          <w:color w:val="auto"/>
        </w:rPr>
      </w:pPr>
    </w:p>
    <w:p>
      <w:pPr>
        <w:ind w:left="5580" w:right="2820" w:hanging="4759"/>
        <w:spacing w:after="0" w:line="410" w:lineRule="auto"/>
        <w:tabs>
          <w:tab w:leader="none" w:pos="1092"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spouses, domestic partners and minor children (even if financially independent) of such employees or directors, and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187960</wp:posOffset>
            </wp:positionV>
            <wp:extent cx="715264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3">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08" w:name="page109"/>
    <w:bookmarkEnd w:id="108"/>
    <w:p>
      <w:pPr>
        <w:ind w:left="820"/>
        <w:spacing w:after="0"/>
        <w:tabs>
          <w:tab w:leader="none" w:pos="1080" w:val="left"/>
        </w:tabs>
        <w:rPr>
          <w:sz w:val="20"/>
          <w:szCs w:val="20"/>
          <w:color w:val="auto"/>
        </w:rPr>
      </w:pPr>
      <w:r>
        <w:rPr>
          <w:rFonts w:ascii="Times New Roman" w:cs="Times New Roman" w:eastAsia="Times New Roman" w:hAnsi="Times New Roman"/>
          <w:sz w:val="15"/>
          <w:szCs w:val="15"/>
          <w:color w:val="auto"/>
        </w:rPr>
        <w:t>b)</w:t>
        <w:tab/>
        <w:t>anyone to whom such employees or directors provide significant financial support.</w:t>
      </w:r>
    </w:p>
    <w:p>
      <w:pPr>
        <w:spacing w:after="0" w:line="19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Further, the prohibition applies to: 1) any account over which employees, directors and the persons listed in a) and b) above have or share the power, directly or indirectly, to make investment decisions (whether or not such persons have a financial interest in the account) and 2) those accounts established or maintained by such persons with their consent or knowledge and in which such persons have a direct or indirect financial interest.</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Because of their access to confidential information on a regular basis, Company policy subjects its directors and certain employees (the “Window Group”) to additional restrictions on trading in Company securities. The restrictions for the Window Group are discussed in Section F below. In addition, directors and certain employees with inside knowledge of material information may be subject to ad hoc restrictions on trading from time to time.</w:t>
      </w:r>
    </w:p>
    <w:p>
      <w:pPr>
        <w:spacing w:after="0" w:line="142" w:lineRule="exact"/>
        <w:rPr>
          <w:sz w:val="20"/>
          <w:szCs w:val="20"/>
          <w:color w:val="auto"/>
        </w:rPr>
      </w:pPr>
    </w:p>
    <w:p>
      <w:pPr>
        <w:ind w:left="260"/>
        <w:spacing w:after="0"/>
        <w:tabs>
          <w:tab w:leader="none" w:pos="520" w:val="left"/>
        </w:tabs>
        <w:rPr>
          <w:sz w:val="20"/>
          <w:szCs w:val="20"/>
          <w:color w:val="auto"/>
        </w:rPr>
      </w:pPr>
      <w:r>
        <w:rPr>
          <w:rFonts w:ascii="Times New Roman" w:cs="Times New Roman" w:eastAsia="Times New Roman" w:hAnsi="Times New Roman"/>
          <w:sz w:val="15"/>
          <w:szCs w:val="15"/>
          <w:b w:val="1"/>
          <w:bCs w:val="1"/>
          <w:i w:val="1"/>
          <w:iCs w:val="1"/>
          <w:color w:val="auto"/>
        </w:rPr>
        <w:t>C.</w:t>
        <w:tab/>
        <w:t>Other Companies’ Stock.</w:t>
      </w:r>
    </w:p>
    <w:p>
      <w:pPr>
        <w:spacing w:after="0" w:line="223"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15"/>
          <w:szCs w:val="15"/>
          <w:color w:val="auto"/>
        </w:rPr>
        <w:t>Employees and directors who learn material information about suppliers, customers, or competitors through their work at the Company, should keep it confidential and not buy or sell stock in such companies until the information becomes public. Employees and directors should not give tips about such stock.</w:t>
      </w:r>
    </w:p>
    <w:p>
      <w:pPr>
        <w:spacing w:after="0" w:line="129" w:lineRule="exact"/>
        <w:rPr>
          <w:sz w:val="20"/>
          <w:szCs w:val="20"/>
          <w:color w:val="auto"/>
        </w:rPr>
      </w:pPr>
    </w:p>
    <w:p>
      <w:pPr>
        <w:ind w:left="260"/>
        <w:spacing w:after="0"/>
        <w:tabs>
          <w:tab w:leader="none" w:pos="520" w:val="left"/>
        </w:tabs>
        <w:rPr>
          <w:sz w:val="20"/>
          <w:szCs w:val="20"/>
          <w:color w:val="auto"/>
        </w:rPr>
      </w:pPr>
      <w:r>
        <w:rPr>
          <w:rFonts w:ascii="Times New Roman" w:cs="Times New Roman" w:eastAsia="Times New Roman" w:hAnsi="Times New Roman"/>
          <w:sz w:val="15"/>
          <w:szCs w:val="15"/>
          <w:b w:val="1"/>
          <w:bCs w:val="1"/>
          <w:i w:val="1"/>
          <w:iCs w:val="1"/>
          <w:color w:val="auto"/>
        </w:rPr>
        <w:t>D.</w:t>
        <w:tab/>
        <w:t>Hedging and Derivatives.</w:t>
      </w:r>
    </w:p>
    <w:p>
      <w:pPr>
        <w:spacing w:after="0" w:line="223"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Employees and directors are prohibited from engaging in any derivative transactions (including transactions involving options, puts, calls, prepaid variable forward contracts, equity swaps, collars and exchange funds or other derivatives) that are designed to hedge or speculate on any change in the market value of the Company’s equity securities. As discussed below, directors and employees are also prohibited from shorting the Company’s stock.</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Trading in options or other derivatives is generally highly speculative and very risky. People who buy options are betting that the stock price will move rapidly. For that reason, when a person trades in options in his or her employer’s stock, it will arouse suspicion in the eyes of the SEC that the person was trading on the basis of inside information, particularly where the trading occurs before a company announcement or major event. It is difficult for an employee or director to prove that he or she did not know about the announcement or event.</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If the SEC or the stock exchanges were to notice active options trading by one or more employees or directors of the Company prior to an announcement, they would investigate. Such an investigation could be embarrassing to the Company (as well as expensive), and could result in severe penalties and expense for the persons involved. For all of these reasons, the Company prohibits its employees and directors from trading in options or other securities involving the Company’s stock. This policy does not pertain to employee stock options granted by the Company. Employee stock options cannot be traded.</w:t>
      </w:r>
    </w:p>
    <w:p>
      <w:pPr>
        <w:spacing w:after="0" w:line="147" w:lineRule="exact"/>
        <w:rPr>
          <w:sz w:val="20"/>
          <w:szCs w:val="20"/>
          <w:color w:val="auto"/>
        </w:rPr>
      </w:pPr>
    </w:p>
    <w:p>
      <w:pPr>
        <w:ind w:left="260"/>
        <w:spacing w:after="0"/>
        <w:tabs>
          <w:tab w:leader="none" w:pos="520" w:val="left"/>
        </w:tabs>
        <w:rPr>
          <w:sz w:val="20"/>
          <w:szCs w:val="20"/>
          <w:color w:val="auto"/>
        </w:rPr>
      </w:pPr>
      <w:r>
        <w:rPr>
          <w:rFonts w:ascii="Times New Roman" w:cs="Times New Roman" w:eastAsia="Times New Roman" w:hAnsi="Times New Roman"/>
          <w:sz w:val="15"/>
          <w:szCs w:val="15"/>
          <w:b w:val="1"/>
          <w:bCs w:val="1"/>
          <w:i w:val="1"/>
          <w:iCs w:val="1"/>
          <w:color w:val="auto"/>
        </w:rPr>
        <w:t>E.</w:t>
        <w:tab/>
        <w:t>Pledging of Securities, Margin Accounts.</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Pledged securities may be sold by the pledgee without the pledgor’s consent under certain conditions. For example, securities held in a margin account may be sold by a broker without the customer’s consent if the customer fails to meet a margin call. Because such a sale may occur at a time when an employee or a director has material inside information or is otherwise not permitted to trade in Company securities, employees and directors are only permitted to pledge Company securities, including by purchasing Company securities on margin or holding Company securities in a margin account, if they obtain prior approval to do so from the Chief Executive Officer (the “CEO”) or the Chief Financial Officer (the “CFO”); provided that, if one of these individuals wishes to pledge Company securities, such pledge shall be subject to prior approval by the other.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09" w:name="page110"/>
    <w:bookmarkEnd w:id="109"/>
    <w:p>
      <w:pPr>
        <w:ind w:left="540" w:hanging="271"/>
        <w:spacing w:after="0"/>
        <w:tabs>
          <w:tab w:leader="none" w:pos="540" w:val="left"/>
        </w:tabs>
        <w:numPr>
          <w:ilvl w:val="0"/>
          <w:numId w:val="36"/>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General Guidelines.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following guidelines should be followed in order to ensure compliance with applicable antifraud laws and with the Company’s policies:</w:t>
      </w:r>
    </w:p>
    <w:p>
      <w:pPr>
        <w:spacing w:after="0" w:line="196" w:lineRule="exact"/>
        <w:rPr>
          <w:sz w:val="20"/>
          <w:szCs w:val="20"/>
          <w:color w:val="auto"/>
        </w:rPr>
      </w:pPr>
    </w:p>
    <w:p>
      <w:pPr>
        <w:ind w:left="820" w:right="20" w:firstLine="278"/>
        <w:spacing w:after="0" w:line="292" w:lineRule="auto"/>
        <w:tabs>
          <w:tab w:leader="none" w:pos="125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Nondisclosure</w:t>
      </w:r>
      <w:r>
        <w:rPr>
          <w:rFonts w:ascii="Times New Roman" w:cs="Times New Roman" w:eastAsia="Times New Roman" w:hAnsi="Times New Roman"/>
          <w:sz w:val="15"/>
          <w:szCs w:val="15"/>
          <w:color w:val="auto"/>
        </w:rPr>
        <w:t>. Material inside information must not be disclosed to anyone, except to persons within the Company whose positions require them to know it. No employee or director should discuss material inside information in public places or in common areas on Company property.</w:t>
      </w:r>
    </w:p>
    <w:p>
      <w:pPr>
        <w:spacing w:after="0" w:line="133" w:lineRule="exact"/>
        <w:rPr>
          <w:rFonts w:ascii="Times New Roman" w:cs="Times New Roman" w:eastAsia="Times New Roman" w:hAnsi="Times New Roman"/>
          <w:sz w:val="15"/>
          <w:szCs w:val="15"/>
          <w:color w:val="auto"/>
        </w:rPr>
      </w:pPr>
    </w:p>
    <w:p>
      <w:pPr>
        <w:jc w:val="both"/>
        <w:ind w:left="820" w:firstLine="278"/>
        <w:spacing w:after="0" w:line="261" w:lineRule="auto"/>
        <w:tabs>
          <w:tab w:leader="none" w:pos="125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Trading in Company Securities</w:t>
      </w:r>
      <w:r>
        <w:rPr>
          <w:rFonts w:ascii="Times New Roman" w:cs="Times New Roman" w:eastAsia="Times New Roman" w:hAnsi="Times New Roman"/>
          <w:sz w:val="15"/>
          <w:szCs w:val="15"/>
          <w:color w:val="auto"/>
        </w:rPr>
        <w:t>. No employee or director may place a purchase or sale order, or recommend that another person place a purchase or sale order in the Company’s securities when he or she has knowledge of material information concerning the Company that has not been disclosed to the public. This includes orders for purchases and sales of stock, convertible securities and other securities (e.g., bonds) and includes increasing or decreasing investment in Company securities through a retirement account. The exercise of employee stock options is not subject to this policy. However, stock that was acquired upon exercise of a stock option will be treated like any other stock, and may not be sold by an employee who is in possession of material inside information. Any employee or director who possesses material inside information should wait until the start of the second business day after the information has been publicly released before trading. There is no exception to this policy, even for hardship to the employee or director or based on the use of proceeds (such as making a mortgage payment or for an emergency expenditure). Transactions in broad-based indices, mutual funds and exchange traded funds, including those that are invested in the Company’s securities as part of a portfolio of stocks, are not subject to this policy.</w:t>
      </w:r>
    </w:p>
    <w:p>
      <w:pPr>
        <w:spacing w:after="0" w:line="342" w:lineRule="exact"/>
        <w:rPr>
          <w:rFonts w:ascii="Times New Roman" w:cs="Times New Roman" w:eastAsia="Times New Roman" w:hAnsi="Times New Roman"/>
          <w:sz w:val="15"/>
          <w:szCs w:val="15"/>
          <w:color w:val="auto"/>
        </w:rPr>
      </w:pPr>
    </w:p>
    <w:p>
      <w:pPr>
        <w:jc w:val="both"/>
        <w:ind w:left="820" w:firstLine="278"/>
        <w:spacing w:after="0" w:line="265" w:lineRule="auto"/>
        <w:tabs>
          <w:tab w:leader="none" w:pos="1261"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Avoid Speculation</w:t>
      </w:r>
      <w:r>
        <w:rPr>
          <w:rFonts w:ascii="Times New Roman" w:cs="Times New Roman" w:eastAsia="Times New Roman" w:hAnsi="Times New Roman"/>
          <w:sz w:val="15"/>
          <w:szCs w:val="15"/>
          <w:color w:val="auto"/>
        </w:rPr>
        <w:t>. Investing in the Company’s common stock or other securities provides an opportunity to share in the future growth of the Company. But investment in the Company and sharing in the growth of the Company does not mean short range speculation based on fluctuations in the market. Such activities put the personal gain of the employee or director in conflict with the best interests of the Company and its stockholders. Although this policy does not mean that employees or directors may never sell shares, the Company encourages employees and directors to avoid frequent trading in Company stock. Speculating in Company stock is not part of the Company culture.</w:t>
      </w:r>
    </w:p>
    <w:p>
      <w:pPr>
        <w:spacing w:after="0" w:line="153" w:lineRule="exact"/>
        <w:rPr>
          <w:rFonts w:ascii="Times New Roman" w:cs="Times New Roman" w:eastAsia="Times New Roman" w:hAnsi="Times New Roman"/>
          <w:sz w:val="15"/>
          <w:szCs w:val="15"/>
          <w:color w:val="auto"/>
        </w:rPr>
      </w:pPr>
    </w:p>
    <w:p>
      <w:pPr>
        <w:jc w:val="both"/>
        <w:ind w:left="820" w:firstLine="278"/>
        <w:spacing w:after="0" w:line="265" w:lineRule="auto"/>
        <w:tabs>
          <w:tab w:leader="none" w:pos="1250"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Trading in Other Securities</w:t>
      </w:r>
      <w:r>
        <w:rPr>
          <w:rFonts w:ascii="Times New Roman" w:cs="Times New Roman" w:eastAsia="Times New Roman" w:hAnsi="Times New Roman"/>
          <w:sz w:val="15"/>
          <w:szCs w:val="15"/>
          <w:color w:val="auto"/>
        </w:rPr>
        <w:t>. No employee or director should place a purchase or sale order (including investment through a retirement account), or recommend that another person place a purchase or sale order, in the securities of another corporation, if the employee or director learns in the course of his or her employment confidential information about the other corporation that is likely to affect the value of those securities. For example, it would be a violation of the securities laws if an employee or director learned through Company sources that the Company intended to purchase assets from a company, and then placed an order to buy or sell stock in that other company because of the likely increase or decrease in the value of its securities.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110" w:name="page111"/>
    <w:bookmarkEnd w:id="110"/>
    <w:p>
      <w:pPr>
        <w:jc w:val="both"/>
        <w:ind w:left="828" w:firstLine="278"/>
        <w:spacing w:after="0" w:line="268" w:lineRule="auto"/>
        <w:tabs>
          <w:tab w:leader="none" w:pos="1281" w:val="left"/>
        </w:tabs>
        <w:numPr>
          <w:ilvl w:val="1"/>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Restrictions on the Window Group</w:t>
      </w:r>
      <w:r>
        <w:rPr>
          <w:rFonts w:ascii="Times New Roman" w:cs="Times New Roman" w:eastAsia="Times New Roman" w:hAnsi="Times New Roman"/>
          <w:sz w:val="15"/>
          <w:szCs w:val="15"/>
          <w:color w:val="auto"/>
        </w:rPr>
        <w:t>. The Window Group consists of (i) directors and executive officers of the Company and their assistants and household members, (ii) such other persons as may be designated from time to time and informed of such status by the CEO or CFO. The Window Group is subject to the following restrictions on trading in Company securities in addition to those set forth above, with effect from the tenth business day after the pricing of the initial public offering of the Company’s common stock:</w:t>
      </w:r>
    </w:p>
    <w:p>
      <w:pPr>
        <w:spacing w:after="0" w:line="150" w:lineRule="exact"/>
        <w:rPr>
          <w:rFonts w:ascii="Times New Roman" w:cs="Times New Roman" w:eastAsia="Times New Roman" w:hAnsi="Times New Roman"/>
          <w:sz w:val="15"/>
          <w:szCs w:val="15"/>
          <w:color w:val="auto"/>
        </w:rPr>
      </w:pPr>
    </w:p>
    <w:p>
      <w:pPr>
        <w:ind w:left="1108" w:right="20" w:hanging="279"/>
        <w:spacing w:after="0" w:line="292" w:lineRule="auto"/>
        <w:tabs>
          <w:tab w:leader="none" w:pos="1108"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trading is permitted from the start of the second business day following an earnings release with respect to the preceding fiscal quarter until the first business day of the of the last month of the current fiscal quarter (the “Window”), subject to the restrictions below;</w:t>
      </w:r>
    </w:p>
    <w:p>
      <w:pPr>
        <w:spacing w:after="0" w:line="133" w:lineRule="exact"/>
        <w:rPr>
          <w:rFonts w:ascii="Times New Roman" w:cs="Times New Roman" w:eastAsia="Times New Roman" w:hAnsi="Times New Roman"/>
          <w:sz w:val="15"/>
          <w:szCs w:val="15"/>
          <w:color w:val="auto"/>
        </w:rPr>
      </w:pPr>
    </w:p>
    <w:p>
      <w:pPr>
        <w:ind w:left="1108" w:hanging="279"/>
        <w:spacing w:after="0"/>
        <w:tabs>
          <w:tab w:leader="none" w:pos="1108"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trades are subject to prior review by the Company’s CEO or CFO;</w:t>
      </w:r>
    </w:p>
    <w:p>
      <w:pPr>
        <w:spacing w:after="0" w:line="196" w:lineRule="exact"/>
        <w:rPr>
          <w:rFonts w:ascii="Times New Roman" w:cs="Times New Roman" w:eastAsia="Times New Roman" w:hAnsi="Times New Roman"/>
          <w:sz w:val="15"/>
          <w:szCs w:val="15"/>
          <w:color w:val="auto"/>
        </w:rPr>
      </w:pPr>
    </w:p>
    <w:p>
      <w:pPr>
        <w:ind w:left="1108" w:hanging="279"/>
        <w:spacing w:after="0" w:line="292" w:lineRule="auto"/>
        <w:tabs>
          <w:tab w:leader="none" w:pos="1108"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clearance for all trades must be obtained from either the Company’s CEO or CFO; provided that, if one of these individuals wishes to trade, it shall be subject to prior approval by the other;</w:t>
      </w:r>
    </w:p>
    <w:p>
      <w:pPr>
        <w:spacing w:after="0" w:line="133" w:lineRule="exact"/>
        <w:rPr>
          <w:rFonts w:ascii="Times New Roman" w:cs="Times New Roman" w:eastAsia="Times New Roman" w:hAnsi="Times New Roman"/>
          <w:sz w:val="15"/>
          <w:szCs w:val="15"/>
          <w:color w:val="auto"/>
        </w:rPr>
      </w:pPr>
    </w:p>
    <w:p>
      <w:pPr>
        <w:ind w:left="1108" w:hanging="279"/>
        <w:spacing w:after="0" w:line="292" w:lineRule="auto"/>
        <w:tabs>
          <w:tab w:leader="none" w:pos="1108"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trading is permitted outside the Window except for reasons of exceptional personal hardship and subject to prior approval by the CEO and CFO; provided that, if one of these individuals wishes to trade outside the Window, it shall be subject to prior approval by the other; and</w:t>
      </w:r>
    </w:p>
    <w:p>
      <w:pPr>
        <w:spacing w:after="0" w:line="133" w:lineRule="exact"/>
        <w:rPr>
          <w:rFonts w:ascii="Times New Roman" w:cs="Times New Roman" w:eastAsia="Times New Roman" w:hAnsi="Times New Roman"/>
          <w:sz w:val="15"/>
          <w:szCs w:val="15"/>
          <w:color w:val="auto"/>
        </w:rPr>
      </w:pPr>
    </w:p>
    <w:p>
      <w:pPr>
        <w:ind w:left="1108" w:hanging="279"/>
        <w:spacing w:after="0"/>
        <w:tabs>
          <w:tab w:leader="none" w:pos="1108"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individuals in the Window Group are also subject to the general restrictions on all employees.</w:t>
      </w:r>
    </w:p>
    <w:p>
      <w:pPr>
        <w:spacing w:after="0" w:line="196" w:lineRule="exact"/>
        <w:rPr>
          <w:sz w:val="20"/>
          <w:szCs w:val="20"/>
          <w:color w:val="auto"/>
        </w:rPr>
      </w:pPr>
    </w:p>
    <w:p>
      <w:pPr>
        <w:jc w:val="both"/>
        <w:ind w:left="8" w:right="20"/>
        <w:spacing w:after="0" w:line="274" w:lineRule="auto"/>
        <w:rPr>
          <w:sz w:val="20"/>
          <w:szCs w:val="20"/>
          <w:color w:val="auto"/>
        </w:rPr>
      </w:pPr>
      <w:r>
        <w:rPr>
          <w:rFonts w:ascii="Times New Roman" w:cs="Times New Roman" w:eastAsia="Times New Roman" w:hAnsi="Times New Roman"/>
          <w:sz w:val="15"/>
          <w:szCs w:val="15"/>
          <w:color w:val="auto"/>
        </w:rPr>
        <w:t>Note that at times the CEO and CFO may determine that no trades may occur even during the Window when clearance is requested. This may occur as a result of a pending business transaction, a cyber-breach, or any material development that has not yet been publicly disclosed. No reasons may be provided and the closing of the Window may itself constitute material inside information that should not be communicated.</w:t>
      </w:r>
    </w:p>
    <w:p>
      <w:pPr>
        <w:spacing w:after="0" w:line="142" w:lineRule="exact"/>
        <w:rPr>
          <w:sz w:val="20"/>
          <w:szCs w:val="20"/>
          <w:color w:val="auto"/>
        </w:rPr>
      </w:pPr>
    </w:p>
    <w:p>
      <w:pPr>
        <w:ind w:left="268"/>
        <w:spacing w:after="0"/>
        <w:tabs>
          <w:tab w:leader="none" w:pos="527" w:val="left"/>
        </w:tabs>
        <w:rPr>
          <w:sz w:val="20"/>
          <w:szCs w:val="20"/>
          <w:color w:val="auto"/>
        </w:rPr>
      </w:pPr>
      <w:r>
        <w:rPr>
          <w:rFonts w:ascii="Times New Roman" w:cs="Times New Roman" w:eastAsia="Times New Roman" w:hAnsi="Times New Roman"/>
          <w:sz w:val="15"/>
          <w:szCs w:val="15"/>
          <w:b w:val="1"/>
          <w:bCs w:val="1"/>
          <w:i w:val="1"/>
          <w:iCs w:val="1"/>
          <w:color w:val="auto"/>
        </w:rPr>
        <w:t>G.</w:t>
        <w:tab/>
        <w:t>10b5-1 Plans.</w:t>
      </w:r>
    </w:p>
    <w:p>
      <w:pPr>
        <w:spacing w:after="0" w:line="223" w:lineRule="exact"/>
        <w:rPr>
          <w:sz w:val="20"/>
          <w:szCs w:val="20"/>
          <w:color w:val="auto"/>
        </w:rPr>
      </w:pPr>
    </w:p>
    <w:p>
      <w:pPr>
        <w:jc w:val="both"/>
        <w:ind w:left="8"/>
        <w:spacing w:after="0" w:line="274" w:lineRule="auto"/>
        <w:rPr>
          <w:sz w:val="20"/>
          <w:szCs w:val="20"/>
          <w:color w:val="auto"/>
        </w:rPr>
      </w:pPr>
      <w:r>
        <w:rPr>
          <w:rFonts w:ascii="Times New Roman" w:cs="Times New Roman" w:eastAsia="Times New Roman" w:hAnsi="Times New Roman"/>
          <w:sz w:val="15"/>
          <w:szCs w:val="15"/>
          <w:color w:val="auto"/>
        </w:rPr>
        <w:t>The foregoing Window Group restrictions do not apply to transactions pursuant to written plans for trading securities that comply with Rule 10b5-1 under the Exchange Act (“10b5-1 Plans”). However, Window Group members may not enter into, amend or terminate a 10b5-1 Plan relating to Company securities without the prior approval of the CEO or CFO, which will only be given during a Window period and only if the Window Group member does not have knowledge of material nonpublic information. In general:</w:t>
      </w:r>
    </w:p>
    <w:p>
      <w:pPr>
        <w:spacing w:after="0" w:line="146" w:lineRule="exact"/>
        <w:rPr>
          <w:sz w:val="20"/>
          <w:szCs w:val="20"/>
          <w:color w:val="auto"/>
        </w:rPr>
      </w:pPr>
    </w:p>
    <w:p>
      <w:pPr>
        <w:ind w:left="268" w:hanging="268"/>
        <w:spacing w:after="0"/>
        <w:tabs>
          <w:tab w:leader="none" w:pos="268"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10b5-1 Plan must either specify the amount, pricing and timing of any trades in advance, or delegate discretion on these matters to an independent third party;</w:t>
      </w:r>
    </w:p>
    <w:p>
      <w:pPr>
        <w:spacing w:after="0" w:line="196" w:lineRule="exact"/>
        <w:rPr>
          <w:rFonts w:ascii="Times New Roman" w:cs="Times New Roman" w:eastAsia="Times New Roman" w:hAnsi="Times New Roman"/>
          <w:sz w:val="15"/>
          <w:szCs w:val="15"/>
          <w:color w:val="auto"/>
        </w:rPr>
      </w:pPr>
    </w:p>
    <w:p>
      <w:pPr>
        <w:ind w:left="268" w:right="20" w:hanging="268"/>
        <w:spacing w:after="0" w:line="292" w:lineRule="auto"/>
        <w:tabs>
          <w:tab w:leader="none" w:pos="268"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once a 10b5-1 Plan is adopted, a Window Group member must not exercise any influence over the amount of securities to be traded, the price at which they are traded or the date of any trade;</w:t>
      </w:r>
    </w:p>
    <w:p>
      <w:pPr>
        <w:spacing w:after="0" w:line="133" w:lineRule="exact"/>
        <w:rPr>
          <w:rFonts w:ascii="Times New Roman" w:cs="Times New Roman" w:eastAsia="Times New Roman" w:hAnsi="Times New Roman"/>
          <w:sz w:val="15"/>
          <w:szCs w:val="15"/>
          <w:color w:val="auto"/>
        </w:rPr>
      </w:pPr>
    </w:p>
    <w:p>
      <w:pPr>
        <w:ind w:left="268" w:right="20" w:hanging="268"/>
        <w:spacing w:after="0" w:line="292" w:lineRule="auto"/>
        <w:tabs>
          <w:tab w:leader="none" w:pos="268"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10b5-1 Plan meets the requirements above and all other requirements of SEC Rule 10b5-1, trades may be made pursuant to such 10b5-1 Plan without regard to insider trading restrictions; and</w:t>
      </w:r>
    </w:p>
    <w:p>
      <w:pPr>
        <w:spacing w:after="0" w:line="133"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comply with this Policy, any Window Group member who wants to implement a 10b5-1 Plan must have it approved in advance in writing by the CEO or CFO.</w:t>
      </w:r>
    </w:p>
    <w:p>
      <w:pPr>
        <w:spacing w:after="0" w:line="192" w:lineRule="exact"/>
        <w:rPr>
          <w:rFonts w:ascii="Times New Roman" w:cs="Times New Roman" w:eastAsia="Times New Roman" w:hAnsi="Times New Roman"/>
          <w:sz w:val="15"/>
          <w:szCs w:val="15"/>
          <w:color w:val="auto"/>
        </w:rPr>
      </w:pPr>
    </w:p>
    <w:p>
      <w:pPr>
        <w:ind w:left="26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H.  Applicability of U.S. Securities Laws to International Transactions.</w:t>
      </w:r>
    </w:p>
    <w:p>
      <w:pPr>
        <w:spacing w:after="0" w:line="223"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5"/>
          <w:szCs w:val="15"/>
          <w:color w:val="auto"/>
        </w:rPr>
        <w:t>All employees of the Company’ and its subsidiaries are subject to the restrictions on trading in Company securities and the securities of other companies. The U.S. securities laws may be applicable to trades in the Company’s securities executed outside the U.S., as well as to the securities of the Company’s subsidiaries or affiliates, even if they are located outside the United States. Transactions involving securities of subsidiaries or affiliates should be carefully reviewed by counsel for compliance not only with local law but also for possible application of U.S. securities laws.</w:t>
      </w:r>
    </w:p>
    <w:p>
      <w:pPr>
        <w:spacing w:after="0" w:line="15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5264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6">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609"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5"/>
          <w:szCs w:val="15"/>
          <w:b w:val="1"/>
          <w:bCs w:val="1"/>
          <w:color w:val="auto"/>
        </w:rPr>
        <w:t>III. OTHER LIMITATIONS ON SECURITIES TRANSACTIONS</w:t>
      </w:r>
    </w:p>
    <w:p>
      <w:pPr>
        <w:spacing w:after="0" w:line="219" w:lineRule="exact"/>
        <w:rPr>
          <w:sz w:val="20"/>
          <w:szCs w:val="20"/>
          <w:color w:val="auto"/>
        </w:rPr>
      </w:pPr>
    </w:p>
    <w:p>
      <w:pPr>
        <w:ind w:left="260"/>
        <w:spacing w:after="0"/>
        <w:tabs>
          <w:tab w:leader="none" w:pos="520" w:val="left"/>
        </w:tabs>
        <w:rPr>
          <w:sz w:val="20"/>
          <w:szCs w:val="20"/>
          <w:color w:val="auto"/>
        </w:rPr>
      </w:pPr>
      <w:r>
        <w:rPr>
          <w:rFonts w:ascii="Times New Roman" w:cs="Times New Roman" w:eastAsia="Times New Roman" w:hAnsi="Times New Roman"/>
          <w:sz w:val="15"/>
          <w:szCs w:val="15"/>
          <w:b w:val="1"/>
          <w:bCs w:val="1"/>
          <w:i w:val="1"/>
          <w:iCs w:val="1"/>
          <w:color w:val="auto"/>
        </w:rPr>
        <w:t>A.</w:t>
        <w:tab/>
        <w:t>Public Resales – Rule 144.</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The U.S. Securities Act (the “Securities Act”) requires every person who offers or sells a security to register such transaction with the SEC unless an exemption from registration is available. Rule 144 under the Securities Act is the exemption typically relied upon for (i) public resales by any person of “restricted securities”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unregistered securities acquired in a private offering or sale) and (ii) public resales by directors, officers and other control persons of a company (known as “affiliates”) of any of the Company’s securities, whether restricted or unrestricted.</w:t>
      </w:r>
    </w:p>
    <w:p>
      <w:pPr>
        <w:spacing w:after="0" w:line="15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5"/>
          <w:szCs w:val="15"/>
          <w:color w:val="auto"/>
        </w:rPr>
        <w:t>The exemption in Rule 144 may only be relied upon if certain conditions are met. These conditions vary based upon whether the Company has been subject to the SEC’s reporting requirements for 90 days (and is therefore a “reporting company” for purposes of the rule) and whether the person seeking to sell the securities is an affiliate or not. Application of the rule is complex and Company employees and directors should not make a sale of Company securities in reliance on Rule 144 without obtaining the approval of the CEO or CFO, who may require the employee or director to obtain an outside legal opinion satisfactory to the CEO or CFO concluding that the proposed sale qualifies for the Rule 144 exemption.</w:t>
      </w:r>
    </w:p>
    <w:p>
      <w:pPr>
        <w:spacing w:after="0" w:line="151" w:lineRule="exact"/>
        <w:rPr>
          <w:sz w:val="20"/>
          <w:szCs w:val="20"/>
          <w:color w:val="auto"/>
        </w:rPr>
      </w:pPr>
    </w:p>
    <w:p>
      <w:pPr>
        <w:jc w:val="both"/>
        <w:ind w:left="540" w:firstLine="558"/>
        <w:spacing w:after="0" w:line="265" w:lineRule="auto"/>
        <w:tabs>
          <w:tab w:leader="none" w:pos="1258"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Holding Period</w:t>
      </w:r>
      <w:r>
        <w:rPr>
          <w:rFonts w:ascii="Times New Roman" w:cs="Times New Roman" w:eastAsia="Times New Roman" w:hAnsi="Times New Roman"/>
          <w:sz w:val="15"/>
          <w:szCs w:val="15"/>
          <w:color w:val="auto"/>
        </w:rPr>
        <w:t>. Restricted securities issued by a reporting company (i.e., a company that has been subject to the SEC’s reporting requirements for at least 90 days) must be held and fully paid for a period of six months prior to their sale. Restricted securities issued by a non-reporting company are subject to a one-year holding period. The holding period requirement does not apply to securities held by affiliates that were acquired either in the open market or in a public offering of securities registered under the Securities Act. Generally, if the seller acquired the securities from someone other than the Company or an affiliate of the Company, the holding period of the person from whom the seller acquired such securities can be “tacked” to the seller’s holding period in determining if the holding period has been satisfied.</w:t>
      </w:r>
    </w:p>
    <w:p>
      <w:pPr>
        <w:spacing w:after="0" w:line="153" w:lineRule="exact"/>
        <w:rPr>
          <w:rFonts w:ascii="Times New Roman" w:cs="Times New Roman" w:eastAsia="Times New Roman" w:hAnsi="Times New Roman"/>
          <w:sz w:val="15"/>
          <w:szCs w:val="15"/>
          <w:color w:val="auto"/>
        </w:rPr>
      </w:pPr>
    </w:p>
    <w:p>
      <w:pPr>
        <w:jc w:val="both"/>
        <w:ind w:left="540" w:firstLine="558"/>
        <w:spacing w:after="0" w:line="268" w:lineRule="auto"/>
        <w:tabs>
          <w:tab w:leader="none" w:pos="1246"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Current Public Information</w:t>
      </w:r>
      <w:r>
        <w:rPr>
          <w:rFonts w:ascii="Times New Roman" w:cs="Times New Roman" w:eastAsia="Times New Roman" w:hAnsi="Times New Roman"/>
          <w:sz w:val="15"/>
          <w:szCs w:val="15"/>
          <w:color w:val="auto"/>
        </w:rPr>
        <w:t>. Current information about the Company must be publicly available before the sale can be made. The Company’s periodic reports filed with the SEC ordinarily satisfy this requirement. If the seller is not an affiliate of the Company issuing the securities (and has not been an affiliate for at least three months) and one year has passed since the securities were acquired from the issuer or an affiliate of the issuer (whichever is later), the seller can sell the securities without regard to the current public information requirement.</w:t>
      </w:r>
    </w:p>
    <w:p>
      <w:pPr>
        <w:spacing w:after="0" w:line="151" w:lineRule="exact"/>
        <w:rPr>
          <w:sz w:val="20"/>
          <w:szCs w:val="20"/>
          <w:color w:val="auto"/>
        </w:rPr>
      </w:pPr>
    </w:p>
    <w:p>
      <w:pPr>
        <w:ind w:left="540" w:firstLine="553"/>
        <w:spacing w:after="0" w:line="292" w:lineRule="auto"/>
        <w:rPr>
          <w:sz w:val="20"/>
          <w:szCs w:val="20"/>
          <w:color w:val="auto"/>
        </w:rPr>
      </w:pPr>
      <w:r>
        <w:rPr>
          <w:rFonts w:ascii="Times New Roman" w:cs="Times New Roman" w:eastAsia="Times New Roman" w:hAnsi="Times New Roman"/>
          <w:sz w:val="15"/>
          <w:szCs w:val="15"/>
          <w:color w:val="auto"/>
        </w:rPr>
        <w:t>Rule 144 also imposes the following additional conditions on sales by persons who are “affiliates.” A person or entity is considered an “affiliate,” and therefore subject to these additional conditions, if it is currently an affiliate or has been an affiliate within the previous three months:</w:t>
      </w:r>
    </w:p>
    <w:p>
      <w:pPr>
        <w:spacing w:after="0" w:line="133" w:lineRule="exact"/>
        <w:rPr>
          <w:sz w:val="20"/>
          <w:szCs w:val="20"/>
          <w:color w:val="auto"/>
        </w:rPr>
      </w:pPr>
    </w:p>
    <w:p>
      <w:pPr>
        <w:jc w:val="both"/>
        <w:ind w:left="540" w:right="20" w:firstLine="558"/>
        <w:spacing w:after="0" w:line="265" w:lineRule="auto"/>
        <w:tabs>
          <w:tab w:leader="none" w:pos="1258"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Volume Limitations</w:t>
      </w:r>
      <w:r>
        <w:rPr>
          <w:rFonts w:ascii="Times New Roman" w:cs="Times New Roman" w:eastAsia="Times New Roman" w:hAnsi="Times New Roman"/>
          <w:sz w:val="15"/>
          <w:szCs w:val="15"/>
          <w:color w:val="auto"/>
        </w:rPr>
        <w:t>. The amount of debt securities that can be sold by an affiliate and by certain persons associated with the affiliate during any three-month period cannot exceed 10% of a tranche (or class when the securities are non-participatory preferred stock), together with all sales of securities of the same tranche sold for the account of the affiliate. The amount of equity securities that can be sold by an affiliate during any three-month period cannot exceed the greater of (i) one percent of the outstanding shares of the class or (ii) the average weekly reported trading volume for shares of the class during the four calendar weeks preceding the time the order to sell is received by the broker or executed directly with a market maker.</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5" w:right="319" w:bottom="1440" w:gutter="0" w:footer="0" w:header="0"/>
        </w:sectPr>
      </w:pPr>
    </w:p>
    <w:bookmarkStart w:id="112" w:name="page113"/>
    <w:bookmarkEnd w:id="112"/>
    <w:p>
      <w:pPr>
        <w:ind w:left="540" w:firstLine="558"/>
        <w:spacing w:after="0" w:line="266" w:lineRule="auto"/>
        <w:tabs>
          <w:tab w:leader="none" w:pos="126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Manner of Sale</w:t>
      </w:r>
      <w:r>
        <w:rPr>
          <w:rFonts w:ascii="Times New Roman" w:cs="Times New Roman" w:eastAsia="Times New Roman" w:hAnsi="Times New Roman"/>
          <w:sz w:val="15"/>
          <w:szCs w:val="15"/>
          <w:color w:val="auto"/>
        </w:rPr>
        <w:t>. Equity securities held by affiliates must be sold in unsolicited brokers’ transactions, directly to a market-maker or in riskless principal transactions.</w:t>
      </w:r>
    </w:p>
    <w:p>
      <w:pPr>
        <w:spacing w:after="0" w:line="361" w:lineRule="exact"/>
        <w:rPr>
          <w:rFonts w:ascii="Times New Roman" w:cs="Times New Roman" w:eastAsia="Times New Roman" w:hAnsi="Times New Roman"/>
          <w:sz w:val="15"/>
          <w:szCs w:val="15"/>
          <w:color w:val="auto"/>
        </w:rPr>
      </w:pPr>
    </w:p>
    <w:p>
      <w:pPr>
        <w:ind w:left="540" w:firstLine="558"/>
        <w:spacing w:after="0" w:line="292" w:lineRule="auto"/>
        <w:tabs>
          <w:tab w:leader="none" w:pos="1246"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Notice of Sale</w:t>
      </w:r>
      <w:r>
        <w:rPr>
          <w:rFonts w:ascii="Times New Roman" w:cs="Times New Roman" w:eastAsia="Times New Roman" w:hAnsi="Times New Roman"/>
          <w:sz w:val="15"/>
          <w:szCs w:val="15"/>
          <w:color w:val="auto"/>
        </w:rPr>
        <w:t>. An affiliate seller must file a notice of the proposed sale with the SEC at the time the order to sell is placed with the broker, unless the amount to be sold neither exceeds 5,000 shares nor involves sale proceeds greater than $50,000. See “Filing Requirements”.</w:t>
      </w:r>
    </w:p>
    <w:p>
      <w:pPr>
        <w:spacing w:after="0" w:line="129"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5"/>
          <w:szCs w:val="15"/>
          <w:i w:val="1"/>
          <w:iCs w:val="1"/>
          <w:color w:val="auto"/>
        </w:rPr>
        <w:t xml:space="preserve">Bona fide </w:t>
      </w:r>
      <w:r>
        <w:rPr>
          <w:rFonts w:ascii="Times New Roman" w:cs="Times New Roman" w:eastAsia="Times New Roman" w:hAnsi="Times New Roman"/>
          <w:sz w:val="15"/>
          <w:szCs w:val="15"/>
          <w:color w:val="auto"/>
        </w:rPr>
        <w:t>gifts are not deemed to involve sales of shares for purposes of Rule 144, so they can be made at any time without limitation on the amount of the gift. Donees who receive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restricted securities from an affiliate generally will be subject to the same restrictions under Rule 144 that would have applied to the donor, depending on the circumstances.</w:t>
      </w:r>
    </w:p>
    <w:p>
      <w:pPr>
        <w:spacing w:after="0" w:line="124" w:lineRule="exact"/>
        <w:rPr>
          <w:sz w:val="20"/>
          <w:szCs w:val="20"/>
          <w:color w:val="auto"/>
        </w:rPr>
      </w:pPr>
    </w:p>
    <w:p>
      <w:pPr>
        <w:ind w:left="260"/>
        <w:spacing w:after="0"/>
        <w:tabs>
          <w:tab w:leader="none" w:pos="520" w:val="left"/>
        </w:tabs>
        <w:rPr>
          <w:sz w:val="20"/>
          <w:szCs w:val="20"/>
          <w:color w:val="auto"/>
        </w:rPr>
      </w:pPr>
      <w:r>
        <w:rPr>
          <w:rFonts w:ascii="Times New Roman" w:cs="Times New Roman" w:eastAsia="Times New Roman" w:hAnsi="Times New Roman"/>
          <w:sz w:val="15"/>
          <w:szCs w:val="15"/>
          <w:b w:val="1"/>
          <w:bCs w:val="1"/>
          <w:i w:val="1"/>
          <w:iCs w:val="1"/>
          <w:color w:val="auto"/>
        </w:rPr>
        <w:t>B.</w:t>
        <w:tab/>
        <w:t>Private Resales.</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Directors and officers also may sell securities in a private transaction without registration pursuant to Section 4(a)(7) of the Securities Act, which allows resales of shares of reporting companies to accredited investors, provided that the sale is not solicited by any form of general solicitation or advertising . There are a number of additional requirements, including that the seller and persons participating in the sale on a remunerated basis are not “bad actors” under Rule 506(d)(1) of Regulation D or otherwise subject to certain statutory disqualifications; the Company is engaged in a business and not in bankruptcy; and the securities offered have been outstanding for at least 90 days and are not part of an unsold underwriter’s allotment. Private resales must be reviewed in advance by the Company’s CEO or CFO and may require the participation of outside counsel.</w:t>
      </w:r>
    </w:p>
    <w:p>
      <w:pPr>
        <w:spacing w:after="0" w:line="149" w:lineRule="exact"/>
        <w:rPr>
          <w:sz w:val="20"/>
          <w:szCs w:val="20"/>
          <w:color w:val="auto"/>
        </w:rPr>
      </w:pPr>
    </w:p>
    <w:p>
      <w:pPr>
        <w:ind w:left="260"/>
        <w:spacing w:after="0"/>
        <w:tabs>
          <w:tab w:leader="none" w:pos="520" w:val="left"/>
        </w:tabs>
        <w:rPr>
          <w:sz w:val="20"/>
          <w:szCs w:val="20"/>
          <w:color w:val="auto"/>
        </w:rPr>
      </w:pPr>
      <w:r>
        <w:rPr>
          <w:rFonts w:ascii="Times New Roman" w:cs="Times New Roman" w:eastAsia="Times New Roman" w:hAnsi="Times New Roman"/>
          <w:sz w:val="15"/>
          <w:szCs w:val="15"/>
          <w:b w:val="1"/>
          <w:bCs w:val="1"/>
          <w:i w:val="1"/>
          <w:iCs w:val="1"/>
          <w:color w:val="auto"/>
        </w:rPr>
        <w:t>C.</w:t>
        <w:tab/>
        <w:t>Restrictions on Purchases of Company Securities.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In order to prevent market manipulation, the SEC adopted Regulation M under the U.S. Exchange Act. Regulation M generally restricts the Company or any of its affiliates from buying Company stock, including as part of a share buyback program, in the open market during certain periods while a distribution, such as a public offering, is taking place. You should consult with the Company’s CEO or CFO if you desire to make purchases of Company stock during any period in which the Company is conducting an offering. Similar considerations may apply during period when the Company is conducting or has announced a tender offer.</w:t>
      </w:r>
    </w:p>
    <w:p>
      <w:pPr>
        <w:spacing w:after="0" w:line="147" w:lineRule="exact"/>
        <w:rPr>
          <w:sz w:val="20"/>
          <w:szCs w:val="20"/>
          <w:color w:val="auto"/>
        </w:rPr>
      </w:pPr>
    </w:p>
    <w:p>
      <w:pPr>
        <w:ind w:left="260"/>
        <w:spacing w:after="0"/>
        <w:tabs>
          <w:tab w:leader="none" w:pos="520" w:val="left"/>
        </w:tabs>
        <w:rPr>
          <w:sz w:val="20"/>
          <w:szCs w:val="20"/>
          <w:color w:val="auto"/>
        </w:rPr>
      </w:pPr>
      <w:r>
        <w:rPr>
          <w:rFonts w:ascii="Times New Roman" w:cs="Times New Roman" w:eastAsia="Times New Roman" w:hAnsi="Times New Roman"/>
          <w:sz w:val="15"/>
          <w:szCs w:val="15"/>
          <w:b w:val="1"/>
          <w:bCs w:val="1"/>
          <w:i w:val="1"/>
          <w:iCs w:val="1"/>
          <w:color w:val="auto"/>
        </w:rPr>
        <w:t>D.</w:t>
        <w:tab/>
        <w:t>Disgorgement of Profits on Short-Swing Transactions – Section 16(b).</w:t>
      </w:r>
    </w:p>
    <w:p>
      <w:pPr>
        <w:spacing w:after="0" w:line="2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Section 16 of the 1934 Act applies to directors and officers of the Company and to any person owning more than ten percent of any registered class of the Company’s equity securities. The section is intended to deter such persons (collectively referred to below as “insiders”) from misusing confidential information about their companies for personal trading gain. Section 16(a) requires insiders to publicly disclose any changes in their beneficial ownership of the Company’s equity securities (see “Filing Requirements”, below). Section 16(b) requires insiders to disgorge to the Company any “profit” resulting from “short-swing” trades, as discussed more fully below. Section 16(c) effectively prohibits insiders from engaging in short sales (see “Prohibition of Short Sales”, below).</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8">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8" w:right="319" w:bottom="1440" w:gutter="0" w:footer="0" w:header="0"/>
        </w:sectPr>
      </w:pPr>
    </w:p>
    <w:bookmarkStart w:id="113" w:name="page114"/>
    <w:bookmarkEnd w:id="113"/>
    <w:p>
      <w:pPr>
        <w:jc w:val="both"/>
        <w:spacing w:after="0" w:line="277" w:lineRule="auto"/>
        <w:rPr>
          <w:sz w:val="20"/>
          <w:szCs w:val="20"/>
          <w:color w:val="auto"/>
        </w:rPr>
      </w:pPr>
      <w:r>
        <w:rPr>
          <w:rFonts w:ascii="Times New Roman" w:cs="Times New Roman" w:eastAsia="Times New Roman" w:hAnsi="Times New Roman"/>
          <w:sz w:val="15"/>
          <w:szCs w:val="15"/>
          <w:color w:val="auto"/>
        </w:rPr>
        <w:t>Under Section 16(b), any profit realized by an insider on a “short-swing” transaction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a purchase and sale, or sale and purchase, of the Company’s equity securities within a period of less than six months) must be disgorged to the Company upon demand by the Company or a stockholder acting on its behalf. By law, the Company cannot waive or release any claim it may have under Section 16(b), or enter into an enforceable agreement to provide indemnification for amounts recovered under the section.</w:t>
      </w:r>
    </w:p>
    <w:p>
      <w:pPr>
        <w:spacing w:after="0" w:line="14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5"/>
          <w:szCs w:val="15"/>
          <w:color w:val="auto"/>
        </w:rPr>
        <w:t>Liability under Section 16(b) is imposed in a mechanical fashion without regard to whether the insider intended to violate the section. Good faith, therefore, is generally not a defense. All that is necessary for a successful claim is to show that the insider realized “profits” on a short-swing transaction; however, profit, for this purpose, is calculated as the difference between the sale price and the purchase price in the matching transactions, and may be unrelated to the actual gain on the shares sold. When computing recoverable profits on multiple purchases and sales within a six-month period, the courts maximize the recovery by matching the lowest purchase price with the highest sale price, the next lowest purchase price with the next highest sale price, and so on. The use of this method makes it possible for an insider to sustain a net loss on a series of transactions while having recoverable profits.</w:t>
      </w:r>
    </w:p>
    <w:p>
      <w:pPr>
        <w:spacing w:after="0" w:line="153"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5"/>
          <w:szCs w:val="15"/>
          <w:color w:val="auto"/>
        </w:rPr>
        <w:t>The terms “purchase” and “sale” are construed under Section 16(b) to cover a broad range of transactions, including acquisitions and dispositions in tender offers, certain corporate reorganizations and transactions in convertible or derivative securities (such as stock options and stock appreciation rights). Moreover, purchases and sales by an insider may be matched with transactions by any person (such as certain family members or a family trust) whose securities are deemed to be beneficially owned by the insider.</w:t>
      </w:r>
    </w:p>
    <w:p>
      <w:pPr>
        <w:spacing w:after="0" w:line="14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5"/>
          <w:szCs w:val="15"/>
          <w:color w:val="auto"/>
        </w:rPr>
        <w:t>The Section 16 rules are complicated and present ample opportunity for inadvertent error. To avoid unnecessary costs and potential embarrassment for insiders and the Company, officers and directors are strongly urged to consult with the Company’s CEO or CFO, prior to engaging in any transaction or other transfer of Company equity securities regarding the potential applicability of Section 16(b).</w:t>
      </w:r>
    </w:p>
    <w:p>
      <w:pPr>
        <w:spacing w:after="0" w:line="142" w:lineRule="exact"/>
        <w:rPr>
          <w:sz w:val="20"/>
          <w:szCs w:val="20"/>
          <w:color w:val="auto"/>
        </w:rPr>
      </w:pPr>
    </w:p>
    <w:p>
      <w:pPr>
        <w:ind w:left="260"/>
        <w:spacing w:after="0"/>
        <w:tabs>
          <w:tab w:leader="none" w:pos="520" w:val="left"/>
        </w:tabs>
        <w:rPr>
          <w:sz w:val="20"/>
          <w:szCs w:val="20"/>
          <w:color w:val="auto"/>
        </w:rPr>
      </w:pPr>
      <w:r>
        <w:rPr>
          <w:rFonts w:ascii="Times New Roman" w:cs="Times New Roman" w:eastAsia="Times New Roman" w:hAnsi="Times New Roman"/>
          <w:sz w:val="15"/>
          <w:szCs w:val="15"/>
          <w:b w:val="1"/>
          <w:bCs w:val="1"/>
          <w:i w:val="1"/>
          <w:iCs w:val="1"/>
          <w:color w:val="auto"/>
        </w:rPr>
        <w:t>E.</w:t>
        <w:tab/>
        <w:t>Prohibition of Short Sales.</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5"/>
          <w:szCs w:val="15"/>
          <w:color w:val="auto"/>
        </w:rPr>
        <w:t>Under Section 16(c), insiders are prohibited from effecting “short sales” of the Company’s equity securities. A “short sale” is one involving securities which the seller does not own at the time of sale, or, if owned, are not delivered within 20 days after the sale or deposited in the mail or other usual channels of transportation within five days after the sale. Wholly apart from Section 16(c), the Company prohibits directors and employees from selling the Company’s stock short. This type of activity is inherently speculative in nature and is contrary to the best interests of the Company and its stockholders.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4" w:right="319" w:bottom="1440" w:gutter="0" w:footer="0" w:header="0"/>
        </w:sectPr>
      </w:pPr>
    </w:p>
    <w:bookmarkStart w:id="114" w:name="page115"/>
    <w:bookmarkEnd w:id="114"/>
    <w:p>
      <w:pPr>
        <w:ind w:left="280" w:hanging="271"/>
        <w:spacing w:after="0"/>
        <w:tabs>
          <w:tab w:leader="none" w:pos="280" w:val="left"/>
        </w:tabs>
        <w:numPr>
          <w:ilvl w:val="0"/>
          <w:numId w:val="43"/>
        </w:numPr>
        <w:rPr>
          <w:rFonts w:ascii="Times New Roman" w:cs="Times New Roman" w:eastAsia="Times New Roman" w:hAnsi="Times New Roman"/>
          <w:sz w:val="15"/>
          <w:szCs w:val="15"/>
          <w:b w:val="1"/>
          <w:bCs w:val="1"/>
          <w:i w:val="1"/>
          <w:iCs w:val="1"/>
          <w:color w:val="auto"/>
        </w:rPr>
      </w:pPr>
      <w:r>
        <w:rPr>
          <w:rFonts w:ascii="Times New Roman" w:cs="Times New Roman" w:eastAsia="Times New Roman" w:hAnsi="Times New Roman"/>
          <w:sz w:val="15"/>
          <w:szCs w:val="15"/>
          <w:b w:val="1"/>
          <w:bCs w:val="1"/>
          <w:i w:val="1"/>
          <w:iCs w:val="1"/>
          <w:color w:val="auto"/>
        </w:rPr>
        <w:t>Filing Requirements.</w:t>
      </w:r>
    </w:p>
    <w:p>
      <w:pPr>
        <w:spacing w:after="0" w:line="223" w:lineRule="exact"/>
        <w:rPr>
          <w:sz w:val="20"/>
          <w:szCs w:val="20"/>
          <w:color w:val="auto"/>
        </w:rPr>
      </w:pPr>
    </w:p>
    <w:p>
      <w:pPr>
        <w:jc w:val="both"/>
        <w:ind w:left="560" w:firstLine="278"/>
        <w:spacing w:after="0" w:line="262" w:lineRule="auto"/>
        <w:tabs>
          <w:tab w:leader="none" w:pos="990"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Form 3, 4 and 5</w:t>
      </w:r>
      <w:r>
        <w:rPr>
          <w:rFonts w:ascii="Times New Roman" w:cs="Times New Roman" w:eastAsia="Times New Roman" w:hAnsi="Times New Roman"/>
          <w:sz w:val="15"/>
          <w:szCs w:val="15"/>
          <w:color w:val="auto"/>
        </w:rPr>
        <w:t xml:space="preserve">. Under Section 16(a) of the 1934 Act, insiders must file with the SEC public reports disclosing their holdings of and transactions involving, the Company’s equity securities. An initial report on Form 3 must be filed by every insider within 10 days after election or appointment disclosing </w:t>
      </w:r>
      <w:r>
        <w:rPr>
          <w:rFonts w:ascii="Times New Roman" w:cs="Times New Roman" w:eastAsia="Times New Roman" w:hAnsi="Times New Roman"/>
          <w:sz w:val="15"/>
          <w:szCs w:val="15"/>
          <w:i w:val="1"/>
          <w:iCs w:val="1"/>
          <w:color w:val="auto"/>
        </w:rPr>
        <w:t>all</w:t>
      </w:r>
      <w:r>
        <w:rPr>
          <w:rFonts w:ascii="Times New Roman" w:cs="Times New Roman" w:eastAsia="Times New Roman" w:hAnsi="Times New Roman"/>
          <w:sz w:val="15"/>
          <w:szCs w:val="15"/>
          <w:color w:val="auto"/>
        </w:rPr>
        <w:t xml:space="preserve"> equity securities of the Company beneficially owned by the reporting person on the date he became an insider. Even if no securities were owned on that date, the insider must file a report. Any subsequent change in the nature or amount of beneficial ownership by the insider must be reported on Form 4 and filed by the end of the second business day following the date of the transaction. Certain exempt transactions (principally gifts) may be reported on Form 5 within 45 days after the end of the fiscal year. The fact that an insider’s transactions during the month resulted in no net change, or the fact that no securities were owned after the transactions were completed, does not provide a basis for failing to report.</w:t>
      </w:r>
    </w:p>
    <w:p>
      <w:pPr>
        <w:spacing w:after="0" w:line="152" w:lineRule="exact"/>
        <w:rPr>
          <w:sz w:val="20"/>
          <w:szCs w:val="20"/>
          <w:color w:val="auto"/>
        </w:rPr>
      </w:pPr>
    </w:p>
    <w:p>
      <w:pPr>
        <w:jc w:val="both"/>
        <w:ind w:left="560"/>
        <w:spacing w:after="0" w:line="270" w:lineRule="auto"/>
        <w:rPr>
          <w:sz w:val="20"/>
          <w:szCs w:val="20"/>
          <w:color w:val="auto"/>
        </w:rPr>
      </w:pPr>
      <w:r>
        <w:rPr>
          <w:rFonts w:ascii="Times New Roman" w:cs="Times New Roman" w:eastAsia="Times New Roman" w:hAnsi="Times New Roman"/>
          <w:sz w:val="15"/>
          <w:szCs w:val="15"/>
          <w:color w:val="auto"/>
        </w:rPr>
        <w:t>All changes in the amount or the form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xml:space="preserve"> direct or indirect) of beneficial ownership (not just purchases and sales) must be reported. Thus, such transactions as gifts ordinarily are reportable. Moreover, an officer or director who has ceased to be an officer or director must report any transactions after termination which occurred within six months of a transaction that occurred while the person was an insider. Form 4 also must reflect the insider’s holdings immediately after the reported transaction, so it is important to maintain an accurate account of the insider’s holdings over time.</w:t>
      </w:r>
    </w:p>
    <w:p>
      <w:pPr>
        <w:spacing w:after="0" w:line="149" w:lineRule="exact"/>
        <w:rPr>
          <w:sz w:val="20"/>
          <w:szCs w:val="20"/>
          <w:color w:val="auto"/>
        </w:rPr>
      </w:pPr>
    </w:p>
    <w:p>
      <w:pPr>
        <w:jc w:val="both"/>
        <w:ind w:left="560"/>
        <w:spacing w:after="0" w:line="263" w:lineRule="auto"/>
        <w:rPr>
          <w:sz w:val="20"/>
          <w:szCs w:val="20"/>
          <w:color w:val="auto"/>
        </w:rPr>
      </w:pPr>
      <w:r>
        <w:rPr>
          <w:rFonts w:ascii="Times New Roman" w:cs="Times New Roman" w:eastAsia="Times New Roman" w:hAnsi="Times New Roman"/>
          <w:sz w:val="15"/>
          <w:szCs w:val="15"/>
          <w:color w:val="auto"/>
        </w:rPr>
        <w:t>The reports under Section 16(a) are intended to cover all securities beneficially owned either directly by the insider or indirectly through others. An insider is considered the direct owner of all Company equity securities held in his or her own name or held jointly with others. An insider is considered the indirect owner of any securities from which he obtains benefits substantially equivalent to those of ownership. Thus, equity securities of the Company beneficially owned through partnerships, corporations, trusts, estates and by family members generally are subject to reporting. Absent countervailing facts, an insider is presumed to be the beneficial owner of securities held by his or her spouse and other family members sharing the same household. But an insider is free to disclaim beneficial ownership of these or any other securities being reported if the insider believes there is a reasonable basis for doing so.</w:t>
      </w:r>
    </w:p>
    <w:p>
      <w:pPr>
        <w:spacing w:after="0" w:line="156" w:lineRule="exact"/>
        <w:rPr>
          <w:sz w:val="20"/>
          <w:szCs w:val="20"/>
          <w:color w:val="auto"/>
        </w:rPr>
      </w:pPr>
    </w:p>
    <w:p>
      <w:pPr>
        <w:jc w:val="both"/>
        <w:ind w:left="560"/>
        <w:spacing w:after="0" w:line="263" w:lineRule="auto"/>
        <w:rPr>
          <w:sz w:val="20"/>
          <w:szCs w:val="20"/>
          <w:color w:val="auto"/>
        </w:rPr>
      </w:pPr>
      <w:r>
        <w:rPr>
          <w:rFonts w:ascii="Times New Roman" w:cs="Times New Roman" w:eastAsia="Times New Roman" w:hAnsi="Times New Roman"/>
          <w:sz w:val="15"/>
          <w:szCs w:val="15"/>
          <w:color w:val="auto"/>
        </w:rPr>
        <w:t>It is important that reports under Section 16(a) be prepared properly and filed on a timely basis. The reports must be received at the SEC by the filing deadline. There is no provision for an extension of the filing deadlines, and the SEC can take enforcement action against insiders who do not comply fully with the filing requirements. In addition, the Company is required to disclose in its annual proxy statement the names of insiders who failed to file Section 16(a) reports properly during the fiscal year, along with the particulars of such instances of noncompliance. Accordingly, all directors and officers must notify the Company’s CEO or CFO, prior to any transactions or changes in their or their family members’ beneficial ownership involving Company stock and are strongly encouraged to avail themselves of the assistance available from the Company’s CEO or CFO in satisfying the reporting requirements.</w:t>
      </w:r>
    </w:p>
    <w:p>
      <w:pPr>
        <w:spacing w:after="0" w:line="156" w:lineRule="exact"/>
        <w:rPr>
          <w:sz w:val="20"/>
          <w:szCs w:val="20"/>
          <w:color w:val="auto"/>
        </w:rPr>
      </w:pPr>
    </w:p>
    <w:p>
      <w:pPr>
        <w:jc w:val="both"/>
        <w:ind w:left="560" w:firstLine="278"/>
        <w:spacing w:after="0" w:line="274" w:lineRule="auto"/>
        <w:tabs>
          <w:tab w:leader="none" w:pos="1013"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Schedule 13D and 13G</w:t>
      </w:r>
      <w:r>
        <w:rPr>
          <w:rFonts w:ascii="Times New Roman" w:cs="Times New Roman" w:eastAsia="Times New Roman" w:hAnsi="Times New Roman"/>
          <w:sz w:val="15"/>
          <w:szCs w:val="15"/>
          <w:color w:val="auto"/>
        </w:rPr>
        <w:t>. Section 13(d) of the Exchange Act requires the filing of a statement on Schedule 13D (or on Schedule 13G, in certain limited circumstances) by any person or group that acquires beneficial ownership of more than five percent of a class of equity securities registered under the Exchange Act. The threshold for reporting is met if the stock owned, when coupled with the amount of stock subject to options exercisable within 60 days, exceeds the five percent limit.</w:t>
      </w:r>
    </w:p>
    <w:p>
      <w:pPr>
        <w:spacing w:after="0" w:line="14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16510</wp:posOffset>
            </wp:positionV>
            <wp:extent cx="715264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60">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000"/>
          </w:cols>
          <w:pgMar w:left="580" w:top="604" w:right="319" w:bottom="1440" w:gutter="0" w:footer="0" w:header="0"/>
        </w:sectPr>
      </w:pPr>
    </w:p>
    <w:bookmarkStart w:id="115" w:name="page116"/>
    <w:bookmarkEnd w:id="115"/>
    <w:p>
      <w:pPr>
        <w:jc w:val="both"/>
        <w:ind w:left="820"/>
        <w:spacing w:after="0" w:line="268" w:lineRule="auto"/>
        <w:rPr>
          <w:sz w:val="20"/>
          <w:szCs w:val="20"/>
          <w:color w:val="auto"/>
        </w:rPr>
      </w:pPr>
      <w:r>
        <w:rPr>
          <w:rFonts w:ascii="Times New Roman" w:cs="Times New Roman" w:eastAsia="Times New Roman" w:hAnsi="Times New Roman"/>
          <w:sz w:val="15"/>
          <w:szCs w:val="15"/>
          <w:color w:val="auto"/>
        </w:rPr>
        <w:t>A report on Schedule 13D is required to be filed with the SEC and submitted to the Company within ten days after the reporting threshold is reached. If a material change occurs in the facts set forth in the Schedule 13D, such as an increase or decrease of one percent or more in the percentage of stock beneficially owned, an amendment disclosing the change must be filed promptly. A decrease in beneficial ownership to less than five percent is per se material and must be reported. Schedule 13G reporting, which is more limited and subject to fewer updating requirements that 13D, is generally available for equity securities acquired before the Company’s IPO.</w:t>
      </w:r>
    </w:p>
    <w:p>
      <w:pPr>
        <w:spacing w:after="0" w:line="147" w:lineRule="exact"/>
        <w:rPr>
          <w:sz w:val="20"/>
          <w:szCs w:val="20"/>
          <w:color w:val="auto"/>
        </w:rPr>
      </w:pPr>
    </w:p>
    <w:p>
      <w:pPr>
        <w:jc w:val="both"/>
        <w:ind w:left="820"/>
        <w:spacing w:after="0" w:line="274" w:lineRule="auto"/>
        <w:rPr>
          <w:sz w:val="20"/>
          <w:szCs w:val="20"/>
          <w:color w:val="auto"/>
        </w:rPr>
      </w:pPr>
      <w:r>
        <w:rPr>
          <w:rFonts w:ascii="Times New Roman" w:cs="Times New Roman" w:eastAsia="Times New Roman" w:hAnsi="Times New Roman"/>
          <w:sz w:val="15"/>
          <w:szCs w:val="15"/>
          <w:color w:val="auto"/>
        </w:rPr>
        <w:t>A person is deemed the beneficial owner of securities for purposes of Section 13(d) if such person has or shares voting power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the power to vote or direct the voting of the securities) or dispositive power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the power to sell or direct the sale of the securities). As is true under Section 16(a) of the Securities Exchange Act of 1934, a person filing a Schedule 13D may seek to disclaim beneficial ownership of any securities attributed to him or her if he or she believes there is a reasonable basis for doing so.</w:t>
      </w:r>
    </w:p>
    <w:p>
      <w:pPr>
        <w:spacing w:after="0" w:line="335" w:lineRule="exact"/>
        <w:rPr>
          <w:sz w:val="20"/>
          <w:szCs w:val="20"/>
          <w:color w:val="auto"/>
        </w:rPr>
      </w:pPr>
    </w:p>
    <w:p>
      <w:pPr>
        <w:jc w:val="both"/>
        <w:ind w:left="820" w:firstLine="278"/>
        <w:spacing w:after="0" w:line="274" w:lineRule="auto"/>
        <w:tabs>
          <w:tab w:leader="none" w:pos="125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Form 144</w:t>
      </w:r>
      <w:r>
        <w:rPr>
          <w:rFonts w:ascii="Times New Roman" w:cs="Times New Roman" w:eastAsia="Times New Roman" w:hAnsi="Times New Roman"/>
          <w:sz w:val="15"/>
          <w:szCs w:val="15"/>
          <w:color w:val="auto"/>
        </w:rPr>
        <w:t>. As described above under the discussion of Rule 144, an affiliate seller relying on Rule 144 must file a notice of proposed sale with the SEC at the time the order to sell is placed with the broker unless the amount to be sold during any three-month period neither exceeds 5,000 shares nor involves sale proceeds greater than $50,000.</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Acknowledgement</w:t>
      </w:r>
    </w:p>
    <w:p>
      <w:pPr>
        <w:spacing w:after="0" w:line="200"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5"/>
          <w:szCs w:val="15"/>
          <w:color w:val="auto"/>
        </w:rPr>
        <w:t>I hereby acknowledge that I have received a copy of Snail, Inc.’s Statement of Policy Concerning Trading in Company Securities. Further, I certify that I have reviewed the Statement of Policy Concerning Trading in Company Securities, understand the policies and procedures contained therein and agree to be bound by and adhere to these policies and procedures.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 certify that this is a true and correct statement by my signature below:</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357632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1">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357632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2">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-106680</wp:posOffset>
            </wp:positionV>
            <wp:extent cx="357632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3">
                      <a:extLst>
                        <a:ext uri="{28A0092B-C50C-407E-A947-70E740481C1C}"/>
                      </a:extLst>
                    </a:blip>
                    <a:srcRect/>
                    <a:stretch>
                      <a:fillRect/>
                    </a:stretch>
                  </pic:blipFill>
                  <pic:spPr bwMode="auto">
                    <a:xfrm>
                      <a:off x="0" y="0"/>
                      <a:ext cx="3576320" cy="762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715264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4">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609" w:right="31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Consent of Independent Registered Public Accounting Firm</w:t>
      </w:r>
    </w:p>
    <w:p>
      <w:pPr>
        <w:spacing w:after="0" w:line="196"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15"/>
          <w:szCs w:val="15"/>
          <w:color w:val="auto"/>
        </w:rPr>
        <w:t>We hereby consent to the incorporation by reference in the Registration Statements on Form S-1 (File No. 333-274626), Form S-8 (File No. 333-268271) and Form S-3 (File No. 333-282030) of Snail, Inc. of our report dated March 26, 2025, relating to the consolidated financial statements, which appears in this Annual Report on Form 10-K.</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 BDO USA, P.C.</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Costa Mesa, California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March 26,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241300</wp:posOffset>
            </wp:positionV>
            <wp:extent cx="715264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5">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117" w:name="page118"/>
    <w:bookmarkEnd w:id="117"/>
    <w:p>
      <w:pPr>
        <w:jc w:val="right"/>
        <w:spacing w:after="0"/>
        <w:rPr>
          <w:sz w:val="20"/>
          <w:szCs w:val="20"/>
          <w:color w:val="auto"/>
        </w:rPr>
      </w:pPr>
      <w:r>
        <w:rPr>
          <w:rFonts w:ascii="Times New Roman" w:cs="Times New Roman" w:eastAsia="Times New Roman" w:hAnsi="Times New Roman"/>
          <w:sz w:val="15"/>
          <w:szCs w:val="15"/>
          <w:b w:val="1"/>
          <w:bCs w:val="1"/>
          <w:color w:val="auto"/>
        </w:rPr>
        <w:t>Exhibit 31.1</w:t>
      </w:r>
    </w:p>
    <w:p>
      <w:pPr>
        <w:spacing w:after="0" w:line="1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CERTIFICATION OF CO-CHIEF EXECUTIVE OFFICER</w:t>
      </w:r>
    </w:p>
    <w:p>
      <w:pPr>
        <w:spacing w:after="0" w:line="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PURSUANT TO RULE 13a-14(a) AND RULE 15d-14(a) OF THE SECURITIES EXCHANGE ACT OF 1934, AS ADOPTED PURSUANT TO SECTION 302 OF THE</w:t>
      </w:r>
    </w:p>
    <w:p>
      <w:pPr>
        <w:spacing w:after="0" w:line="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SARBANES-OXLEY ACT OF 2002</w:t>
      </w:r>
    </w:p>
    <w:p>
      <w:pPr>
        <w:spacing w:after="0" w:line="1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 Xuedong Tian, certify that:</w:t>
      </w:r>
    </w:p>
    <w:p>
      <w:pPr>
        <w:spacing w:after="0" w:line="196" w:lineRule="exact"/>
        <w:rPr>
          <w:sz w:val="20"/>
          <w:szCs w:val="20"/>
          <w:color w:val="auto"/>
        </w:rPr>
      </w:pPr>
    </w:p>
    <w:p>
      <w:pPr>
        <w:ind w:left="268" w:hanging="268"/>
        <w:spacing w:after="0"/>
        <w:tabs>
          <w:tab w:leader="none" w:pos="268"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for the year ended December 31, 2024 of Snail, Inc.;</w:t>
      </w:r>
    </w:p>
    <w:p>
      <w:pPr>
        <w:spacing w:after="0" w:line="196" w:lineRule="exact"/>
        <w:rPr>
          <w:rFonts w:ascii="Times New Roman" w:cs="Times New Roman" w:eastAsia="Times New Roman" w:hAnsi="Times New Roman"/>
          <w:sz w:val="15"/>
          <w:szCs w:val="15"/>
          <w:color w:val="auto"/>
        </w:rPr>
      </w:pPr>
    </w:p>
    <w:p>
      <w:pPr>
        <w:ind w:left="268" w:hanging="268"/>
        <w:spacing w:after="0" w:line="292" w:lineRule="auto"/>
        <w:tabs>
          <w:tab w:leader="none" w:pos="268"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Times New Roman" w:cs="Times New Roman" w:eastAsia="Times New Roman" w:hAnsi="Times New Roman"/>
          <w:sz w:val="15"/>
          <w:szCs w:val="15"/>
          <w:color w:val="auto"/>
        </w:rPr>
      </w:pPr>
    </w:p>
    <w:p>
      <w:pPr>
        <w:ind w:left="268" w:right="20" w:hanging="268"/>
        <w:spacing w:after="0" w:line="292" w:lineRule="auto"/>
        <w:tabs>
          <w:tab w:leader="none" w:pos="268"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w:t>
      </w:r>
    </w:p>
    <w:p>
      <w:pPr>
        <w:spacing w:after="0" w:line="26" w:lineRule="exact"/>
        <w:rPr>
          <w:rFonts w:ascii="Times New Roman" w:cs="Times New Roman" w:eastAsia="Times New Roman" w:hAnsi="Times New Roman"/>
          <w:sz w:val="15"/>
          <w:szCs w:val="15"/>
          <w:color w:val="auto"/>
        </w:rPr>
      </w:pPr>
    </w:p>
    <w:p>
      <w:pPr>
        <w:ind w:left="26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15"/>
          <w:szCs w:val="15"/>
          <w:color w:val="auto"/>
        </w:rPr>
      </w:pPr>
    </w:p>
    <w:p>
      <w:pPr>
        <w:jc w:val="both"/>
        <w:ind w:left="548" w:hanging="271"/>
        <w:spacing w:after="0" w:line="274" w:lineRule="auto"/>
        <w:tabs>
          <w:tab w:leader="none" w:pos="548"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5"/>
          <w:szCs w:val="15"/>
          <w:color w:val="auto"/>
        </w:rPr>
      </w:pPr>
    </w:p>
    <w:p>
      <w:pPr>
        <w:jc w:val="both"/>
        <w:ind w:left="548" w:right="20" w:hanging="271"/>
        <w:spacing w:after="0" w:line="274" w:lineRule="auto"/>
        <w:tabs>
          <w:tab w:leader="none" w:pos="548"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5"/>
          <w:szCs w:val="15"/>
          <w:color w:val="auto"/>
        </w:rPr>
      </w:pPr>
    </w:p>
    <w:p>
      <w:pPr>
        <w:ind w:left="548" w:hanging="271"/>
        <w:spacing w:after="0" w:line="292" w:lineRule="auto"/>
        <w:tabs>
          <w:tab w:leader="none" w:pos="548"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15"/>
          <w:szCs w:val="15"/>
          <w:color w:val="auto"/>
        </w:rPr>
      </w:pPr>
    </w:p>
    <w:p>
      <w:pPr>
        <w:jc w:val="both"/>
        <w:ind w:left="548" w:hanging="271"/>
        <w:spacing w:after="0" w:line="274" w:lineRule="auto"/>
        <w:tabs>
          <w:tab w:leader="none" w:pos="548"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Times New Roman" w:cs="Times New Roman" w:eastAsia="Times New Roman" w:hAnsi="Times New Roman"/>
          <w:sz w:val="15"/>
          <w:szCs w:val="15"/>
          <w:color w:val="auto"/>
        </w:rPr>
      </w:pPr>
    </w:p>
    <w:p>
      <w:pPr>
        <w:ind w:left="268" w:hanging="268"/>
        <w:spacing w:after="0" w:line="292" w:lineRule="auto"/>
        <w:tabs>
          <w:tab w:leader="none" w:pos="268"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Times New Roman" w:cs="Times New Roman" w:eastAsia="Times New Roman" w:hAnsi="Times New Roman"/>
          <w:sz w:val="15"/>
          <w:szCs w:val="15"/>
          <w:color w:val="auto"/>
        </w:rPr>
      </w:pPr>
    </w:p>
    <w:p>
      <w:pPr>
        <w:ind w:left="548" w:right="20" w:hanging="271"/>
        <w:spacing w:after="0" w:line="292" w:lineRule="auto"/>
        <w:tabs>
          <w:tab w:leader="none" w:pos="548"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Times New Roman" w:cs="Times New Roman" w:eastAsia="Times New Roman" w:hAnsi="Times New Roman"/>
          <w:sz w:val="15"/>
          <w:szCs w:val="15"/>
          <w:color w:val="auto"/>
        </w:rPr>
      </w:pPr>
    </w:p>
    <w:p>
      <w:pPr>
        <w:ind w:left="548" w:hanging="271"/>
        <w:spacing w:after="0"/>
        <w:tabs>
          <w:tab w:leader="none" w:pos="548" w:val="left"/>
        </w:tabs>
        <w:numPr>
          <w:ilvl w:val="1"/>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Date:   March 26, 2025</w:t>
            </w:r>
          </w:p>
        </w:tc>
        <w:tc>
          <w:tcPr>
            <w:tcW w:w="7680" w:type="dxa"/>
            <w:vAlign w:val="bottom"/>
            <w:gridSpan w:val="2"/>
          </w:tcPr>
          <w:p>
            <w:pPr>
              <w:ind w:left="206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Xuedong Tian</w:t>
            </w:r>
          </w:p>
        </w:tc>
      </w:tr>
      <w:tr>
        <w:trPr>
          <w:trHeight w:val="161"/>
        </w:trPr>
        <w:tc>
          <w:tcPr>
            <w:tcW w:w="3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30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Xuedong Tian</w:t>
            </w:r>
          </w:p>
        </w:tc>
      </w:tr>
      <w:tr>
        <w:trPr>
          <w:trHeight w:val="184"/>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Co-Chief Executive Officer</w:t>
            </w:r>
          </w:p>
        </w:tc>
      </w:tr>
      <w:tr>
        <w:trPr>
          <w:trHeight w:val="199"/>
        </w:trPr>
        <w:tc>
          <w:tcPr>
            <w:tcW w:w="35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(Co-Principal Executive Officer)</w:t>
            </w:r>
          </w:p>
        </w:tc>
      </w:tr>
      <w:tr>
        <w:trPr>
          <w:trHeight w:val="392"/>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8"/>
          </w:cols>
          <w:pgMar w:left="312" w:top="305" w:right="3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5"/>
          <w:szCs w:val="15"/>
          <w:b w:val="1"/>
          <w:bCs w:val="1"/>
          <w:color w:val="auto"/>
        </w:rPr>
        <w:t>Exhibit 31.2</w:t>
      </w:r>
    </w:p>
    <w:p>
      <w:pPr>
        <w:spacing w:after="0" w:line="1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CERTIFICATION OF CHIEF FINANCIAL OFFICER</w:t>
      </w:r>
    </w:p>
    <w:p>
      <w:pPr>
        <w:spacing w:after="0" w:line="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PURSUANT TO RULE 13a-14(a) AND RULE 15d-14(a) OF THE SECURITIES EXCHANGE ACT OF 1934, AS ADOPTED PURSUANT TO SECTION 302 OF THE</w:t>
      </w:r>
    </w:p>
    <w:p>
      <w:pPr>
        <w:spacing w:after="0" w:line="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SARBANES-OXLEY ACT OF 2002</w:t>
      </w:r>
    </w:p>
    <w:p>
      <w:pPr>
        <w:spacing w:after="0" w:line="1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5"/>
          <w:szCs w:val="15"/>
          <w:color w:val="auto"/>
        </w:rPr>
        <w:t>I, Heidy Chow, certify that:</w:t>
      </w:r>
    </w:p>
    <w:p>
      <w:pPr>
        <w:spacing w:after="0" w:line="196" w:lineRule="exact"/>
        <w:rPr>
          <w:sz w:val="20"/>
          <w:szCs w:val="20"/>
          <w:color w:val="auto"/>
        </w:rPr>
      </w:pPr>
    </w:p>
    <w:p>
      <w:pPr>
        <w:ind w:left="268" w:hanging="268"/>
        <w:spacing w:after="0"/>
        <w:tabs>
          <w:tab w:leader="none" w:pos="268"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have reviewed this Annual Report on Form 10-K for the year ended December 31, 2024 of Snail, Inc.;</w:t>
      </w:r>
    </w:p>
    <w:p>
      <w:pPr>
        <w:spacing w:after="0" w:line="196" w:lineRule="exact"/>
        <w:rPr>
          <w:rFonts w:ascii="Times New Roman" w:cs="Times New Roman" w:eastAsia="Times New Roman" w:hAnsi="Times New Roman"/>
          <w:sz w:val="15"/>
          <w:szCs w:val="15"/>
          <w:color w:val="auto"/>
        </w:rPr>
      </w:pPr>
    </w:p>
    <w:p>
      <w:pPr>
        <w:ind w:left="268" w:hanging="268"/>
        <w:spacing w:after="0" w:line="292" w:lineRule="auto"/>
        <w:tabs>
          <w:tab w:leader="none" w:pos="268"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Times New Roman" w:cs="Times New Roman" w:eastAsia="Times New Roman" w:hAnsi="Times New Roman"/>
          <w:sz w:val="15"/>
          <w:szCs w:val="15"/>
          <w:color w:val="auto"/>
        </w:rPr>
      </w:pPr>
    </w:p>
    <w:p>
      <w:pPr>
        <w:ind w:left="268" w:right="20" w:hanging="268"/>
        <w:spacing w:after="0" w:line="292" w:lineRule="auto"/>
        <w:tabs>
          <w:tab w:leader="none" w:pos="268"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are responsible for establishing and maintaining disclosure controls and procedures (as defined in Exchange Act Rules 13a-15(e) and</w:t>
      </w:r>
    </w:p>
    <w:p>
      <w:pPr>
        <w:spacing w:after="0" w:line="26" w:lineRule="exact"/>
        <w:rPr>
          <w:rFonts w:ascii="Times New Roman" w:cs="Times New Roman" w:eastAsia="Times New Roman" w:hAnsi="Times New Roman"/>
          <w:sz w:val="15"/>
          <w:szCs w:val="15"/>
          <w:color w:val="auto"/>
        </w:rPr>
      </w:pPr>
    </w:p>
    <w:p>
      <w:pPr>
        <w:ind w:left="268"/>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15d-15(e)) and internal control over financial reporting (as defined in Exchange Act Rules 13-a-15(f) and 15d-15(f)) for the registrant and have:</w:t>
      </w:r>
    </w:p>
    <w:p>
      <w:pPr>
        <w:spacing w:after="0" w:line="181" w:lineRule="exact"/>
        <w:rPr>
          <w:rFonts w:ascii="Times New Roman" w:cs="Times New Roman" w:eastAsia="Times New Roman" w:hAnsi="Times New Roman"/>
          <w:sz w:val="15"/>
          <w:szCs w:val="15"/>
          <w:color w:val="auto"/>
        </w:rPr>
      </w:pPr>
    </w:p>
    <w:p>
      <w:pPr>
        <w:jc w:val="both"/>
        <w:ind w:left="548" w:hanging="271"/>
        <w:spacing w:after="0" w:line="274" w:lineRule="auto"/>
        <w:tabs>
          <w:tab w:leader="none" w:pos="548"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6" w:lineRule="exact"/>
        <w:rPr>
          <w:rFonts w:ascii="Times New Roman" w:cs="Times New Roman" w:eastAsia="Times New Roman" w:hAnsi="Times New Roman"/>
          <w:sz w:val="15"/>
          <w:szCs w:val="15"/>
          <w:color w:val="auto"/>
        </w:rPr>
      </w:pPr>
    </w:p>
    <w:p>
      <w:pPr>
        <w:jc w:val="both"/>
        <w:ind w:left="548" w:right="20" w:hanging="271"/>
        <w:spacing w:after="0" w:line="274" w:lineRule="auto"/>
        <w:tabs>
          <w:tab w:leader="none" w:pos="548"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6" w:lineRule="exact"/>
        <w:rPr>
          <w:rFonts w:ascii="Times New Roman" w:cs="Times New Roman" w:eastAsia="Times New Roman" w:hAnsi="Times New Roman"/>
          <w:sz w:val="15"/>
          <w:szCs w:val="15"/>
          <w:color w:val="auto"/>
        </w:rPr>
      </w:pPr>
    </w:p>
    <w:p>
      <w:pPr>
        <w:ind w:left="548" w:hanging="271"/>
        <w:spacing w:after="0" w:line="292" w:lineRule="auto"/>
        <w:tabs>
          <w:tab w:leader="none" w:pos="548"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Times New Roman" w:cs="Times New Roman" w:eastAsia="Times New Roman" w:hAnsi="Times New Roman"/>
          <w:sz w:val="15"/>
          <w:szCs w:val="15"/>
          <w:color w:val="auto"/>
        </w:rPr>
      </w:pPr>
    </w:p>
    <w:p>
      <w:pPr>
        <w:jc w:val="both"/>
        <w:ind w:left="548" w:hanging="271"/>
        <w:spacing w:after="0" w:line="274" w:lineRule="auto"/>
        <w:tabs>
          <w:tab w:leader="none" w:pos="548"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this report any change in the registrant’s internal control over financing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6" w:lineRule="exact"/>
        <w:rPr>
          <w:rFonts w:ascii="Times New Roman" w:cs="Times New Roman" w:eastAsia="Times New Roman" w:hAnsi="Times New Roman"/>
          <w:sz w:val="15"/>
          <w:szCs w:val="15"/>
          <w:color w:val="auto"/>
        </w:rPr>
      </w:pPr>
    </w:p>
    <w:p>
      <w:pPr>
        <w:ind w:left="268" w:hanging="268"/>
        <w:spacing w:after="0" w:line="292" w:lineRule="auto"/>
        <w:tabs>
          <w:tab w:leader="none" w:pos="268"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Times New Roman" w:cs="Times New Roman" w:eastAsia="Times New Roman" w:hAnsi="Times New Roman"/>
          <w:sz w:val="15"/>
          <w:szCs w:val="15"/>
          <w:color w:val="auto"/>
        </w:rPr>
      </w:pPr>
    </w:p>
    <w:p>
      <w:pPr>
        <w:ind w:left="548" w:right="20" w:hanging="271"/>
        <w:spacing w:after="0" w:line="292" w:lineRule="auto"/>
        <w:tabs>
          <w:tab w:leader="none" w:pos="548"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Times New Roman" w:cs="Times New Roman" w:eastAsia="Times New Roman" w:hAnsi="Times New Roman"/>
          <w:sz w:val="15"/>
          <w:szCs w:val="15"/>
          <w:color w:val="auto"/>
        </w:rPr>
      </w:pPr>
    </w:p>
    <w:p>
      <w:pPr>
        <w:ind w:left="548" w:hanging="271"/>
        <w:spacing w:after="0"/>
        <w:tabs>
          <w:tab w:leader="none" w:pos="548" w:val="left"/>
        </w:tabs>
        <w:numPr>
          <w:ilvl w:val="1"/>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fraud, whether or not material, that involves management or other employees who have a significant role in the registrant’s internal control over financial reporting.</w:t>
      </w:r>
    </w:p>
    <w:p>
      <w:pPr>
        <w:spacing w:after="0" w:line="192" w:lineRule="exact"/>
        <w:rPr>
          <w:sz w:val="20"/>
          <w:szCs w:val="20"/>
          <w:color w:val="auto"/>
        </w:rPr>
      </w:pPr>
    </w:p>
    <w:tbl>
      <w:tblPr>
        <w:tblLayout w:type="fixed"/>
        <w:tblInd w:w="8" w:type="dxa"/>
        <w:tblCellMar>
          <w:top w:w="0" w:type="dxa"/>
          <w:left w:w="0" w:type="dxa"/>
          <w:bottom w:w="0" w:type="dxa"/>
          <w:right w:w="0" w:type="dxa"/>
        </w:tblCellMar>
      </w:tblPr>
      <w:tr>
        <w:trPr>
          <w:trHeight w:val="203"/>
        </w:trPr>
        <w:tc>
          <w:tcPr>
            <w:tcW w:w="3580" w:type="dxa"/>
            <w:vAlign w:val="bottom"/>
          </w:tcPr>
          <w:p>
            <w:pPr>
              <w:spacing w:after="0"/>
              <w:rPr>
                <w:sz w:val="20"/>
                <w:szCs w:val="20"/>
                <w:color w:val="auto"/>
              </w:rPr>
            </w:pPr>
            <w:r>
              <w:rPr>
                <w:rFonts w:ascii="Times New Roman" w:cs="Times New Roman" w:eastAsia="Times New Roman" w:hAnsi="Times New Roman"/>
                <w:sz w:val="15"/>
                <w:szCs w:val="15"/>
                <w:color w:val="auto"/>
              </w:rPr>
              <w:t>Date:   March 26, 2025</w:t>
            </w:r>
          </w:p>
        </w:tc>
        <w:tc>
          <w:tcPr>
            <w:tcW w:w="7680" w:type="dxa"/>
            <w:vAlign w:val="bottom"/>
            <w:gridSpan w:val="2"/>
          </w:tcPr>
          <w:p>
            <w:pPr>
              <w:ind w:left="2060"/>
              <w:spacing w:after="0"/>
              <w:rPr>
                <w:sz w:val="20"/>
                <w:szCs w:val="20"/>
                <w:color w:val="auto"/>
              </w:rPr>
            </w:pPr>
            <w:r>
              <w:rPr>
                <w:rFonts w:ascii="Times New Roman" w:cs="Times New Roman" w:eastAsia="Times New Roman" w:hAnsi="Times New Roman"/>
                <w:sz w:val="15"/>
                <w:szCs w:val="15"/>
                <w:color w:val="auto"/>
              </w:rPr>
              <w:t xml:space="preserve">By:  </w:t>
            </w:r>
            <w:r>
              <w:rPr>
                <w:rFonts w:ascii="Times New Roman" w:cs="Times New Roman" w:eastAsia="Times New Roman" w:hAnsi="Times New Roman"/>
                <w:sz w:val="15"/>
                <w:szCs w:val="15"/>
                <w:i w:val="1"/>
                <w:iCs w:val="1"/>
                <w:color w:val="auto"/>
              </w:rPr>
              <w:t>/s/ Heidy Chow</w:t>
            </w:r>
          </w:p>
        </w:tc>
      </w:tr>
      <w:tr>
        <w:trPr>
          <w:trHeight w:val="161"/>
        </w:trPr>
        <w:tc>
          <w:tcPr>
            <w:tcW w:w="3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300" w:type="dxa"/>
            <w:vAlign w:val="bottom"/>
            <w:tcBorders>
              <w:top w:val="single" w:sz="8" w:color="auto"/>
            </w:tcBorders>
          </w:tcPr>
          <w:p>
            <w:pPr>
              <w:spacing w:after="0" w:line="161" w:lineRule="exact"/>
              <w:rPr>
                <w:sz w:val="20"/>
                <w:szCs w:val="20"/>
                <w:color w:val="auto"/>
              </w:rPr>
            </w:pPr>
            <w:r>
              <w:rPr>
                <w:rFonts w:ascii="Times New Roman" w:cs="Times New Roman" w:eastAsia="Times New Roman" w:hAnsi="Times New Roman"/>
                <w:sz w:val="15"/>
                <w:szCs w:val="15"/>
                <w:color w:val="auto"/>
              </w:rPr>
              <w:t>Heidy Chow</w:t>
            </w:r>
          </w:p>
        </w:tc>
      </w:tr>
      <w:tr>
        <w:trPr>
          <w:trHeight w:val="184"/>
        </w:trPr>
        <w:tc>
          <w:tcPr>
            <w:tcW w:w="35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199"/>
        </w:trPr>
        <w:tc>
          <w:tcPr>
            <w:tcW w:w="35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5"/>
                <w:szCs w:val="15"/>
                <w:color w:val="auto"/>
              </w:rPr>
              <w:t>(Principal Financial Officer and Principal Accounting Officer)</w:t>
            </w:r>
          </w:p>
        </w:tc>
      </w:tr>
      <w:tr>
        <w:trPr>
          <w:trHeight w:val="369"/>
        </w:trPr>
        <w:tc>
          <w:tcPr>
            <w:tcW w:w="35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68"/>
          </w:cols>
          <w:pgMar w:left="312" w:top="328" w:right="3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5"/>
          <w:szCs w:val="15"/>
          <w:b w:val="1"/>
          <w:bCs w:val="1"/>
          <w:color w:val="auto"/>
        </w:rPr>
        <w:t>Exhibit 32.1</w:t>
      </w:r>
    </w:p>
    <w:p>
      <w:pPr>
        <w:spacing w:after="0" w:line="1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CERTIFICATION OF THE CO-CHIEF EXECUTIVE OFFICER</w:t>
      </w:r>
    </w:p>
    <w:p>
      <w:pPr>
        <w:spacing w:after="0" w:line="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PURSUANT TO 18 U.S.C. SECTION 1350,</w:t>
      </w:r>
    </w:p>
    <w:p>
      <w:pPr>
        <w:spacing w:after="0" w:line="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82" w:lineRule="exact"/>
        <w:rPr>
          <w:sz w:val="20"/>
          <w:szCs w:val="20"/>
          <w:color w:val="auto"/>
        </w:rPr>
      </w:pPr>
    </w:p>
    <w:p>
      <w:pPr>
        <w:jc w:val="both"/>
        <w:ind w:left="8" w:right="20" w:firstLine="553"/>
        <w:spacing w:after="0" w:line="274" w:lineRule="auto"/>
        <w:rPr>
          <w:sz w:val="20"/>
          <w:szCs w:val="20"/>
          <w:color w:val="auto"/>
        </w:rPr>
      </w:pPr>
      <w:r>
        <w:rPr>
          <w:rFonts w:ascii="Times New Roman" w:cs="Times New Roman" w:eastAsia="Times New Roman" w:hAnsi="Times New Roman"/>
          <w:sz w:val="15"/>
          <w:szCs w:val="15"/>
          <w:color w:val="auto"/>
        </w:rPr>
        <w:t>In connection with the Annual Report of Snail, Inc. (the “Registrant”) on Form 10-K for the year ended December 31, 2024 as filed with the Securities and Exchange Commission on the date hereof (the “Report”), I, Xuedong Tian, Co-Chief Executive Officer of the Registrant, certify, pursuant to 18 U.S.C. Section 1350, as adopted pursuant to Section 906 of the Sarbanes-Oxley Act of 2002, that to my knowledge:</w:t>
      </w:r>
    </w:p>
    <w:p>
      <w:pPr>
        <w:spacing w:after="0" w:line="146" w:lineRule="exact"/>
        <w:rPr>
          <w:sz w:val="20"/>
          <w:szCs w:val="20"/>
          <w:color w:val="auto"/>
        </w:rPr>
      </w:pPr>
    </w:p>
    <w:p>
      <w:pPr>
        <w:ind w:left="268" w:hanging="268"/>
        <w:spacing w:after="0"/>
        <w:tabs>
          <w:tab w:leader="none" w:pos="268"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Registrant.</w:t>
      </w:r>
    </w:p>
    <w:p>
      <w:pPr>
        <w:spacing w:after="0" w:line="192" w:lineRule="exact"/>
        <w:rPr>
          <w:sz w:val="20"/>
          <w:szCs w:val="20"/>
          <w:color w:val="auto"/>
        </w:rPr>
      </w:pPr>
    </w:p>
    <w:p>
      <w:pPr>
        <w:ind w:left="8"/>
        <w:spacing w:after="0"/>
        <w:tabs>
          <w:tab w:leader="none" w:pos="527" w:val="left"/>
          <w:tab w:leader="none" w:pos="5567" w:val="left"/>
          <w:tab w:leader="none" w:pos="5987" w:val="left"/>
        </w:tabs>
        <w:rPr>
          <w:sz w:val="20"/>
          <w:szCs w:val="20"/>
          <w:color w:val="auto"/>
        </w:rPr>
      </w:pPr>
      <w:r>
        <w:rPr>
          <w:rFonts w:ascii="Times New Roman" w:cs="Times New Roman" w:eastAsia="Times New Roman" w:hAnsi="Times New Roman"/>
          <w:sz w:val="15"/>
          <w:szCs w:val="15"/>
          <w:color w:val="auto"/>
        </w:rPr>
        <w:t>Date:</w:t>
        <w:tab/>
        <w:t>March 26, 2025</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i w:val="1"/>
          <w:iCs w:val="1"/>
          <w:color w:val="auto"/>
        </w:rPr>
        <w:t>/s/ Xuedong Tian</w:t>
      </w:r>
    </w:p>
    <w:p>
      <w:pPr>
        <w:spacing w:after="0" w:line="30" w:lineRule="exact"/>
        <w:rPr>
          <w:sz w:val="20"/>
          <w:szCs w:val="20"/>
          <w:color w:val="auto"/>
        </w:rPr>
      </w:pPr>
    </w:p>
    <w:p>
      <w:pPr>
        <w:ind w:left="5588"/>
        <w:spacing w:after="0"/>
        <w:rPr>
          <w:sz w:val="20"/>
          <w:szCs w:val="20"/>
          <w:color w:val="auto"/>
        </w:rPr>
      </w:pPr>
      <w:r>
        <w:rPr>
          <w:rFonts w:ascii="Times New Roman" w:cs="Times New Roman" w:eastAsia="Times New Roman" w:hAnsi="Times New Roman"/>
          <w:sz w:val="15"/>
          <w:szCs w:val="15"/>
          <w:color w:val="auto"/>
        </w:rPr>
        <w:t>Name:Xuedong Tian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3810000</wp:posOffset>
            </wp:positionH>
            <wp:positionV relativeFrom="paragraph">
              <wp:posOffset>-108585</wp:posOffset>
            </wp:positionV>
            <wp:extent cx="3342005"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6">
                      <a:extLst>
                        <a:ext uri="{28A0092B-C50C-407E-A947-70E740481C1C}"/>
                      </a:extLst>
                    </a:blip>
                    <a:srcRect/>
                    <a:stretch>
                      <a:fillRect/>
                    </a:stretch>
                  </pic:blipFill>
                  <pic:spPr bwMode="auto">
                    <a:xfrm>
                      <a:off x="0" y="0"/>
                      <a:ext cx="3342005" cy="7620"/>
                    </a:xfrm>
                    <a:prstGeom prst="rect">
                      <a:avLst/>
                    </a:prstGeom>
                    <a:noFill/>
                  </pic:spPr>
                </pic:pic>
              </a:graphicData>
            </a:graphic>
          </wp:anchor>
        </w:drawing>
      </w:r>
    </w:p>
    <w:p>
      <w:pPr>
        <w:spacing w:after="0" w:line="3" w:lineRule="exact"/>
        <w:rPr>
          <w:sz w:val="20"/>
          <w:szCs w:val="20"/>
          <w:color w:val="auto"/>
        </w:rPr>
      </w:pPr>
    </w:p>
    <w:p>
      <w:pPr>
        <w:ind w:left="5588"/>
        <w:spacing w:after="0"/>
        <w:rPr>
          <w:sz w:val="20"/>
          <w:szCs w:val="20"/>
          <w:color w:val="auto"/>
        </w:rPr>
      </w:pPr>
      <w:r>
        <w:rPr>
          <w:rFonts w:ascii="Times New Roman" w:cs="Times New Roman" w:eastAsia="Times New Roman" w:hAnsi="Times New Roman"/>
          <w:sz w:val="15"/>
          <w:szCs w:val="15"/>
          <w:color w:val="auto"/>
        </w:rPr>
        <w:t>Title: Co-Chief Executive Officer</w:t>
      </w:r>
    </w:p>
    <w:p>
      <w:pPr>
        <w:spacing w:after="0" w:line="12" w:lineRule="exact"/>
        <w:rPr>
          <w:sz w:val="20"/>
          <w:szCs w:val="20"/>
          <w:color w:val="auto"/>
        </w:rPr>
      </w:pPr>
    </w:p>
    <w:p>
      <w:pPr>
        <w:ind w:left="6008"/>
        <w:spacing w:after="0"/>
        <w:rPr>
          <w:sz w:val="20"/>
          <w:szCs w:val="20"/>
          <w:color w:val="auto"/>
        </w:rPr>
      </w:pPr>
      <w:r>
        <w:rPr>
          <w:rFonts w:ascii="Times New Roman" w:cs="Times New Roman" w:eastAsia="Times New Roman" w:hAnsi="Times New Roman"/>
          <w:sz w:val="15"/>
          <w:szCs w:val="15"/>
          <w:color w:val="auto"/>
        </w:rPr>
        <w:t>(Co-Principal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5264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7">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p>
      <w:pPr>
        <w:sectPr>
          <w:pgSz w:w="11900" w:h="16838" w:orient="portrait"/>
          <w:cols w:equalWidth="0" w:num="1">
            <w:col w:w="11268"/>
          </w:cols>
          <w:pgMar w:left="312" w:top="328" w:right="3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5"/>
          <w:szCs w:val="15"/>
          <w:b w:val="1"/>
          <w:bCs w:val="1"/>
          <w:color w:val="auto"/>
        </w:rPr>
        <w:t>Exhibit 32.2</w:t>
      </w:r>
    </w:p>
    <w:p>
      <w:pPr>
        <w:spacing w:after="0" w:line="1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CERTIFICATION OF THE CHIEF FINANCIAL OFFICER</w:t>
      </w:r>
    </w:p>
    <w:p>
      <w:pPr>
        <w:spacing w:after="0" w:line="3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PURSUANT TO 18 U.S.C. SECTION 1350,</w:t>
      </w:r>
    </w:p>
    <w:p>
      <w:pPr>
        <w:spacing w:after="0" w:line="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AS ADOPTED PURSUANT TO</w:t>
      </w:r>
    </w:p>
    <w:p>
      <w:pPr>
        <w:spacing w:after="0" w:line="1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5"/>
          <w:szCs w:val="15"/>
          <w:b w:val="1"/>
          <w:bCs w:val="1"/>
          <w:color w:val="auto"/>
        </w:rPr>
        <w:t>SECTION 906 OF THE SARBANES-OXLEY ACT OF 2002</w:t>
      </w:r>
    </w:p>
    <w:p>
      <w:pPr>
        <w:spacing w:after="0" w:line="182" w:lineRule="exact"/>
        <w:rPr>
          <w:sz w:val="20"/>
          <w:szCs w:val="20"/>
          <w:color w:val="auto"/>
        </w:rPr>
      </w:pPr>
    </w:p>
    <w:p>
      <w:pPr>
        <w:jc w:val="both"/>
        <w:ind w:left="8"/>
        <w:spacing w:after="0" w:line="274" w:lineRule="auto"/>
        <w:rPr>
          <w:sz w:val="20"/>
          <w:szCs w:val="20"/>
          <w:color w:val="auto"/>
        </w:rPr>
      </w:pPr>
      <w:r>
        <w:rPr>
          <w:rFonts w:ascii="Times New Roman" w:cs="Times New Roman" w:eastAsia="Times New Roman" w:hAnsi="Times New Roman"/>
          <w:sz w:val="15"/>
          <w:szCs w:val="15"/>
          <w:color w:val="auto"/>
        </w:rPr>
        <w:t>In connection with the Annual Report of Snail, Inc. (the “Registrant”) on Form 10-K for the year ended December 31, 2024 as filed with the Securities and Exchange Commission on the date hereof (the “Report”), I, Heidy Chow, Chief Financial Officer of the Registrant, certify, pursuant to 18 U.S.C. Section 1350, as adopted pursuant to Section 906 of the Sarbanes-Oxley Act of 2002, that to my knowledge:</w:t>
      </w:r>
    </w:p>
    <w:p>
      <w:pPr>
        <w:spacing w:after="0" w:line="146" w:lineRule="exact"/>
        <w:rPr>
          <w:sz w:val="20"/>
          <w:szCs w:val="20"/>
          <w:color w:val="auto"/>
        </w:rPr>
      </w:pPr>
    </w:p>
    <w:p>
      <w:pPr>
        <w:ind w:left="268" w:hanging="268"/>
        <w:spacing w:after="0"/>
        <w:tabs>
          <w:tab w:leader="none" w:pos="268"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Report fully complies with the requirements of section 13(a) or 15(d) of the Securities Exchange Act of 1934; and</w:t>
      </w:r>
    </w:p>
    <w:p>
      <w:pPr>
        <w:spacing w:after="0" w:line="196" w:lineRule="exact"/>
        <w:rPr>
          <w:rFonts w:ascii="Times New Roman" w:cs="Times New Roman" w:eastAsia="Times New Roman" w:hAnsi="Times New Roman"/>
          <w:sz w:val="15"/>
          <w:szCs w:val="15"/>
          <w:color w:val="auto"/>
        </w:rPr>
      </w:pPr>
    </w:p>
    <w:p>
      <w:pPr>
        <w:ind w:left="268" w:hanging="268"/>
        <w:spacing w:after="0"/>
        <w:tabs>
          <w:tab w:leader="none" w:pos="268"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information contained in the Report fairly presents, in all material respects, the financial condition and results of operations of the Registrant.</w:t>
      </w:r>
    </w:p>
    <w:p>
      <w:pPr>
        <w:spacing w:after="0" w:line="192" w:lineRule="exact"/>
        <w:rPr>
          <w:sz w:val="20"/>
          <w:szCs w:val="20"/>
          <w:color w:val="auto"/>
        </w:rPr>
      </w:pPr>
    </w:p>
    <w:p>
      <w:pPr>
        <w:ind w:left="8"/>
        <w:spacing w:after="0"/>
        <w:tabs>
          <w:tab w:leader="none" w:pos="527" w:val="left"/>
          <w:tab w:leader="none" w:pos="5567" w:val="left"/>
          <w:tab w:leader="none" w:pos="5987" w:val="left"/>
        </w:tabs>
        <w:rPr>
          <w:sz w:val="20"/>
          <w:szCs w:val="20"/>
          <w:color w:val="auto"/>
        </w:rPr>
      </w:pPr>
      <w:r>
        <w:rPr>
          <w:rFonts w:ascii="Times New Roman" w:cs="Times New Roman" w:eastAsia="Times New Roman" w:hAnsi="Times New Roman"/>
          <w:sz w:val="15"/>
          <w:szCs w:val="15"/>
          <w:color w:val="auto"/>
        </w:rPr>
        <w:t>Date:</w:t>
        <w:tab/>
        <w:t>March 26, 2025</w:t>
      </w:r>
      <w:r>
        <w:rPr>
          <w:sz w:val="20"/>
          <w:szCs w:val="20"/>
          <w:color w:val="auto"/>
        </w:rPr>
        <w:tab/>
      </w: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i w:val="1"/>
          <w:iCs w:val="1"/>
          <w:color w:val="auto"/>
        </w:rPr>
        <w:t>/s/ Heidy Chow</w:t>
      </w:r>
    </w:p>
    <w:p>
      <w:pPr>
        <w:spacing w:after="0" w:line="30" w:lineRule="exact"/>
        <w:rPr>
          <w:sz w:val="20"/>
          <w:szCs w:val="20"/>
          <w:color w:val="auto"/>
        </w:rPr>
      </w:pPr>
    </w:p>
    <w:p>
      <w:pPr>
        <w:ind w:left="5588"/>
        <w:spacing w:after="0"/>
        <w:rPr>
          <w:sz w:val="20"/>
          <w:szCs w:val="20"/>
          <w:color w:val="auto"/>
        </w:rPr>
      </w:pPr>
      <w:r>
        <w:rPr>
          <w:rFonts w:ascii="Times New Roman" w:cs="Times New Roman" w:eastAsia="Times New Roman" w:hAnsi="Times New Roman"/>
          <w:sz w:val="15"/>
          <w:szCs w:val="15"/>
          <w:color w:val="auto"/>
        </w:rPr>
        <w:t>Name:Heidy Chow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3810000</wp:posOffset>
            </wp:positionH>
            <wp:positionV relativeFrom="paragraph">
              <wp:posOffset>-108585</wp:posOffset>
            </wp:positionV>
            <wp:extent cx="3342005"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8">
                      <a:extLst>
                        <a:ext uri="{28A0092B-C50C-407E-A947-70E740481C1C}"/>
                      </a:extLst>
                    </a:blip>
                    <a:srcRect/>
                    <a:stretch>
                      <a:fillRect/>
                    </a:stretch>
                  </pic:blipFill>
                  <pic:spPr bwMode="auto">
                    <a:xfrm>
                      <a:off x="0" y="0"/>
                      <a:ext cx="3342005" cy="7620"/>
                    </a:xfrm>
                    <a:prstGeom prst="rect">
                      <a:avLst/>
                    </a:prstGeom>
                    <a:noFill/>
                  </pic:spPr>
                </pic:pic>
              </a:graphicData>
            </a:graphic>
          </wp:anchor>
        </w:drawing>
      </w:r>
    </w:p>
    <w:p>
      <w:pPr>
        <w:spacing w:after="0" w:line="3" w:lineRule="exact"/>
        <w:rPr>
          <w:sz w:val="20"/>
          <w:szCs w:val="20"/>
          <w:color w:val="auto"/>
        </w:rPr>
      </w:pPr>
    </w:p>
    <w:p>
      <w:pPr>
        <w:ind w:left="5588"/>
        <w:spacing w:after="0"/>
        <w:rPr>
          <w:sz w:val="20"/>
          <w:szCs w:val="20"/>
          <w:color w:val="auto"/>
        </w:rPr>
      </w:pPr>
      <w:r>
        <w:rPr>
          <w:rFonts w:ascii="Times New Roman" w:cs="Times New Roman" w:eastAsia="Times New Roman" w:hAnsi="Times New Roman"/>
          <w:sz w:val="15"/>
          <w:szCs w:val="15"/>
          <w:color w:val="auto"/>
        </w:rPr>
        <w:t>Title: Chief Financial Officer</w:t>
      </w:r>
    </w:p>
    <w:p>
      <w:pPr>
        <w:spacing w:after="0" w:line="12" w:lineRule="exact"/>
        <w:rPr>
          <w:sz w:val="20"/>
          <w:szCs w:val="20"/>
          <w:color w:val="auto"/>
        </w:rPr>
      </w:pPr>
    </w:p>
    <w:p>
      <w:pPr>
        <w:ind w:left="6008"/>
        <w:spacing w:after="0"/>
        <w:rPr>
          <w:sz w:val="20"/>
          <w:szCs w:val="20"/>
          <w:color w:val="auto"/>
        </w:rPr>
      </w:pPr>
      <w:r>
        <w:rPr>
          <w:rFonts w:ascii="Times New Roman" w:cs="Times New Roman" w:eastAsia="Times New Roman" w:hAnsi="Times New Roman"/>
          <w:sz w:val="15"/>
          <w:szCs w:val="15"/>
          <w:color w:val="auto"/>
        </w:rPr>
        <w:t>(Principal Financial Officer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241300</wp:posOffset>
            </wp:positionV>
            <wp:extent cx="715264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9">
                      <a:extLst>
                        <a:ext uri="{28A0092B-C50C-407E-A947-70E740481C1C}"/>
                      </a:extLst>
                    </a:blip>
                    <a:srcRect/>
                    <a:stretch>
                      <a:fillRect/>
                    </a:stretch>
                  </pic:blipFill>
                  <pic:spPr bwMode="auto">
                    <a:xfrm>
                      <a:off x="0" y="0"/>
                      <a:ext cx="7152640" cy="7620"/>
                    </a:xfrm>
                    <a:prstGeom prst="rect">
                      <a:avLst/>
                    </a:prstGeom>
                    <a:noFill/>
                  </pic:spPr>
                </pic:pic>
              </a:graphicData>
            </a:graphic>
          </wp:anchor>
        </w:drawing>
      </w:r>
    </w:p>
    <w:sectPr>
      <w:pgSz w:w="11900" w:h="16838" w:orient="portrait"/>
      <w:cols w:equalWidth="0" w:num="1">
        <w:col w:w="11268"/>
      </w:cols>
      <w:pgMar w:left="312" w:top="32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30"/>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lowerRoman"/>
      <w:start w:val="2"/>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1)"/>
      <w:numFmt w:val="lowerLetter"/>
      <w:start w:val="3"/>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lvl w:ilvl="1">
      <w:lvlJc w:val="left"/>
      <w:lvlText w:val="○"/>
      <w:numFmt w:val="bullet"/>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104"/>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1."/>
      <w:numFmt w:val="upperLetter"/>
      <w:start w:val="9"/>
    </w:lvl>
  </w:abstractNum>
  <w:abstractNum w:abstractNumId="31">
    <w:nsid w:val="153EA438"/>
    <w:multiLevelType w:val="hybridMultilevel"/>
    <w:lvl w:ilvl="0">
      <w:lvlJc w:val="left"/>
      <w:lvlText w:val="%1."/>
      <w:numFmt w:val="upperLetter"/>
      <w:start w:val="35"/>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1)"/>
      <w:numFmt w:val="lowerLetter"/>
      <w:start w:val="1"/>
    </w:lvl>
  </w:abstractNum>
  <w:abstractNum w:abstractNumId="35">
    <w:nsid w:val="2A487CB0"/>
    <w:multiLevelType w:val="hybridMultilevel"/>
    <w:lvl w:ilvl="0">
      <w:lvlJc w:val="left"/>
      <w:lvlText w:val="%1."/>
      <w:numFmt w:val="upperLetter"/>
      <w:start w:val="6"/>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
      <w:numFmt w:val="bullet"/>
      <w:start w:val="1"/>
    </w:lvl>
    <w:lvl w:ilvl="1">
      <w:lvlJc w:val="left"/>
      <w:lvlText w:val="%2."/>
      <w:numFmt w:val="decimal"/>
      <w:start w:val="5"/>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3"/>
    </w:lvl>
  </w:abstractNum>
  <w:abstractNum w:abstractNumId="41">
    <w:nsid w:val="4B588F54"/>
    <w:multiLevelType w:val="hybridMultilevel"/>
    <w:lvl w:ilvl="0">
      <w:lvlJc w:val="left"/>
      <w:lvlText w:val="%1."/>
      <w:numFmt w:val="decimal"/>
      <w:start w:val="4"/>
    </w:lvl>
  </w:abstractNum>
  <w:abstractNum w:abstractNumId="42">
    <w:nsid w:val="542289EC"/>
    <w:multiLevelType w:val="hybridMultilevel"/>
    <w:lvl w:ilvl="0">
      <w:lvlJc w:val="left"/>
      <w:lvlText w:val="%1."/>
      <w:numFmt w:val="upperLetter"/>
      <w:start w:val="6"/>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1."/>
      <w:numFmt w:val="decimal"/>
      <w:start w:val="2"/>
    </w:lvl>
  </w:abstractNum>
  <w:abstractNum w:abstractNumId="45">
    <w:nsid w:val="7644A45C"/>
    <w:multiLevelType w:val="hybridMultilevel"/>
    <w:lvl w:ilvl="0">
      <w:lvlJc w:val="left"/>
      <w:lvlText w:val="%1."/>
      <w:numFmt w:val="decimal"/>
      <w:start w:val="3"/>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49" Type="http://schemas.openxmlformats.org/officeDocument/2006/relationships/image" Target="media/image103.png"/><Relationship Id="rId150" Type="http://schemas.openxmlformats.org/officeDocument/2006/relationships/image" Target="media/image104.png"/><Relationship Id="rId151" Type="http://schemas.openxmlformats.org/officeDocument/2006/relationships/image" Target="media/image105.png"/><Relationship Id="rId152" Type="http://schemas.openxmlformats.org/officeDocument/2006/relationships/image" Target="media/image106.png"/><Relationship Id="rId153" Type="http://schemas.openxmlformats.org/officeDocument/2006/relationships/image" Target="media/image107.png"/><Relationship Id="rId154" Type="http://schemas.openxmlformats.org/officeDocument/2006/relationships/image" Target="media/image108.png"/><Relationship Id="rId155" Type="http://schemas.openxmlformats.org/officeDocument/2006/relationships/image" Target="media/image109.png"/><Relationship Id="rId156" Type="http://schemas.openxmlformats.org/officeDocument/2006/relationships/image" Target="media/image110.png"/><Relationship Id="rId157" Type="http://schemas.openxmlformats.org/officeDocument/2006/relationships/image" Target="media/image111.png"/><Relationship Id="rId158" Type="http://schemas.openxmlformats.org/officeDocument/2006/relationships/image" Target="media/image112.png"/><Relationship Id="rId159" Type="http://schemas.openxmlformats.org/officeDocument/2006/relationships/image" Target="media/image113.png"/><Relationship Id="rId160" Type="http://schemas.openxmlformats.org/officeDocument/2006/relationships/image" Target="media/image114.png"/><Relationship Id="rId161" Type="http://schemas.openxmlformats.org/officeDocument/2006/relationships/image" Target="media/image115.png"/><Relationship Id="rId162" Type="http://schemas.openxmlformats.org/officeDocument/2006/relationships/image" Target="media/image116.png"/><Relationship Id="rId163" Type="http://schemas.openxmlformats.org/officeDocument/2006/relationships/image" Target="media/image117.png"/><Relationship Id="rId164" Type="http://schemas.openxmlformats.org/officeDocument/2006/relationships/image" Target="media/image118.png"/><Relationship Id="rId165" Type="http://schemas.openxmlformats.org/officeDocument/2006/relationships/image" Target="media/image119.png"/><Relationship Id="rId166" Type="http://schemas.openxmlformats.org/officeDocument/2006/relationships/image" Target="media/image120.png"/><Relationship Id="rId167" Type="http://schemas.openxmlformats.org/officeDocument/2006/relationships/image" Target="media/image121.png"/><Relationship Id="rId168" Type="http://schemas.openxmlformats.org/officeDocument/2006/relationships/image" Target="media/image122.png"/><Relationship Id="rId169" Type="http://schemas.openxmlformats.org/officeDocument/2006/relationships/image" Target="media/image123.png"/><Relationship Id="rId110" Type="http://schemas.openxmlformats.org/officeDocument/2006/relationships/hyperlink" Target="https://www.sec.gov/Archives/edgar/data/1886894/000110465922118795/tm2128835d28_ex3-1.htm" TargetMode="External"/><Relationship Id="rId111" Type="http://schemas.openxmlformats.org/officeDocument/2006/relationships/hyperlink" Target="https://www.sec.gov/Archives/edgar/data/1886894/000110465922118795/tm2128835d28_ex3-2.htm" TargetMode="External"/><Relationship Id="rId112" Type="http://schemas.openxmlformats.org/officeDocument/2006/relationships/hyperlink" Target="https://www.sec.gov/Archives/edgar/data/1886894/000110465922100894/tm2128835d11_ex4-1.htm" TargetMode="External"/><Relationship Id="rId113" Type="http://schemas.openxmlformats.org/officeDocument/2006/relationships/hyperlink" Target="https://www.sec.gov/Archives/edgar/data/1886894/000110465922109030/tm2128835d14_ex4-2.htm" TargetMode="External"/><Relationship Id="rId114" Type="http://schemas.openxmlformats.org/officeDocument/2006/relationships/hyperlink" Target="https://www.sec.gov/Archives/edgar/data/1886894/000110465923038408/snal-20221231xex4d3.htm" TargetMode="External"/><Relationship Id="rId115" Type="http://schemas.openxmlformats.org/officeDocument/2006/relationships/hyperlink" Target="https://www.sec.gov/Archives/edgar/data/1886894/000149315223030672/ex4-1.htm" TargetMode="External"/><Relationship Id="rId116" Type="http://schemas.openxmlformats.org/officeDocument/2006/relationships/hyperlink" Target="https://www.sec.gov/Archives/edgar/data/1886894/000149315223030672/ex4-2.htm" TargetMode="External"/><Relationship Id="rId117" Type="http://schemas.openxmlformats.org/officeDocument/2006/relationships/hyperlink" Target="https://www.sec.gov/Archives/edgar/data/1886894/000149315223030672/ex4-3.htm" TargetMode="External"/><Relationship Id="rId118" Type="http://schemas.openxmlformats.org/officeDocument/2006/relationships/hyperlink" Target="https://www.sec.gov/Archives/edgar/data/1886894/000149315224035736/ex4-7.htm" TargetMode="External"/><Relationship Id="rId119" Type="http://schemas.openxmlformats.org/officeDocument/2006/relationships/hyperlink" Target="https://www.sec.gov/Archives/edgar/data/1886894/000149315225008202/ex4-1.htm" TargetMode="External"/><Relationship Id="rId120" Type="http://schemas.openxmlformats.org/officeDocument/2006/relationships/hyperlink" Target="https://www.sec.gov/Archives/edgar/data/1886894/000110465922109030/tm2128835d14_ex10-12.htm" TargetMode="External"/><Relationship Id="rId121" Type="http://schemas.openxmlformats.org/officeDocument/2006/relationships/hyperlink" Target="https://www.sec.gov/Archives/edgar/data/1886894/000110465922127433/snal-20220930xex10d2.htm" TargetMode="External"/><Relationship Id="rId122" Type="http://schemas.openxmlformats.org/officeDocument/2006/relationships/hyperlink" Target="https://www.sec.gov/Archives/edgar/data/1886894/000110465922109030/tm2128835d14_ex10-5.htm" TargetMode="External"/><Relationship Id="rId123" Type="http://schemas.openxmlformats.org/officeDocument/2006/relationships/hyperlink" Target="https://www.sec.gov/Archives/edgar/data/1886894/000110465922111604/tm2128835d17_ex10-11.htm" TargetMode="External"/><Relationship Id="rId124" Type="http://schemas.openxmlformats.org/officeDocument/2006/relationships/hyperlink" Target="https://www.sec.gov/Archives/edgar/data/1886894/000110465922109030/tm2128835d14_ex10-15.htm" TargetMode="External"/><Relationship Id="rId125" Type="http://schemas.openxmlformats.org/officeDocument/2006/relationships/hyperlink" Target="https://www.sec.gov/Archives/edgar/data/1886894/000110465922109030/tm2128835d14_ex10-16.htm" TargetMode="External"/><Relationship Id="rId126" Type="http://schemas.openxmlformats.org/officeDocument/2006/relationships/hyperlink" Target="https://www.sec.gov/Archives/edgar/data/1886894/000110465922100894/tm2128835d11_ex10-1.htm" TargetMode="External"/><Relationship Id="rId127" Type="http://schemas.openxmlformats.org/officeDocument/2006/relationships/hyperlink" Target="https://www.sec.gov/Archives/edgar/data/1886894/000110465922100894/tm2128835d11_ex10-2.htm" TargetMode="External"/><Relationship Id="rId128" Type="http://schemas.openxmlformats.org/officeDocument/2006/relationships/hyperlink" Target="https://www.sec.gov/Archives/edgar/data/1886894/000110465922100894/tm2128835d11_ex10-3.htm" TargetMode="External"/><Relationship Id="rId129" Type="http://schemas.openxmlformats.org/officeDocument/2006/relationships/hyperlink" Target="https://www.sec.gov/Archives/edgar/data/1886894/000110465922109030/tm2128835d14_ex10-13.htm" TargetMode="External"/><Relationship Id="rId130" Type="http://schemas.openxmlformats.org/officeDocument/2006/relationships/hyperlink" Target="https://www.sec.gov/Archives/edgar/data/1886894/000110465922109030/tm2128835d14_ex10-14.htm" TargetMode="External"/><Relationship Id="rId131" Type="http://schemas.openxmlformats.org/officeDocument/2006/relationships/hyperlink" Target="https://www.sec.gov/Archives/edgar/data/1886894/000110465922100894/tm2128835d11_ex10-4.htm" TargetMode="External"/><Relationship Id="rId132" Type="http://schemas.openxmlformats.org/officeDocument/2006/relationships/hyperlink" Target="https://www.sec.gov/Archives/edgar/data/1886894/000110465922100894/tm2128835d11_ex10-6.htm" TargetMode="External"/><Relationship Id="rId133" Type="http://schemas.openxmlformats.org/officeDocument/2006/relationships/hyperlink" Target="https://www.sec.gov/Archives/edgar/data/1886894/000110465922100894/tm2128835d11_ex10-7.htm" TargetMode="External"/><Relationship Id="rId134" Type="http://schemas.openxmlformats.org/officeDocument/2006/relationships/hyperlink" Target="https://www.sec.gov/Archives/edgar/data/1886894/000110465922100894/tm2128835d11_ex10-8.htm" TargetMode="External"/><Relationship Id="rId135" Type="http://schemas.openxmlformats.org/officeDocument/2006/relationships/hyperlink" Target="https://www.sec.gov/Archives/edgar/data/1886894/000110465922100894/tm2128835d11_ex10-9.htm" TargetMode="External"/><Relationship Id="rId136" Type="http://schemas.openxmlformats.org/officeDocument/2006/relationships/hyperlink" Target="https://www.sec.gov/Archives/edgar/data/1886894/000110465922100894/tm2128835d11_ex10-10.htm" TargetMode="External"/><Relationship Id="rId137" Type="http://schemas.openxmlformats.org/officeDocument/2006/relationships/hyperlink" Target="https://www.sec.gov/Archives/edgar/data/1886894/000110465923038408/snal-20221231xex10d18.htm" TargetMode="External"/><Relationship Id="rId138" Type="http://schemas.openxmlformats.org/officeDocument/2006/relationships/hyperlink" Target="https://www.sec.gov/Archives/edgar/data/1886894/000110465923038408/snal-20221231xex10d19.htm" TargetMode="External"/><Relationship Id="rId139" Type="http://schemas.openxmlformats.org/officeDocument/2006/relationships/hyperlink" Target="https://www.sec.gov/Archives/edgar/data/1886894/000149315223026297/ex10-1.htm" TargetMode="External"/><Relationship Id="rId140" Type="http://schemas.openxmlformats.org/officeDocument/2006/relationships/hyperlink" Target="https://www.sec.gov/Archives/edgar/data/1886894/000149315223030672/ex10-1.htm" TargetMode="External"/><Relationship Id="rId141" Type="http://schemas.openxmlformats.org/officeDocument/2006/relationships/hyperlink" Target="https://www.sec.gov/Archives/edgar/data/1886894/000149315223030672/ex10-2.htm" TargetMode="External"/><Relationship Id="rId142" Type="http://schemas.openxmlformats.org/officeDocument/2006/relationships/hyperlink" Target="https://www.sec.gov/Archives/edgar/data/1886894/000149315223030672/ex10-3.htm" TargetMode="External"/><Relationship Id="rId143" Type="http://schemas.openxmlformats.org/officeDocument/2006/relationships/hyperlink" Target="https://www.sec.gov/Archives/edgar/data/1886894/000149315223041692/ex10-1.htm" TargetMode="External"/><Relationship Id="rId144" Type="http://schemas.openxmlformats.org/officeDocument/2006/relationships/hyperlink" Target="https://www.sec.gov/Archives/edgar/data/1886894/000149315224015242/ex10-1.htm" TargetMode="External"/><Relationship Id="rId145" Type="http://schemas.openxmlformats.org/officeDocument/2006/relationships/hyperlink" Target="https://www.sec.gov/Archives/edgar/data/1886894/000149315225008202/ex10-1.htm" TargetMode="External"/><Relationship Id="rId146" Type="http://schemas.openxmlformats.org/officeDocument/2006/relationships/hyperlink" Target="https://www.sec.gov/Archives/edgar/data/1886894/000149315225008202/ex10-2.htm" TargetMode="External"/><Relationship Id="rId147" Type="http://schemas.openxmlformats.org/officeDocument/2006/relationships/hyperlink" Target="https://www.sec.gov/Archives/edgar/data/1886894/000110465922109030/tm2128835d14_ex21-1.htm" TargetMode="External"/><Relationship Id="rId148" Type="http://schemas.openxmlformats.org/officeDocument/2006/relationships/hyperlink" Target="https://www.sec.gov/Archives/edgar/data/1886894/000149315224012392/ex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2025-03-26T16:43:57Z</dcterms:created>
  <dcterms:modified xsi:type="dcterms:W3CDTF">2025-03-26T16:43:57Z</dcterms:modified>
</cp:coreProperties>
</file>