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64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Zhou Ying</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Snail,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SNAL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SNAIL, INC.</w:t>
            </w:r>
          </w:p>
        </w:tc>
        <w:tc>
          <w:tcPr>
            <w:tcW w:w="16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12049 JEFFERSON BOULEVARD</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64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CULVER CITY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90230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64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0000FF"/>
              </w:rPr>
              <w:t>05/26/2026</w:t>
            </w:r>
          </w:p>
        </w:tc>
        <w:tc>
          <w:tcPr>
            <w:tcW w:w="118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700</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w:t>
            </w:r>
            <w:r>
              <w:rPr>
                <w:rFonts w:ascii="Times New Roman" w:cs="Times New Roman" w:eastAsia="Times New Roman" w:hAnsi="Times New Roman"/>
                <w:sz w:val="22"/>
                <w:szCs w:val="22"/>
                <w:color w:val="008000"/>
                <w:vertAlign w:val="superscript"/>
              </w:rPr>
              <w:t>(1)</w:t>
            </w: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0000FF"/>
                <w:w w:val="99"/>
              </w:rPr>
              <w:t>1,200</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2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SDE,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0000FF"/>
              </w:rPr>
              <w:t>05/27/2026</w:t>
            </w:r>
          </w:p>
        </w:tc>
        <w:tc>
          <w:tcPr>
            <w:tcW w:w="118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4,000</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0.93</w:t>
            </w:r>
            <w:r>
              <w:rPr>
                <w:rFonts w:ascii="Times New Roman" w:cs="Times New Roman" w:eastAsia="Times New Roman" w:hAnsi="Times New Roman"/>
                <w:sz w:val="22"/>
                <w:szCs w:val="22"/>
                <w:color w:val="008000"/>
                <w:vertAlign w:val="superscript"/>
              </w:rPr>
              <w:t>(3)</w:t>
            </w: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0000FF"/>
                <w:w w:val="99"/>
              </w:rPr>
              <w:t>5,200</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2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SDE,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Amethyst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vMerge w:val="restart"/>
          </w:tcPr>
          <w:p>
            <w:pPr>
              <w:jc w:val="center"/>
              <w:ind w:right="93"/>
              <w:spacing w:after="0"/>
              <w:rPr>
                <w:sz w:val="20"/>
                <w:szCs w:val="20"/>
                <w:color w:val="auto"/>
              </w:rPr>
            </w:pPr>
            <w:r>
              <w:rPr>
                <w:rFonts w:ascii="Times New Roman" w:cs="Times New Roman" w:eastAsia="Times New Roman" w:hAnsi="Times New Roman"/>
                <w:sz w:val="17"/>
                <w:szCs w:val="17"/>
                <w:color w:val="0000FF"/>
              </w:rPr>
              <w:t>4,644,990</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2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Fortune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Development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2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0000FF"/>
              </w:rPr>
              <w:t>24,103,590</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2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spouse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$0.9496 through $0.9525. The reporting person undertakes to provide to Snail, Inc., any security holder of Snail,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SDE Inc. is corporation organized under the laws of California and is controlled by the reporting person.</w:t>
      </w:r>
    </w:p>
    <w:p>
      <w:pPr>
        <w:spacing w:after="0" w:line="5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$0.9224 through $0.9488. The reporting person undertakes to provide to Snail, Inc., any security holder of Snail,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Amethyst Fortune Development Limited is an entity organized under the laws of the British Virgin Islands and is controlled by the reporting person.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Ying Zhou</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519" TargetMode="External"/><Relationship Id="rId14" Type="http://schemas.openxmlformats.org/officeDocument/2006/relationships/hyperlink" Target="http://www.sec.gov/cgi-bin/browse-edgar?action=getcompany&amp;CIK=00018868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2026-05-28T16:54:31Z</dcterms:created>
  <dcterms:modified xsi:type="dcterms:W3CDTF">2026-05-28T16:54:31Z</dcterms:modified>
</cp:coreProperties>
</file>