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196850</wp:posOffset>
            </wp:positionH>
            <wp:positionV relativeFrom="page">
              <wp:posOffset>260350</wp:posOffset>
            </wp:positionV>
            <wp:extent cx="715518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35560"/>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309880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87" w:lineRule="exact"/>
        <w:rPr>
          <w:sz w:val="24"/>
          <w:szCs w:val="24"/>
          <w:color w:val="auto"/>
        </w:rPr>
      </w:pPr>
    </w:p>
    <w:p>
      <w:pPr>
        <w:ind w:left="4200" w:right="3120" w:hanging="4190"/>
        <w:spacing w:after="0" w:line="500" w:lineRule="auto"/>
        <w:tabs>
          <w:tab w:leader="none" w:pos="553"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June 30, 2025</w:t>
      </w: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87" w:lineRule="exact"/>
        <w:rPr>
          <w:sz w:val="24"/>
          <w:szCs w:val="24"/>
          <w:color w:val="auto"/>
        </w:rPr>
      </w:pPr>
    </w:p>
    <w:p>
      <w:pPr>
        <w:ind w:left="4480" w:right="60" w:hanging="4470"/>
        <w:spacing w:after="0" w:line="485" w:lineRule="auto"/>
        <w:tabs>
          <w:tab w:leader="none" w:pos="548"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 Commission File Number 001-41556</w:t>
      </w:r>
    </w:p>
    <w:tbl>
      <w:tblPr>
        <w:tblLayout w:type="fixed"/>
        <w:tblInd w:w="1540" w:type="dxa"/>
        <w:tblCellMar>
          <w:top w:w="0" w:type="dxa"/>
          <w:left w:w="0" w:type="dxa"/>
          <w:bottom w:w="0" w:type="dxa"/>
          <w:right w:w="0" w:type="dxa"/>
        </w:tblCellMar>
      </w:tblPr>
      <w:tr>
        <w:trPr>
          <w:trHeight w:val="325"/>
        </w:trPr>
        <w:tc>
          <w:tcPr>
            <w:tcW w:w="6100" w:type="dxa"/>
            <w:vAlign w:val="bottom"/>
          </w:tcPr>
          <w:p>
            <w:pPr>
              <w:jc w:val="center"/>
              <w:ind w:left="2018"/>
              <w:spacing w:after="0"/>
              <w:rPr>
                <w:sz w:val="20"/>
                <w:szCs w:val="20"/>
                <w:color w:val="auto"/>
              </w:rPr>
            </w:pPr>
            <w:r>
              <w:rPr>
                <w:rFonts w:ascii="Times New Roman" w:cs="Times New Roman" w:eastAsia="Times New Roman" w:hAnsi="Times New Roman"/>
                <w:sz w:val="27"/>
                <w:szCs w:val="27"/>
                <w:b w:val="1"/>
                <w:bCs w:val="1"/>
                <w:color w:val="auto"/>
                <w:w w:val="99"/>
              </w:rPr>
              <w:t>SNAIL, INC.</w:t>
            </w:r>
          </w:p>
        </w:tc>
        <w:tc>
          <w:tcPr>
            <w:tcW w:w="1460" w:type="dxa"/>
            <w:vAlign w:val="bottom"/>
          </w:tcPr>
          <w:p>
            <w:pPr>
              <w:spacing w:after="0"/>
              <w:rPr>
                <w:sz w:val="24"/>
                <w:szCs w:val="24"/>
                <w:color w:val="auto"/>
              </w:rPr>
            </w:pPr>
          </w:p>
        </w:tc>
      </w:tr>
      <w:tr>
        <w:trPr>
          <w:trHeight w:val="197"/>
        </w:trPr>
        <w:tc>
          <w:tcPr>
            <w:tcW w:w="6100" w:type="dxa"/>
            <w:vAlign w:val="bottom"/>
          </w:tcPr>
          <w:p>
            <w:pPr>
              <w:jc w:val="center"/>
              <w:ind w:left="2018"/>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1460" w:type="dxa"/>
            <w:vAlign w:val="bottom"/>
          </w:tcPr>
          <w:p>
            <w:pPr>
              <w:spacing w:after="0"/>
              <w:rPr>
                <w:sz w:val="17"/>
                <w:szCs w:val="17"/>
                <w:color w:val="auto"/>
              </w:rPr>
            </w:pPr>
          </w:p>
        </w:tc>
      </w:tr>
      <w:tr>
        <w:trPr>
          <w:trHeight w:val="342"/>
        </w:trPr>
        <w:tc>
          <w:tcPr>
            <w:tcW w:w="6100" w:type="dxa"/>
            <w:vAlign w:val="bottom"/>
          </w:tcPr>
          <w:p>
            <w:pPr>
              <w:jc w:val="center"/>
              <w:ind w:right="3538"/>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146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88-4146991</w:t>
            </w:r>
          </w:p>
        </w:tc>
      </w:tr>
      <w:tr>
        <w:trPr>
          <w:trHeight w:val="180"/>
        </w:trPr>
        <w:tc>
          <w:tcPr>
            <w:tcW w:w="6100" w:type="dxa"/>
            <w:vAlign w:val="bottom"/>
          </w:tcPr>
          <w:p>
            <w:pPr>
              <w:jc w:val="center"/>
              <w:ind w:right="3558"/>
              <w:spacing w:after="0"/>
              <w:rPr>
                <w:sz w:val="20"/>
                <w:szCs w:val="20"/>
                <w:color w:val="auto"/>
              </w:rPr>
            </w:pPr>
            <w:r>
              <w:rPr>
                <w:rFonts w:ascii="Times New Roman" w:cs="Times New Roman" w:eastAsia="Times New Roman" w:hAnsi="Times New Roman"/>
                <w:sz w:val="15"/>
                <w:szCs w:val="15"/>
                <w:b w:val="1"/>
                <w:bCs w:val="1"/>
                <w:color w:val="auto"/>
                <w:w w:val="99"/>
              </w:rPr>
              <w:t>(State or other jurisdiction of</w:t>
            </w:r>
          </w:p>
        </w:tc>
        <w:tc>
          <w:tcPr>
            <w:tcW w:w="1460" w:type="dxa"/>
            <w:vAlign w:val="bottom"/>
          </w:tcPr>
          <w:p>
            <w:pPr>
              <w:jc w:val="center"/>
              <w:ind w:left="225"/>
              <w:spacing w:after="0"/>
              <w:rPr>
                <w:sz w:val="20"/>
                <w:szCs w:val="20"/>
                <w:color w:val="auto"/>
              </w:rPr>
            </w:pPr>
            <w:r>
              <w:rPr>
                <w:rFonts w:ascii="Times New Roman" w:cs="Times New Roman" w:eastAsia="Times New Roman" w:hAnsi="Times New Roman"/>
                <w:sz w:val="15"/>
                <w:szCs w:val="15"/>
                <w:b w:val="1"/>
                <w:bCs w:val="1"/>
                <w:color w:val="auto"/>
                <w:w w:val="99"/>
              </w:rPr>
              <w:t>(I.R.S. Employer</w:t>
            </w:r>
          </w:p>
        </w:tc>
      </w:tr>
      <w:tr>
        <w:trPr>
          <w:trHeight w:val="197"/>
        </w:trPr>
        <w:tc>
          <w:tcPr>
            <w:tcW w:w="6100" w:type="dxa"/>
            <w:vAlign w:val="bottom"/>
          </w:tcPr>
          <w:p>
            <w:pPr>
              <w:jc w:val="center"/>
              <w:ind w:right="3538"/>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460" w:type="dxa"/>
            <w:vAlign w:val="bottom"/>
          </w:tcPr>
          <w:p>
            <w:pPr>
              <w:jc w:val="center"/>
              <w:ind w:left="225"/>
              <w:spacing w:after="0"/>
              <w:rPr>
                <w:sz w:val="20"/>
                <w:szCs w:val="20"/>
                <w:color w:val="auto"/>
              </w:rPr>
            </w:pPr>
            <w:r>
              <w:rPr>
                <w:rFonts w:ascii="Times New Roman" w:cs="Times New Roman" w:eastAsia="Times New Roman" w:hAnsi="Times New Roman"/>
                <w:sz w:val="15"/>
                <w:szCs w:val="15"/>
                <w:b w:val="1"/>
                <w:bCs w:val="1"/>
                <w:color w:val="auto"/>
                <w:w w:val="98"/>
              </w:rPr>
              <w:t>Identification No.)</w:t>
            </w:r>
          </w:p>
        </w:tc>
      </w:tr>
      <w:tr>
        <w:trPr>
          <w:trHeight w:val="342"/>
        </w:trPr>
        <w:tc>
          <w:tcPr>
            <w:tcW w:w="6100" w:type="dxa"/>
            <w:vAlign w:val="bottom"/>
          </w:tcPr>
          <w:p>
            <w:pPr>
              <w:jc w:val="center"/>
              <w:ind w:right="3558"/>
              <w:spacing w:after="0"/>
              <w:rPr>
                <w:sz w:val="20"/>
                <w:szCs w:val="20"/>
                <w:color w:val="auto"/>
              </w:rPr>
            </w:pPr>
            <w:r>
              <w:rPr>
                <w:rFonts w:ascii="Times New Roman" w:cs="Times New Roman" w:eastAsia="Times New Roman" w:hAnsi="Times New Roman"/>
                <w:sz w:val="15"/>
                <w:szCs w:val="15"/>
                <w:b w:val="1"/>
                <w:bCs w:val="1"/>
                <w:color w:val="auto"/>
                <w:w w:val="99"/>
              </w:rPr>
              <w:t>12049 Jefferson Blvd</w:t>
            </w:r>
          </w:p>
        </w:tc>
        <w:tc>
          <w:tcPr>
            <w:tcW w:w="1460" w:type="dxa"/>
            <w:vAlign w:val="bottom"/>
          </w:tcPr>
          <w:p>
            <w:pPr>
              <w:spacing w:after="0"/>
              <w:rPr>
                <w:sz w:val="24"/>
                <w:szCs w:val="24"/>
                <w:color w:val="auto"/>
              </w:rPr>
            </w:pPr>
          </w:p>
        </w:tc>
      </w:tr>
      <w:tr>
        <w:trPr>
          <w:trHeight w:val="180"/>
        </w:trPr>
        <w:tc>
          <w:tcPr>
            <w:tcW w:w="6100" w:type="dxa"/>
            <w:vAlign w:val="bottom"/>
          </w:tcPr>
          <w:p>
            <w:pPr>
              <w:jc w:val="center"/>
              <w:ind w:right="3538"/>
              <w:spacing w:after="0"/>
              <w:rPr>
                <w:sz w:val="20"/>
                <w:szCs w:val="20"/>
                <w:color w:val="auto"/>
              </w:rPr>
            </w:pPr>
            <w:r>
              <w:rPr>
                <w:rFonts w:ascii="Times New Roman" w:cs="Times New Roman" w:eastAsia="Times New Roman" w:hAnsi="Times New Roman"/>
                <w:sz w:val="15"/>
                <w:szCs w:val="15"/>
                <w:b w:val="1"/>
                <w:bCs w:val="1"/>
                <w:color w:val="auto"/>
                <w:w w:val="99"/>
              </w:rPr>
              <w:t>Culver City, CA</w:t>
            </w:r>
          </w:p>
        </w:tc>
        <w:tc>
          <w:tcPr>
            <w:tcW w:w="146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90230</w:t>
            </w:r>
          </w:p>
        </w:tc>
      </w:tr>
      <w:tr>
        <w:trPr>
          <w:trHeight w:val="197"/>
        </w:trPr>
        <w:tc>
          <w:tcPr>
            <w:tcW w:w="6100" w:type="dxa"/>
            <w:vAlign w:val="bottom"/>
          </w:tcPr>
          <w:p>
            <w:pPr>
              <w:jc w:val="center"/>
              <w:ind w:right="3538"/>
              <w:spacing w:after="0"/>
              <w:rPr>
                <w:sz w:val="20"/>
                <w:szCs w:val="20"/>
                <w:color w:val="auto"/>
              </w:rPr>
            </w:pPr>
            <w:r>
              <w:rPr>
                <w:rFonts w:ascii="Times New Roman" w:cs="Times New Roman" w:eastAsia="Times New Roman" w:hAnsi="Times New Roman"/>
                <w:sz w:val="15"/>
                <w:szCs w:val="15"/>
                <w:b w:val="1"/>
                <w:bCs w:val="1"/>
                <w:color w:val="auto"/>
                <w:w w:val="99"/>
              </w:rPr>
              <w:t>(Address of principal executive offices)</w:t>
            </w:r>
          </w:p>
        </w:tc>
        <w:tc>
          <w:tcPr>
            <w:tcW w:w="1460" w:type="dxa"/>
            <w:vAlign w:val="bottom"/>
          </w:tcPr>
          <w:p>
            <w:pPr>
              <w:jc w:val="center"/>
              <w:ind w:left="225"/>
              <w:spacing w:after="0"/>
              <w:rPr>
                <w:sz w:val="20"/>
                <w:szCs w:val="20"/>
                <w:color w:val="auto"/>
              </w:rPr>
            </w:pPr>
            <w:r>
              <w:rPr>
                <w:rFonts w:ascii="Times New Roman" w:cs="Times New Roman" w:eastAsia="Times New Roman" w:hAnsi="Times New Roman"/>
                <w:sz w:val="15"/>
                <w:szCs w:val="15"/>
                <w:b w:val="1"/>
                <w:bCs w:val="1"/>
                <w:color w:val="auto"/>
                <w:w w:val="97"/>
              </w:rPr>
              <w:t>(Zip code)</w:t>
            </w: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+1 (310) 988-0643</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5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360"/>
        </w:trPr>
        <w:tc>
          <w:tcPr>
            <w:tcW w:w="20" w:type="dxa"/>
            <w:vAlign w:val="bottom"/>
          </w:tcPr>
          <w:p>
            <w:pPr>
              <w:spacing w:after="0"/>
              <w:rPr>
                <w:sz w:val="24"/>
                <w:szCs w:val="24"/>
                <w:color w:val="auto"/>
              </w:rPr>
            </w:pPr>
          </w:p>
        </w:tc>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Trading Symbol (s)</w:t>
            </w: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Name of each exchange on which registered</w:t>
            </w:r>
          </w:p>
        </w:tc>
      </w:tr>
      <w:tr>
        <w:trPr>
          <w:trHeight w:val="157"/>
        </w:trPr>
        <w:tc>
          <w:tcPr>
            <w:tcW w:w="20" w:type="dxa"/>
            <w:vAlign w:val="bottom"/>
          </w:tcPr>
          <w:p>
            <w:pPr>
              <w:spacing w:after="0"/>
              <w:rPr>
                <w:sz w:val="13"/>
                <w:szCs w:val="13"/>
                <w:color w:val="auto"/>
              </w:rPr>
            </w:pPr>
          </w:p>
        </w:tc>
        <w:tc>
          <w:tcPr>
            <w:tcW w:w="42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Class A common stock, par value $0.0001</w:t>
            </w:r>
          </w:p>
        </w:tc>
        <w:tc>
          <w:tcPr>
            <w:tcW w:w="220" w:type="dxa"/>
            <w:vAlign w:val="bottom"/>
          </w:tcPr>
          <w:p>
            <w:pPr>
              <w:spacing w:after="0"/>
              <w:rPr>
                <w:sz w:val="13"/>
                <w:szCs w:val="13"/>
                <w:color w:val="auto"/>
              </w:rPr>
            </w:pPr>
          </w:p>
        </w:tc>
        <w:tc>
          <w:tcPr>
            <w:tcW w:w="22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6"/>
              </w:rPr>
              <w:t>SNAL</w:t>
            </w:r>
          </w:p>
        </w:tc>
        <w:tc>
          <w:tcPr>
            <w:tcW w:w="220" w:type="dxa"/>
            <w:vAlign w:val="bottom"/>
          </w:tcPr>
          <w:p>
            <w:pPr>
              <w:spacing w:after="0"/>
              <w:rPr>
                <w:sz w:val="13"/>
                <w:szCs w:val="13"/>
                <w:color w:val="auto"/>
              </w:rPr>
            </w:pPr>
          </w:p>
        </w:tc>
        <w:tc>
          <w:tcPr>
            <w:tcW w:w="42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The Nasdaq Stock Market LLC</w:t>
            </w:r>
          </w:p>
        </w:tc>
      </w:tr>
      <w:tr>
        <w:trPr>
          <w:trHeight w:val="193"/>
        </w:trPr>
        <w:tc>
          <w:tcPr>
            <w:tcW w:w="20" w:type="dxa"/>
            <w:vAlign w:val="bottom"/>
          </w:tcPr>
          <w:p>
            <w:pPr>
              <w:spacing w:after="0"/>
              <w:rPr>
                <w:sz w:val="16"/>
                <w:szCs w:val="16"/>
                <w:color w:val="auto"/>
              </w:rPr>
            </w:pPr>
          </w:p>
        </w:tc>
        <w:tc>
          <w:tcPr>
            <w:tcW w:w="45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per share</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(Nasdaq Capital Market)</w:t>
            </w:r>
          </w:p>
        </w:tc>
      </w:tr>
      <w:tr>
        <w:trPr>
          <w:trHeight w:val="360"/>
        </w:trPr>
        <w:tc>
          <w:tcPr>
            <w:tcW w:w="45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pacing w:after="0" w:line="13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1"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120" w:type="dxa"/>
            <w:vAlign w:val="bottom"/>
          </w:tcPr>
          <w:p>
            <w:pPr>
              <w:ind w:left="1880"/>
              <w:spacing w:after="0" w:line="151" w:lineRule="exact"/>
              <w:rPr>
                <w:sz w:val="20"/>
                <w:szCs w:val="20"/>
                <w:color w:val="auto"/>
              </w:rPr>
            </w:pPr>
            <w:r>
              <w:rPr>
                <w:rFonts w:ascii="MS PGothic" w:cs="MS PGothic" w:eastAsia="MS PGothic" w:hAnsi="MS PGothic"/>
                <w:sz w:val="15"/>
                <w:szCs w:val="15"/>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Accelerated filer</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120" w:type="dxa"/>
            <w:vAlign w:val="bottom"/>
          </w:tcPr>
          <w:p>
            <w:pPr>
              <w:ind w:left="1880"/>
              <w:spacing w:after="0" w:line="151" w:lineRule="exact"/>
              <w:rPr>
                <w:sz w:val="20"/>
                <w:szCs w:val="20"/>
                <w:color w:val="auto"/>
              </w:rPr>
            </w:pPr>
            <w:r>
              <w:rPr>
                <w:rFonts w:ascii="MS PGothic" w:cs="MS PGothic" w:eastAsia="MS PGothic" w:hAnsi="MS PGothic"/>
                <w:sz w:val="15"/>
                <w:szCs w:val="15"/>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1"/>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120" w:type="dxa"/>
            <w:vAlign w:val="bottom"/>
          </w:tcPr>
          <w:p>
            <w:pPr>
              <w:ind w:left="1880"/>
              <w:spacing w:after="0" w:line="151" w:lineRule="exact"/>
              <w:rPr>
                <w:sz w:val="20"/>
                <w:szCs w:val="20"/>
                <w:color w:val="auto"/>
              </w:rPr>
            </w:pPr>
            <w:r>
              <w:rPr>
                <w:rFonts w:ascii="MS PGothic" w:cs="MS PGothic" w:eastAsia="MS PGothic" w:hAnsi="MS PGothic"/>
                <w:sz w:val="15"/>
                <w:szCs w:val="15"/>
                <w:color w:val="auto"/>
              </w:rPr>
              <w:t>☒</w:t>
            </w:r>
          </w:p>
        </w:tc>
        <w:tc>
          <w:tcPr>
            <w:tcW w:w="3520" w:type="dxa"/>
            <w:vAlign w:val="bottom"/>
          </w:tcPr>
          <w:p>
            <w:pPr>
              <w:spacing w:after="0"/>
              <w:rPr>
                <w:sz w:val="21"/>
                <w:szCs w:val="21"/>
                <w:color w:val="auto"/>
              </w:rPr>
            </w:pPr>
          </w:p>
        </w:tc>
        <w:tc>
          <w:tcPr>
            <w:tcW w:w="1900" w:type="dxa"/>
            <w:vAlign w:val="bottom"/>
          </w:tcPr>
          <w:p>
            <w:pPr>
              <w:spacing w:after="0"/>
              <w:rPr>
                <w:sz w:val="21"/>
                <w:szCs w:val="21"/>
                <w:color w:val="auto"/>
              </w:rPr>
            </w:pPr>
          </w:p>
        </w:tc>
      </w:tr>
    </w:tbl>
    <w:p>
      <w:pPr>
        <w:spacing w:after="0" w:line="139" w:lineRule="exact"/>
        <w:rPr>
          <w:sz w:val="24"/>
          <w:szCs w:val="24"/>
          <w:color w:val="auto"/>
        </w:rPr>
      </w:pPr>
    </w:p>
    <w:p>
      <w:pPr>
        <w:ind w:right="2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3"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3"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0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7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Class of Common Stock</w:t>
            </w:r>
          </w:p>
        </w:tc>
        <w:tc>
          <w:tcPr>
            <w:tcW w:w="5520" w:type="dxa"/>
            <w:vAlign w:val="bottom"/>
          </w:tcPr>
          <w:p>
            <w:pPr>
              <w:ind w:left="1440"/>
              <w:spacing w:after="0"/>
              <w:rPr>
                <w:sz w:val="20"/>
                <w:szCs w:val="20"/>
                <w:color w:val="auto"/>
              </w:rPr>
            </w:pPr>
            <w:r>
              <w:rPr>
                <w:rFonts w:ascii="Times New Roman" w:cs="Times New Roman" w:eastAsia="Times New Roman" w:hAnsi="Times New Roman"/>
                <w:sz w:val="15"/>
                <w:szCs w:val="15"/>
                <w:b w:val="1"/>
                <w:bCs w:val="1"/>
                <w:color w:val="auto"/>
              </w:rPr>
              <w:t>Outstanding Shares as of August 18, 2025</w:t>
            </w:r>
          </w:p>
        </w:tc>
      </w:tr>
      <w:tr>
        <w:trPr>
          <w:trHeight w:val="171"/>
        </w:trPr>
        <w:tc>
          <w:tcPr>
            <w:tcW w:w="554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5"/>
                <w:szCs w:val="15"/>
                <w:b w:val="1"/>
                <w:bCs w:val="1"/>
                <w:color w:val="auto"/>
                <w:w w:val="99"/>
              </w:rPr>
              <w:t>Class A Common Stock, par value $0.0001 per share</w:t>
            </w:r>
          </w:p>
        </w:tc>
        <w:tc>
          <w:tcPr>
            <w:tcW w:w="22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auto"/>
            </w:tcBorders>
            <w:shd w:val="clear" w:color="auto" w:fill="CCEEFF"/>
          </w:tcPr>
          <w:p>
            <w:pPr>
              <w:jc w:val="right"/>
              <w:ind w:right="2385"/>
              <w:spacing w:after="0" w:line="172" w:lineRule="exact"/>
              <w:rPr>
                <w:sz w:val="20"/>
                <w:szCs w:val="20"/>
                <w:color w:val="auto"/>
              </w:rPr>
            </w:pPr>
            <w:r>
              <w:rPr>
                <w:rFonts w:ascii="Times New Roman" w:cs="Times New Roman" w:eastAsia="Times New Roman" w:hAnsi="Times New Roman"/>
                <w:sz w:val="15"/>
                <w:szCs w:val="15"/>
                <w:b w:val="1"/>
                <w:bCs w:val="1"/>
                <w:color w:val="auto"/>
              </w:rPr>
              <w:t>8,853,904</w:t>
            </w:r>
          </w:p>
        </w:tc>
      </w:tr>
      <w:tr>
        <w:trPr>
          <w:trHeight w:val="197"/>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Class B Common Stock, par value $0.0001 per share</w:t>
            </w:r>
          </w:p>
        </w:tc>
        <w:tc>
          <w:tcPr>
            <w:tcW w:w="5520" w:type="dxa"/>
            <w:vAlign w:val="bottom"/>
          </w:tcPr>
          <w:p>
            <w:pPr>
              <w:jc w:val="right"/>
              <w:ind w:right="2345"/>
              <w:spacing w:after="0"/>
              <w:rPr>
                <w:sz w:val="20"/>
                <w:szCs w:val="20"/>
                <w:color w:val="auto"/>
              </w:rPr>
            </w:pPr>
            <w:r>
              <w:rPr>
                <w:rFonts w:ascii="Times New Roman" w:cs="Times New Roman" w:eastAsia="Times New Roman" w:hAnsi="Times New Roman"/>
                <w:sz w:val="15"/>
                <w:szCs w:val="15"/>
                <w:b w:val="1"/>
                <w:bCs w:val="1"/>
                <w:color w:val="auto"/>
              </w:rPr>
              <w:t>28,748,580</w:t>
            </w:r>
          </w:p>
        </w:tc>
      </w:tr>
      <w:tr>
        <w:trPr>
          <w:trHeight w:val="162"/>
        </w:trPr>
        <w:tc>
          <w:tcPr>
            <w:tcW w:w="5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39"/>
        </w:trPr>
        <w:tc>
          <w:tcPr>
            <w:tcW w:w="5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r>
      <w:tr>
        <w:trPr>
          <w:trHeight w:val="371"/>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38" w:right="3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0" w:type="dxa"/>
            <w:vAlign w:val="bottom"/>
            <w:gridSpan w:val="6"/>
          </w:tcPr>
          <w:p>
            <w:pPr>
              <w:jc w:val="center"/>
              <w:ind w:right="3460"/>
              <w:spacing w:after="0"/>
              <w:rPr>
                <w:sz w:val="20"/>
                <w:szCs w:val="20"/>
                <w:color w:val="auto"/>
              </w:rPr>
            </w:pPr>
            <w:r>
              <w:rPr>
                <w:rFonts w:ascii="Times New Roman" w:cs="Times New Roman" w:eastAsia="Times New Roman" w:hAnsi="Times New Roman"/>
                <w:sz w:val="15"/>
                <w:szCs w:val="15"/>
                <w:b w:val="1"/>
                <w:bCs w:val="1"/>
                <w:color w:val="auto"/>
                <w:w w:val="99"/>
              </w:rPr>
              <w:t>SNAIL, INC. AND SUBSIDIARIES</w:t>
            </w:r>
          </w:p>
        </w:tc>
        <w:tc>
          <w:tcPr>
            <w:tcW w:w="7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0" w:type="dxa"/>
            <w:vAlign w:val="bottom"/>
            <w:gridSpan w:val="6"/>
          </w:tcPr>
          <w:p>
            <w:pPr>
              <w:jc w:val="center"/>
              <w:ind w:right="3480"/>
              <w:spacing w:after="0"/>
              <w:rPr>
                <w:sz w:val="20"/>
                <w:szCs w:val="20"/>
                <w:color w:val="auto"/>
              </w:rPr>
            </w:pPr>
            <w:r>
              <w:rPr>
                <w:rFonts w:ascii="Times New Roman" w:cs="Times New Roman" w:eastAsia="Times New Roman" w:hAnsi="Times New Roman"/>
                <w:sz w:val="15"/>
                <w:szCs w:val="15"/>
                <w:b w:val="1"/>
                <w:bCs w:val="1"/>
                <w:color w:val="auto"/>
              </w:rPr>
              <w:t>Form 10-Q</w:t>
            </w:r>
          </w:p>
        </w:tc>
        <w:tc>
          <w:tcPr>
            <w:tcW w:w="70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00" w:type="dxa"/>
            <w:vAlign w:val="bottom"/>
            <w:gridSpan w:val="6"/>
          </w:tcPr>
          <w:p>
            <w:pPr>
              <w:jc w:val="center"/>
              <w:ind w:right="3480"/>
              <w:spacing w:after="0"/>
              <w:rPr>
                <w:sz w:val="20"/>
                <w:szCs w:val="20"/>
                <w:color w:val="auto"/>
              </w:rPr>
            </w:pPr>
            <w:r>
              <w:rPr>
                <w:rFonts w:ascii="Times New Roman" w:cs="Times New Roman" w:eastAsia="Times New Roman" w:hAnsi="Times New Roman"/>
                <w:sz w:val="15"/>
                <w:szCs w:val="15"/>
                <w:b w:val="1"/>
                <w:bCs w:val="1"/>
                <w:color w:val="auto"/>
              </w:rPr>
              <w:t>For the Quarter Ended June 30, 2025</w:t>
            </w:r>
          </w:p>
        </w:tc>
        <w:tc>
          <w:tcPr>
            <w:tcW w:w="700" w:type="dxa"/>
            <w:vAlign w:val="bottom"/>
          </w:tcPr>
          <w:p>
            <w:pPr>
              <w:spacing w:after="0"/>
              <w:rPr>
                <w:sz w:val="17"/>
                <w:szCs w:val="17"/>
                <w:color w:val="auto"/>
              </w:rPr>
            </w:pPr>
          </w:p>
        </w:tc>
      </w:tr>
      <w:tr>
        <w:trPr>
          <w:trHeight w:val="36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0" w:type="dxa"/>
            <w:vAlign w:val="bottom"/>
            <w:gridSpan w:val="6"/>
          </w:tcPr>
          <w:p>
            <w:pPr>
              <w:jc w:val="center"/>
              <w:ind w:right="3480"/>
              <w:spacing w:after="0"/>
              <w:rPr>
                <w:sz w:val="20"/>
                <w:szCs w:val="20"/>
                <w:color w:val="auto"/>
              </w:rPr>
            </w:pPr>
            <w:r>
              <w:rPr>
                <w:rFonts w:ascii="Times New Roman" w:cs="Times New Roman" w:eastAsia="Times New Roman" w:hAnsi="Times New Roman"/>
                <w:sz w:val="15"/>
                <w:szCs w:val="15"/>
                <w:b w:val="1"/>
                <w:bCs w:val="1"/>
                <w:color w:val="auto"/>
                <w:w w:val="98"/>
              </w:rPr>
              <w:t>Table of Contents</w:t>
            </w:r>
          </w:p>
        </w:tc>
        <w:tc>
          <w:tcPr>
            <w:tcW w:w="70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2"/>
        </w:trPr>
        <w:tc>
          <w:tcPr>
            <w:tcW w:w="20" w:type="dxa"/>
            <w:vAlign w:val="bottom"/>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0000EE"/>
            </w:tcBorders>
            <w:gridSpan w:val="6"/>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EE"/>
              </w:rPr>
              <w:t>Cautionary Statement</w:t>
            </w:r>
          </w:p>
        </w:tc>
        <w:tc>
          <w:tcPr>
            <w:tcW w:w="8720" w:type="dxa"/>
            <w:vAlign w:val="bottom"/>
            <w:tcBorders>
              <w:bottom w:val="single" w:sz="8" w:color="CCEEFF"/>
            </w:tcBorders>
            <w:gridSpan w:val="11"/>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r>
      <w:tr>
        <w:trPr>
          <w:trHeight w:val="146"/>
        </w:trPr>
        <w:tc>
          <w:tcPr>
            <w:tcW w:w="20" w:type="dxa"/>
            <w:vAlign w:val="bottom"/>
          </w:tcPr>
          <w:p>
            <w:pPr>
              <w:spacing w:after="0"/>
              <w:rPr>
                <w:sz w:val="12"/>
                <w:szCs w:val="12"/>
                <w:color w:val="auto"/>
              </w:rPr>
            </w:pPr>
          </w:p>
        </w:tc>
        <w:tc>
          <w:tcPr>
            <w:tcW w:w="10560" w:type="dxa"/>
            <w:vAlign w:val="bottom"/>
            <w:gridSpan w:val="18"/>
          </w:tcPr>
          <w:p>
            <w:pPr>
              <w:spacing w:after="0" w:line="146" w:lineRule="exact"/>
              <w:rPr>
                <w:sz w:val="20"/>
                <w:szCs w:val="20"/>
                <w:color w:val="auto"/>
              </w:rPr>
            </w:pPr>
            <w:r>
              <w:rPr>
                <w:rFonts w:ascii="Times New Roman" w:cs="Times New Roman" w:eastAsia="Times New Roman" w:hAnsi="Times New Roman"/>
                <w:sz w:val="15"/>
                <w:szCs w:val="15"/>
                <w:b w:val="1"/>
                <w:bCs w:val="1"/>
                <w:color w:val="0000EE"/>
              </w:rPr>
              <w:t>PART I. FINANCIAL INFORMATION</w:t>
            </w:r>
          </w:p>
        </w:tc>
        <w:tc>
          <w:tcPr>
            <w:tcW w:w="7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560" w:type="dxa"/>
            <w:vAlign w:val="bottom"/>
            <w:gridSpan w:val="1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 xml:space="preserve">Item 1.  </w:t>
            </w:r>
            <w:r>
              <w:rPr>
                <w:rFonts w:ascii="Times New Roman" w:cs="Times New Roman" w:eastAsia="Times New Roman" w:hAnsi="Times New Roman"/>
                <w:sz w:val="15"/>
                <w:szCs w:val="15"/>
                <w:color w:val="0000EE"/>
              </w:rPr>
              <w:t>Condensed Consolidated Financial Statements (Unaudited)</w:t>
            </w: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2</w:t>
            </w:r>
          </w:p>
        </w:tc>
      </w:tr>
      <w:tr>
        <w:trPr>
          <w:trHeight w:val="34"/>
        </w:trPr>
        <w:tc>
          <w:tcPr>
            <w:tcW w:w="2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20" w:type="dxa"/>
            <w:vAlign w:val="bottom"/>
            <w:tcBorders>
              <w:right w:val="single" w:sz="8" w:color="CCEEFF"/>
            </w:tcBorders>
            <w:shd w:val="clear" w:color="auto" w:fill="0000EE"/>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40" w:type="dxa"/>
            <w:vAlign w:val="bottom"/>
            <w:gridSpan w:val="17"/>
          </w:tcPr>
          <w:p>
            <w:pPr>
              <w:spacing w:after="0" w:line="146" w:lineRule="exact"/>
              <w:rPr>
                <w:sz w:val="20"/>
                <w:szCs w:val="20"/>
                <w:color w:val="auto"/>
              </w:rPr>
            </w:pPr>
            <w:r>
              <w:rPr>
                <w:rFonts w:ascii="Times New Roman" w:cs="Times New Roman" w:eastAsia="Times New Roman" w:hAnsi="Times New Roman"/>
                <w:sz w:val="15"/>
                <w:szCs w:val="15"/>
                <w:color w:val="0000EE"/>
              </w:rPr>
              <w:t>Snail, Inc. and Subsidiaries Condensed Consolidated Balance Sheets as of June 30, 2025 and December 31, 2024</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2</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20" w:type="dxa"/>
            <w:vAlign w:val="bottom"/>
            <w:tcBorders>
              <w:right w:val="single" w:sz="8" w:color="0000EE"/>
            </w:tcBorders>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53"/>
        </w:trPr>
        <w:tc>
          <w:tcPr>
            <w:tcW w:w="20" w:type="dxa"/>
            <w:vAlign w:val="bottom"/>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40" w:type="dxa"/>
            <w:vAlign w:val="bottom"/>
            <w:tcBorders>
              <w:bottom w:val="single" w:sz="8" w:color="0000EE"/>
            </w:tcBorders>
            <w:gridSpan w:val="17"/>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0000EE"/>
              </w:rPr>
              <w:t>Snail, Inc. and Subsidiaries Condensed Consolidated Statements of Operations and Comprehensive Income (Loss) for the three and six months ended June 30, 2025</w:t>
            </w:r>
          </w:p>
        </w:tc>
        <w:tc>
          <w:tcPr>
            <w:tcW w:w="700" w:type="dxa"/>
            <w:vAlign w:val="bottom"/>
            <w:tcBorders>
              <w:bottom w:val="single" w:sz="8" w:color="CCEEFF"/>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and 2024</w:t>
            </w: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3</w:t>
            </w:r>
          </w:p>
        </w:tc>
      </w:tr>
      <w:tr>
        <w:trPr>
          <w:trHeight w:val="34"/>
        </w:trPr>
        <w:tc>
          <w:tcPr>
            <w:tcW w:w="2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Borders>
              <w:right w:val="single" w:sz="8" w:color="CCEEFF"/>
            </w:tcBorders>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40" w:type="dxa"/>
            <w:vAlign w:val="bottom"/>
            <w:tcBorders>
              <w:bottom w:val="single" w:sz="8" w:color="0000EE"/>
            </w:tcBorders>
            <w:gridSpan w:val="16"/>
          </w:tcPr>
          <w:p>
            <w:pPr>
              <w:spacing w:after="0" w:line="146" w:lineRule="exact"/>
              <w:rPr>
                <w:sz w:val="20"/>
                <w:szCs w:val="20"/>
                <w:color w:val="auto"/>
              </w:rPr>
            </w:pPr>
            <w:r>
              <w:rPr>
                <w:rFonts w:ascii="Times New Roman" w:cs="Times New Roman" w:eastAsia="Times New Roman" w:hAnsi="Times New Roman"/>
                <w:sz w:val="15"/>
                <w:szCs w:val="15"/>
                <w:color w:val="0000EE"/>
                <w:w w:val="99"/>
              </w:rPr>
              <w:t>Snail, Inc. and Subsidiaries Condensed Consolidated Statements of Equity for the three and six months ended June 30, 2025 and 2024</w:t>
            </w:r>
          </w:p>
        </w:tc>
        <w:tc>
          <w:tcPr>
            <w:tcW w:w="200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4</w:t>
            </w:r>
          </w:p>
        </w:tc>
      </w:tr>
      <w:tr>
        <w:trPr>
          <w:trHeight w:val="173"/>
        </w:trPr>
        <w:tc>
          <w:tcPr>
            <w:tcW w:w="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7760" w:type="dxa"/>
            <w:vAlign w:val="bottom"/>
            <w:tcBorders>
              <w:bottom w:val="single" w:sz="8" w:color="0000EE"/>
            </w:tcBorders>
            <w:gridSpan w:val="15"/>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9"/>
              </w:rPr>
              <w:t>Snail, Inc. and Subsidiaries Condensed Consolidated Statements of Cash Flows for the six months ended June 30, 2025 and 2024</w:t>
            </w:r>
          </w:p>
        </w:tc>
        <w:tc>
          <w:tcPr>
            <w:tcW w:w="2280" w:type="dxa"/>
            <w:vAlign w:val="bottom"/>
            <w:tcBorders>
              <w:bottom w:val="single" w:sz="8" w:color="CCEEFF"/>
            </w:tcBorders>
            <w:gridSpan w:val="2"/>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5</w:t>
            </w:r>
          </w:p>
        </w:tc>
      </w:tr>
      <w:tr>
        <w:trPr>
          <w:trHeight w:val="146"/>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40" w:type="dxa"/>
            <w:vAlign w:val="bottom"/>
            <w:gridSpan w:val="17"/>
          </w:tcPr>
          <w:p>
            <w:pPr>
              <w:spacing w:after="0" w:line="146" w:lineRule="exact"/>
              <w:rPr>
                <w:sz w:val="20"/>
                <w:szCs w:val="20"/>
                <w:color w:val="auto"/>
              </w:rPr>
            </w:pPr>
            <w:r>
              <w:rPr>
                <w:rFonts w:ascii="Times New Roman" w:cs="Times New Roman" w:eastAsia="Times New Roman" w:hAnsi="Times New Roman"/>
                <w:sz w:val="15"/>
                <w:szCs w:val="15"/>
                <w:color w:val="0000EE"/>
              </w:rPr>
              <w:t>Snail, Inc. and Subsidiaries Notes to Condensed Consolidated Financial Statements</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560" w:type="dxa"/>
            <w:vAlign w:val="bottom"/>
            <w:gridSpan w:val="1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 xml:space="preserve">Item 2.  </w:t>
            </w:r>
            <w:r>
              <w:rPr>
                <w:rFonts w:ascii="Times New Roman" w:cs="Times New Roman" w:eastAsia="Times New Roman" w:hAnsi="Times New Roman"/>
                <w:sz w:val="15"/>
                <w:szCs w:val="15"/>
                <w:color w:val="0000EE"/>
              </w:rPr>
              <w:t>Management’s Discussion and Analysis of Financial Condition and Results of Operations</w:t>
            </w: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31</w:t>
            </w:r>
          </w:p>
        </w:tc>
      </w:tr>
      <w:tr>
        <w:trPr>
          <w:trHeight w:val="34"/>
        </w:trPr>
        <w:tc>
          <w:tcPr>
            <w:tcW w:w="2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20" w:type="dxa"/>
            <w:vAlign w:val="bottom"/>
            <w:tcBorders>
              <w:right w:val="single" w:sz="8" w:color="0000EE"/>
            </w:tcBorders>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10560" w:type="dxa"/>
            <w:vAlign w:val="bottom"/>
            <w:gridSpan w:val="18"/>
          </w:tcPr>
          <w:p>
            <w:pPr>
              <w:spacing w:after="0" w:line="146" w:lineRule="exact"/>
              <w:rPr>
                <w:sz w:val="20"/>
                <w:szCs w:val="20"/>
                <w:color w:val="auto"/>
              </w:rPr>
            </w:pPr>
            <w:r>
              <w:rPr>
                <w:rFonts w:ascii="Times New Roman" w:cs="Times New Roman" w:eastAsia="Times New Roman" w:hAnsi="Times New Roman"/>
                <w:sz w:val="15"/>
                <w:szCs w:val="15"/>
                <w:color w:val="auto"/>
              </w:rPr>
              <w:t xml:space="preserve">Item 3.  </w:t>
            </w:r>
            <w:r>
              <w:rPr>
                <w:rFonts w:ascii="Times New Roman" w:cs="Times New Roman" w:eastAsia="Times New Roman" w:hAnsi="Times New Roman"/>
                <w:sz w:val="15"/>
                <w:szCs w:val="15"/>
                <w:color w:val="0000EE"/>
              </w:rPr>
              <w:t>Quantitative and Qualitative Disclosures About Market Risk</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46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560" w:type="dxa"/>
            <w:vAlign w:val="bottom"/>
            <w:gridSpan w:val="1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 xml:space="preserve">Item 4.  </w:t>
            </w:r>
            <w:r>
              <w:rPr>
                <w:rFonts w:ascii="Times New Roman" w:cs="Times New Roman" w:eastAsia="Times New Roman" w:hAnsi="Times New Roman"/>
                <w:sz w:val="15"/>
                <w:szCs w:val="15"/>
                <w:color w:val="0000EE"/>
              </w:rPr>
              <w:t>Controls and Procedures</w:t>
            </w: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46</w:t>
            </w:r>
          </w:p>
        </w:tc>
      </w:tr>
      <w:tr>
        <w:trPr>
          <w:trHeight w:val="34"/>
        </w:trPr>
        <w:tc>
          <w:tcPr>
            <w:tcW w:w="2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Borders>
              <w:right w:val="single" w:sz="8" w:color="CCEEFF"/>
            </w:tcBorders>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230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5"/>
                <w:szCs w:val="15"/>
                <w:b w:val="1"/>
                <w:bCs w:val="1"/>
                <w:color w:val="0000EE"/>
                <w:w w:val="97"/>
              </w:rPr>
              <w:t>PART II. OTHER INFORMATION</w:t>
            </w:r>
          </w:p>
        </w:tc>
        <w:tc>
          <w:tcPr>
            <w:tcW w:w="8260" w:type="dxa"/>
            <w:vAlign w:val="bottom"/>
            <w:gridSpan w:val="9"/>
          </w:tcPr>
          <w:p>
            <w:pPr>
              <w:spacing w:after="0"/>
              <w:rPr>
                <w:sz w:val="12"/>
                <w:szCs w:val="12"/>
                <w:color w:val="auto"/>
              </w:rPr>
            </w:pPr>
          </w:p>
        </w:tc>
        <w:tc>
          <w:tcPr>
            <w:tcW w:w="70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Item 1.</w:t>
            </w:r>
          </w:p>
        </w:tc>
        <w:tc>
          <w:tcPr>
            <w:tcW w:w="1120" w:type="dxa"/>
            <w:vAlign w:val="bottom"/>
            <w:tcBorders>
              <w:bottom w:val="single" w:sz="8" w:color="0000EE"/>
            </w:tcBorders>
            <w:gridSpan w:val="5"/>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8"/>
              </w:rPr>
              <w:t>Legal Proceedings</w:t>
            </w:r>
          </w:p>
        </w:tc>
        <w:tc>
          <w:tcPr>
            <w:tcW w:w="8920" w:type="dxa"/>
            <w:vAlign w:val="bottom"/>
            <w:tcBorders>
              <w:bottom w:val="single" w:sz="8" w:color="CCEEFF"/>
            </w:tcBorders>
            <w:gridSpan w:val="12"/>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47</w:t>
            </w:r>
          </w:p>
        </w:tc>
      </w:tr>
      <w:tr>
        <w:trPr>
          <w:trHeight w:val="146"/>
        </w:trPr>
        <w:tc>
          <w:tcPr>
            <w:tcW w:w="20" w:type="dxa"/>
            <w:vAlign w:val="bottom"/>
          </w:tcPr>
          <w:p>
            <w:pPr>
              <w:spacing w:after="0"/>
              <w:rPr>
                <w:sz w:val="12"/>
                <w:szCs w:val="12"/>
                <w:color w:val="auto"/>
              </w:rPr>
            </w:pPr>
          </w:p>
        </w:tc>
        <w:tc>
          <w:tcPr>
            <w:tcW w:w="10560" w:type="dxa"/>
            <w:vAlign w:val="bottom"/>
            <w:gridSpan w:val="18"/>
          </w:tcPr>
          <w:p>
            <w:pPr>
              <w:spacing w:after="0" w:line="146" w:lineRule="exact"/>
              <w:rPr>
                <w:sz w:val="20"/>
                <w:szCs w:val="20"/>
                <w:color w:val="auto"/>
              </w:rPr>
            </w:pPr>
            <w:r>
              <w:rPr>
                <w:rFonts w:ascii="Times New Roman" w:cs="Times New Roman" w:eastAsia="Times New Roman" w:hAnsi="Times New Roman"/>
                <w:sz w:val="15"/>
                <w:szCs w:val="15"/>
                <w:color w:val="auto"/>
              </w:rPr>
              <w:t>Item 1A.</w:t>
            </w:r>
            <w:r>
              <w:rPr>
                <w:rFonts w:ascii="Times New Roman" w:cs="Times New Roman" w:eastAsia="Times New Roman" w:hAnsi="Times New Roman"/>
                <w:sz w:val="15"/>
                <w:szCs w:val="15"/>
                <w:color w:val="0000EE"/>
              </w:rPr>
              <w:t>Risk Factors</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47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560" w:type="dxa"/>
            <w:vAlign w:val="bottom"/>
            <w:gridSpan w:val="1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 xml:space="preserve">Item 2.  </w:t>
            </w:r>
            <w:r>
              <w:rPr>
                <w:rFonts w:ascii="Times New Roman" w:cs="Times New Roman" w:eastAsia="Times New Roman" w:hAnsi="Times New Roman"/>
                <w:sz w:val="15"/>
                <w:szCs w:val="15"/>
                <w:color w:val="0000EE"/>
              </w:rPr>
              <w:t>Unregistered Sales of Equity Securities and Use of Proceeds</w:t>
            </w: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53</w:t>
            </w:r>
          </w:p>
        </w:tc>
      </w:tr>
      <w:tr>
        <w:trPr>
          <w:trHeight w:val="34"/>
        </w:trPr>
        <w:tc>
          <w:tcPr>
            <w:tcW w:w="2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20" w:type="dxa"/>
            <w:vAlign w:val="bottom"/>
            <w:tcBorders>
              <w:right w:val="single" w:sz="8" w:color="0000EE"/>
            </w:tcBorders>
            <w:shd w:val="clear" w:color="auto" w:fill="0000EE"/>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10560" w:type="dxa"/>
            <w:vAlign w:val="bottom"/>
            <w:gridSpan w:val="18"/>
          </w:tcPr>
          <w:p>
            <w:pPr>
              <w:spacing w:after="0" w:line="146" w:lineRule="exact"/>
              <w:rPr>
                <w:sz w:val="20"/>
                <w:szCs w:val="20"/>
                <w:color w:val="auto"/>
              </w:rPr>
            </w:pPr>
            <w:r>
              <w:rPr>
                <w:rFonts w:ascii="Times New Roman" w:cs="Times New Roman" w:eastAsia="Times New Roman" w:hAnsi="Times New Roman"/>
                <w:sz w:val="15"/>
                <w:szCs w:val="15"/>
                <w:color w:val="auto"/>
              </w:rPr>
              <w:t xml:space="preserve">Item 3.  </w:t>
            </w:r>
            <w:r>
              <w:rPr>
                <w:rFonts w:ascii="Times New Roman" w:cs="Times New Roman" w:eastAsia="Times New Roman" w:hAnsi="Times New Roman"/>
                <w:sz w:val="15"/>
                <w:szCs w:val="15"/>
                <w:color w:val="0000EE"/>
              </w:rPr>
              <w:t>Defaults Upon Senior Securities</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54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560" w:type="dxa"/>
            <w:vAlign w:val="bottom"/>
            <w:gridSpan w:val="1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 xml:space="preserve">Item 4.  </w:t>
            </w:r>
            <w:r>
              <w:rPr>
                <w:rFonts w:ascii="Times New Roman" w:cs="Times New Roman" w:eastAsia="Times New Roman" w:hAnsi="Times New Roman"/>
                <w:sz w:val="15"/>
                <w:szCs w:val="15"/>
                <w:color w:val="0000EE"/>
              </w:rPr>
              <w:t>Mine Safety Disclosures</w:t>
            </w: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54</w:t>
            </w:r>
          </w:p>
        </w:tc>
      </w:tr>
      <w:tr>
        <w:trPr>
          <w:trHeight w:val="146"/>
        </w:trPr>
        <w:tc>
          <w:tcPr>
            <w:tcW w:w="20" w:type="dxa"/>
            <w:vAlign w:val="bottom"/>
          </w:tcPr>
          <w:p>
            <w:pPr>
              <w:spacing w:after="0"/>
              <w:rPr>
                <w:sz w:val="12"/>
                <w:szCs w:val="12"/>
                <w:color w:val="auto"/>
              </w:rPr>
            </w:pPr>
          </w:p>
        </w:tc>
        <w:tc>
          <w:tcPr>
            <w:tcW w:w="520" w:type="dxa"/>
            <w:vAlign w:val="bottom"/>
            <w:tcBorders>
              <w:top w:val="single" w:sz="8" w:color="CCEEFF"/>
            </w:tcBorders>
          </w:tcPr>
          <w:p>
            <w:pPr>
              <w:spacing w:after="0" w:line="146" w:lineRule="exact"/>
              <w:rPr>
                <w:sz w:val="20"/>
                <w:szCs w:val="20"/>
                <w:color w:val="auto"/>
              </w:rPr>
            </w:pPr>
            <w:r>
              <w:rPr>
                <w:rFonts w:ascii="Times New Roman" w:cs="Times New Roman" w:eastAsia="Times New Roman" w:hAnsi="Times New Roman"/>
                <w:sz w:val="15"/>
                <w:szCs w:val="15"/>
                <w:color w:val="auto"/>
              </w:rPr>
              <w:t>Item 5.</w:t>
            </w:r>
          </w:p>
        </w:tc>
        <w:tc>
          <w:tcPr>
            <w:tcW w:w="1480" w:type="dxa"/>
            <w:vAlign w:val="bottom"/>
            <w:tcBorders>
              <w:top w:val="single" w:sz="8" w:color="0000EE"/>
            </w:tcBorders>
            <w:gridSpan w:val="7"/>
          </w:tcPr>
          <w:p>
            <w:pPr>
              <w:spacing w:after="0" w:line="146" w:lineRule="exact"/>
              <w:rPr>
                <w:sz w:val="20"/>
                <w:szCs w:val="20"/>
                <w:color w:val="auto"/>
              </w:rPr>
            </w:pPr>
            <w:r>
              <w:rPr>
                <w:rFonts w:ascii="Times New Roman" w:cs="Times New Roman" w:eastAsia="Times New Roman" w:hAnsi="Times New Roman"/>
                <w:sz w:val="15"/>
                <w:szCs w:val="15"/>
                <w:color w:val="0000EE"/>
              </w:rPr>
              <w:t>Other Information</w:t>
            </w:r>
          </w:p>
        </w:tc>
        <w:tc>
          <w:tcPr>
            <w:tcW w:w="8560" w:type="dxa"/>
            <w:vAlign w:val="bottom"/>
            <w:tcBorders>
              <w:top w:val="single" w:sz="8" w:color="CCEEFF"/>
            </w:tcBorders>
            <w:gridSpan w:val="10"/>
          </w:tcPr>
          <w:p>
            <w:pPr>
              <w:spacing w:after="0"/>
              <w:rPr>
                <w:sz w:val="12"/>
                <w:szCs w:val="12"/>
                <w:color w:val="auto"/>
              </w:rPr>
            </w:pPr>
          </w:p>
        </w:tc>
        <w:tc>
          <w:tcPr>
            <w:tcW w:w="70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5"/>
                <w:szCs w:val="15"/>
                <w:color w:val="auto"/>
              </w:rPr>
              <w:t>54</w:t>
            </w:r>
          </w:p>
        </w:tc>
      </w:tr>
      <w:tr>
        <w:trPr>
          <w:trHeight w:val="160"/>
        </w:trPr>
        <w:tc>
          <w:tcPr>
            <w:tcW w:w="20" w:type="dxa"/>
            <w:vAlign w:val="bottom"/>
          </w:tcPr>
          <w:p>
            <w:pPr>
              <w:spacing w:after="0"/>
              <w:rPr>
                <w:sz w:val="13"/>
                <w:szCs w:val="13"/>
                <w:color w:val="auto"/>
              </w:rPr>
            </w:pPr>
          </w:p>
        </w:tc>
        <w:tc>
          <w:tcPr>
            <w:tcW w:w="5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Item 6.</w:t>
            </w:r>
          </w:p>
        </w:tc>
        <w:tc>
          <w:tcPr>
            <w:tcW w:w="1100" w:type="dxa"/>
            <w:vAlign w:val="bottom"/>
            <w:tcBorders>
              <w:top w:val="single" w:sz="8" w:color="0000EE"/>
            </w:tcBorders>
            <w:gridSpan w:val="4"/>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Exhibits</w:t>
            </w:r>
          </w:p>
        </w:tc>
        <w:tc>
          <w:tcPr>
            <w:tcW w:w="8940" w:type="dxa"/>
            <w:vAlign w:val="bottom"/>
            <w:gridSpan w:val="13"/>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54</w:t>
            </w:r>
          </w:p>
        </w:tc>
      </w:tr>
      <w:tr>
        <w:trPr>
          <w:trHeight w:val="34"/>
        </w:trPr>
        <w:tc>
          <w:tcPr>
            <w:tcW w:w="2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Borders>
              <w:right w:val="single" w:sz="8" w:color="CCEEFF"/>
            </w:tcBorders>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10560" w:type="dxa"/>
            <w:vAlign w:val="bottom"/>
            <w:gridSpan w:val="18"/>
          </w:tcPr>
          <w:p>
            <w:pPr>
              <w:spacing w:after="0" w:line="146" w:lineRule="exact"/>
              <w:rPr>
                <w:sz w:val="20"/>
                <w:szCs w:val="20"/>
                <w:color w:val="auto"/>
              </w:rPr>
            </w:pPr>
            <w:r>
              <w:rPr>
                <w:rFonts w:ascii="Times New Roman" w:cs="Times New Roman" w:eastAsia="Times New Roman" w:hAnsi="Times New Roman"/>
                <w:sz w:val="15"/>
                <w:szCs w:val="15"/>
                <w:color w:val="0000EE"/>
              </w:rPr>
              <w:t>SIGNATURES</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55</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spacing w:after="0" w:line="150"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spacing w:after="0" w:line="155" w:lineRule="exact"/>
        <w:rPr>
          <w:sz w:val="20"/>
          <w:szCs w:val="20"/>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re-establish profitable operations, raise additional capital or renegotiate our debt arrangements;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prospects and strategies;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launching new games and additional functionality to games that are commercially successful;</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significant drivers of our future growth;</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or regain compliance with the continued listing requirements of the Nasdaq Capital Market;</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increase our player base and develop new video games and enhance our existing games;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companies in a number of industries, including other casual game developers and publishers and both large and small, public and private multimedia companies;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a qualified management team and other team members while controlling our labor costs;</w:t>
      </w:r>
    </w:p>
    <w:p>
      <w:pPr>
        <w:spacing w:after="0" w:line="187" w:lineRule="exact"/>
        <w:rPr>
          <w:rFonts w:ascii="Times New Roman" w:cs="Times New Roman" w:eastAsia="Times New Roman" w:hAnsi="Times New Roman"/>
          <w:sz w:val="15"/>
          <w:szCs w:val="15"/>
          <w:color w:val="auto"/>
        </w:rPr>
      </w:pPr>
    </w:p>
    <w:p>
      <w:pPr>
        <w:ind w:left="540" w:hanging="260"/>
        <w:spacing w:after="0" w:line="279"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relationships with third-party platforms such as Xbox Live and Game Pass, PlayStation Network, Steam, Epic Games Store, the Apple App Store, the Google Play Store, My Nintendo Store and the Amazon Appstore;</w:t>
      </w:r>
    </w:p>
    <w:p>
      <w:pPr>
        <w:spacing w:after="0" w:line="138"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enter new markets and manage our international expansion;</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protecting and developing our brand and intellectual property portfolio;</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defending intellectual property infringement and other claims;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business development, results of operations and financial condition;</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rulings by courts or other governmental authorities;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 Repurchase Program (as defined below), including expectations regarding the timing and manner of repurchases made under the Share Repurchase Program;</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pursue and successfully integrate strategic acquisitions;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described in this Quarterly Report, including those described in Item 1A of Part II, “Risk Factors”;</w:t>
      </w:r>
    </w:p>
    <w:p>
      <w:pPr>
        <w:spacing w:after="0" w:line="187" w:lineRule="exact"/>
        <w:rPr>
          <w:rFonts w:ascii="Times New Roman" w:cs="Times New Roman" w:eastAsia="Times New Roman" w:hAnsi="Times New Roman"/>
          <w:sz w:val="15"/>
          <w:szCs w:val="15"/>
          <w:color w:val="auto"/>
        </w:rPr>
      </w:pPr>
    </w:p>
    <w:p>
      <w:pPr>
        <w:ind w:left="540" w:right="20" w:hanging="260"/>
        <w:spacing w:after="0" w:line="279"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require additional capital to support our strategic digital asset initiative, and implementing such initiative may subject us to various licensing requirement and significant compliance costs;</w:t>
      </w:r>
    </w:p>
    <w:p>
      <w:pPr>
        <w:spacing w:after="0" w:line="138" w:lineRule="exact"/>
        <w:rPr>
          <w:rFonts w:ascii="Times New Roman" w:cs="Times New Roman" w:eastAsia="Times New Roman" w:hAnsi="Times New Roman"/>
          <w:sz w:val="15"/>
          <w:szCs w:val="15"/>
          <w:color w:val="auto"/>
        </w:rPr>
      </w:pPr>
    </w:p>
    <w:p>
      <w:pPr>
        <w:ind w:left="540" w:hanging="260"/>
        <w:spacing w:after="0" w:line="279"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negative publicity regarding stablecoins or the broader digital asset industry may have an outsize negative effect on consumer confidence in our proposed proprietary stablecoins; and</w:t>
      </w:r>
    </w:p>
    <w:p>
      <w:pPr>
        <w:spacing w:after="0" w:line="138"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assumptions underlying any of the foregoing.</w:t>
      </w:r>
    </w:p>
    <w:p>
      <w:pPr>
        <w:spacing w:after="0" w:line="18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Condensed Consolidated Financial Statement (Unaudited)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as of June 30, 2025 and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right"/>
              <w:ind w:right="823"/>
              <w:spacing w:after="0"/>
              <w:rPr>
                <w:sz w:val="20"/>
                <w:szCs w:val="20"/>
                <w:color w:val="auto"/>
              </w:rPr>
            </w:pPr>
            <w:r>
              <w:rPr>
                <w:rFonts w:ascii="Times New Roman" w:cs="Times New Roman" w:eastAsia="Times New Roman" w:hAnsi="Times New Roman"/>
                <w:sz w:val="15"/>
                <w:szCs w:val="15"/>
                <w:b w:val="1"/>
                <w:bCs w:val="1"/>
                <w:i w:val="1"/>
                <w:iCs w:val="1"/>
                <w:color w:val="auto"/>
              </w:rPr>
              <w:t>June 30, 2025</w:t>
            </w:r>
          </w:p>
        </w:tc>
        <w:tc>
          <w:tcPr>
            <w:tcW w:w="220" w:type="dxa"/>
            <w:vAlign w:val="bottom"/>
          </w:tcPr>
          <w:p>
            <w:pPr>
              <w:spacing w:after="0"/>
              <w:rPr>
                <w:sz w:val="17"/>
                <w:szCs w:val="17"/>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i w:val="1"/>
                <w:iCs w:val="1"/>
                <w:color w:val="auto"/>
              </w:rPr>
              <w:t>December 31, 2024</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7,905,426</w:t>
            </w:r>
          </w:p>
        </w:tc>
        <w:tc>
          <w:tcPr>
            <w:tcW w:w="340" w:type="dxa"/>
            <w:vAlign w:val="bottom"/>
          </w:tcPr>
          <w:p>
            <w:pPr>
              <w:spacing w:after="0"/>
              <w:rPr>
                <w:sz w:val="15"/>
                <w:szCs w:val="15"/>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7,303,944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5"/>
                <w:szCs w:val="15"/>
                <w:color w:val="auto"/>
              </w:rPr>
              <w:t>Accounts receivable, net of allowance for credit losses of $523,500 as of June 30, 2025 and December 31,</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17,675,727</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9,814,822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300" w:type="dxa"/>
            <w:vAlign w:val="bottom"/>
          </w:tcPr>
          <w:p>
            <w:pPr>
              <w:spacing w:after="0"/>
              <w:rPr>
                <w:sz w:val="15"/>
                <w:szCs w:val="15"/>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2,336,274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Loan and interest receivable – related party</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106,751</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105,759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5,658,551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2,521,291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1,308,225</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1,846,024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taxes</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6,156,775</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7,318,424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current assets</w:t>
            </w:r>
          </w:p>
        </w:tc>
        <w:tc>
          <w:tcPr>
            <w:tcW w:w="3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38,811,455</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31,246,538</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935,000</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935,000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 related party, net of current portion</w:t>
            </w:r>
          </w:p>
        </w:tc>
        <w:tc>
          <w:tcPr>
            <w:tcW w:w="300" w:type="dxa"/>
            <w:vAlign w:val="bottom"/>
          </w:tcPr>
          <w:p>
            <w:pPr>
              <w:spacing w:after="0"/>
              <w:rPr>
                <w:sz w:val="15"/>
                <w:szCs w:val="15"/>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1,500,592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 related party, net of current portion</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7,970,000</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9,378,594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4,242,686</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4,378,352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3,514,699</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973,914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tcPr>
          <w:p>
            <w:pPr>
              <w:spacing w:after="0"/>
              <w:rPr>
                <w:sz w:val="15"/>
                <w:szCs w:val="15"/>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2,486</w:t>
            </w: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10,817,112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 net</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1,804,181</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1,683,932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300" w:type="dxa"/>
            <w:vAlign w:val="bottom"/>
          </w:tcPr>
          <w:p>
            <w:pPr>
              <w:spacing w:after="0"/>
              <w:rPr>
                <w:sz w:val="16"/>
                <w:szCs w:val="16"/>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676,918</w:t>
            </w:r>
          </w:p>
        </w:tc>
        <w:tc>
          <w:tcPr>
            <w:tcW w:w="22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1,279,330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57,957,425</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62,193,364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6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NONCONTROLLING INTERESTS AND STOCKHOLDERS’ EQUITY</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4,480,133</w:t>
            </w:r>
          </w:p>
        </w:tc>
        <w:tc>
          <w:tcPr>
            <w:tcW w:w="340" w:type="dxa"/>
            <w:vAlign w:val="bottom"/>
          </w:tcPr>
          <w:p>
            <w:pPr>
              <w:spacing w:after="0"/>
              <w:rPr>
                <w:sz w:val="15"/>
                <w:szCs w:val="15"/>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4,656,367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 related parties</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16,134,033</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15,383,171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5,168,792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4,499,280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payable – related parties</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527,770</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527,770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Revolving loan</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3,000,000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2,415,050</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promissory note</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6,179,531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2,722,548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deferred revenue</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16,601,595</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3,947,559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300" w:type="dxa"/>
            <w:vAlign w:val="bottom"/>
          </w:tcPr>
          <w:p>
            <w:pPr>
              <w:spacing w:after="0"/>
              <w:rPr>
                <w:sz w:val="16"/>
                <w:szCs w:val="16"/>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653,936</w:t>
            </w:r>
          </w:p>
        </w:tc>
        <w:tc>
          <w:tcPr>
            <w:tcW w:w="22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1,444,385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current liabilities</w:t>
            </w:r>
          </w:p>
        </w:tc>
        <w:tc>
          <w:tcPr>
            <w:tcW w:w="3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55,160,840</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36,181,080</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265,251</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265,251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300" w:type="dxa"/>
            <w:vAlign w:val="bottom"/>
          </w:tcPr>
          <w:p>
            <w:pPr>
              <w:spacing w:after="0"/>
              <w:rPr>
                <w:sz w:val="15"/>
                <w:szCs w:val="15"/>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15,940,898</w:t>
            </w: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21,519,888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3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82,100</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57,983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liabilities</w:t>
            </w:r>
          </w:p>
        </w:tc>
        <w:tc>
          <w:tcPr>
            <w:tcW w:w="3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71,449,089</w:t>
            </w:r>
          </w:p>
        </w:tc>
        <w:tc>
          <w:tcPr>
            <w:tcW w:w="3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58,024,202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Class A common stock, $0.0001 par value, 500,000,000 shares authorized; 10,019,797 shares issued and</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8,669,522 shares outstanding as of June 30, 2025, and 9,626,070 shares issued and 8,275,795 shares outstanding</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 of December 31, 2024</w:t>
            </w:r>
          </w:p>
        </w:tc>
        <w:tc>
          <w:tcPr>
            <w:tcW w:w="3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1,001</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Class B common stock, $0.0001 par value, 100,000,000 shares authorized; 28,748,580 shares issued and</w:t>
            </w: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as of June 30, 2025 and December 31, 2024</w:t>
            </w:r>
          </w:p>
        </w:tc>
        <w:tc>
          <w:tcPr>
            <w:tcW w:w="300" w:type="dxa"/>
            <w:vAlign w:val="bottom"/>
          </w:tcPr>
          <w:p>
            <w:pPr>
              <w:spacing w:after="0"/>
              <w:rPr>
                <w:sz w:val="16"/>
                <w:szCs w:val="16"/>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2,875</w:t>
            </w:r>
          </w:p>
        </w:tc>
        <w:tc>
          <w:tcPr>
            <w:tcW w:w="22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2,875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tcPr>
          <w:p>
            <w:pPr>
              <w:spacing w:after="0"/>
              <w:rPr>
                <w:sz w:val="15"/>
                <w:szCs w:val="15"/>
                <w:color w:val="auto"/>
              </w:rPr>
            </w:pPr>
          </w:p>
        </w:tc>
        <w:tc>
          <w:tcPr>
            <w:tcW w:w="19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26,501,044</w:t>
            </w:r>
          </w:p>
        </w:tc>
        <w:tc>
          <w:tcPr>
            <w:tcW w:w="22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25,738,082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(193,615)</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(279,457)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300" w:type="dxa"/>
            <w:vAlign w:val="bottom"/>
          </w:tcPr>
          <w:p>
            <w:pPr>
              <w:spacing w:after="0"/>
              <w:rPr>
                <w:sz w:val="15"/>
                <w:szCs w:val="15"/>
                <w:color w:val="auto"/>
              </w:rPr>
            </w:pPr>
          </w:p>
        </w:tc>
        <w:tc>
          <w:tcPr>
            <w:tcW w:w="196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(30,625,816)</w:t>
            </w:r>
          </w:p>
        </w:tc>
        <w:tc>
          <w:tcPr>
            <w:tcW w:w="22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(12,117,385)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stock at cost (1,350,275 shares as of June 30, 2025 and December 31, 2024)</w:t>
            </w:r>
          </w:p>
        </w:tc>
        <w:tc>
          <w:tcPr>
            <w:tcW w:w="3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(3,671,806)</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(3,671,806)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 Snail, Inc. equity (deficit)</w:t>
            </w: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(7,986,317)</w:t>
            </w: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9,673,271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3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(5,505,347)</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(5,504,109)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stockholders’ equity (deficit)</w:t>
            </w:r>
          </w:p>
        </w:tc>
        <w:tc>
          <w:tcPr>
            <w:tcW w:w="3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(13,491,664</w:t>
            </w:r>
          </w:p>
        </w:tc>
        <w:tc>
          <w:tcPr>
            <w:tcW w:w="340" w:type="dxa"/>
            <w:vAlign w:val="bottom"/>
            <w:tcBorders>
              <w:bottom w:val="single" w:sz="8" w:color="CCEEFF"/>
            </w:tcBorders>
          </w:tcPr>
          <w:p>
            <w:pPr>
              <w:jc w:val="right"/>
              <w:ind w:right="263"/>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4,169,162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noncontrolling interests and stockholders’ equity</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57,957,425</w:t>
            </w:r>
          </w:p>
        </w:tc>
        <w:tc>
          <w:tcPr>
            <w:tcW w:w="3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62,193,364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and Comprehensive Income (Loss) for the Three and Six Months Ended June 30,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6"/>
          </w:tcPr>
          <w:p>
            <w:pPr>
              <w:jc w:val="right"/>
              <w:ind w:right="10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6"/>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3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22,185,750</w:t>
            </w:r>
          </w:p>
        </w:tc>
        <w:tc>
          <w:tcPr>
            <w:tcW w:w="4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21,606,650</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42,296,622</w:t>
            </w:r>
          </w:p>
        </w:tc>
        <w:tc>
          <w:tcPr>
            <w:tcW w:w="48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35,722,379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320" w:type="dxa"/>
            <w:vAlign w:val="bottom"/>
          </w:tcPr>
          <w:p>
            <w:pPr>
              <w:spacing w:after="0"/>
              <w:rPr>
                <w:sz w:val="16"/>
                <w:szCs w:val="16"/>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15,231,005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13,504,174</w:t>
            </w:r>
          </w:p>
        </w:tc>
        <w:tc>
          <w:tcPr>
            <w:tcW w:w="340" w:type="dxa"/>
            <w:vAlign w:val="bottom"/>
          </w:tcPr>
          <w:p>
            <w:pPr>
              <w:spacing w:after="0"/>
              <w:rPr>
                <w:sz w:val="16"/>
                <w:szCs w:val="16"/>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29,494,350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25,545,872</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tcPr>
          <w:p>
            <w:pPr>
              <w:spacing w:after="0"/>
              <w:rPr>
                <w:sz w:val="16"/>
                <w:szCs w:val="16"/>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6,954,745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8,102,476</w:t>
            </w:r>
          </w:p>
        </w:tc>
        <w:tc>
          <w:tcPr>
            <w:tcW w:w="340" w:type="dxa"/>
            <w:vAlign w:val="bottom"/>
          </w:tcPr>
          <w:p>
            <w:pPr>
              <w:spacing w:after="0"/>
              <w:rPr>
                <w:sz w:val="16"/>
                <w:szCs w:val="16"/>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12,802,272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10,176,507</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3,475,089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2,795,884</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8,439,440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5,077,924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0" w:type="dxa"/>
            <w:vAlign w:val="bottom"/>
          </w:tcPr>
          <w:p>
            <w:pPr>
              <w:spacing w:after="0"/>
              <w:rPr>
                <w:sz w:val="15"/>
                <w:szCs w:val="15"/>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3,293,409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1,860,881</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6,903,154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3,637,403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1,520,201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694,195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2,826,567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835,225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5"/>
                <w:szCs w:val="15"/>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67,761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80,554</w:t>
            </w:r>
          </w:p>
        </w:tc>
        <w:tc>
          <w:tcPr>
            <w:tcW w:w="340" w:type="dxa"/>
            <w:vAlign w:val="bottom"/>
          </w:tcPr>
          <w:p>
            <w:pPr>
              <w:spacing w:after="0"/>
              <w:rPr>
                <w:sz w:val="15"/>
                <w:szCs w:val="15"/>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135,665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162,892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Impairment of film assets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415,719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415,719</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ind w:left="140"/>
              <w:spacing w:after="0" w:line="171" w:lineRule="exact"/>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8,772,179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5,431,514</w:t>
            </w:r>
          </w:p>
        </w:tc>
        <w:tc>
          <w:tcPr>
            <w:tcW w:w="3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18,720,545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9,713,444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320" w:type="dxa"/>
            <w:vAlign w:val="bottom"/>
          </w:tcPr>
          <w:p>
            <w:pPr>
              <w:spacing w:after="0"/>
              <w:rPr>
                <w:sz w:val="16"/>
                <w:szCs w:val="16"/>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(1,817,434)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2,670,962</w:t>
            </w:r>
          </w:p>
        </w:tc>
        <w:tc>
          <w:tcPr>
            <w:tcW w:w="340" w:type="dxa"/>
            <w:vAlign w:val="bottom"/>
          </w:tcPr>
          <w:p>
            <w:pPr>
              <w:spacing w:after="0"/>
              <w:rPr>
                <w:sz w:val="16"/>
                <w:szCs w:val="16"/>
                <w:color w:val="auto"/>
              </w:rPr>
            </w:pP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(5,918,273)</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463,063</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31,972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64,790</w:t>
            </w: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61,878</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164,552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income - related parties</w:t>
            </w:r>
          </w:p>
        </w:tc>
        <w:tc>
          <w:tcPr>
            <w:tcW w:w="320" w:type="dxa"/>
            <w:vAlign w:val="bottom"/>
          </w:tcPr>
          <w:p>
            <w:pPr>
              <w:spacing w:after="0"/>
              <w:rPr>
                <w:sz w:val="15"/>
                <w:szCs w:val="15"/>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499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498</w:t>
            </w:r>
          </w:p>
        </w:tc>
        <w:tc>
          <w:tcPr>
            <w:tcW w:w="340" w:type="dxa"/>
            <w:vAlign w:val="bottom"/>
          </w:tcPr>
          <w:p>
            <w:pPr>
              <w:spacing w:after="0"/>
              <w:rPr>
                <w:sz w:val="15"/>
                <w:szCs w:val="15"/>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992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(169,286)</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(142,301)</w:t>
            </w: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(250,115)</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(538,265)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(loss) income</w:t>
            </w:r>
          </w:p>
        </w:tc>
        <w:tc>
          <w:tcPr>
            <w:tcW w:w="320" w:type="dxa"/>
            <w:vAlign w:val="bottom"/>
          </w:tcPr>
          <w:p>
            <w:pPr>
              <w:spacing w:after="0"/>
              <w:rPr>
                <w:sz w:val="15"/>
                <w:szCs w:val="15"/>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(707,968)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244,527</w:t>
            </w:r>
          </w:p>
        </w:tc>
        <w:tc>
          <w:tcPr>
            <w:tcW w:w="340" w:type="dxa"/>
            <w:vAlign w:val="bottom"/>
          </w:tcPr>
          <w:p>
            <w:pPr>
              <w:spacing w:after="0"/>
              <w:rPr>
                <w:sz w:val="15"/>
                <w:szCs w:val="15"/>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61,794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471,593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 transaction gain (loss)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(31,891)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5,652</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(68,179)</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23,780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other income (expense), net</w:t>
            </w: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(876,674</w:t>
            </w:r>
          </w:p>
        </w:tc>
        <w:tc>
          <w:tcPr>
            <w:tcW w:w="18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173,166</w:t>
            </w:r>
          </w:p>
        </w:tc>
        <w:tc>
          <w:tcPr>
            <w:tcW w:w="3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(193,630</w:t>
            </w:r>
          </w:p>
        </w:tc>
        <w:tc>
          <w:tcPr>
            <w:tcW w:w="200" w:type="dxa"/>
            <w:vAlign w:val="bottom"/>
            <w:tcBorders>
              <w:bottom w:val="single" w:sz="8" w:color="CCEEFF"/>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122,657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Income (loss) before provision for income taxes</w:t>
            </w:r>
          </w:p>
        </w:tc>
        <w:tc>
          <w:tcPr>
            <w:tcW w:w="320" w:type="dxa"/>
            <w:vAlign w:val="bottom"/>
          </w:tcPr>
          <w:p>
            <w:pPr>
              <w:spacing w:after="0"/>
              <w:rPr>
                <w:sz w:val="15"/>
                <w:szCs w:val="15"/>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(2,694,108)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2,844,128</w:t>
            </w:r>
          </w:p>
        </w:tc>
        <w:tc>
          <w:tcPr>
            <w:tcW w:w="34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(6,111,903)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585,720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20" w:type="dxa"/>
            <w:vAlign w:val="bottom"/>
          </w:tcPr>
          <w:p>
            <w:pPr>
              <w:spacing w:after="0"/>
              <w:rPr>
                <w:sz w:val="16"/>
                <w:szCs w:val="16"/>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13,868,598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589,512</w:t>
            </w:r>
          </w:p>
        </w:tc>
        <w:tc>
          <w:tcPr>
            <w:tcW w:w="340" w:type="dxa"/>
            <w:vAlign w:val="bottom"/>
          </w:tcPr>
          <w:p>
            <w:pPr>
              <w:spacing w:after="0"/>
              <w:rPr>
                <w:sz w:val="16"/>
                <w:szCs w:val="16"/>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12,397,768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111,562</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320" w:type="dxa"/>
            <w:vAlign w:val="bottom"/>
          </w:tcPr>
          <w:p>
            <w:pPr>
              <w:spacing w:after="0"/>
              <w:rPr>
                <w:sz w:val="15"/>
                <w:szCs w:val="15"/>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(16,562,706)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2,254,616</w:t>
            </w:r>
          </w:p>
        </w:tc>
        <w:tc>
          <w:tcPr>
            <w:tcW w:w="34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(18,509,671)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474,158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320" w:type="dxa"/>
            <w:vAlign w:val="bottom"/>
          </w:tcPr>
          <w:p>
            <w:pPr>
              <w:spacing w:after="0"/>
              <w:rPr>
                <w:sz w:val="16"/>
                <w:szCs w:val="16"/>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(282)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(1,535)</w:t>
            </w:r>
          </w:p>
        </w:tc>
        <w:tc>
          <w:tcPr>
            <w:tcW w:w="340" w:type="dxa"/>
            <w:vAlign w:val="bottom"/>
          </w:tcPr>
          <w:p>
            <w:pPr>
              <w:spacing w:after="0"/>
              <w:rPr>
                <w:sz w:val="16"/>
                <w:szCs w:val="16"/>
                <w:color w:val="auto"/>
              </w:rPr>
            </w:pP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(1,238)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(2,664)</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 attributable to Snail, Inc.</w:t>
            </w:r>
          </w:p>
        </w:tc>
        <w:tc>
          <w:tcPr>
            <w:tcW w:w="320" w:type="dxa"/>
            <w:vAlign w:val="bottom"/>
          </w:tcPr>
          <w:p>
            <w:pPr>
              <w:spacing w:after="0"/>
              <w:rPr>
                <w:sz w:val="15"/>
                <w:szCs w:val="15"/>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(16,562,424)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2,256,151</w:t>
            </w:r>
          </w:p>
        </w:tc>
        <w:tc>
          <w:tcPr>
            <w:tcW w:w="34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(18,508,433)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476,822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Comprehensive income (loss) statement: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320" w:type="dxa"/>
            <w:vAlign w:val="bottom"/>
          </w:tcPr>
          <w:p>
            <w:pPr>
              <w:spacing w:after="0"/>
              <w:rPr>
                <w:sz w:val="15"/>
                <w:szCs w:val="15"/>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(16,562,706)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2,254,616</w:t>
            </w:r>
          </w:p>
        </w:tc>
        <w:tc>
          <w:tcPr>
            <w:tcW w:w="34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(18,509,671)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474,158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3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Other comprehensive income (loss) related to foreign currency</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translation adjustments, net of tax</w:t>
            </w:r>
          </w:p>
        </w:tc>
        <w:tc>
          <w:tcPr>
            <w:tcW w:w="320" w:type="dxa"/>
            <w:vAlign w:val="bottom"/>
          </w:tcPr>
          <w:p>
            <w:pPr>
              <w:spacing w:after="0"/>
              <w:rPr>
                <w:sz w:val="16"/>
                <w:szCs w:val="16"/>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30,587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(9,293)</w:t>
            </w:r>
          </w:p>
        </w:tc>
        <w:tc>
          <w:tcPr>
            <w:tcW w:w="340" w:type="dxa"/>
            <w:vAlign w:val="bottom"/>
          </w:tcPr>
          <w:p>
            <w:pPr>
              <w:spacing w:after="0"/>
              <w:rPr>
                <w:sz w:val="16"/>
                <w:szCs w:val="16"/>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63,820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(28,590)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Other comprehensive income (loss) related to credit adjustments,</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of tax</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22,023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(16,532,119)</w:t>
            </w:r>
          </w:p>
        </w:tc>
        <w:tc>
          <w:tcPr>
            <w:tcW w:w="4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2,245,323</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(18,423,828)</w:t>
            </w:r>
          </w:p>
        </w:tc>
        <w:tc>
          <w:tcPr>
            <w:tcW w:w="48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445,568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restart"/>
          </w:tcPr>
          <w:p>
            <w:pPr>
              <w:spacing w:after="0"/>
              <w:rPr>
                <w:sz w:val="13"/>
                <w:szCs w:val="13"/>
                <w:color w:val="auto"/>
              </w:rPr>
            </w:pPr>
          </w:p>
        </w:tc>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A common stockholders: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(3,775,300)</w:t>
            </w:r>
          </w:p>
        </w:tc>
        <w:tc>
          <w:tcPr>
            <w:tcW w:w="48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489,379</w:t>
            </w:r>
          </w:p>
        </w:tc>
        <w:tc>
          <w:tcPr>
            <w:tcW w:w="340" w:type="dxa"/>
            <w:vAlign w:val="bottom"/>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(4,210,496)</w:t>
            </w:r>
          </w:p>
        </w:tc>
        <w:tc>
          <w:tcPr>
            <w:tcW w:w="48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103,656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Diluted</w:t>
            </w: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(3,775,300</w:t>
            </w:r>
          </w:p>
        </w:tc>
        <w:tc>
          <w:tcPr>
            <w:tcW w:w="18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463,249</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(4,216,414</w:t>
            </w:r>
          </w:p>
        </w:tc>
        <w:tc>
          <w:tcPr>
            <w:tcW w:w="200" w:type="dxa"/>
            <w:vAlign w:val="bottom"/>
            <w:tcBorders>
              <w:top w:val="single" w:sz="8" w:color="CCEEFF"/>
              <w:bottom w:val="single" w:sz="8" w:color="CCEEFF"/>
            </w:tcBorders>
            <w:shd w:val="clear" w:color="auto" w:fill="CCEEFF"/>
          </w:tcPr>
          <w:p>
            <w:pPr>
              <w:jc w:val="right"/>
              <w:ind w:right="6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79,116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B common stockholders: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(12,787,124)</w:t>
            </w:r>
          </w:p>
        </w:tc>
        <w:tc>
          <w:tcPr>
            <w:tcW w:w="4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1,766,772</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(14,297,937)</w:t>
            </w:r>
          </w:p>
        </w:tc>
        <w:tc>
          <w:tcPr>
            <w:tcW w:w="48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373,166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(12,787,124</w:t>
            </w: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1,673,031</w:t>
            </w:r>
          </w:p>
        </w:tc>
        <w:tc>
          <w:tcPr>
            <w:tcW w:w="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(14,318,033</w:t>
            </w:r>
          </w:p>
        </w:tc>
        <w:tc>
          <w:tcPr>
            <w:tcW w:w="2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284,821</w:t>
            </w:r>
          </w:p>
        </w:tc>
        <w:tc>
          <w:tcPr>
            <w:tcW w:w="1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30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Income (loss) per share attributable to Class A and B common</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(0.44)</w:t>
            </w:r>
          </w:p>
        </w:tc>
        <w:tc>
          <w:tcPr>
            <w:tcW w:w="4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0.06</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(0.50)</w:t>
            </w:r>
          </w:p>
        </w:tc>
        <w:tc>
          <w:tcPr>
            <w:tcW w:w="48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(0.44</w:t>
            </w: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0.06</w:t>
            </w:r>
          </w:p>
        </w:tc>
        <w:tc>
          <w:tcPr>
            <w:tcW w:w="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(0.50</w:t>
            </w:r>
          </w:p>
        </w:tc>
        <w:tc>
          <w:tcPr>
            <w:tcW w:w="2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0.01</w:t>
            </w:r>
          </w:p>
        </w:tc>
        <w:tc>
          <w:tcPr>
            <w:tcW w:w="1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593" w:right="319" w:bottom="911" w:gutter="0" w:footer="0" w:header="0"/>
        </w:sectPr>
      </w:pPr>
    </w:p>
    <w:p>
      <w:pPr>
        <w:spacing w:after="0" w:line="249" w:lineRule="auto"/>
        <w:rPr>
          <w:sz w:val="20"/>
          <w:szCs w:val="20"/>
          <w:color w:val="auto"/>
        </w:rPr>
      </w:pPr>
      <w:r>
        <w:rPr>
          <w:rFonts w:ascii="Times New Roman" w:cs="Times New Roman" w:eastAsia="Times New Roman" w:hAnsi="Times New Roman"/>
          <w:sz w:val="15"/>
          <w:szCs w:val="15"/>
          <w:b w:val="1"/>
          <w:bCs w:val="1"/>
          <w:color w:val="auto"/>
        </w:rPr>
        <w:t>Weighted-average shares used to compute income (loss) per share attributable to Class A common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Diluted</w:t>
      </w:r>
    </w:p>
    <w:p>
      <w:pPr>
        <w:spacing w:after="0" w:line="23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b w:val="1"/>
          <w:bCs w:val="1"/>
          <w:color w:val="auto"/>
        </w:rPr>
        <w:t>Weighted-average shares used to compute income (loss) per share attributable to Class B common stockholders: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8,487,796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8,013,634</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8,465,962</w:t>
            </w:r>
          </w:p>
        </w:tc>
        <w:tc>
          <w:tcPr>
            <w:tcW w:w="34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7,985,631</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8,487,796</w:t>
            </w:r>
          </w:p>
        </w:tc>
        <w:tc>
          <w:tcPr>
            <w:tcW w:w="340" w:type="dxa"/>
            <w:vAlign w:val="bottom"/>
            <w:vMerge w:val="continue"/>
          </w:tcPr>
          <w:p>
            <w:pPr>
              <w:spacing w:after="0"/>
              <w:rPr>
                <w:sz w:val="13"/>
                <w:szCs w:val="13"/>
                <w:color w:val="auto"/>
              </w:rPr>
            </w:pPr>
          </w:p>
        </w:tc>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8,196,329</w:t>
            </w:r>
          </w:p>
        </w:tc>
        <w:tc>
          <w:tcPr>
            <w:tcW w:w="320" w:type="dxa"/>
            <w:vAlign w:val="bottom"/>
            <w:vMerge w:val="continue"/>
          </w:tcPr>
          <w:p>
            <w:pPr>
              <w:spacing w:after="0"/>
              <w:rPr>
                <w:sz w:val="13"/>
                <w:szCs w:val="13"/>
                <w:color w:val="auto"/>
              </w:rPr>
            </w:pPr>
          </w:p>
        </w:tc>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8,467,535</w:t>
            </w:r>
          </w:p>
        </w:tc>
        <w:tc>
          <w:tcPr>
            <w:tcW w:w="340" w:type="dxa"/>
            <w:vAlign w:val="bottom"/>
          </w:tcPr>
          <w:p>
            <w:pPr>
              <w:spacing w:after="0"/>
              <w:rPr>
                <w:sz w:val="13"/>
                <w:szCs w:val="13"/>
                <w:color w:val="auto"/>
              </w:rPr>
            </w:pPr>
          </w:p>
        </w:tc>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8,225,025</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-284480</wp:posOffset>
            </wp:positionV>
            <wp:extent cx="7155180"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35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-13335</wp:posOffset>
            </wp:positionV>
            <wp:extent cx="715518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3800" w:space="520"/>
            <w:col w:w="6960"/>
          </w:cols>
          <w:pgMar w:left="300" w:top="593" w:right="319" w:bottom="911"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42"/>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800" w:type="dxa"/>
            <w:vAlign w:val="bottom"/>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28,748,580</w:t>
            </w:r>
          </w:p>
        </w:tc>
      </w:tr>
      <w:tr>
        <w:trPr>
          <w:trHeight w:val="154"/>
        </w:trPr>
        <w:tc>
          <w:tcPr>
            <w:tcW w:w="43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Diluted</w:t>
            </w:r>
          </w:p>
        </w:tc>
        <w:tc>
          <w:tcPr>
            <w:tcW w:w="14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ind w:left="800"/>
              <w:spacing w:after="0" w:line="154" w:lineRule="exact"/>
              <w:rPr>
                <w:sz w:val="20"/>
                <w:szCs w:val="20"/>
                <w:color w:val="auto"/>
              </w:rPr>
            </w:pPr>
            <w:r>
              <w:rPr>
                <w:rFonts w:ascii="Times New Roman" w:cs="Times New Roman" w:eastAsia="Times New Roman" w:hAnsi="Times New Roman"/>
                <w:sz w:val="15"/>
                <w:szCs w:val="15"/>
                <w:b w:val="1"/>
                <w:bCs w:val="1"/>
                <w:color w:val="auto"/>
                <w:w w:val="94"/>
              </w:rPr>
              <w:t>28,748,580</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911" w:gutter="0" w:footer="0" w:header="0"/>
          <w:type w:val="continuous"/>
        </w:sectPr>
      </w:pPr>
    </w:p>
    <w:bookmarkStart w:id="5" w:name="page6"/>
    <w:bookmarkEnd w:id="5"/>
    <w:p>
      <w:pPr>
        <w:spacing w:after="0" w:line="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40" w:type="dxa"/>
            <w:vAlign w:val="bottom"/>
            <w:gridSpan w:val="39"/>
          </w:tcPr>
          <w:p>
            <w:pPr>
              <w:jc w:val="right"/>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Equity for the Three Months Ended June 30, 2025 and 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360" w:type="dxa"/>
            <w:vAlign w:val="bottom"/>
            <w:gridSpan w:val="64"/>
          </w:tcPr>
          <w:p>
            <w:pP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gridSpan w:val="5"/>
          </w:tcPr>
          <w:p>
            <w:pPr>
              <w:jc w:val="center"/>
              <w:ind w:left="345"/>
              <w:spacing w:after="0"/>
              <w:rPr>
                <w:sz w:val="20"/>
                <w:szCs w:val="20"/>
                <w:color w:val="auto"/>
              </w:rPr>
            </w:pPr>
            <w:r>
              <w:rPr>
                <w:rFonts w:ascii="Times New Roman" w:cs="Times New Roman" w:eastAsia="Times New Roman" w:hAnsi="Times New Roman"/>
                <w:sz w:val="15"/>
                <w:szCs w:val="15"/>
                <w:b w:val="1"/>
                <w:bCs w:val="1"/>
                <w:color w:val="auto"/>
                <w:w w:val="98"/>
              </w:rPr>
              <w:t>Class A</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8"/>
          </w:tcPr>
          <w:p>
            <w:pPr>
              <w:jc w:val="center"/>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Snail, Inc.</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Non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b w:val="1"/>
                <w:bCs w:val="1"/>
                <w:color w:val="auto"/>
                <w:w w:val="97"/>
              </w:rPr>
              <w:t>Paid-In-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6"/>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40" w:type="dxa"/>
            <w:vAlign w:val="bottom"/>
          </w:tcPr>
          <w:p>
            <w:pPr>
              <w:spacing w:after="0"/>
              <w:rPr>
                <w:sz w:val="18"/>
                <w:szCs w:val="18"/>
                <w:color w:val="auto"/>
              </w:rPr>
            </w:pPr>
          </w:p>
        </w:tc>
        <w:tc>
          <w:tcPr>
            <w:tcW w:w="1600" w:type="dxa"/>
            <w:vAlign w:val="bottom"/>
            <w:gridSpan w:val="9"/>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4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4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720" w:type="dxa"/>
            <w:vAlign w:val="bottom"/>
            <w:tcBorders>
              <w:top w:val="single" w:sz="8" w:color="auto"/>
            </w:tcBorders>
            <w:gridSpan w:val="4"/>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9,626,070</w:t>
            </w:r>
          </w:p>
        </w:tc>
        <w:tc>
          <w:tcPr>
            <w:tcW w:w="26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962</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$25,738,082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(279,457)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(12,117,385)</w:t>
            </w:r>
          </w:p>
        </w:tc>
        <w:tc>
          <w:tcPr>
            <w:tcW w:w="8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9,673,271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$(5,504,109)</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4,169,162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Exercise of</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189,285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482,094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482,113</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482,113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Stock based</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related to</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restricted</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843,619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843,619</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843,619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Foreign</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currency</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33,232</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33,232</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33,232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Fair value</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changes of</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convertible</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22,023</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22,023</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22,023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(1,946,007)</w:t>
            </w: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(1,946,007)</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(1,946,963)</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720" w:type="dxa"/>
            <w:vAlign w:val="bottom"/>
            <w:tcBorders>
              <w:top w:val="single" w:sz="8" w:color="auto"/>
            </w:tcBorders>
            <w:gridSpan w:val="4"/>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9,815,355</w:t>
            </w:r>
          </w:p>
        </w:tc>
        <w:tc>
          <w:tcPr>
            <w:tcW w:w="26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981</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$27,063,795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(224,202)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(14,063,392)</w:t>
            </w:r>
          </w:p>
        </w:tc>
        <w:tc>
          <w:tcPr>
            <w:tcW w:w="8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9,108,251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$(5,505,065)</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3,603,186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Stock based</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related to</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restricted</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(562,731)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(562,731)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(562,731)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Common</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204,442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Foreign</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currency</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30,587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30,587</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30,587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Net income</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(16,562,424)</w:t>
            </w: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(16,562,424)</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(16,562,706)</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720" w:type="dxa"/>
            <w:vAlign w:val="bottom"/>
            <w:tcBorders>
              <w:top w:val="single" w:sz="8" w:color="auto"/>
            </w:tcBorders>
            <w:gridSpan w:val="4"/>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720" w:type="dxa"/>
            <w:vAlign w:val="bottom"/>
            <w:tcBorders>
              <w:top w:val="single" w:sz="8" w:color="auto"/>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10,019,797</w:t>
            </w:r>
          </w:p>
        </w:tc>
        <w:tc>
          <w:tcPr>
            <w:tcW w:w="26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1,001</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26,501,044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(193,615) $</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(30,625,816)</w:t>
            </w:r>
          </w:p>
        </w:tc>
        <w:tc>
          <w:tcPr>
            <w:tcW w:w="1740" w:type="dxa"/>
            <w:vAlign w:val="bottom"/>
            <w:gridSpan w:val="1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(3,671,806) $</w:t>
            </w:r>
          </w:p>
        </w:tc>
        <w:tc>
          <w:tcPr>
            <w:tcW w:w="17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(7,986,317)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(5,505,347) </w:t>
            </w:r>
            <w:r>
              <w:rPr>
                <w:rFonts w:ascii="Times New Roman" w:cs="Times New Roman" w:eastAsia="Times New Roman" w:hAnsi="Times New Roman"/>
                <w:sz w:val="15"/>
                <w:szCs w:val="15"/>
                <w:b w:val="1"/>
                <w:bCs w:val="1"/>
                <w:u w:val="single" w:color="auto"/>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(13,491,664)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4"/>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360" w:type="dxa"/>
            <w:vAlign w:val="bottom"/>
            <w:gridSpan w:val="64"/>
          </w:tcPr>
          <w:p>
            <w:pP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gridSpan w:val="5"/>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Non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7"/>
          </w:tcPr>
          <w:p>
            <w:pPr>
              <w:ind w:left="1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8"/>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40" w:type="dxa"/>
            <w:vAlign w:val="bottom"/>
          </w:tcPr>
          <w:p>
            <w:pPr>
              <w:spacing w:after="0"/>
              <w:rPr>
                <w:sz w:val="18"/>
                <w:szCs w:val="18"/>
                <w:color w:val="auto"/>
              </w:rPr>
            </w:pPr>
          </w:p>
        </w:tc>
        <w:tc>
          <w:tcPr>
            <w:tcW w:w="1100" w:type="dxa"/>
            <w:vAlign w:val="bottom"/>
            <w:gridSpan w:val="6"/>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40" w:type="dxa"/>
            <w:vAlign w:val="bottom"/>
          </w:tcPr>
          <w:p>
            <w:pPr>
              <w:spacing w:after="0"/>
              <w:rPr>
                <w:sz w:val="18"/>
                <w:szCs w:val="18"/>
                <w:color w:val="auto"/>
              </w:rPr>
            </w:pPr>
          </w:p>
        </w:tc>
        <w:tc>
          <w:tcPr>
            <w:tcW w:w="1600" w:type="dxa"/>
            <w:vAlign w:val="bottom"/>
            <w:gridSpan w:val="9"/>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20" w:type="dxa"/>
            <w:vAlign w:val="bottom"/>
          </w:tcPr>
          <w:p>
            <w:pPr>
              <w:spacing w:after="0"/>
              <w:rPr>
                <w:sz w:val="18"/>
                <w:szCs w:val="18"/>
                <w:color w:val="auto"/>
              </w:rPr>
            </w:pP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40" w:type="dxa"/>
            <w:vAlign w:val="bottom"/>
          </w:tcPr>
          <w:p>
            <w:pPr>
              <w:spacing w:after="0"/>
              <w:rPr>
                <w:sz w:val="15"/>
                <w:szCs w:val="15"/>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520" w:type="dxa"/>
            <w:vAlign w:val="bottom"/>
            <w:tcBorders>
              <w:top w:val="single" w:sz="8" w:color="auto"/>
            </w:tcBorders>
            <w:gridSpan w:val="3"/>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580" w:type="dxa"/>
            <w:vAlign w:val="bottom"/>
            <w:tcBorders>
              <w:top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Borders>
              <w:top w:val="single" w:sz="8" w:color="auto"/>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60" w:type="dxa"/>
            <w:vAlign w:val="bottom"/>
            <w:tcBorders>
              <w:top w:val="single" w:sz="8" w:color="auto"/>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740" w:type="dxa"/>
            <w:vAlign w:val="bottom"/>
            <w:tcBorders>
              <w:top w:val="single" w:sz="8" w:color="auto"/>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740" w:type="dxa"/>
            <w:vAlign w:val="bottom"/>
            <w:tcBorders>
              <w:top w:val="single" w:sz="8" w:color="auto"/>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740" w:type="dxa"/>
            <w:vAlign w:val="bottom"/>
            <w:tcBorders>
              <w:top w:val="single" w:sz="8" w:color="auto"/>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9,275,420</w:t>
            </w:r>
          </w:p>
        </w:tc>
        <w:tc>
          <w:tcPr>
            <w:tcW w:w="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w:t>
            </w:r>
          </w:p>
        </w:tc>
        <w:tc>
          <w:tcPr>
            <w:tcW w:w="7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8"/>
              </w:rPr>
              <w:t>$26,171,575</w:t>
            </w: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(254,383)</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(13,949,325)</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7"/>
              </w:rPr>
              <w:t>(1,350,275)</w:t>
            </w:r>
          </w:p>
        </w:tc>
        <w:tc>
          <w:tcPr>
            <w:tcW w:w="4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5"/>
              </w:rPr>
              <w:t>$ (3,671,806)</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$ 8,299,863</w:t>
            </w:r>
          </w:p>
        </w:tc>
        <w:tc>
          <w:tcPr>
            <w:tcW w:w="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 (5,499,244)</w:t>
            </w: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2,800,619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Conversion</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of notes</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payable</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71,460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59,993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60,000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Stock based</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related to</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restricted</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(926,875)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(926,875)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(926,875)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Common</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10,869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340" w:type="dxa"/>
            <w:vAlign w:val="bottom"/>
            <w:gridSpan w:val="63"/>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1260" w:type="dxa"/>
            <w:vAlign w:val="bottom"/>
            <w:tcBorders>
              <w:right w:val="single" w:sz="8" w:color="CCEEFF"/>
            </w:tcBorders>
            <w:gridSpan w:val="61"/>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Foreign</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color w:val="auto"/>
              </w:rPr>
              <w:t>currency</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(19,297)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(19,297)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(1,779,329)</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(1,779,329)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6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(1,780,458)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520" w:type="dxa"/>
            <w:vAlign w:val="bottom"/>
            <w:tcBorders>
              <w:top w:val="single" w:sz="8" w:color="auto"/>
            </w:tcBorders>
            <w:gridSpan w:val="3"/>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580" w:type="dxa"/>
            <w:vAlign w:val="bottom"/>
            <w:tcBorders>
              <w:top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Borders>
              <w:top w:val="single" w:sz="8" w:color="auto"/>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60" w:type="dxa"/>
            <w:vAlign w:val="bottom"/>
            <w:tcBorders>
              <w:top w:val="single" w:sz="8" w:color="auto"/>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740" w:type="dxa"/>
            <w:vAlign w:val="bottom"/>
            <w:tcBorders>
              <w:top w:val="single" w:sz="8" w:color="auto"/>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740" w:type="dxa"/>
            <w:vAlign w:val="bottom"/>
            <w:tcBorders>
              <w:top w:val="single" w:sz="8" w:color="auto"/>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740" w:type="dxa"/>
            <w:vAlign w:val="bottom"/>
            <w:tcBorders>
              <w:top w:val="single" w:sz="8" w:color="auto"/>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Borders>
              <w:top w:val="single" w:sz="8" w:color="auto"/>
            </w:tcBorders>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9,357,749</w:t>
            </w:r>
          </w:p>
        </w:tc>
        <w:tc>
          <w:tcPr>
            <w:tcW w:w="80" w:type="dxa"/>
            <w:vAlign w:val="bottom"/>
            <w:shd w:val="clear" w:color="auto" w:fill="CCEEFF"/>
          </w:tcPr>
          <w:p>
            <w:pPr>
              <w:spacing w:after="0"/>
              <w:rPr>
                <w:sz w:val="14"/>
                <w:szCs w:val="14"/>
                <w:color w:val="auto"/>
              </w:rPr>
            </w:pPr>
          </w:p>
        </w:tc>
        <w:tc>
          <w:tcPr>
            <w:tcW w:w="2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5"/>
                <w:szCs w:val="15"/>
                <w:b w:val="1"/>
                <w:bCs w:val="1"/>
                <w:color w:val="auto"/>
              </w:rPr>
              <w:t>935</w:t>
            </w:r>
          </w:p>
        </w:tc>
        <w:tc>
          <w:tcPr>
            <w:tcW w:w="780" w:type="dxa"/>
            <w:vAlign w:val="bottom"/>
            <w:gridSpan w:val="5"/>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180" w:type="dxa"/>
            <w:vAlign w:val="bottom"/>
            <w:gridSpan w:val="3"/>
            <w:shd w:val="clear" w:color="auto" w:fill="CCEEFF"/>
          </w:tcPr>
          <w:p>
            <w:pPr>
              <w:jc w:val="center"/>
              <w:ind w:right="40"/>
              <w:spacing w:after="0" w:line="161"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5"/>
                <w:szCs w:val="15"/>
                <w:b w:val="1"/>
                <w:bCs w:val="1"/>
                <w:color w:val="auto"/>
              </w:rPr>
              <w:t>2,875</w:t>
            </w:r>
          </w:p>
        </w:tc>
        <w:tc>
          <w:tcPr>
            <w:tcW w:w="820" w:type="dxa"/>
            <w:vAlign w:val="bottom"/>
            <w:gridSpan w:val="5"/>
            <w:shd w:val="clear" w:color="auto" w:fill="CCEEFF"/>
          </w:tcPr>
          <w:p>
            <w:pPr>
              <w:jc w:val="right"/>
              <w:ind w:right="60"/>
              <w:spacing w:after="0" w:line="161" w:lineRule="exact"/>
              <w:rPr>
                <w:sz w:val="20"/>
                <w:szCs w:val="20"/>
                <w:color w:val="auto"/>
              </w:rPr>
            </w:pPr>
            <w:r>
              <w:rPr>
                <w:rFonts w:ascii="Times New Roman" w:cs="Times New Roman" w:eastAsia="Times New Roman" w:hAnsi="Times New Roman"/>
                <w:sz w:val="15"/>
                <w:szCs w:val="15"/>
                <w:b w:val="1"/>
                <w:bCs w:val="1"/>
                <w:color w:val="auto"/>
                <w:w w:val="98"/>
              </w:rPr>
              <w:t>$25,304,692</w:t>
            </w:r>
          </w:p>
        </w:tc>
        <w:tc>
          <w:tcPr>
            <w:tcW w:w="140" w:type="dxa"/>
            <w:vAlign w:val="bottom"/>
            <w:gridSpan w:val="3"/>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5"/>
                <w:szCs w:val="15"/>
                <w:b w:val="1"/>
                <w:bCs w:val="1"/>
                <w:color w:val="auto"/>
              </w:rPr>
              <w:t>(273,680)</w:t>
            </w:r>
          </w:p>
        </w:tc>
        <w:tc>
          <w:tcPr>
            <w:tcW w:w="180" w:type="dxa"/>
            <w:vAlign w:val="bottom"/>
            <w:gridSpan w:val="3"/>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5"/>
                <w:szCs w:val="15"/>
                <w:b w:val="1"/>
                <w:bCs w:val="1"/>
                <w:color w:val="auto"/>
              </w:rPr>
              <w:t>(15,728,654)</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5"/>
                <w:szCs w:val="15"/>
                <w:b w:val="1"/>
                <w:bCs w:val="1"/>
                <w:color w:val="auto"/>
                <w:w w:val="97"/>
              </w:rPr>
              <w:t>(1,350,275)</w:t>
            </w:r>
          </w:p>
        </w:tc>
        <w:tc>
          <w:tcPr>
            <w:tcW w:w="40" w:type="dxa"/>
            <w:vAlign w:val="bottom"/>
            <w:shd w:val="clear" w:color="auto" w:fill="CCEEFF"/>
          </w:tcPr>
          <w:p>
            <w:pPr>
              <w:spacing w:after="0"/>
              <w:rPr>
                <w:sz w:val="14"/>
                <w:szCs w:val="14"/>
                <w:color w:val="auto"/>
              </w:rPr>
            </w:pPr>
          </w:p>
        </w:tc>
        <w:tc>
          <w:tcPr>
            <w:tcW w:w="880" w:type="dxa"/>
            <w:vAlign w:val="bottom"/>
            <w:gridSpan w:val="6"/>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5"/>
                <w:szCs w:val="15"/>
                <w:b w:val="1"/>
                <w:bCs w:val="1"/>
                <w:color w:val="auto"/>
                <w:w w:val="95"/>
              </w:rPr>
              <w:t>$ (3,671,806)</w:t>
            </w:r>
          </w:p>
        </w:tc>
        <w:tc>
          <w:tcPr>
            <w:tcW w:w="840" w:type="dxa"/>
            <w:vAlign w:val="bottom"/>
            <w:gridSpan w:val="4"/>
            <w:shd w:val="clear" w:color="auto" w:fill="CCEEFF"/>
          </w:tcPr>
          <w:p>
            <w:pPr>
              <w:jc w:val="right"/>
              <w:ind w:right="100"/>
              <w:spacing w:after="0" w:line="161" w:lineRule="exact"/>
              <w:rPr>
                <w:sz w:val="20"/>
                <w:szCs w:val="20"/>
                <w:color w:val="auto"/>
              </w:rPr>
            </w:pPr>
            <w:r>
              <w:rPr>
                <w:rFonts w:ascii="Times New Roman" w:cs="Times New Roman" w:eastAsia="Times New Roman" w:hAnsi="Times New Roman"/>
                <w:sz w:val="15"/>
                <w:szCs w:val="15"/>
                <w:b w:val="1"/>
                <w:bCs w:val="1"/>
                <w:color w:val="auto"/>
              </w:rPr>
              <w:t>$ 5,634,362</w:t>
            </w:r>
          </w:p>
        </w:tc>
        <w:tc>
          <w:tcPr>
            <w:tcW w:w="2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w w:val="95"/>
              </w:rPr>
              <w:t>$ (5,500,373)</w:t>
            </w: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right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133,989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280" w:type="dxa"/>
            <w:vAlign w:val="bottom"/>
            <w:tcBorders>
              <w:right w:val="single" w:sz="8" w:color="CCEEFF"/>
            </w:tcBorders>
            <w:gridSpan w:val="62"/>
          </w:tcPr>
          <w:p>
            <w:pPr>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11280" w:type="dxa"/>
            <w:vAlign w:val="bottom"/>
            <w:tcBorders>
              <w:right w:val="single" w:sz="8" w:color="CCEEFF"/>
            </w:tcBorders>
            <w:gridSpan w:val="62"/>
          </w:tcPr>
          <w:p>
            <w:pPr>
              <w:spacing w:after="0"/>
              <w:rPr>
                <w:sz w:val="4"/>
                <w:szCs w:val="4"/>
                <w:color w:val="auto"/>
              </w:rPr>
            </w:pPr>
          </w:p>
        </w:tc>
        <w:tc>
          <w:tcPr>
            <w:tcW w:w="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593"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Borders>
              <w:right w:val="single" w:sz="8" w:color="CCEEFF"/>
            </w:tcBorders>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tcBorders>
              <w:right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Stock based</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compensation</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14,982</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14,982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14,982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Common</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10,870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Foreign</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(9,293)</w:t>
            </w:r>
          </w:p>
        </w:tc>
        <w:tc>
          <w:tcPr>
            <w:tcW w:w="26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(9,293)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(9,293)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Net income</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2,256,151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2,256,151</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(1,535)</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2,254,616</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9,368,619</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936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2,875</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u w:val="single" w:color="auto"/>
                <w:color w:val="auto"/>
                <w:w w:val="98"/>
              </w:rPr>
              <w:t>$</w:t>
            </w:r>
            <w:r>
              <w:rPr>
                <w:rFonts w:ascii="Times New Roman" w:cs="Times New Roman" w:eastAsia="Times New Roman" w:hAnsi="Times New Roman"/>
                <w:sz w:val="15"/>
                <w:szCs w:val="15"/>
                <w:b w:val="1"/>
                <w:bCs w:val="1"/>
                <w:color w:val="auto"/>
                <w:w w:val="98"/>
              </w:rPr>
              <w:t>25,319,673</w:t>
            </w: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(282,973) $</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(13,472,503)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7"/>
              </w:rPr>
              <w:t>(1,350,275)</w:t>
            </w: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u w:val="single" w:color="auto"/>
                <w:color w:val="auto"/>
                <w:w w:val="98"/>
              </w:rPr>
              <w:t>$</w:t>
            </w:r>
            <w:r>
              <w:rPr>
                <w:rFonts w:ascii="Times New Roman" w:cs="Times New Roman" w:eastAsia="Times New Roman" w:hAnsi="Times New Roman"/>
                <w:sz w:val="15"/>
                <w:szCs w:val="15"/>
                <w:b w:val="1"/>
                <w:bCs w:val="1"/>
                <w:color w:val="auto"/>
                <w:w w:val="98"/>
              </w:rPr>
              <w:t xml:space="preserve"> (3,671,806)</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$ 7,896,202</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u w:val="single" w:color="auto"/>
                <w:color w:val="auto"/>
                <w:w w:val="95"/>
              </w:rPr>
              <w:t>$</w:t>
            </w:r>
            <w:r>
              <w:rPr>
                <w:rFonts w:ascii="Times New Roman" w:cs="Times New Roman" w:eastAsia="Times New Roman" w:hAnsi="Times New Roman"/>
                <w:sz w:val="15"/>
                <w:szCs w:val="15"/>
                <w:b w:val="1"/>
                <w:bCs w:val="1"/>
                <w:color w:val="auto"/>
                <w:w w:val="95"/>
              </w:rPr>
              <w:t xml:space="preserve"> (5,501,908)</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$ 2,394,294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for the Six Months Ended June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7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(18,509,671)</w:t>
            </w:r>
          </w:p>
        </w:tc>
        <w:tc>
          <w:tcPr>
            <w:tcW w:w="44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474,158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(loss) to net cash (used in) provided by operating activities: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 intangible assets, net</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79,424</w:t>
            </w: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 film assets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645,069</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 loan origination fees and debt discounts</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(19,504)</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57,632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Accretion – convertible notes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222,628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change in fair value of convertible notes</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82,180</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change in fair value of warrant liabilities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(91,383)</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 property and equipment</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135,667</w:t>
            </w: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162,892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Impairment of film assets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415,719</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remeasurement of previously held equity interest</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(7,857)</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 (income)</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280,888</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(911,893)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taxes, net</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10,808,885</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60,233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Changes in assets and liabilities, net of business acquisitions:</w:t>
            </w: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(7,825,905)</w:t>
            </w: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16,922,490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1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3,836,866</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309,694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(1,728,666)</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(1,532,672)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537,799</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(650,682)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taxes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1,161,649</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(110,414)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(1,064,165)</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(110,912)</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(6,818,781)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 related parties</w:t>
            </w:r>
          </w:p>
        </w:tc>
        <w:tc>
          <w:tcPr>
            <w:tcW w:w="1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1,040,862</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(6,352,078)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1,009,796</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(720,197)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Loan and interest receivable - related party</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(992)</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(997)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 liabilities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(163,920)</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(129,642)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revenue</w:t>
            </w:r>
          </w:p>
        </w:tc>
        <w:tc>
          <w:tcPr>
            <w:tcW w:w="1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7,075,046</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6,000,976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(2,413,125)</w:t>
            </w:r>
          </w:p>
        </w:tc>
        <w:tc>
          <w:tcPr>
            <w:tcW w:w="3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6,983,748</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Acquisition of software</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(290,000)</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 software licenses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(2,008,690)</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Investments in software</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(718,236)</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paid for acquisition of Matrioshka</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(9,719)</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(3,026,645)</w:t>
            </w:r>
          </w:p>
        </w:tc>
        <w:tc>
          <w:tcPr>
            <w:tcW w:w="34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Repayments on promissory note</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(40,883)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on notes payable</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(2,333,333)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Repayments on convertible notes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(638,753)</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(1,020,000)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on revolving loan</w:t>
            </w:r>
          </w:p>
        </w:tc>
        <w:tc>
          <w:tcPr>
            <w:tcW w:w="1160" w:type="dxa"/>
            <w:vAlign w:val="bottom"/>
          </w:tcPr>
          <w:p>
            <w:pPr>
              <w:spacing w:after="0"/>
              <w:rPr>
                <w:sz w:val="15"/>
                <w:szCs w:val="15"/>
                <w:color w:val="auto"/>
              </w:rPr>
            </w:pPr>
          </w:p>
        </w:tc>
        <w:tc>
          <w:tcPr>
            <w:tcW w:w="11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(43,018)</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Borrowings on term loan</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3,500,000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proceeds from exercise of warrants</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159,000</w:t>
            </w:r>
          </w:p>
        </w:tc>
        <w:tc>
          <w:tcPr>
            <w:tcW w:w="440" w:type="dxa"/>
            <w:vAlign w:val="bottom"/>
          </w:tcPr>
          <w:p>
            <w:pPr>
              <w:spacing w:after="0"/>
              <w:rPr>
                <w:sz w:val="15"/>
                <w:szCs w:val="15"/>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of capitalized offering costs</w:t>
            </w:r>
          </w:p>
        </w:tc>
        <w:tc>
          <w:tcPr>
            <w:tcW w:w="1160" w:type="dxa"/>
            <w:vAlign w:val="bottom"/>
          </w:tcPr>
          <w:p>
            <w:pPr>
              <w:spacing w:after="0"/>
              <w:rPr>
                <w:sz w:val="15"/>
                <w:szCs w:val="15"/>
                <w:color w:val="auto"/>
              </w:rPr>
            </w:pPr>
          </w:p>
        </w:tc>
        <w:tc>
          <w:tcPr>
            <w:tcW w:w="110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(262,914)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5,977,229</w:t>
            </w:r>
          </w:p>
        </w:tc>
        <w:tc>
          <w:tcPr>
            <w:tcW w:w="3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(6,657,130)</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currency translation on cash and cash equivalents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64,023</w:t>
            </w:r>
          </w:p>
        </w:tc>
        <w:tc>
          <w:tcPr>
            <w:tcW w:w="4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(28,344)</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in cash and cash equivalents, and restricted cash and cash equivalents</w:t>
            </w: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601,482</w:t>
            </w: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298,274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 - beginning of the period</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8,238,944</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16,314,319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and restricted cash and cash equivalents – end of the period</w:t>
            </w:r>
          </w:p>
        </w:tc>
        <w:tc>
          <w:tcPr>
            <w:tcW w:w="116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8,840,426</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16,612,593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restart"/>
          </w:tcPr>
          <w:p>
            <w:pPr>
              <w:spacing w:after="0"/>
              <w:rPr>
                <w:sz w:val="13"/>
                <w:szCs w:val="13"/>
                <w:color w:val="auto"/>
              </w:rPr>
            </w:pPr>
          </w:p>
        </w:tc>
        <w:tc>
          <w:tcPr>
            <w:tcW w:w="6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paid during the period for:</w:t>
            </w: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w:t>
            </w:r>
          </w:p>
        </w:tc>
        <w:tc>
          <w:tcPr>
            <w:tcW w:w="116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230,318</w:t>
            </w: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305,825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color w:val="auto"/>
              </w:rPr>
              <w:t>Income taxes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9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612,007</w:t>
            </w:r>
          </w:p>
        </w:tc>
        <w:tc>
          <w:tcPr>
            <w:tcW w:w="34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161,671</w:t>
            </w: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Noncash transactions during the period for:</w:t>
            </w:r>
          </w:p>
        </w:tc>
        <w:tc>
          <w:tcPr>
            <w:tcW w:w="1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converted to equity</w:t>
            </w: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1"/>
                <w:szCs w:val="21"/>
                <w:color w:val="auto"/>
              </w:rPr>
            </w:pPr>
          </w:p>
        </w:tc>
        <w:tc>
          <w:tcPr>
            <w:tcW w:w="44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(60,000)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Borders>
              <w:top w:val="single" w:sz="8" w:color="CCEEFF"/>
              <w:bottom w:val="single" w:sz="8" w:color="CCEEFF"/>
            </w:tcBorders>
            <w:shd w:val="clear" w:color="auto" w:fill="CCEEFF"/>
          </w:tcPr>
          <w:p>
            <w:pPr>
              <w:ind w:left="140"/>
              <w:spacing w:after="0" w:line="154" w:lineRule="exact"/>
              <w:rPr>
                <w:sz w:val="20"/>
                <w:szCs w:val="20"/>
                <w:color w:val="auto"/>
              </w:rPr>
            </w:pPr>
            <w:r>
              <w:rPr>
                <w:rFonts w:ascii="Times New Roman" w:cs="Times New Roman" w:eastAsia="Times New Roman" w:hAnsi="Times New Roman"/>
                <w:sz w:val="15"/>
                <w:szCs w:val="15"/>
                <w:color w:val="auto"/>
              </w:rPr>
              <w:t>Right-of-use assets obtained in exchange for lease liability</w:t>
            </w:r>
          </w:p>
        </w:tc>
        <w:tc>
          <w:tcPr>
            <w:tcW w:w="1160" w:type="dxa"/>
            <w:vAlign w:val="bottom"/>
            <w:tcBorders>
              <w:top w:val="single" w:sz="8" w:color="auto"/>
              <w:bottom w:val="single" w:sz="8" w:color="auto"/>
            </w:tcBorders>
            <w:shd w:val="clear" w:color="auto" w:fill="CCEEFF"/>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(55,267</w:t>
            </w:r>
          </w:p>
        </w:tc>
        <w:tc>
          <w:tcPr>
            <w:tcW w:w="340" w:type="dxa"/>
            <w:vAlign w:val="bottom"/>
            <w:tcBorders>
              <w:top w:val="single" w:sz="8" w:color="CCEEFF"/>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7"/>
                <w:szCs w:val="7"/>
                <w:color w:val="auto"/>
                <w:w w:val="83"/>
              </w:rPr>
              <w:t>)</w:t>
            </w:r>
          </w:p>
        </w:tc>
        <w:tc>
          <w:tcPr>
            <w:tcW w:w="440" w:type="dxa"/>
            <w:vAlign w:val="bottom"/>
            <w:tcBorders>
              <w:top w:val="single" w:sz="8" w:color="auto"/>
              <w:bottom w:val="single" w:sz="8" w:color="auto"/>
            </w:tcBorders>
            <w:shd w:val="clear" w:color="auto" w:fill="CCEEFF"/>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Liabilities converted to equity upon exercise of warrants</w:t>
            </w: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9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323,113</w:t>
            </w:r>
          </w:p>
        </w:tc>
        <w:tc>
          <w:tcPr>
            <w:tcW w:w="34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80" w:type="dxa"/>
            <w:vAlign w:val="bottom"/>
            <w:tcBorders>
              <w:bottom w:val="single" w:sz="8" w:color="CCEEFF"/>
            </w:tcBorders>
            <w:shd w:val="clear" w:color="auto" w:fill="CCEEFF"/>
          </w:tcPr>
          <w:p>
            <w:pPr>
              <w:ind w:left="140"/>
              <w:spacing w:after="0" w:line="154" w:lineRule="exact"/>
              <w:rPr>
                <w:sz w:val="20"/>
                <w:szCs w:val="20"/>
                <w:color w:val="auto"/>
              </w:rPr>
            </w:pPr>
            <w:r>
              <w:rPr>
                <w:rFonts w:ascii="Times New Roman" w:cs="Times New Roman" w:eastAsia="Times New Roman" w:hAnsi="Times New Roman"/>
                <w:sz w:val="15"/>
                <w:szCs w:val="15"/>
                <w:color w:val="auto"/>
              </w:rPr>
              <w:t>Acquisition of film licenses in accounts payable</w:t>
            </w:r>
          </w:p>
        </w:tc>
        <w:tc>
          <w:tcPr>
            <w:tcW w:w="1160" w:type="dxa"/>
            <w:vAlign w:val="bottom"/>
            <w:tcBorders>
              <w:bottom w:val="single" w:sz="8" w:color="auto"/>
            </w:tcBorders>
            <w:shd w:val="clear" w:color="auto" w:fill="CCEEFF"/>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86,069</w:t>
            </w:r>
          </w:p>
        </w:tc>
        <w:tc>
          <w:tcPr>
            <w:tcW w:w="3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Acquisition of software and software licenses in accounts payable and accrued expenses</w:t>
            </w: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9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313,282</w:t>
            </w:r>
          </w:p>
        </w:tc>
        <w:tc>
          <w:tcPr>
            <w:tcW w:w="34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80" w:type="dxa"/>
            <w:vAlign w:val="bottom"/>
            <w:tcBorders>
              <w:bottom w:val="single" w:sz="8" w:color="CCEEFF"/>
            </w:tcBorders>
            <w:shd w:val="clear" w:color="auto" w:fill="CCEEFF"/>
          </w:tcPr>
          <w:p>
            <w:pPr>
              <w:ind w:left="140"/>
              <w:spacing w:after="0" w:line="154" w:lineRule="exact"/>
              <w:rPr>
                <w:sz w:val="20"/>
                <w:szCs w:val="20"/>
                <w:color w:val="auto"/>
              </w:rPr>
            </w:pPr>
            <w:r>
              <w:rPr>
                <w:rFonts w:ascii="Times New Roman" w:cs="Times New Roman" w:eastAsia="Times New Roman" w:hAnsi="Times New Roman"/>
                <w:sz w:val="15"/>
                <w:szCs w:val="15"/>
                <w:color w:val="auto"/>
              </w:rPr>
              <w:t>Change in fair value of notes recorded in accumulated other comprehensive income</w:t>
            </w:r>
          </w:p>
        </w:tc>
        <w:tc>
          <w:tcPr>
            <w:tcW w:w="1160" w:type="dxa"/>
            <w:vAlign w:val="bottom"/>
            <w:tcBorders>
              <w:bottom w:val="single" w:sz="8" w:color="auto"/>
            </w:tcBorders>
            <w:shd w:val="clear" w:color="auto" w:fill="CCEEFF"/>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22,023</w:t>
            </w:r>
          </w:p>
        </w:tc>
        <w:tc>
          <w:tcPr>
            <w:tcW w:w="3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Net assets acquired in a business combination</w:t>
            </w: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1160" w:type="dxa"/>
            <w:vAlign w:val="bottom"/>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5,461</w:t>
            </w:r>
          </w:p>
        </w:tc>
        <w:tc>
          <w:tcPr>
            <w:tcW w:w="340" w:type="dxa"/>
            <w:vAlign w:val="bottom"/>
            <w:vMerge w:val="continue"/>
          </w:tcPr>
          <w:p>
            <w:pPr>
              <w:spacing w:after="0"/>
              <w:rPr>
                <w:sz w:val="13"/>
                <w:szCs w:val="13"/>
                <w:color w:val="auto"/>
              </w:rPr>
            </w:pPr>
          </w:p>
        </w:tc>
        <w:tc>
          <w:tcPr>
            <w:tcW w:w="440" w:type="dxa"/>
            <w:vAlign w:val="bottom"/>
          </w:tcPr>
          <w:p>
            <w:pPr>
              <w:jc w:val="right"/>
              <w:ind w:right="2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PRESENTATION AND NATURE OF OPERATIONS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Consolidation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2024 included in the Company’s Annual Report on Form 10-K for the fiscal year ended December 31, 2024, filed with the SEC on March 26, 2025. The condensed consolidated results of operations for any interim period are not necessarily indicative of the results to be expected for the full year or for any other future annual or interim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opinion of management, all adjustments considered necessary for the fair presentation of the Company’s financial position and its results of operations in accordance with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GAAP (consisting of normal recurring adjustments) have been included in the accompanying unaudited condensed consolidated financial statements.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condensed consolidated financial statements include the accounts of Snail, Inc. and the following subsidiaries:</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3"/>
        </w:trPr>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Equity %</w:t>
            </w:r>
          </w:p>
        </w:tc>
      </w:tr>
      <w:tr>
        <w:trPr>
          <w:trHeight w:val="197"/>
        </w:trPr>
        <w:tc>
          <w:tcPr>
            <w:tcW w:w="1140" w:type="dxa"/>
            <w:vAlign w:val="bottom"/>
          </w:tcPr>
          <w:p>
            <w:pPr>
              <w:spacing w:after="0"/>
              <w:rPr>
                <w:sz w:val="17"/>
                <w:szCs w:val="17"/>
                <w:color w:val="auto"/>
              </w:rPr>
            </w:pPr>
          </w:p>
        </w:tc>
        <w:tc>
          <w:tcPr>
            <w:tcW w:w="718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1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7"/>
                <w:szCs w:val="17"/>
                <w:color w:val="auto"/>
              </w:rPr>
            </w:pPr>
          </w:p>
        </w:tc>
      </w:tr>
      <w:tr>
        <w:trPr>
          <w:trHeight w:val="172"/>
        </w:trPr>
        <w:tc>
          <w:tcPr>
            <w:tcW w:w="1140" w:type="dxa"/>
            <w:vAlign w:val="bottom"/>
          </w:tcPr>
          <w:p>
            <w:pPr>
              <w:spacing w:after="0"/>
              <w:rPr>
                <w:sz w:val="14"/>
                <w:szCs w:val="14"/>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Games USA Inc.</w:t>
            </w:r>
          </w:p>
        </w:tc>
        <w:tc>
          <w:tcPr>
            <w:tcW w:w="1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1140" w:type="dxa"/>
            <w:vAlign w:val="bottom"/>
          </w:tcPr>
          <w:p>
            <w:pPr>
              <w:spacing w:after="0"/>
              <w:rPr>
                <w:sz w:val="15"/>
                <w:szCs w:val="15"/>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Snail Innovation Institute</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r>
        <w:trPr>
          <w:trHeight w:val="180"/>
        </w:trPr>
        <w:tc>
          <w:tcPr>
            <w:tcW w:w="1140" w:type="dxa"/>
            <w:vAlign w:val="bottom"/>
          </w:tcPr>
          <w:p>
            <w:pPr>
              <w:spacing w:after="0"/>
              <w:rPr>
                <w:sz w:val="15"/>
                <w:szCs w:val="15"/>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Frostkeep Studios, Inc.</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1140" w:type="dxa"/>
            <w:vAlign w:val="bottom"/>
          </w:tcPr>
          <w:p>
            <w:pPr>
              <w:spacing w:after="0"/>
              <w:rPr>
                <w:sz w:val="15"/>
                <w:szCs w:val="15"/>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Eminence Corp</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1140" w:type="dxa"/>
            <w:vAlign w:val="bottom"/>
          </w:tcPr>
          <w:p>
            <w:pPr>
              <w:spacing w:after="0"/>
              <w:rPr>
                <w:sz w:val="15"/>
                <w:szCs w:val="15"/>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Wandering Wizard, LLC</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1140" w:type="dxa"/>
            <w:vAlign w:val="bottom"/>
          </w:tcPr>
          <w:p>
            <w:pPr>
              <w:spacing w:after="0"/>
              <w:rPr>
                <w:sz w:val="15"/>
                <w:szCs w:val="15"/>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w:t>
            </w:r>
          </w:p>
        </w:tc>
      </w:tr>
      <w:tr>
        <w:trPr>
          <w:trHeight w:val="180"/>
        </w:trPr>
        <w:tc>
          <w:tcPr>
            <w:tcW w:w="1140" w:type="dxa"/>
            <w:vAlign w:val="bottom"/>
          </w:tcPr>
          <w:p>
            <w:pPr>
              <w:spacing w:after="0"/>
              <w:rPr>
                <w:sz w:val="15"/>
                <w:szCs w:val="15"/>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Interactive Films, LLC</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1140" w:type="dxa"/>
            <w:vAlign w:val="bottom"/>
          </w:tcPr>
          <w:p>
            <w:pPr>
              <w:spacing w:after="0"/>
              <w:rPr>
                <w:sz w:val="15"/>
                <w:szCs w:val="15"/>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Project AWK Productions, LLC</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1140" w:type="dxa"/>
            <w:vAlign w:val="bottom"/>
          </w:tcPr>
          <w:p>
            <w:pPr>
              <w:spacing w:after="0"/>
              <w:rPr>
                <w:sz w:val="15"/>
                <w:szCs w:val="15"/>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BTBX.IO, LLC</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r>
        <w:trPr>
          <w:trHeight w:val="193"/>
        </w:trPr>
        <w:tc>
          <w:tcPr>
            <w:tcW w:w="114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Matrioshka Games, LLC</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bl>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 xml:space="preserve">All intercompany accounts, transactions, and profits have been eliminated upon consolidation. Matrioshka Games, LLC was consolidated as of May 1, 2025 and is included in Note 19 – </w:t>
      </w:r>
      <w:r>
        <w:rPr>
          <w:rFonts w:ascii="Times New Roman" w:cs="Times New Roman" w:eastAsia="Times New Roman" w:hAnsi="Times New Roman"/>
          <w:sz w:val="15"/>
          <w:szCs w:val="15"/>
          <w:i w:val="1"/>
          <w:iCs w:val="1"/>
          <w:color w:val="auto"/>
        </w:rPr>
        <w:t>Business Combination.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provisions for credit losses, deferred income tax assets and associated valuation allowances, deferred revenue, stock-based compensation, the fair value of warrants and convertible debt.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 Reporting</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and third parties. Financial information about our geographic regions is included in Note 3 – </w:t>
      </w:r>
      <w:r>
        <w:rPr>
          <w:rFonts w:ascii="Times New Roman" w:cs="Times New Roman" w:eastAsia="Times New Roman" w:hAnsi="Times New Roman"/>
          <w:sz w:val="15"/>
          <w:szCs w:val="15"/>
          <w:i w:val="1"/>
          <w:iCs w:val="1"/>
          <w:color w:val="auto"/>
        </w:rPr>
        <w:t>Revenue from Contracts with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Customers </w:t>
      </w:r>
      <w:r>
        <w:rPr>
          <w:rFonts w:ascii="Times New Roman" w:cs="Times New Roman" w:eastAsia="Times New Roman" w:hAnsi="Times New Roman"/>
          <w:sz w:val="15"/>
          <w:szCs w:val="15"/>
          <w:color w:val="auto"/>
        </w:rPr>
        <w:t>and information about our reportable operating segment is included in Note 18 –</w:t>
      </w:r>
      <w:r>
        <w:rPr>
          <w:rFonts w:ascii="Times New Roman" w:cs="Times New Roman" w:eastAsia="Times New Roman" w:hAnsi="Times New Roman"/>
          <w:sz w:val="15"/>
          <w:szCs w:val="15"/>
          <w:i w:val="1"/>
          <w:iCs w:val="1"/>
          <w:color w:val="auto"/>
        </w:rPr>
        <w:t xml:space="preserve"> Operating Segments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received in exchange for these products and services. Revenue from delivery of products is recognized at a point in time when the intellectual property is made available to the third party platform. Revenue from delivery of products is recognized at a point in time when the end consumers purchase the games, and the control of the license is transferred to them.</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The Company determines the standalone selling price for its technical support performance obligation using the cost-plus-margin approach in accordance with ASC 606, </w:t>
      </w:r>
      <w:r>
        <w:rPr>
          <w:rFonts w:ascii="Times New Roman" w:cs="Times New Roman" w:eastAsia="Times New Roman" w:hAnsi="Times New Roman"/>
          <w:sz w:val="15"/>
          <w:szCs w:val="15"/>
          <w:i w:val="1"/>
          <w:iCs w:val="1"/>
          <w:color w:val="auto"/>
        </w:rPr>
        <w:t>Revenue from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with Customers</w:t>
      </w:r>
      <w:r>
        <w:rPr>
          <w:rFonts w:ascii="Times New Roman" w:cs="Times New Roman" w:eastAsia="Times New Roman" w:hAnsi="Times New Roman"/>
          <w:sz w:val="15"/>
          <w:szCs w:val="15"/>
          <w:color w:val="auto"/>
        </w:rPr>
        <w:t>. The Company determines the proportion of total technical support activity attributable to its games based on historical data. The Company then uses the per-unit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cost determination to allocate technical support costs over an estimated service period of five years, the expected life of the user. The resulting per-unit cost is increased by a reasonable margin percentage to arrive at the per unit price of our technical support obligations.</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spacing w:after="0" w:line="138" w:lineRule="exact"/>
        <w:rPr>
          <w:sz w:val="20"/>
          <w:szCs w:val="20"/>
          <w:color w:val="auto"/>
        </w:rPr>
      </w:pPr>
    </w:p>
    <w:p>
      <w:pPr>
        <w:jc w:val="both"/>
        <w:ind w:left="540" w:hanging="260"/>
        <w:spacing w:after="0" w:line="264"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p>
    <w:p>
      <w:pPr>
        <w:spacing w:after="0" w:line="149" w:lineRule="exact"/>
        <w:rPr>
          <w:rFonts w:ascii="Times New Roman" w:cs="Times New Roman" w:eastAsia="Times New Roman" w:hAnsi="Times New Roman"/>
          <w:sz w:val="15"/>
          <w:szCs w:val="15"/>
          <w:color w:val="auto"/>
        </w:rPr>
      </w:pPr>
    </w:p>
    <w:p>
      <w:pPr>
        <w:jc w:val="both"/>
        <w:ind w:left="540" w:right="20" w:hanging="260"/>
        <w:spacing w:after="0" w:line="264"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Durable: durable virtual items represent items that are accessible to the player over an extended period of time. The Company recognizes revenue from the sale of durable virtual items ratably over the estimated service period for the applicable game (i.e., over time), which represents our best estimate of the average life of the durable virtual item or the life of the user.</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Lost Colony Expansion Pass</w:t>
      </w:r>
      <w:r>
        <w:rPr>
          <w:rFonts w:ascii="Times New Roman" w:cs="Times New Roman" w:eastAsia="Times New Roman" w:hAnsi="Times New Roman"/>
          <w:sz w:val="15"/>
          <w:szCs w:val="15"/>
          <w:color w:val="auto"/>
        </w:rPr>
        <w:t xml:space="preserve"> games that were sold in a bundle with downloadable content (“DLC”) that have not yet been launched and been reported in deferred revenue in the condensed consolidated balance sheets, the Company has used the adjusted market assessment approach per Accounting Standards Codification (“ASC”) 606-10-32-34 to assign a value for the Company’s remaining performance obligations. The Company uses the following reasonably available information in developing the standalone selling prices of the performance obligations:</w:t>
      </w:r>
    </w:p>
    <w:p>
      <w:pPr>
        <w:spacing w:after="0" w:line="153" w:lineRule="exact"/>
        <w:rPr>
          <w:sz w:val="20"/>
          <w:szCs w:val="20"/>
          <w:color w:val="auto"/>
        </w:rPr>
      </w:pPr>
    </w:p>
    <w:p>
      <w:pPr>
        <w:ind w:left="540" w:hanging="26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The Company recognizes revenue using the following five steps as provided by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30 to 75 days.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Principal vs. Agent Consideration</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55" w:lineRule="exact"/>
        <w:rPr>
          <w:sz w:val="20"/>
          <w:szCs w:val="20"/>
          <w:color w:val="auto"/>
        </w:rPr>
      </w:pPr>
    </w:p>
    <w:p>
      <w:pPr>
        <w:ind w:left="540" w:hanging="26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underlying contract terms and conditions between the various parties to the transaction;</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is primarily responsible for fulfilling the promise to provide the specified good or service; and</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has discretion in establishing the price for the specified good or service.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The Company’s customers in these arrangements are the platform providers.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records deferred revenue when cash payments are received or due in advance of its performance, even if amounts are non-refundable.</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mobile games is generally 30 to 100 days from the date of purchase.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The Company has a long-term title license agreement with a platform which makes </w:t>
      </w:r>
      <w:r>
        <w:rPr>
          <w:rFonts w:ascii="Times New Roman" w:cs="Times New Roman" w:eastAsia="Times New Roman" w:hAnsi="Times New Roman"/>
          <w:sz w:val="15"/>
          <w:szCs w:val="15"/>
          <w:i w:val="1"/>
          <w:iCs w:val="1"/>
          <w:color w:val="auto"/>
        </w:rPr>
        <w:t>ARK 1</w:t>
      </w:r>
      <w:r>
        <w:rPr>
          <w:rFonts w:ascii="Times New Roman" w:cs="Times New Roman" w:eastAsia="Times New Roman" w:hAnsi="Times New Roman"/>
          <w:sz w:val="15"/>
          <w:szCs w:val="15"/>
          <w:color w:val="auto"/>
        </w:rPr>
        <w:t xml:space="preserve"> available on the platform in perpetuity, and puts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 for three years upon release. The Company deferred $2.3 million related to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that is included in the long-term portion of deferred revenue and will be recognized upon the release of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In July 2023, the Company entered into a distribution agreement with its retail distribution partner for the distribution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The initial term is two years and will renew each subsequent year unless it is cancelled. As of June 30, 2025, the Company has deferred $1.1 million related to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as long-term deferred revenue until the disc releases occur.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Estimated Service Period</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for mobile games. The Company also considers publicly available online trends.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Shipping, Handling and Value Added Taxes (“VAT”)</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Cost of revenues include software license royalty fees, merchant fees, server and database center costs, game licenses, engine fees and amortization costs. Cost of revenues for the three and six months ended June 30, 2025 and 2024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5"/>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3"/>
        </w:trPr>
        <w:tc>
          <w:tcPr>
            <w:tcW w:w="43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5,754,679</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4,658,272</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11,028,407</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7,932,292</w:t>
            </w:r>
          </w:p>
        </w:tc>
        <w:tc>
          <w:tcPr>
            <w:tcW w:w="120" w:type="dxa"/>
            <w:vAlign w:val="bottom"/>
            <w:shd w:val="clear" w:color="auto" w:fill="CCEEFF"/>
          </w:tcPr>
          <w:p>
            <w:pPr>
              <w:spacing w:after="0"/>
              <w:rPr>
                <w:sz w:val="14"/>
                <w:szCs w:val="14"/>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46,942</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63,435</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100,772</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226,183</w:t>
            </w:r>
          </w:p>
        </w:tc>
      </w:tr>
      <w:tr>
        <w:trPr>
          <w:trHeight w:val="18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Licensing fees – related party</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6,000,000</w:t>
            </w: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6,000,000</w:t>
            </w: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12,000,000</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12,000,000</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476,268</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201</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739,993</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402</w:t>
            </w:r>
          </w:p>
        </w:tc>
      </w:tr>
      <w:tr>
        <w:trPr>
          <w:trHeight w:val="18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484,461</w:t>
            </w: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220,051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1,039,156</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441,500</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945,877</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1,340,897</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1,758,826</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2,302,338</w:t>
            </w:r>
          </w:p>
        </w:tc>
      </w:tr>
      <w:tr>
        <w:trPr>
          <w:trHeight w:val="18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1,467,078</w:t>
            </w: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1,221,318</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2,763,016</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2,621,325</w:t>
            </w: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55,700</w:t>
            </w: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64,180</w:t>
            </w: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21,832</w:t>
            </w:r>
          </w:p>
        </w:tc>
      </w:tr>
      <w:tr>
        <w:trPr>
          <w:trHeight w:val="182"/>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15,231,005</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13,504,174</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29,494,350</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25,545,872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Costs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For the three months ended June 30, 2025 and 2024, general and administrative expenses totaled $3,475,089 and $2,795,884, respectively. For the six month ended June 30, 2025 and 2024, general and administrative expenses totaled $8,439,440 and $5,077,924, respectively. Stock based compensation (income) expense of ($530,535) and $13,949 was incurred during the three months ended June 30, 2025 and 2024, respectively. Stock compensation expense (income) of $257,642 and ($848,685) was incurred during the six months ended June 30, 2025, and 2024,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Costs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Company expenses advertising and marketing costs as incurred. For the three months ended June 30, 2025 and 2024, advertising and marketing expenses totaled $1,520,201 and $694,195, respectively. For the six months ended June 30, 2025 and 2024, advertising and marketing expenses total $2,826,567 and 835,225,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Research and development costs are expensed as incurred. Research and development costs include travel, payroll, and other general expenses specific to research and development activities. Research and development costs for the three months ended June 30, 2025 and 2024 were $3,293,409 and $1,860,881, respectively. Research and development costs for the six months ended June 30, 2025 and 2024 were $6,903,154 and $3,637,403, respectively. Stock-based compensation (income) expense, included in research and development costs, of ($32,196) and $1,033 was incurred during the three months ended June 30, 2025 and 2024, respectively. Stock-based compensation expense (income), included in research and development costs, of $23,246 and ($63,208) was incurred during the six months ended June 30, 2025 and 2024,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19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Non-controlling interests on the condensed consolidated balance sheets and condensed consolidated statements of operations and comprehensive loss include the equity allocated to non-controlling interest holders. As of June 30, 2025 and December 31, 2024, there were non-controlling interests with the following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2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Equity % Owned</w:t>
            </w:r>
          </w:p>
        </w:tc>
        <w:tc>
          <w:tcPr>
            <w:tcW w:w="36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Non-Controlling %</w:t>
            </w:r>
          </w:p>
        </w:tc>
        <w:tc>
          <w:tcPr>
            <w:tcW w:w="140" w:type="dxa"/>
            <w:vAlign w:val="bottom"/>
            <w:tcBorders>
              <w:bottom w:val="single" w:sz="8" w:color="CCEEFF"/>
            </w:tcBorders>
          </w:tcPr>
          <w:p>
            <w:pPr>
              <w:spacing w:after="0"/>
              <w:rPr>
                <w:sz w:val="17"/>
                <w:szCs w:val="17"/>
                <w:color w:val="auto"/>
              </w:rPr>
            </w:pPr>
          </w:p>
        </w:tc>
      </w:tr>
      <w:tr>
        <w:trPr>
          <w:trHeight w:val="17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Innovative Institute</w:t>
            </w:r>
          </w:p>
        </w:tc>
        <w:tc>
          <w:tcPr>
            <w:tcW w:w="2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0"/>
        </w:trPr>
        <w:tc>
          <w:tcPr>
            <w:tcW w:w="6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BTBX.IO, LLC</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99%</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 and Restricted Cash and Cash Equivalents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and six months ended June 30, 2025 and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Film Costs, net</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June 30, 2025 and December 31, 2024, $2,034,594 and $1,512,960, respectively, of film costs are capitalized and included in other noncurrent assets, net in the accompanying condensed consolidated balance sheets. During the three and six months ended June 30, 2025, $432,360 and $645,069 of film costs were amortized respectively, and reported in the cost of revenues in the Company’s condensed consolidated statement of operations and comprehensive loss. There was no film cost amortization in the six months ended June 30, 2024.</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recognized an impairment of $415,719 and $0 for the three and six months ended June 30, 2025 and 2024, respectively. This impairment is primarily related to the underperforming titles released during the period and the elimination of marketing plans for these titles. These impairments reflect management’s updated projections that the estimated remaining future cash flows for the four films are not sufficient to recover their costs. The impairment charges are included in the impairment of film assets on the condensed consolidated statement of operations and comprehensive income (loss). The Company continues to monitor the performance of its film assets and may record additional impairments in future periods if conditions warrant.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Software Development Costs and Licenses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account for software products intended to be sold, leased or otherwise marketed in accordance with ASC 985. Accordingly, we capitalize costs incurred for internally developed titles and payments made to third-party software developers under development agreements as software. These software development costs may include payroll, materials, and other costs directly related to development activities subsequent to establishing technological feasibility of the software. Significant management judgments are made in the assessment of when technological feasibility is established. Technological feasibility is evaluated on a product-by-product basis. Prior to establishing technological feasibility of a product, we record any costs incurred by their-party developers as research and development expenses.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 also enters into agreements with third-party developers that require us to make payments for game development. In exchange for our payments, we receive exclusive licensing and publishing rights to the game titles. These agreements typically include a tiered royalty share between the Company and the developer, net of any shared costs. These agreements are commonly entered into after completing the technical design document, viewing a game play demonstration and verifying they conform with game design documentation. The developers are often experienced with an established track record of past development projects, we monitor the software development process, and establish technological feasibility. We also enter into agreements with third-party developers after completing the technical design documentation and therefore record the design costs leading up to a signed development contract as research and development expense. Accordingly, we may be able to establish technological feasibility of a title early in the development cycle. After technological feasibility is established, we capitalize these software development costs as software licenses.</w:t>
      </w:r>
    </w:p>
    <w:p>
      <w:pPr>
        <w:spacing w:after="0" w:line="16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During the six months ended June 30, 2025, the Company capitalized $2,620,209 of software development costs under ASC 985 for various titles, which are included in intangible assets, net, in the Company’s condensed consolidated balance sheets. There were no software development costs capitalized under ASC 985 during the six months ended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19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5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describes the hierarchy of inputs used to measure fair value and the primary valuation methodologies used by the Company for financial instruments measured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three levels of inputs are as follows:</w:t>
      </w:r>
    </w:p>
    <w:p>
      <w:pPr>
        <w:spacing w:after="0" w:line="183" w:lineRule="exact"/>
        <w:rPr>
          <w:sz w:val="20"/>
          <w:szCs w:val="20"/>
          <w:color w:val="auto"/>
        </w:rPr>
      </w:pPr>
    </w:p>
    <w:p>
      <w:pPr>
        <w:ind w:left="540" w:hanging="26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 Quoted prices in active markets for identical assets or liabilities that the Company has an ability to access as of the measurement date.</w:t>
      </w:r>
    </w:p>
    <w:p>
      <w:pPr>
        <w:spacing w:after="0" w:line="187" w:lineRule="exact"/>
        <w:rPr>
          <w:rFonts w:ascii="Times New Roman" w:cs="Times New Roman" w:eastAsia="Times New Roman" w:hAnsi="Times New Roman"/>
          <w:sz w:val="15"/>
          <w:szCs w:val="15"/>
          <w:color w:val="auto"/>
        </w:rPr>
      </w:pPr>
    </w:p>
    <w:p>
      <w:pPr>
        <w:ind w:left="540" w:hanging="260"/>
        <w:spacing w:after="0" w:line="284"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 Inputs that are observable, either directly or indirectly, such as quoted prices for similar assets or liabilities, quoted prices in markets that are not active, or other inputs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are observable or can be corroborated by observable market data for substantially the same term of the assets or liabilities.</w:t>
      </w:r>
    </w:p>
    <w:p>
      <w:pPr>
        <w:spacing w:after="0" w:line="131"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 Unobservable inputs that are supported by little or no market activity and that are significant to the fair value of the assets or liabilities.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 their fair value based on current rates and terms available to the Company for similar debt. The fair value of the Company’s promissory note has a fixed rate until June 2026, then a floating rate that approximates the Wall Street Journal Prime Rate plus 0.50%. The fair value of the Company’s term loan note has a floating rate that approximates the Wall Street Journal Prime Rate plus 0.50% or a floor rate of 6.50%, whichever is higher. The Company considers the carrying amount of the loans to approximate fair value as the discounted cost in comparison to market rates would not be materially different than the cost to acquire a loan with similar terms. The Company’s convertible notes are measured at fair value using a binomial lattice framework and a range of level 3 inputs as described in Note 12 – </w:t>
      </w:r>
      <w:r>
        <w:rPr>
          <w:rFonts w:ascii="Times New Roman" w:cs="Times New Roman" w:eastAsia="Times New Roman" w:hAnsi="Times New Roman"/>
          <w:sz w:val="15"/>
          <w:szCs w:val="15"/>
          <w:i w:val="1"/>
          <w:iCs w:val="1"/>
          <w:color w:val="auto"/>
        </w:rPr>
        <w:t>Revolving Loan, Short Term Notes and Long-Term Debt</w:t>
      </w:r>
      <w:r>
        <w:rPr>
          <w:rFonts w:ascii="Times New Roman" w:cs="Times New Roman" w:eastAsia="Times New Roman" w:hAnsi="Times New Roman"/>
          <w:sz w:val="15"/>
          <w:szCs w:val="15"/>
          <w:color w:val="auto"/>
        </w:rPr>
        <w:t>.</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The Company also has liability classified warrants measured at fair value on a recurring basis. During the six months ended June 30, 2025, the Company transitioned its valuation methodology from a Monte Carlo simulation model to a Black-Scholes option-pricing model. The Company had historically valued the warrants using a Monte Carlo simulation due to certain anti dilutive features that are no longer expected to occur. The change represents a change in accounting estimate and is applied prospectively. See Note 17 –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June 30, 2025 and December 31, 2024.</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following table presents the Company’s convertible notes, convertible notes warrants, and equity line of credit warrants measured at fair value and classified within the fair value hierarchy as of June 30, 2025 and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5"/>
                <w:szCs w:val="15"/>
                <w:color w:val="auto"/>
              </w:rPr>
              <w:t>Fair value measured as of June 30, 2025</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right="340"/>
              <w:spacing w:after="0" w:line="157" w:lineRule="exact"/>
              <w:rPr>
                <w:sz w:val="20"/>
                <w:szCs w:val="20"/>
                <w:color w:val="auto"/>
              </w:rPr>
            </w:pPr>
            <w:r>
              <w:rPr>
                <w:rFonts w:ascii="Times New Roman" w:cs="Times New Roman" w:eastAsia="Times New Roman" w:hAnsi="Times New Roman"/>
                <w:sz w:val="15"/>
                <w:szCs w:val="15"/>
                <w:color w:val="auto"/>
              </w:rPr>
              <w:t>Quoted prices in active</w:t>
            </w:r>
          </w:p>
        </w:tc>
        <w:tc>
          <w:tcPr>
            <w:tcW w:w="128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Significant other</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25"/>
              <w:spacing w:after="0" w:line="157" w:lineRule="exact"/>
              <w:rPr>
                <w:sz w:val="20"/>
                <w:szCs w:val="20"/>
                <w:color w:val="auto"/>
              </w:rPr>
            </w:pPr>
            <w:r>
              <w:rPr>
                <w:rFonts w:ascii="Times New Roman" w:cs="Times New Roman" w:eastAsia="Times New Roman" w:hAnsi="Times New Roman"/>
                <w:sz w:val="15"/>
                <w:szCs w:val="15"/>
                <w:color w:val="auto"/>
              </w:rPr>
              <w:t>Significant</w:t>
            </w:r>
          </w:p>
        </w:tc>
        <w:tc>
          <w:tcPr>
            <w:tcW w:w="120" w:type="dxa"/>
            <w:vAlign w:val="bottom"/>
          </w:tcPr>
          <w:p>
            <w:pPr>
              <w:spacing w:after="0"/>
              <w:rPr>
                <w:sz w:val="13"/>
                <w:szCs w:val="13"/>
                <w:color w:val="auto"/>
              </w:rPr>
            </w:pPr>
          </w:p>
        </w:tc>
      </w:tr>
      <w:tr>
        <w:trPr>
          <w:trHeight w:val="180"/>
        </w:trPr>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5"/>
                <w:szCs w:val="15"/>
                <w:color w:val="auto"/>
              </w:rPr>
              <w:t>markets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observable inputs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w w:val="99"/>
              </w:rPr>
              <w:t>unobservable inputs</w:t>
            </w:r>
          </w:p>
        </w:tc>
      </w:tr>
      <w:tr>
        <w:trPr>
          <w:trHeight w:val="193"/>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Total fair value</w:t>
            </w:r>
          </w:p>
        </w:tc>
        <w:tc>
          <w:tcPr>
            <w:tcW w:w="1140" w:type="dxa"/>
            <w:vAlign w:val="bottom"/>
          </w:tcPr>
          <w:p>
            <w:pPr>
              <w:jc w:val="center"/>
              <w:ind w:left="232"/>
              <w:spacing w:after="0"/>
              <w:rPr>
                <w:sz w:val="20"/>
                <w:szCs w:val="20"/>
                <w:color w:val="auto"/>
              </w:rPr>
            </w:pPr>
            <w:r>
              <w:rPr>
                <w:rFonts w:ascii="Times New Roman" w:cs="Times New Roman" w:eastAsia="Times New Roman" w:hAnsi="Times New Roman"/>
                <w:sz w:val="15"/>
                <w:szCs w:val="15"/>
                <w:color w:val="auto"/>
              </w:rPr>
              <w:t>(Level 1)</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rPr>
              <w:t>(Level 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(Level 3)</w:t>
            </w:r>
          </w:p>
        </w:tc>
      </w:tr>
      <w:tr>
        <w:trPr>
          <w:trHeight w:val="17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2,415,050</w:t>
            </w:r>
          </w:p>
        </w:tc>
        <w:tc>
          <w:tcPr>
            <w:tcW w:w="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2,415,050</w:t>
            </w:r>
          </w:p>
        </w:tc>
        <w:tc>
          <w:tcPr>
            <w:tcW w:w="120" w:type="dxa"/>
            <w:vAlign w:val="bottom"/>
            <w:tcBorders>
              <w:top w:val="single" w:sz="8" w:color="CCEEFF"/>
            </w:tcBorders>
            <w:shd w:val="clear" w:color="auto" w:fill="CCEEFF"/>
          </w:tcPr>
          <w:p>
            <w:pPr>
              <w:spacing w:after="0"/>
              <w:rPr>
                <w:sz w:val="14"/>
                <w:szCs w:val="14"/>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warrants</w:t>
            </w:r>
          </w:p>
        </w:tc>
        <w:tc>
          <w:tcPr>
            <w:tcW w:w="160" w:type="dxa"/>
            <w:vAlign w:val="bottom"/>
          </w:tcPr>
          <w:p>
            <w:pPr>
              <w:spacing w:after="0"/>
              <w:rPr>
                <w:sz w:val="15"/>
                <w:szCs w:val="15"/>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1,066,542</w:t>
            </w:r>
          </w:p>
        </w:tc>
        <w:tc>
          <w:tcPr>
            <w:tcW w:w="11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1,066,542</w:t>
            </w:r>
          </w:p>
        </w:tc>
      </w:tr>
      <w:tr>
        <w:trPr>
          <w:trHeight w:val="19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line of credit warrants</w:t>
            </w: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259,075</w:t>
            </w:r>
          </w:p>
        </w:tc>
        <w:tc>
          <w:tcPr>
            <w:tcW w:w="1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259,075</w:t>
            </w:r>
          </w:p>
        </w:tc>
      </w:tr>
      <w:tr>
        <w:trPr>
          <w:trHeight w:val="182"/>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3,740,667</w:t>
            </w:r>
          </w:p>
        </w:tc>
        <w:tc>
          <w:tcPr>
            <w:tcW w:w="34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1125"/>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3,740,667</w:t>
            </w:r>
          </w:p>
        </w:tc>
        <w:tc>
          <w:tcPr>
            <w:tcW w:w="12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4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Fair value measured as of December 31, 2024</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right="340"/>
              <w:spacing w:after="0" w:line="157" w:lineRule="exact"/>
              <w:rPr>
                <w:sz w:val="20"/>
                <w:szCs w:val="20"/>
                <w:color w:val="auto"/>
              </w:rPr>
            </w:pPr>
            <w:r>
              <w:rPr>
                <w:rFonts w:ascii="Times New Roman" w:cs="Times New Roman" w:eastAsia="Times New Roman" w:hAnsi="Times New Roman"/>
                <w:sz w:val="15"/>
                <w:szCs w:val="15"/>
                <w:color w:val="auto"/>
              </w:rPr>
              <w:t>Quoted prices in active</w:t>
            </w:r>
          </w:p>
        </w:tc>
        <w:tc>
          <w:tcPr>
            <w:tcW w:w="128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Significant other</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25"/>
              <w:spacing w:after="0" w:line="157" w:lineRule="exact"/>
              <w:rPr>
                <w:sz w:val="20"/>
                <w:szCs w:val="20"/>
                <w:color w:val="auto"/>
              </w:rPr>
            </w:pPr>
            <w:r>
              <w:rPr>
                <w:rFonts w:ascii="Times New Roman" w:cs="Times New Roman" w:eastAsia="Times New Roman" w:hAnsi="Times New Roman"/>
                <w:sz w:val="15"/>
                <w:szCs w:val="15"/>
                <w:color w:val="auto"/>
              </w:rPr>
              <w:t>Significant</w:t>
            </w:r>
          </w:p>
        </w:tc>
        <w:tc>
          <w:tcPr>
            <w:tcW w:w="120" w:type="dxa"/>
            <w:vAlign w:val="bottom"/>
          </w:tcPr>
          <w:p>
            <w:pPr>
              <w:spacing w:after="0"/>
              <w:rPr>
                <w:sz w:val="13"/>
                <w:szCs w:val="13"/>
                <w:color w:val="auto"/>
              </w:rPr>
            </w:pPr>
          </w:p>
        </w:tc>
      </w:tr>
      <w:tr>
        <w:trPr>
          <w:trHeight w:val="180"/>
        </w:trPr>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5"/>
                <w:szCs w:val="15"/>
                <w:color w:val="auto"/>
              </w:rPr>
              <w:t>markets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observable inputs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w w:val="99"/>
              </w:rPr>
              <w:t>unobservable inputs</w:t>
            </w:r>
          </w:p>
        </w:tc>
      </w:tr>
      <w:tr>
        <w:trPr>
          <w:trHeight w:val="193"/>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Total fair value</w:t>
            </w:r>
          </w:p>
        </w:tc>
        <w:tc>
          <w:tcPr>
            <w:tcW w:w="1140" w:type="dxa"/>
            <w:vAlign w:val="bottom"/>
          </w:tcPr>
          <w:p>
            <w:pPr>
              <w:jc w:val="center"/>
              <w:ind w:left="232"/>
              <w:spacing w:after="0"/>
              <w:rPr>
                <w:sz w:val="20"/>
                <w:szCs w:val="20"/>
                <w:color w:val="auto"/>
              </w:rPr>
            </w:pPr>
            <w:r>
              <w:rPr>
                <w:rFonts w:ascii="Times New Roman" w:cs="Times New Roman" w:eastAsia="Times New Roman" w:hAnsi="Times New Roman"/>
                <w:sz w:val="15"/>
                <w:szCs w:val="15"/>
                <w:color w:val="auto"/>
              </w:rPr>
              <w:t>(Level 1)</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rPr>
              <w:t>(Level 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(Level 3)</w:t>
            </w:r>
          </w:p>
        </w:tc>
      </w:tr>
      <w:tr>
        <w:trPr>
          <w:trHeight w:val="17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 warrants</w:t>
            </w: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1,448,109</w:t>
            </w:r>
          </w:p>
        </w:tc>
        <w:tc>
          <w:tcPr>
            <w:tcW w:w="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1,448,109</w:t>
            </w:r>
          </w:p>
        </w:tc>
        <w:tc>
          <w:tcPr>
            <w:tcW w:w="120" w:type="dxa"/>
            <w:vAlign w:val="bottom"/>
            <w:tcBorders>
              <w:top w:val="single" w:sz="8" w:color="CCEEFF"/>
            </w:tcBorders>
            <w:shd w:val="clear" w:color="auto" w:fill="CCEEFF"/>
          </w:tcPr>
          <w:p>
            <w:pPr>
              <w:spacing w:after="0"/>
              <w:rPr>
                <w:sz w:val="14"/>
                <w:szCs w:val="14"/>
                <w:color w:val="auto"/>
              </w:rPr>
            </w:pP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Equity line of credit warrants</w:t>
            </w:r>
          </w:p>
        </w:tc>
        <w:tc>
          <w:tcPr>
            <w:tcW w:w="160" w:type="dxa"/>
            <w:vAlign w:val="bottom"/>
          </w:tcPr>
          <w:p>
            <w:pPr>
              <w:spacing w:after="0"/>
              <w:rPr>
                <w:sz w:val="16"/>
                <w:szCs w:val="16"/>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292,004</w:t>
            </w:r>
          </w:p>
        </w:tc>
        <w:tc>
          <w:tcPr>
            <w:tcW w:w="1140" w:type="dxa"/>
            <w:vAlign w:val="bottom"/>
          </w:tcPr>
          <w:p>
            <w:pPr>
              <w:spacing w:after="0"/>
              <w:rPr>
                <w:sz w:val="16"/>
                <w:szCs w:val="16"/>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292,004</w:t>
            </w:r>
          </w:p>
        </w:tc>
      </w:tr>
      <w:tr>
        <w:trPr>
          <w:trHeight w:val="182"/>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1,740,113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1,740,113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Amortizable Intangibles and Other Long-lived Assets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spacing w:after="0" w:line="1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Company follows FASB Topic ASC 740, Income Taxes, which requires the recognition of deferred tax assets and liabilities for the expected future tax consequences of events that have been included in the consolidated financial statements or tax returns.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condensed consolidated balance sheets in the amount of $265,251 as of June 30, 2025 and December 31, 2024. The Company accrues and recognizes interest and penalties related to unrecognized tax benefits in operating expenses.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 Significant Customers and Vendors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maintains cash balances at several major financial institutions. While the Company attempts to limit credit exposure with any single institution, balances often exceed insurable amounts. As of June 30, 2025 and December 31, 2024, the Company had deposits of $7,254,427 and $6,610,066, respectively, that were not insured by the Federal Deposit Insurance Corporation and are included in the cash and cash equivalents, and restricted cash and cash equivalents, in the accompanying condensed consolidated balance sheets.</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four customers as of June 30, 2025 and December 31, 2024, who accounted for approximately 91% and 85% of consolidated gross receivables, respectively. Among four customers as of June 30, 2025 and December 31, 2024, each customer accounted for 44%, 26%, 15% and 6% as of June 30, 2025, and 42%, 19%, 14% and 10% as of December 31, 2024 of the consolidated gross receivables outstanding. The Company had three customers in the three months ended June 30, 2025, and four customers in the three months ended June 30, 2024, that accounted for 44%, 23% and 10% and 53%, 14%, 13% and 10% of the Company’s net revenue, respectively. The Company had four customers in the six months ended June 30, 2025 and 2024, that accounted for 44%, 19%, 12% and 10%, and 47%, 14%, 13%, and 10% of the Company’s net revenue, respectively. The loss of these customers or declines in the forecasts of their accounts receivable collectability would have a significant impact on the Company’s financial performance.</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of June 30, 2025 and December 31, 2024, the Company had three vendors who accounted for approximately 26%, 10% and 10% of gross payables, respectively. As of December 31, 2024, the Company had one vendor who accounted for approximately 36% of consolidated gross payables. The loss of these vendors could have a significant impact on the Company’s financial performance.</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had one vendor, SDE, a related party, that accounted for 56% and 50% of the Company’s combined cost of revenues and operating expenses during the three months ended June 30, 2025 and 2024, respectively. SDE accounted for 52% and 57% of the Company’s combined cost of revenues and operating expenses during the six months ended June 30, 2025 and 2024, respectively, and the only vendor with a concentration in excess of 10% during the period. Amounts payable to SDE are included in accounts receivable – related party in the condensed consolidated balance sheets as of June 30, 2025 and December 31, 2024, respectively. The loss of SDE as a vendor would significantly and adversely affect the Company’s core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Improvements to Income Tax Disclosures,</w:t>
      </w:r>
      <w:r>
        <w:rPr>
          <w:rFonts w:ascii="Times New Roman" w:cs="Times New Roman" w:eastAsia="Times New Roman" w:hAnsi="Times New Roman"/>
          <w:sz w:val="15"/>
          <w:szCs w:val="15"/>
          <w:color w:val="auto"/>
        </w:rPr>
        <w:t xml:space="preserve"> 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2024-03, </w:t>
      </w:r>
      <w:r>
        <w:rPr>
          <w:rFonts w:ascii="Times New Roman" w:cs="Times New Roman" w:eastAsia="Times New Roman" w:hAnsi="Times New Roman"/>
          <w:sz w:val="15"/>
          <w:szCs w:val="15"/>
          <w:i w:val="1"/>
          <w:iCs w:val="1"/>
          <w:color w:val="auto"/>
        </w:rPr>
        <w:t>Income Statement – Reporting Comprehensive Income – Expense Disaggregation Disclosures (Subtopic 220-40): Disaggregation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Income Statement Expenses, </w:t>
      </w:r>
      <w:r>
        <w:rPr>
          <w:rFonts w:ascii="Times New Roman" w:cs="Times New Roman" w:eastAsia="Times New Roman" w:hAnsi="Times New Roman"/>
          <w:sz w:val="15"/>
          <w:szCs w:val="15"/>
          <w:color w:val="auto"/>
        </w:rPr>
        <w:t>to improve the disclosures about a public business entity’s expenses and address requests from investors for more detailed information about the types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2024-04, </w:t>
      </w:r>
      <w:r>
        <w:rPr>
          <w:rFonts w:ascii="Times New Roman" w:cs="Times New Roman" w:eastAsia="Times New Roman" w:hAnsi="Times New Roman"/>
          <w:sz w:val="15"/>
          <w:szCs w:val="15"/>
          <w:i w:val="1"/>
          <w:iCs w:val="1"/>
          <w:color w:val="auto"/>
        </w:rPr>
        <w:t>Debt – Debt with Conversion and Other Options (Subtopic 470-20): Induced Conversions of Convertible Debt Instruments,</w:t>
      </w:r>
      <w:r>
        <w:rPr>
          <w:rFonts w:ascii="Times New Roman" w:cs="Times New Roman" w:eastAsia="Times New Roman" w:hAnsi="Times New Roman"/>
          <w:sz w:val="15"/>
          <w:szCs w:val="15"/>
          <w:color w:val="auto"/>
        </w:rPr>
        <w:t xml:space="preserve"> 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show annual periods. Early adoption is permitted for all entities that have adopted the amendments in update 2020-06. The Company is evaluating the impact of adopting the new standard.</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 xml:space="preserve">In March 2025, the FASB issued ASU 2025-02, </w:t>
      </w:r>
      <w:r>
        <w:rPr>
          <w:rFonts w:ascii="Times New Roman" w:cs="Times New Roman" w:eastAsia="Times New Roman" w:hAnsi="Times New Roman"/>
          <w:sz w:val="15"/>
          <w:szCs w:val="15"/>
          <w:i w:val="1"/>
          <w:iCs w:val="1"/>
          <w:color w:val="auto"/>
        </w:rPr>
        <w:t>Liabilities (Topic 405):</w:t>
      </w:r>
      <w:r>
        <w:rPr>
          <w:rFonts w:ascii="Times New Roman" w:cs="Times New Roman" w:eastAsia="Times New Roman" w:hAnsi="Times New Roman"/>
          <w:sz w:val="15"/>
          <w:szCs w:val="15"/>
          <w:color w:val="auto"/>
        </w:rPr>
        <w:t xml:space="preserve"> amends the guidance in ASC 450-10-S99-1 that eliminates the requirement for entities to recognize liabilities associated with safeguarding crypto assets. The Company is evaluating the impact of adopting the new standard.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In May 2025, the FASB issued ASU 2025-03, </w:t>
      </w:r>
      <w:r>
        <w:rPr>
          <w:rFonts w:ascii="Times New Roman" w:cs="Times New Roman" w:eastAsia="Times New Roman" w:hAnsi="Times New Roman"/>
          <w:sz w:val="15"/>
          <w:szCs w:val="15"/>
          <w:i w:val="1"/>
          <w:iCs w:val="1"/>
          <w:color w:val="auto"/>
        </w:rPr>
        <w:t>Determining the Accounting Acquirer in the Acquisition of a Variable Interest Entity,</w:t>
      </w:r>
      <w:r>
        <w:rPr>
          <w:rFonts w:ascii="Times New Roman" w:cs="Times New Roman" w:eastAsia="Times New Roman" w:hAnsi="Times New Roman"/>
          <w:sz w:val="15"/>
          <w:szCs w:val="15"/>
          <w:color w:val="auto"/>
        </w:rPr>
        <w:t xml:space="preserve"> provides guidance on identifying the accounting acquirer in transactions involving a variable interest entity (VIE), aiming to improve consistency in practice. This amendment in this update is effective for fiscal years beginning after December 15, 2025, including interim periods within those years. The Company is currently evaluating the impact of the adoption for this new standard.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In May 2025, the FASB issued ASU 2025-04, </w:t>
      </w:r>
      <w:r>
        <w:rPr>
          <w:rFonts w:ascii="Times New Roman" w:cs="Times New Roman" w:eastAsia="Times New Roman" w:hAnsi="Times New Roman"/>
          <w:sz w:val="15"/>
          <w:szCs w:val="15"/>
          <w:i w:val="1"/>
          <w:iCs w:val="1"/>
          <w:color w:val="auto"/>
        </w:rPr>
        <w:t>Clarifications on Share-Based Consideration to a Customer,</w:t>
      </w:r>
      <w:r>
        <w:rPr>
          <w:rFonts w:ascii="Times New Roman" w:cs="Times New Roman" w:eastAsia="Times New Roman" w:hAnsi="Times New Roman"/>
          <w:sz w:val="15"/>
          <w:szCs w:val="15"/>
          <w:color w:val="auto"/>
        </w:rPr>
        <w:t xml:space="preserve"> to provide clarifications on accounting for share-based consideration payable to a customer. The update focuses on improving consistency in accounting for such arrangements, particularly by revising the definition of a “performance condition” and eliminating a forfeiture policy election. The Company is currently evaluating the impact of the adoption for this new standard and does not anticipate to have any impact on its condensed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Employee Savings Plans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maintains a 401(k) for its United States based employees. The plan is offered to all eligible employees to make voluntary contributions. Employer contributions to the plan are reported under general and administrative costs in the amounts of $33,474 and $24,982 for the three months ended June 30, 2025 and 2024, respectively and $66,236 and $49,256 for the six months ended June 30, 2025 and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granted 337,774 restricted stock units (“Restricted Stock Units” or “restricted stock units”) during the three and six months ended June 30, 2025 to its non-employee directors and did not grant any restricted stock units during the three or six months ended June 30, 2024. The fair value of Restricted Stock Units is determined based on the quoted market price of our common stock on the date of grant.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June 30, 2025 and December 31, 2024, there were 4,185,391 and 4,508,239 shares reserved for issuance under the 2022 Plan,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granted restricted stock units under our 2022 Omnibus Incentive Plan to employees during the initial public offering and grants restricted stock units under the plan to directors over certain periods.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Each of the outstanding warrants is convertible on a one-for-one basis into the Company’s common stock and are fully exercisable as of June 30, 2025. A summary of our outstanding warrants as of June 30, 2025 is included below:</w:t>
      </w:r>
    </w:p>
    <w:p>
      <w:pPr>
        <w:sectPr>
          <w:pgSz w:w="11900" w:h="16838" w:orient="portrait"/>
          <w:cols w:equalWidth="0" w:num="1">
            <w:col w:w="11280"/>
          </w:cols>
          <w:pgMar w:left="300" w:top="593" w:right="319" w:bottom="1440" w:gutter="0" w:footer="0" w:header="0"/>
        </w:sect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line of credit warrants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Convertible notes warrants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Underwriters warrants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warrants: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157"/>
        </w:trPr>
        <w:tc>
          <w:tcPr>
            <w:tcW w:w="14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334,314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jc w:val="right"/>
              <w:ind w:right="25"/>
              <w:spacing w:after="0" w:line="157"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1.50</w:t>
            </w:r>
          </w:p>
        </w:tc>
        <w:tc>
          <w:tcPr>
            <w:tcW w:w="340" w:type="dxa"/>
            <w:vAlign w:val="bottom"/>
          </w:tcPr>
          <w:p>
            <w:pPr>
              <w:spacing w:after="0"/>
              <w:rPr>
                <w:sz w:val="13"/>
                <w:szCs w:val="13"/>
                <w:color w:val="auto"/>
              </w:rPr>
            </w:pPr>
          </w:p>
        </w:tc>
        <w:tc>
          <w:tcPr>
            <w:tcW w:w="15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Liability</w:t>
            </w:r>
          </w:p>
        </w:tc>
        <w:tc>
          <w:tcPr>
            <w:tcW w:w="220" w:type="dxa"/>
            <w:vAlign w:val="bottom"/>
          </w:tcPr>
          <w:p>
            <w:pPr>
              <w:spacing w:after="0"/>
              <w:rPr>
                <w:sz w:val="13"/>
                <w:szCs w:val="13"/>
                <w:color w:val="auto"/>
              </w:rPr>
            </w:pPr>
          </w:p>
        </w:tc>
        <w:tc>
          <w:tcPr>
            <w:tcW w:w="18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August 24, 2028</w:t>
            </w:r>
          </w:p>
        </w:tc>
        <w:tc>
          <w:tcPr>
            <w:tcW w:w="20" w:type="dxa"/>
            <w:vAlign w:val="bottom"/>
          </w:tcPr>
          <w:p>
            <w:pPr>
              <w:spacing w:after="0"/>
              <w:rPr>
                <w:sz w:val="13"/>
                <w:szCs w:val="13"/>
                <w:color w:val="auto"/>
              </w:rPr>
            </w:pPr>
          </w:p>
        </w:tc>
      </w:tr>
      <w:tr>
        <w:trPr>
          <w:trHeight w:val="180"/>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1,216,185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340" w:type="dxa"/>
            <w:vAlign w:val="bottom"/>
          </w:tcPr>
          <w:p>
            <w:pPr>
              <w:spacing w:after="0"/>
              <w:rPr>
                <w:sz w:val="15"/>
                <w:szCs w:val="15"/>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Liability</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November 24, 2028</w:t>
            </w:r>
          </w:p>
        </w:tc>
      </w:tr>
      <w:tr>
        <w:trPr>
          <w:trHeight w:val="205"/>
        </w:trPr>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120,000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6.25</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Equity</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November 9, 2025</w:t>
            </w:r>
          </w:p>
        </w:tc>
      </w:tr>
      <w:tr>
        <w:trPr>
          <w:trHeight w:val="183"/>
        </w:trPr>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1,670,499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-506095</wp:posOffset>
            </wp:positionV>
            <wp:extent cx="7155180"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2128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-270510</wp:posOffset>
            </wp:positionV>
            <wp:extent cx="7155180"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2128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3360" w:space="720"/>
            <w:col w:w="7200"/>
          </w:cols>
          <w:pgMar w:left="300" w:top="59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A summary of our outstanding warrants as of December 31, 2024 is included below:</w:t>
      </w:r>
    </w:p>
    <w:p>
      <w:pPr>
        <w:sectPr>
          <w:pgSz w:w="11900" w:h="16838" w:orient="portrait"/>
          <w:cols w:equalWidth="0" w:num="1">
            <w:col w:w="11280"/>
          </w:cols>
          <w:pgMar w:left="300" w:top="593" w:right="3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line of credit warrants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Convertible notes warrants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Underwriters warrants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warrants: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157"/>
        </w:trPr>
        <w:tc>
          <w:tcPr>
            <w:tcW w:w="14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334,314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jc w:val="right"/>
              <w:ind w:right="25"/>
              <w:spacing w:after="0" w:line="157"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1.50</w:t>
            </w:r>
          </w:p>
        </w:tc>
        <w:tc>
          <w:tcPr>
            <w:tcW w:w="340" w:type="dxa"/>
            <w:vAlign w:val="bottom"/>
          </w:tcPr>
          <w:p>
            <w:pPr>
              <w:spacing w:after="0"/>
              <w:rPr>
                <w:sz w:val="13"/>
                <w:szCs w:val="13"/>
                <w:color w:val="auto"/>
              </w:rPr>
            </w:pPr>
          </w:p>
        </w:tc>
        <w:tc>
          <w:tcPr>
            <w:tcW w:w="15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Liability</w:t>
            </w:r>
          </w:p>
        </w:tc>
        <w:tc>
          <w:tcPr>
            <w:tcW w:w="220" w:type="dxa"/>
            <w:vAlign w:val="bottom"/>
          </w:tcPr>
          <w:p>
            <w:pPr>
              <w:spacing w:after="0"/>
              <w:rPr>
                <w:sz w:val="13"/>
                <w:szCs w:val="13"/>
                <w:color w:val="auto"/>
              </w:rPr>
            </w:pPr>
          </w:p>
        </w:tc>
        <w:tc>
          <w:tcPr>
            <w:tcW w:w="18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August 24, 2028</w:t>
            </w:r>
          </w:p>
        </w:tc>
        <w:tc>
          <w:tcPr>
            <w:tcW w:w="20" w:type="dxa"/>
            <w:vAlign w:val="bottom"/>
          </w:tcPr>
          <w:p>
            <w:pPr>
              <w:spacing w:after="0"/>
              <w:rPr>
                <w:sz w:val="13"/>
                <w:szCs w:val="13"/>
                <w:color w:val="auto"/>
              </w:rPr>
            </w:pPr>
          </w:p>
        </w:tc>
      </w:tr>
      <w:tr>
        <w:trPr>
          <w:trHeight w:val="180"/>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1,405,470</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340" w:type="dxa"/>
            <w:vAlign w:val="bottom"/>
          </w:tcPr>
          <w:p>
            <w:pPr>
              <w:spacing w:after="0"/>
              <w:rPr>
                <w:sz w:val="15"/>
                <w:szCs w:val="15"/>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Liability</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November 24, 2028</w:t>
            </w:r>
          </w:p>
        </w:tc>
      </w:tr>
      <w:tr>
        <w:trPr>
          <w:trHeight w:val="205"/>
        </w:trPr>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120,000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6.25</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Equity</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November 9, 2025</w:t>
            </w:r>
          </w:p>
        </w:tc>
      </w:tr>
      <w:tr>
        <w:trPr>
          <w:trHeight w:val="183"/>
        </w:trPr>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1,859,784</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-506095</wp:posOffset>
            </wp:positionV>
            <wp:extent cx="7155180"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12128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-270510</wp:posOffset>
            </wp:positionV>
            <wp:extent cx="7155180"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2128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360" w:space="720"/>
            <w:col w:w="7200"/>
          </w:cols>
          <w:pgMar w:left="300" w:top="59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No treasury stock was sold during the three or six months ended June 30, 2025 and 2024. As of June 30, 2025 and December 31,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Earnings (loss) Per Share</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Earnings (loss) per share (“EPS”) is calculated by dividing the net income (loss) that is applicable to the common stockholders for the period by the weighted average number of shares of common stock during that period. The computation of diluted EPS for the period assumes the potential dilutive effect of potential common shares, which includes common shares, consisting of (a) unvested restricted stock units and warrants using the treasury stock method, and (b) convertible debt using the if-converted method. The Company issues two classes of common stock with differing voting rights, and as such, reports EPS using the dual class method. For more information see Note 16 – Income (</w:t>
      </w:r>
      <w:r>
        <w:rPr>
          <w:rFonts w:ascii="Times New Roman" w:cs="Times New Roman" w:eastAsia="Times New Roman" w:hAnsi="Times New Roman"/>
          <w:sz w:val="15"/>
          <w:szCs w:val="15"/>
          <w:i w:val="1"/>
          <w:iCs w:val="1"/>
          <w:color w:val="auto"/>
        </w:rPr>
        <w:t>Loss) Per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Restrictions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ability to pay cash dividends is currently restricted by the terms of our credit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REVENUE FROM CONTRACTS WITH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Timing of recognition</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and six months ended June 30, 2025 and 2024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3"/>
        </w:trPr>
        <w:tc>
          <w:tcPr>
            <w:tcW w:w="43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Over time</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1,556,192</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1,165,995</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3,374,000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2,221,659</w:t>
            </w:r>
          </w:p>
        </w:tc>
        <w:tc>
          <w:tcPr>
            <w:tcW w:w="120" w:type="dxa"/>
            <w:vAlign w:val="bottom"/>
            <w:shd w:val="clear" w:color="auto" w:fill="CCEEFF"/>
          </w:tcPr>
          <w:p>
            <w:pPr>
              <w:spacing w:after="0"/>
              <w:rPr>
                <w:sz w:val="14"/>
                <w:szCs w:val="14"/>
                <w:color w:val="auto"/>
              </w:rPr>
            </w:pP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Point in time</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20,629,558</w:t>
            </w: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20,440,655</w:t>
            </w:r>
          </w:p>
        </w:tc>
        <w:tc>
          <w:tcPr>
            <w:tcW w:w="340" w:type="dxa"/>
            <w:vAlign w:val="bottom"/>
          </w:tcPr>
          <w:p>
            <w:pPr>
              <w:spacing w:after="0"/>
              <w:rPr>
                <w:sz w:val="16"/>
                <w:szCs w:val="16"/>
                <w:color w:val="auto"/>
              </w:rPr>
            </w:pP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38,922,622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33,500,720</w:t>
            </w:r>
          </w:p>
        </w:tc>
      </w:tr>
      <w:tr>
        <w:trPr>
          <w:trHeight w:val="182"/>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22,185,750</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21,606,650</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42,296,622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35,722,379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Geography</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Company attributes net revenue to geographic regions based on customer location. Net revenue by geographic region for the three and six months ended June 30, 2025 and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United States</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19,516,617</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18,912,850</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36,818,303</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30,811,457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2,669,133</w:t>
            </w: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2,693,800</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5,478,319</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4,910,922</w:t>
            </w:r>
          </w:p>
        </w:tc>
        <w:tc>
          <w:tcPr>
            <w:tcW w:w="0" w:type="dxa"/>
            <w:vAlign w:val="bottom"/>
          </w:tcPr>
          <w:p>
            <w:pPr>
              <w:spacing w:after="0"/>
              <w:rPr>
                <w:sz w:val="1"/>
                <w:szCs w:val="1"/>
                <w:color w:val="auto"/>
              </w:rPr>
            </w:pPr>
          </w:p>
        </w:tc>
      </w:tr>
      <w:tr>
        <w:trPr>
          <w:trHeight w:val="182"/>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22,185,750</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21,606,650</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42,296,622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35,722,379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Platform</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Net revenue by platform for the three and six months ended June 30, 2025 and 2024 were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24"/>
                <w:szCs w:val="24"/>
                <w:color w:val="auto"/>
              </w:rPr>
            </w:pPr>
          </w:p>
        </w:tc>
        <w:tc>
          <w:tcPr>
            <w:tcW w:w="304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Console</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9,491,483</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8,335,305</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17,797,060</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14,338,122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PC</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10,030,549</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11,817,742</w:t>
            </w:r>
          </w:p>
        </w:tc>
        <w:tc>
          <w:tcPr>
            <w:tcW w:w="340" w:type="dxa"/>
            <w:vAlign w:val="bottom"/>
          </w:tcPr>
          <w:p>
            <w:pPr>
              <w:spacing w:after="0"/>
              <w:rPr>
                <w:sz w:val="15"/>
                <w:szCs w:val="15"/>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19,038,686</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16,922,466</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Mobile</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2,037,095</w:t>
            </w: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1,132,465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4,384,328</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2,095,406</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626,623</w:t>
            </w: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321,138</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1,076,548</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2,366,385</w:t>
            </w:r>
          </w:p>
        </w:tc>
        <w:tc>
          <w:tcPr>
            <w:tcW w:w="0" w:type="dxa"/>
            <w:vAlign w:val="bottom"/>
          </w:tcPr>
          <w:p>
            <w:pPr>
              <w:spacing w:after="0"/>
              <w:rPr>
                <w:sz w:val="1"/>
                <w:szCs w:val="1"/>
                <w:color w:val="auto"/>
              </w:rPr>
            </w:pPr>
          </w:p>
        </w:tc>
      </w:tr>
      <w:tr>
        <w:trPr>
          <w:trHeight w:val="182"/>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22,185,750</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21,606,650</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42,296,622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35,722,379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Our net revenues through our current period top four platform providers as a proportion of our total net revenue for the three and six months ended June 30, 2025 and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7"/>
          </w:tcPr>
          <w:p>
            <w:pPr>
              <w:ind w:left="4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3"/>
        </w:trPr>
        <w:tc>
          <w:tcPr>
            <w:tcW w:w="43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Platform 1</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9,716,288</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11,684,524</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18,479,182</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16,674,110</w:t>
            </w:r>
          </w:p>
        </w:tc>
        <w:tc>
          <w:tcPr>
            <w:tcW w:w="120" w:type="dxa"/>
            <w:vAlign w:val="bottom"/>
            <w:gridSpan w:val="2"/>
            <w:shd w:val="clear" w:color="auto" w:fill="CCEEFF"/>
          </w:tcPr>
          <w:p>
            <w:pPr>
              <w:spacing w:after="0"/>
              <w:rPr>
                <w:sz w:val="14"/>
                <w:szCs w:val="14"/>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Platform 2</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2,268,144</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2,923,852</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5,003,411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4,996,042</w:t>
            </w:r>
          </w:p>
        </w:tc>
        <w:tc>
          <w:tcPr>
            <w:tcW w:w="100" w:type="dxa"/>
            <w:vAlign w:val="bottom"/>
          </w:tcPr>
          <w:p>
            <w:pPr>
              <w:spacing w:after="0"/>
              <w:rPr>
                <w:sz w:val="15"/>
                <w:szCs w:val="15"/>
                <w:color w:val="auto"/>
              </w:rPr>
            </w:pPr>
          </w:p>
        </w:tc>
      </w:tr>
      <w:tr>
        <w:trPr>
          <w:trHeight w:val="18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3</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6,897,929</w:t>
            </w: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4,983,813</w:t>
            </w: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12,071,489</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8,370,917</w:t>
            </w:r>
          </w:p>
        </w:tc>
        <w:tc>
          <w:tcPr>
            <w:tcW w:w="100" w:type="dxa"/>
            <w:vAlign w:val="bottom"/>
            <w:shd w:val="clear" w:color="auto" w:fill="CCEEFF"/>
          </w:tcPr>
          <w:p>
            <w:pPr>
              <w:spacing w:after="0"/>
              <w:rPr>
                <w:sz w:val="15"/>
                <w:szCs w:val="15"/>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Platform 4</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324,866</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427,307</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720,462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970,189</w:t>
            </w:r>
          </w:p>
        </w:tc>
        <w:tc>
          <w:tcPr>
            <w:tcW w:w="100" w:type="dxa"/>
            <w:vAlign w:val="bottom"/>
          </w:tcPr>
          <w:p>
            <w:pPr>
              <w:spacing w:after="0"/>
              <w:rPr>
                <w:sz w:val="15"/>
                <w:szCs w:val="15"/>
                <w:color w:val="auto"/>
              </w:rPr>
            </w:pPr>
          </w:p>
        </w:tc>
      </w:tr>
      <w:tr>
        <w:trPr>
          <w:trHeight w:val="19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other revenue</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2,978,523</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1,587,154</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6,022,078</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4,711,121</w:t>
            </w:r>
          </w:p>
        </w:tc>
        <w:tc>
          <w:tcPr>
            <w:tcW w:w="100" w:type="dxa"/>
            <w:vAlign w:val="bottom"/>
            <w:shd w:val="clear" w:color="auto" w:fill="CCEEFF"/>
          </w:tcPr>
          <w:p>
            <w:pPr>
              <w:spacing w:after="0"/>
              <w:rPr>
                <w:sz w:val="16"/>
                <w:szCs w:val="16"/>
                <w:color w:val="auto"/>
              </w:rPr>
            </w:pPr>
          </w:p>
        </w:tc>
      </w:tr>
      <w:tr>
        <w:trPr>
          <w:trHeight w:val="182"/>
        </w:trPr>
        <w:tc>
          <w:tcPr>
            <w:tcW w:w="4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22,185,750</w:t>
            </w:r>
          </w:p>
        </w:tc>
        <w:tc>
          <w:tcPr>
            <w:tcW w:w="3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21,606,650</w:t>
            </w:r>
          </w:p>
        </w:tc>
        <w:tc>
          <w:tcPr>
            <w:tcW w:w="3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42,296,622</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35,722,379</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 channel</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Our products are delivered through digital online services (digital download, online platforms, and cloud streaming), mobile, and retail distribution and other. Net revenue by distribution channel for the three and six months ended June 30, 2025 and 2024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7"/>
          </w:tcPr>
          <w:p>
            <w:pPr>
              <w:ind w:left="4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3"/>
        </w:trPr>
        <w:tc>
          <w:tcPr>
            <w:tcW w:w="43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Digital</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19,522,032</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20,153,047</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36,835,746</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31,260,588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Mobile</w:t>
            </w: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2,037,095</w:t>
            </w: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1,132,465</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4,384,328</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2,095,406</w:t>
            </w:r>
          </w:p>
        </w:tc>
        <w:tc>
          <w:tcPr>
            <w:tcW w:w="100" w:type="dxa"/>
            <w:vAlign w:val="bottom"/>
          </w:tcPr>
          <w:p>
            <w:pPr>
              <w:spacing w:after="0"/>
              <w:rPr>
                <w:sz w:val="15"/>
                <w:szCs w:val="15"/>
                <w:color w:val="auto"/>
              </w:rPr>
            </w:pPr>
          </w:p>
        </w:tc>
      </w:tr>
      <w:tr>
        <w:trPr>
          <w:trHeight w:val="19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Physical retail and other</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626,623</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321,138</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1,076,548</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2,366,385</w:t>
            </w:r>
          </w:p>
        </w:tc>
        <w:tc>
          <w:tcPr>
            <w:tcW w:w="100" w:type="dxa"/>
            <w:vAlign w:val="bottom"/>
            <w:shd w:val="clear" w:color="auto" w:fill="CCEEFF"/>
          </w:tcPr>
          <w:p>
            <w:pPr>
              <w:spacing w:after="0"/>
              <w:rPr>
                <w:sz w:val="16"/>
                <w:szCs w:val="16"/>
                <w:color w:val="auto"/>
              </w:rPr>
            </w:pPr>
          </w:p>
        </w:tc>
      </w:tr>
      <w:tr>
        <w:trPr>
          <w:trHeight w:val="182"/>
        </w:trPr>
        <w:tc>
          <w:tcPr>
            <w:tcW w:w="4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22,185,750</w:t>
            </w:r>
          </w:p>
        </w:tc>
        <w:tc>
          <w:tcPr>
            <w:tcW w:w="3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21,606,650</w:t>
            </w:r>
          </w:p>
        </w:tc>
        <w:tc>
          <w:tcPr>
            <w:tcW w:w="3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42,296,622</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35,722,379</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discussed in Note 15, the Company recognized the $1.2 million payment related to the Angela Games settlement upon satisfaction of performance obligations included in the contract.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amount is included in other revenues for the six months ended June 30, 2024. No amounts were recognized for the three and six months ended June 30, 2025.</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203"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Deferred Revenue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 records deferred revenue when payments are due or received in advance of the fulfilment of our associated performance obligations; reductions to deferred revenue balance were primarily due to the recognition of revenue upon fulfilment of its performance obligations, which were in the ordinary course of business. As of June 30, 2025, the balance of deferred revenue was $32.5 million, of which $31.4 million is due to non-refundable payments. The Company is expecting to recognize $24.9 million, of the non-refundable payments in the next 12 to 60 months through the platform releases of certain DLCs. Of this amount, approximately $12.8 million is expected to be recognized within the next 12 months and $12.1 million is expected to be recognized thereafter. The remaining $3.8 million of current non-refundable deferred revenues and $2.7 million of long term non-refundable deferred revenue will be recognized as revenue primarily on a straight-line basis over the next 12 and 60 months based on our estimates of technical support obligations, the usage of consumable virtual goods and estimated period of time an end user will play the game. The Company’s refundable deferred revenue consists of $1.1 million in advance payments received in accordance with the agreement the Company has made with its retail distributor. Activities in the Company’s deferred revenue as of June 30, 2025 and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beginning balance in advance of revenue recognition billing</w:t>
            </w:r>
          </w:p>
        </w:tc>
        <w:tc>
          <w:tcPr>
            <w:tcW w:w="116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25,467,447</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34,316,706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Revenue recognized</w:t>
            </w:r>
          </w:p>
        </w:tc>
        <w:tc>
          <w:tcPr>
            <w:tcW w:w="116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(1,472,534)</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(9,607,237)</w:t>
            </w: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deferred</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8,547,580</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15,608,213</w:t>
            </w:r>
          </w:p>
        </w:tc>
        <w:tc>
          <w:tcPr>
            <w:tcW w:w="100" w:type="dxa"/>
            <w:vAlign w:val="bottom"/>
            <w:shd w:val="clear" w:color="auto" w:fill="CCEEFF"/>
          </w:tcPr>
          <w:p>
            <w:pPr>
              <w:spacing w:after="0"/>
              <w:rPr>
                <w:sz w:val="16"/>
                <w:szCs w:val="16"/>
                <w:color w:val="auto"/>
              </w:rPr>
            </w:pPr>
          </w:p>
        </w:tc>
      </w:tr>
      <w:tr>
        <w:trPr>
          <w:trHeight w:val="171"/>
        </w:trPr>
        <w:tc>
          <w:tcPr>
            <w:tcW w:w="70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Deferred revenue, ending balance</w:t>
            </w:r>
          </w:p>
        </w:tc>
        <w:tc>
          <w:tcPr>
            <w:tcW w:w="1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32,542,493</w:t>
            </w:r>
          </w:p>
        </w:tc>
        <w:tc>
          <w:tcPr>
            <w:tcW w:w="3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40,317,682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current portion</w:t>
            </w:r>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(16,601,595)</w:t>
            </w:r>
          </w:p>
        </w:tc>
        <w:tc>
          <w:tcPr>
            <w:tcW w:w="4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(21,451,307)</w:t>
            </w:r>
          </w:p>
        </w:tc>
      </w:tr>
      <w:tr>
        <w:trPr>
          <w:trHeight w:val="182"/>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long term</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15,940,898</w:t>
            </w:r>
          </w:p>
        </w:tc>
        <w:tc>
          <w:tcPr>
            <w:tcW w:w="3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18,866,375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 CASH AND CASH EQUIVALENTS, AND RESTRICTED CASH AND CASH EQUIVALENTS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Cash equivalents are valued using quoted market prices or other readily available market information. The Company has restricted cash and cash equivalents of $935,000 as of June 30, 2025 and December 31, 2024. The amounts of restricted cash and cash equivalents held as of June 30, 2025, are to secure the standby letter of credit with landlords. The following table summarizes the components of the Company’s cash and cash equivalents, and restricted cash and cash equivalents as of June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220" w:type="dxa"/>
            <w:vAlign w:val="bottom"/>
            <w:shd w:val="clear" w:color="auto" w:fill="CCEEFF"/>
          </w:tcPr>
          <w:p>
            <w:pPr>
              <w:jc w:val="right"/>
              <w:ind w:right="106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7,905,426</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15,494,156</w:t>
            </w:r>
          </w:p>
        </w:tc>
        <w:tc>
          <w:tcPr>
            <w:tcW w:w="120" w:type="dxa"/>
            <w:vAlign w:val="bottom"/>
            <w:shd w:val="clear" w:color="auto" w:fill="CCEEFF"/>
          </w:tcPr>
          <w:p>
            <w:pPr>
              <w:spacing w:after="0"/>
              <w:rPr>
                <w:sz w:val="14"/>
                <w:szCs w:val="14"/>
                <w:color w:val="auto"/>
              </w:rPr>
            </w:pPr>
          </w:p>
        </w:tc>
      </w:tr>
      <w:tr>
        <w:trPr>
          <w:trHeight w:val="191"/>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122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935,000</w:t>
            </w: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1,118,437</w:t>
            </w:r>
          </w:p>
        </w:tc>
      </w:tr>
      <w:tr>
        <w:trPr>
          <w:trHeight w:val="182"/>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w:t>
            </w:r>
          </w:p>
        </w:tc>
        <w:tc>
          <w:tcPr>
            <w:tcW w:w="1220" w:type="dxa"/>
            <w:vAlign w:val="bottom"/>
            <w:tcBorders>
              <w:top w:val="single" w:sz="8" w:color="auto"/>
              <w:bottom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8,840,426</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16,612,593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 ACCOUNTS RECEIVABLE (PAYABLE) – RELATED PARTY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100% owned and controlled by the wife of the Founder, Co-Chief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$0.5 million per month, or $6.0 million annually, beginning in January 2024, until the receivable has been collected or offset in full. To reflect the timing of the offset agreement, a portion of the SDE receivable is presented as a long-term asset. During the six months ended June 30, 2025 and 2024, the Company made cash payments to SDE in the amount of $19.6 million and $26.3 million, respectively, and anticipates continuing to make cash payments to SDE in future years. As of June 30, 2025 and December 31, 2024, the outstanding balance of net accounts (payable) receivable from related party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5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3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4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4,500,592</w:t>
            </w:r>
          </w:p>
        </w:tc>
        <w:tc>
          <w:tcPr>
            <w:tcW w:w="3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payable – related party</w:t>
            </w:r>
          </w:p>
        </w:tc>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(5,887,468)</w:t>
            </w:r>
          </w:p>
        </w:tc>
        <w:tc>
          <w:tcPr>
            <w:tcW w:w="44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(3,663,726)</w:t>
            </w:r>
          </w:p>
        </w:tc>
        <w:tc>
          <w:tcPr>
            <w:tcW w:w="0" w:type="dxa"/>
            <w:vAlign w:val="bottom"/>
          </w:tcPr>
          <w:p>
            <w:pPr>
              <w:spacing w:after="0"/>
              <w:rPr>
                <w:sz w:val="1"/>
                <w:szCs w:val="1"/>
                <w:color w:val="auto"/>
              </w:rPr>
            </w:pPr>
          </w:p>
        </w:tc>
      </w:tr>
      <w:tr>
        <w:trPr>
          <w:trHeight w:val="171"/>
        </w:trPr>
        <w:tc>
          <w:tcPr>
            <w:tcW w:w="46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accounts (payable) receivable - related party</w:t>
            </w:r>
          </w:p>
        </w:tc>
        <w:tc>
          <w:tcPr>
            <w:tcW w:w="23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99"/>
              </w:rPr>
              <w:t>(1,386,876)</w:t>
            </w:r>
          </w:p>
        </w:tc>
        <w:tc>
          <w:tcPr>
            <w:tcW w:w="3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3,836,866</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related party, net of current portion</w:t>
            </w:r>
          </w:p>
        </w:tc>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(1,500,592)</w:t>
            </w:r>
          </w:p>
        </w:tc>
        <w:tc>
          <w:tcPr>
            <w:tcW w:w="0" w:type="dxa"/>
            <w:vAlign w:val="bottom"/>
          </w:tcPr>
          <w:p>
            <w:pPr>
              <w:spacing w:after="0"/>
              <w:rPr>
                <w:sz w:val="1"/>
                <w:szCs w:val="1"/>
                <w:color w:val="auto"/>
              </w:rPr>
            </w:pPr>
          </w:p>
        </w:tc>
      </w:tr>
      <w:tr>
        <w:trPr>
          <w:trHeight w:val="182"/>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(payable) receivable - related party, current</w:t>
            </w:r>
          </w:p>
        </w:tc>
        <w:tc>
          <w:tcPr>
            <w:tcW w:w="232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(1,386,876</w:t>
            </w:r>
          </w:p>
        </w:tc>
        <w:tc>
          <w:tcPr>
            <w:tcW w:w="340" w:type="dxa"/>
            <w:vAlign w:val="bottom"/>
            <w:tcBorders>
              <w:top w:val="single" w:sz="8" w:color="CCEEFF"/>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7"/>
                <w:szCs w:val="7"/>
                <w:color w:val="auto"/>
                <w:w w:val="83"/>
              </w:rPr>
              <w:t>)</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2,336,274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320" w:type="dxa"/>
            <w:vAlign w:val="bottom"/>
            <w:vMerge w:val="restart"/>
          </w:tcPr>
          <w:p>
            <w:pPr>
              <w:jc w:val="right"/>
              <w:ind w:right="1205"/>
              <w:spacing w:after="0"/>
              <w:rPr>
                <w:sz w:val="20"/>
                <w:szCs w:val="20"/>
                <w:color w:val="auto"/>
              </w:rPr>
            </w:pPr>
            <w:r>
              <w:rPr>
                <w:rFonts w:ascii="Times New Roman" w:cs="Times New Roman" w:eastAsia="Times New Roman" w:hAnsi="Times New Roman"/>
                <w:sz w:val="15"/>
                <w:szCs w:val="15"/>
                <w:color w:val="auto"/>
              </w:rPr>
              <w:t>16</w:t>
            </w: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3"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PREPAID EXPENSES - RELATED PARTY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On March 10, 2023, the Company amended its exclusive software license agreement with SDE relating to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For DLC’s the Company plans to release during the term of the agreement, the Company has the option to pay the $5.0 million DLC payment in whole or in part, when paid in advance; or in full, upon the DLC release. No payment for any DLC under this agreement will exceed $5.0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During the six months ended June 30, 2025, the Company made $1.7 million in prepaid royalty payments related to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During the year ended December 31, 2024, the Company made $1.7 million in prepaid royalty payments related to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Prepaid expenses — related party consisted of the following as of June 30, 2025 and December 31,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71"/>
        </w:trPr>
        <w:tc>
          <w:tcPr>
            <w:tcW w:w="7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Prepaid royalties</w:t>
            </w:r>
          </w:p>
        </w:tc>
        <w:tc>
          <w:tcPr>
            <w:tcW w:w="1180" w:type="dxa"/>
            <w:vAlign w:val="bottom"/>
            <w:shd w:val="clear" w:color="auto" w:fill="CCEEFF"/>
          </w:tcPr>
          <w:p>
            <w:pPr>
              <w:jc w:val="right"/>
              <w:ind w:right="10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6,109,122</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4,378,594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Prepaid licenses</w:t>
            </w:r>
          </w:p>
        </w:tc>
        <w:tc>
          <w:tcPr>
            <w:tcW w:w="1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7,500,000</w:t>
            </w:r>
          </w:p>
        </w:tc>
        <w:tc>
          <w:tcPr>
            <w:tcW w:w="100" w:type="dxa"/>
            <w:vAlign w:val="bottom"/>
          </w:tcPr>
          <w:p>
            <w:pPr>
              <w:spacing w:after="0"/>
              <w:rPr>
                <w:sz w:val="15"/>
                <w:szCs w:val="15"/>
                <w:color w:val="auto"/>
              </w:rPr>
            </w:pP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19,429</w:t>
            </w:r>
          </w:p>
        </w:tc>
        <w:tc>
          <w:tcPr>
            <w:tcW w:w="4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21,291</w:t>
            </w:r>
          </w:p>
        </w:tc>
      </w:tr>
      <w:tr>
        <w:trPr>
          <w:trHeight w:val="171"/>
        </w:trPr>
        <w:tc>
          <w:tcPr>
            <w:tcW w:w="70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Prepaid expenses - related party, ending balance</w:t>
            </w:r>
          </w:p>
        </w:tc>
        <w:tc>
          <w:tcPr>
            <w:tcW w:w="1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13,628,551</w:t>
            </w:r>
          </w:p>
        </w:tc>
        <w:tc>
          <w:tcPr>
            <w:tcW w:w="3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11,899,885</w:t>
            </w:r>
          </w:p>
        </w:tc>
        <w:tc>
          <w:tcPr>
            <w:tcW w:w="120" w:type="dxa"/>
            <w:vAlign w:val="bottom"/>
            <w:gridSpan w:val="2"/>
          </w:tcPr>
          <w:p>
            <w:pPr>
              <w:spacing w:after="0"/>
              <w:rPr>
                <w:sz w:val="14"/>
                <w:szCs w:val="14"/>
                <w:color w:val="auto"/>
              </w:rPr>
            </w:pP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short-term portion</w:t>
            </w: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(5,658,551)</w:t>
            </w:r>
          </w:p>
        </w:tc>
        <w:tc>
          <w:tcPr>
            <w:tcW w:w="4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(2,521,291)</w:t>
            </w:r>
          </w:p>
        </w:tc>
      </w:tr>
      <w:tr>
        <w:trPr>
          <w:trHeight w:val="182"/>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Total prepaid expenses - related party, long-term</w:t>
            </w:r>
          </w:p>
        </w:tc>
        <w:tc>
          <w:tcPr>
            <w:tcW w:w="1180" w:type="dxa"/>
            <w:vAlign w:val="bottom"/>
            <w:tcBorders>
              <w:top w:val="single" w:sz="8" w:color="auto"/>
              <w:bottom w:val="single" w:sz="8" w:color="auto"/>
            </w:tcBorders>
          </w:tcPr>
          <w:p>
            <w:pPr>
              <w:jc w:val="right"/>
              <w:ind w:right="102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7,970,000</w:t>
            </w:r>
          </w:p>
        </w:tc>
        <w:tc>
          <w:tcPr>
            <w:tcW w:w="3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9,378,594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 xml:space="preserve">The amount classified as short-term, as of June 30, 2025, includes prepaid royalties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 and various operational software licenses obtained through SDE.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PREPAID EXPENSES AND OTHER CURRENT ASSETS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In October 2024, the Company entered into a collaborative arrangement for the development and publishing of a new title with a third party developer. In accordance with the agreement, the Company will pay $1.5 million to the developer as prepaid royalties, to be recovered prior to any profit sharing on sales of the title. In addition to the financial responsibilities, the Company is responsible for the marketing, publishing, and distribution of the game and is providing substantial creative and technical input in the development of the game. The developer will retain ownership of the IP and is responsible for the overall development of the game. The game has not yet been released and accordingly is not reflected in the condensed consolidated statements of operations and comprehensive loss. As of June 30, 2025, the Company made $0.5 million of the prepaid royalty payments, and the amount is capitalized in the other prepaids. Prepaid expenses and other current assets consisted of the following as of June 30, 2025 and December 31, 2024:</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402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receivables</w:t>
            </w:r>
          </w:p>
        </w:tc>
        <w:tc>
          <w:tcPr>
            <w:tcW w:w="28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250,442</w:t>
            </w:r>
          </w:p>
        </w:tc>
        <w:tc>
          <w:tcPr>
            <w:tcW w:w="3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549,103</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2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105,411</w:t>
            </w:r>
          </w:p>
        </w:tc>
        <w:tc>
          <w:tcPr>
            <w:tcW w:w="44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105,411</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28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681,495</w:t>
            </w:r>
          </w:p>
        </w:tc>
        <w:tc>
          <w:tcPr>
            <w:tcW w:w="4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550,270</w:t>
            </w:r>
          </w:p>
        </w:tc>
        <w:tc>
          <w:tcPr>
            <w:tcW w:w="0" w:type="dxa"/>
            <w:vAlign w:val="bottom"/>
          </w:tcPr>
          <w:p>
            <w:pPr>
              <w:spacing w:after="0"/>
              <w:rPr>
                <w:sz w:val="1"/>
                <w:szCs w:val="1"/>
                <w:color w:val="auto"/>
              </w:rPr>
            </w:pP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2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270,877</w:t>
            </w:r>
          </w:p>
        </w:tc>
        <w:tc>
          <w:tcPr>
            <w:tcW w:w="44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641,240</w:t>
            </w:r>
          </w:p>
        </w:tc>
        <w:tc>
          <w:tcPr>
            <w:tcW w:w="0" w:type="dxa"/>
            <w:vAlign w:val="bottom"/>
          </w:tcPr>
          <w:p>
            <w:pPr>
              <w:spacing w:after="0"/>
              <w:rPr>
                <w:sz w:val="1"/>
                <w:szCs w:val="1"/>
                <w:color w:val="auto"/>
              </w:rPr>
            </w:pPr>
          </w:p>
        </w:tc>
      </w:tr>
      <w:tr>
        <w:trPr>
          <w:trHeight w:val="182"/>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280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1,308,225</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1,846,024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0" w:type="dxa"/>
            <w:vAlign w:val="bottom"/>
            <w:vMerge w:val="restart"/>
          </w:tcPr>
          <w:p>
            <w:pPr>
              <w:jc w:val="right"/>
              <w:ind w:right="1205"/>
              <w:spacing w:after="0"/>
              <w:rPr>
                <w:sz w:val="20"/>
                <w:szCs w:val="20"/>
                <w:color w:val="auto"/>
              </w:rPr>
            </w:pPr>
            <w:r>
              <w:rPr>
                <w:rFonts w:ascii="Times New Roman" w:cs="Times New Roman" w:eastAsia="Times New Roman" w:hAnsi="Times New Roman"/>
                <w:sz w:val="15"/>
                <w:szCs w:val="15"/>
                <w:color w:val="auto"/>
              </w:rPr>
              <w:t>17</w:t>
            </w: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3"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 – PROPERTY AND EQUIPMENT, NET</w:t>
            </w: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consisted of the following as of June 30, 2025 and December 31, 2024:</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70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w:t>
            </w:r>
          </w:p>
        </w:tc>
        <w:tc>
          <w:tcPr>
            <w:tcW w:w="1200" w:type="dxa"/>
            <w:vAlign w:val="bottom"/>
            <w:shd w:val="clear" w:color="auto" w:fill="CCEEFF"/>
          </w:tcPr>
          <w:p>
            <w:pPr>
              <w:jc w:val="right"/>
              <w:ind w:right="104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Land</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2,700,000</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2,700,000</w:t>
            </w:r>
          </w:p>
        </w:tc>
        <w:tc>
          <w:tcPr>
            <w:tcW w:w="100" w:type="dxa"/>
            <w:vAlign w:val="bottom"/>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 improvements</w:t>
            </w:r>
          </w:p>
        </w:tc>
        <w:tc>
          <w:tcPr>
            <w:tcW w:w="1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1,010,218</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1,010,218</w:t>
            </w:r>
          </w:p>
        </w:tc>
        <w:tc>
          <w:tcPr>
            <w:tcW w:w="100" w:type="dxa"/>
            <w:vAlign w:val="bottom"/>
            <w:shd w:val="clear" w:color="auto" w:fill="CCEEFF"/>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1,537,775</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1,537,775</w:t>
            </w:r>
          </w:p>
        </w:tc>
        <w:tc>
          <w:tcPr>
            <w:tcW w:w="100" w:type="dxa"/>
            <w:vAlign w:val="bottom"/>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Autos and trucks</w:t>
            </w:r>
          </w:p>
        </w:tc>
        <w:tc>
          <w:tcPr>
            <w:tcW w:w="1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178,695</w:t>
            </w:r>
          </w:p>
        </w:tc>
        <w:tc>
          <w:tcPr>
            <w:tcW w:w="4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178,695</w:t>
            </w:r>
          </w:p>
        </w:tc>
        <w:tc>
          <w:tcPr>
            <w:tcW w:w="100" w:type="dxa"/>
            <w:vAlign w:val="bottom"/>
            <w:shd w:val="clear" w:color="auto" w:fill="CCEEFF"/>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Computer and equipment</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1,809,214</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1,809,214</w:t>
            </w:r>
          </w:p>
        </w:tc>
        <w:tc>
          <w:tcPr>
            <w:tcW w:w="100" w:type="dxa"/>
            <w:vAlign w:val="bottom"/>
          </w:tcPr>
          <w:p>
            <w:pPr>
              <w:spacing w:after="0"/>
              <w:rPr>
                <w:sz w:val="15"/>
                <w:szCs w:val="15"/>
                <w:color w:val="auto"/>
              </w:rPr>
            </w:pP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411,801</w:t>
            </w:r>
          </w:p>
        </w:tc>
        <w:tc>
          <w:tcPr>
            <w:tcW w:w="4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411,801</w:t>
            </w:r>
          </w:p>
        </w:tc>
        <w:tc>
          <w:tcPr>
            <w:tcW w:w="100" w:type="dxa"/>
            <w:vAlign w:val="bottom"/>
            <w:shd w:val="clear" w:color="auto" w:fill="CCEEFF"/>
          </w:tcPr>
          <w:p>
            <w:pPr>
              <w:spacing w:after="0"/>
              <w:rPr>
                <w:sz w:val="16"/>
                <w:szCs w:val="16"/>
                <w:color w:val="auto"/>
              </w:rPr>
            </w:pPr>
          </w:p>
        </w:tc>
      </w:tr>
      <w:tr>
        <w:trPr>
          <w:trHeight w:val="171"/>
        </w:trPr>
        <w:tc>
          <w:tcPr>
            <w:tcW w:w="70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Property and equipment</w:t>
            </w:r>
          </w:p>
        </w:tc>
        <w:tc>
          <w:tcPr>
            <w:tcW w:w="1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9,521,752</w:t>
            </w:r>
          </w:p>
        </w:tc>
        <w:tc>
          <w:tcPr>
            <w:tcW w:w="3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9,521,752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(5,279,066)</w:t>
            </w:r>
          </w:p>
        </w:tc>
        <w:tc>
          <w:tcPr>
            <w:tcW w:w="4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(5,143,400)</w:t>
            </w:r>
          </w:p>
        </w:tc>
      </w:tr>
      <w:tr>
        <w:trPr>
          <w:trHeight w:val="182"/>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200" w:type="dxa"/>
            <w:vAlign w:val="bottom"/>
            <w:tcBorders>
              <w:top w:val="single" w:sz="8" w:color="auto"/>
              <w:bottom w:val="single" w:sz="8" w:color="auto"/>
            </w:tcBorders>
          </w:tcPr>
          <w:p>
            <w:pPr>
              <w:jc w:val="right"/>
              <w:ind w:right="104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4,242,686</w:t>
            </w:r>
          </w:p>
        </w:tc>
        <w:tc>
          <w:tcPr>
            <w:tcW w:w="3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4,378,352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Depreciation expense was $67,761 and $80,554 for the three months ended June 30, 2025, and 2024, respectively. Depreciation expense was $135,665 and $162,892 for the six months ended June 30, 2025 and 2024, respectively. The Company did not have any disposals in the three and six months ended June 30, 2025 or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INTANGIBLE ASSETS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Intangible assets consist of game licenses, game software underlying intellectual property rights, internally developed software, game trademarks and other branding items. The Company amortizes the intangible assets over its useful life.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reflect all the intangible assets presented on the condensed consolidated balance sheets as of June 30, 2025 and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625"/>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Times New Roman" w:cs="Times New Roman" w:eastAsia="Times New Roman" w:hAnsi="Times New Roman"/>
                <w:sz w:val="15"/>
                <w:szCs w:val="15"/>
                <w:b w:val="1"/>
                <w:bCs w:val="1"/>
                <w:color w:val="auto"/>
                <w:w w:val="95"/>
              </w:rPr>
              <w:t>Gross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60" w:type="dxa"/>
            <w:vAlign w:val="bottom"/>
          </w:tcPr>
          <w:p>
            <w:pPr>
              <w:jc w:val="center"/>
              <w:ind w:left="85"/>
              <w:spacing w:after="0"/>
              <w:rPr>
                <w:sz w:val="20"/>
                <w:szCs w:val="20"/>
                <w:color w:val="auto"/>
              </w:rPr>
            </w:pPr>
            <w:r>
              <w:rPr>
                <w:rFonts w:ascii="Times New Roman" w:cs="Times New Roman" w:eastAsia="Times New Roman" w:hAnsi="Times New Roman"/>
                <w:sz w:val="15"/>
                <w:szCs w:val="15"/>
                <w:b w:val="1"/>
                <w:bCs w:val="1"/>
                <w:color w:val="auto"/>
                <w:w w:val="98"/>
              </w:rPr>
              <w:t>Impairment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960" w:type="dxa"/>
            <w:vAlign w:val="bottom"/>
          </w:tcPr>
          <w:p>
            <w:pPr>
              <w:jc w:val="center"/>
              <w:ind w:left="85"/>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172"/>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and license rights from related parties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3 - 5 years</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License rights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5,242,760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Times New Roman" w:cs="Times New Roman" w:eastAsia="Times New Roman" w:hAnsi="Times New Roman"/>
                <w:sz w:val="15"/>
                <w:szCs w:val="15"/>
                <w:color w:val="auto"/>
              </w:rPr>
              <w:t>(3,057,395)</w:t>
            </w:r>
          </w:p>
        </w:tc>
        <w:tc>
          <w:tcPr>
            <w:tcW w:w="9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2,185,365</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1,139,232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(80,784)</w:t>
            </w:r>
          </w:p>
        </w:tc>
        <w:tc>
          <w:tcPr>
            <w:tcW w:w="9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1,058,448</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10,745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Times New Roman" w:cs="Times New Roman" w:eastAsia="Times New Roman" w:hAnsi="Times New Roman"/>
                <w:sz w:val="15"/>
                <w:szCs w:val="15"/>
                <w:color w:val="auto"/>
              </w:rPr>
              <w:t>(10,745)</w:t>
            </w:r>
          </w:p>
        </w:tc>
        <w:tc>
          <w:tcPr>
            <w:tcW w:w="9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years</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In-progress patent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270,886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270,886</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143,328,623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(139,813,924</w:t>
            </w:r>
          </w:p>
        </w:tc>
        <w:tc>
          <w:tcPr>
            <w:tcW w:w="3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3,514,699</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45"/>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Times New Roman" w:cs="Times New Roman" w:eastAsia="Times New Roman" w:hAnsi="Times New Roman"/>
                <w:sz w:val="15"/>
                <w:szCs w:val="15"/>
                <w:b w:val="1"/>
                <w:bCs w:val="1"/>
                <w:color w:val="auto"/>
                <w:w w:val="95"/>
              </w:rPr>
              <w:t>Gross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60" w:type="dxa"/>
            <w:vAlign w:val="bottom"/>
          </w:tcPr>
          <w:p>
            <w:pPr>
              <w:jc w:val="center"/>
              <w:ind w:left="85"/>
              <w:spacing w:after="0"/>
              <w:rPr>
                <w:sz w:val="20"/>
                <w:szCs w:val="20"/>
                <w:color w:val="auto"/>
              </w:rPr>
            </w:pPr>
            <w:r>
              <w:rPr>
                <w:rFonts w:ascii="Times New Roman" w:cs="Times New Roman" w:eastAsia="Times New Roman" w:hAnsi="Times New Roman"/>
                <w:sz w:val="15"/>
                <w:szCs w:val="15"/>
                <w:b w:val="1"/>
                <w:bCs w:val="1"/>
                <w:color w:val="auto"/>
                <w:w w:val="98"/>
              </w:rPr>
              <w:t>Impairment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960" w:type="dxa"/>
            <w:vAlign w:val="bottom"/>
          </w:tcPr>
          <w:p>
            <w:pPr>
              <w:jc w:val="center"/>
              <w:ind w:left="85"/>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172"/>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and license rights from related parties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136,955,000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290,000</w:t>
            </w: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3 - 5 years</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License rights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3,420,000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Times New Roman" w:cs="Times New Roman" w:eastAsia="Times New Roman" w:hAnsi="Times New Roman"/>
                <w:sz w:val="15"/>
                <w:szCs w:val="15"/>
                <w:color w:val="auto"/>
              </w:rPr>
              <w:t>(3,007,000)</w:t>
            </w:r>
          </w:p>
        </w:tc>
        <w:tc>
          <w:tcPr>
            <w:tcW w:w="9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413,000</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51,784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(51,784)</w:t>
            </w:r>
          </w:p>
        </w:tc>
        <w:tc>
          <w:tcPr>
            <w:tcW w:w="9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10,745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Times New Roman" w:cs="Times New Roman" w:eastAsia="Times New Roman" w:hAnsi="Times New Roman"/>
                <w:sz w:val="15"/>
                <w:szCs w:val="15"/>
                <w:color w:val="auto"/>
              </w:rPr>
              <w:t>(10,717)</w:t>
            </w:r>
          </w:p>
        </w:tc>
        <w:tc>
          <w:tcPr>
            <w:tcW w:w="9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years</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In-progress patent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270,886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270,886</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140,708,415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(139,734,501</w:t>
            </w:r>
          </w:p>
        </w:tc>
        <w:tc>
          <w:tcPr>
            <w:tcW w:w="3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973,914</w:t>
            </w: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Amortization expense was $79,424 and $20,864 for the six months ended June 30, 2025 and 2024, respectively. These amounts are included in cost of revenues in the accompanying condensed consolidated statements of operations and comprehensive income (loss). The weighted average remaining useful life for which amortization expense will be recognized is 4.5 years as of June 30, 2025. The Company has capitalized $2.6 million in development costs for titles that have reached technological feasibility but have not yet launched, and as such, are included in the thereafter amount in the table below. Future amortization expense of intangible assets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72"/>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53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121,376</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242,752</w:t>
            </w: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5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242,752</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242,752</w:t>
            </w: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5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235,752</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2,429,315</w:t>
            </w:r>
          </w:p>
        </w:tc>
        <w:tc>
          <w:tcPr>
            <w:tcW w:w="0" w:type="dxa"/>
            <w:vAlign w:val="bottom"/>
          </w:tcPr>
          <w:p>
            <w:pPr>
              <w:spacing w:after="0"/>
              <w:rPr>
                <w:sz w:val="1"/>
                <w:szCs w:val="1"/>
                <w:color w:val="auto"/>
              </w:rPr>
            </w:pPr>
          </w:p>
        </w:tc>
      </w:tr>
      <w:tr>
        <w:trPr>
          <w:trHeight w:val="182"/>
        </w:trPr>
        <w:tc>
          <w:tcPr>
            <w:tcW w:w="3660" w:type="dxa"/>
            <w:vAlign w:val="bottom"/>
            <w:tcBorders>
              <w:top w:val="single" w:sz="8" w:color="CCEEFF"/>
              <w:bottom w:val="single" w:sz="8" w:color="CCEEFF"/>
            </w:tcBorders>
            <w:shd w:val="clear" w:color="auto" w:fill="CCEEFF"/>
          </w:tcPr>
          <w:p>
            <w:pPr>
              <w:spacing w:after="0"/>
              <w:rPr>
                <w:sz w:val="15"/>
                <w:szCs w:val="15"/>
                <w:color w:val="auto"/>
              </w:rPr>
            </w:pPr>
          </w:p>
        </w:tc>
        <w:tc>
          <w:tcPr>
            <w:tcW w:w="53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3,514,699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380" w:type="dxa"/>
            <w:vAlign w:val="bottom"/>
            <w:vMerge w:val="restart"/>
          </w:tcPr>
          <w:p>
            <w:pPr>
              <w:jc w:val="right"/>
              <w:ind w:right="3245"/>
              <w:spacing w:after="0"/>
              <w:rPr>
                <w:sz w:val="20"/>
                <w:szCs w:val="20"/>
                <w:color w:val="auto"/>
              </w:rPr>
            </w:pPr>
            <w:r>
              <w:rPr>
                <w:rFonts w:ascii="Times New Roman" w:cs="Times New Roman" w:eastAsia="Times New Roman" w:hAnsi="Times New Roman"/>
                <w:sz w:val="15"/>
                <w:szCs w:val="15"/>
                <w:color w:val="auto"/>
              </w:rPr>
              <w:t>18</w:t>
            </w: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3"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ACCOUNTS PAYABLE — RELATED PARTIES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Accounts payable due to related parties represents payables in the ordinary course of business primarily for purchases of game distribution licenses, research and development costs and also the royalties due to Suzhou Snail. In July 2024, the Company entered into another software development, publishing and distribution agreement with Suzhou Snail. Under the terms of the agreements Suzhou Snail will develop a game for distribution by the Company and the Company will make $4.5 million in milestone payments during the development of the game and an ongoing royalty on sales of the game. The Company made $0.5 million in milestone payments under the July contract, in 2025. In December 2024, the Company entered into an agreement with Suzhou Snail for the development of an application to deliver short film content to end users. In accordance with the agreement Suzhou Snail will develop the app for release and will receive $290,000 as a development fee. As of June 30, 2025 and December 31, 2024, the development fee has been capitalized as an intangible asset in the Company’s condensed consolidated balance sheets.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of June 30, 2025, the Company had an accounts payable - related party balance for payments made on behalf of Suzhou Snail for licensing, legal and marketing costs prior to the Company’s IPO. The Company also has accounts receivable – related party balance due from Suzhou for royalties collected on behalf of the Company prior to its IPO. The accounts receivable – Suzhou are due on demand. The Company has the legal right to offset amounts payable to the related party, including royalties and research and development fees, against the related party accounts receivable. The offset right is determinable, mutual and enforceable under applicable law. The Company intends to exercise this right to offset in future periods.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 xml:space="preserve">In January 2025, the Company extended its outsource agreement with Suzhou Snail for the research and development of </w:t>
      </w:r>
      <w:r>
        <w:rPr>
          <w:rFonts w:ascii="Times New Roman" w:cs="Times New Roman" w:eastAsia="Times New Roman" w:hAnsi="Times New Roman"/>
          <w:sz w:val="15"/>
          <w:szCs w:val="15"/>
          <w:i w:val="1"/>
          <w:iCs w:val="1"/>
          <w:color w:val="auto"/>
        </w:rPr>
        <w:t>For the Stars</w:t>
      </w:r>
      <w:r>
        <w:rPr>
          <w:rFonts w:ascii="Times New Roman" w:cs="Times New Roman" w:eastAsia="Times New Roman" w:hAnsi="Times New Roman"/>
          <w:sz w:val="15"/>
          <w:szCs w:val="15"/>
          <w:color w:val="auto"/>
        </w:rPr>
        <w:t>. In consideration, the Company will pay Suzhou Snail twelve equal monthly payments of $340,600, beginning on January 1, 2025. During the three months ended June 30, 2025 and 2024, the Company incurred $30,557 and $44,296, respectively as license costs due to Suzhou Snail that are included in cost of revenues. During the six months ended June 30, 2025 and 2024, the Company incurred $66,386 and $91,401, respectively as license costs due to Suzhou Snail and included in cost of revenues. During the three and six months ended June 30, 2025, respectively, the Company incurred $1,521,800 and $3,043,600 of research and development costs from Suzhou Snail; and made $1,681,200 and $3,405,400 in payments to Suzhou Snail for royalties and research and development costs. The royalty payments are included in costs of revenues and research and development costs are included in operating expenses in the condensed consolidated statements of operations and comprehensive income (loss) or intangible assets, net in the condensed consolidated balance sheets. Accounts payable – related parties consisted of the following as of June 30, 2025 and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Suzhou</w:t>
            </w:r>
          </w:p>
        </w:tc>
        <w:tc>
          <w:tcPr>
            <w:tcW w:w="116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52,362,069</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52,998,084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Suzhou</w:t>
            </w:r>
          </w:p>
        </w:tc>
        <w:tc>
          <w:tcPr>
            <w:tcW w:w="116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(37,614,912)</w:t>
            </w:r>
          </w:p>
        </w:tc>
        <w:tc>
          <w:tcPr>
            <w:tcW w:w="440" w:type="dxa"/>
            <w:vAlign w:val="bottom"/>
          </w:tcPr>
          <w:p>
            <w:pPr>
              <w:spacing w:after="0"/>
              <w:rPr>
                <w:sz w:val="15"/>
                <w:szCs w:val="15"/>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(37,614,913)</w:t>
            </w:r>
          </w:p>
        </w:tc>
      </w:tr>
      <w:tr>
        <w:trPr>
          <w:trHeight w:val="19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SDE</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1,386,876</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Total accounts payable – related parties</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16,134,033</w:t>
            </w:r>
          </w:p>
        </w:tc>
        <w:tc>
          <w:tcPr>
            <w:tcW w:w="3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15,383,171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 – LOAN AND INTEREST RECEIVABLE — RELATED PARTY</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February 2021, the Company loaned $200,000 to a wholly owned subsidiary of Suzhou Snail. The loan bears 2.0% per annum interest, interest and principal were due in February 2022. In February 2022, Suzhou Snail signed an agreement with this subsidiary and assumed the loan and related interest for a total of $203,890. Subsequently, $103,890 was offset against the loan and interest payable owed to Suzhou Snail on a separate note. The total amount of loan and interest receivable — related party was $106,751 and $105,759, as of June 30, 2025 and December 31, 2024, respectively. The Company earned $499 and $498 in interest on the related party loans receivable during the three months ended June 30, 2025 and 2024, respectively. The Company earned $992 and $997 in interest on the related party loans receivable during the six months ended June 30, 2025 and 2024, respectively.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12 – REVOLVING LOAN, SHORT TERM NOTES AND LONG - TERM DEBT</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1"/>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00" w:type="dxa"/>
            <w:vAlign w:val="bottom"/>
          </w:tcPr>
          <w:p>
            <w:pPr>
              <w:spacing w:after="0"/>
              <w:rPr>
                <w:sz w:val="24"/>
                <w:szCs w:val="24"/>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46"/>
        </w:trPr>
        <w:tc>
          <w:tcPr>
            <w:tcW w:w="70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 xml:space="preserve">2021 Revolving Loan </w:t>
            </w:r>
            <w:r>
              <w:rPr>
                <w:rFonts w:ascii="Times New Roman" w:cs="Times New Roman" w:eastAsia="Times New Roman" w:hAnsi="Times New Roman"/>
                <w:sz w:val="15"/>
                <w:szCs w:val="15"/>
                <w:color w:val="auto"/>
              </w:rPr>
              <w:t>- On June 21, 2023, the Company amended its revolving loan agreement (“amended</w:t>
            </w:r>
          </w:p>
        </w:tc>
        <w:tc>
          <w:tcPr>
            <w:tcW w:w="30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revolver”) and decreased the maximum balance from $9,000,000 to $6,000,000. The revolving maturity date of</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revolving loan is extended to June 30, 2026, and has an annual interest rate equal to the prime rate less</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0.25% and a floor of 6.50%. At June 30, 2025, the interest rate on this loan was 7.25%. Debt covenants of this</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loan require the Company to maintain a minimum debt service coverage ratio of at least 1.5 to 1. The Company</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was not in compliance with the debt covenants of this loan for the trailing twelve month period ended June 30,</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 and received a waiver from the lender.</w:t>
            </w: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3,000,000</w:t>
            </w:r>
          </w:p>
        </w:tc>
      </w:tr>
      <w:tr>
        <w:trPr>
          <w:trHeight w:val="165"/>
        </w:trPr>
        <w:tc>
          <w:tcPr>
            <w:tcW w:w="700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 xml:space="preserve">2021 Promissory Note </w:t>
            </w:r>
            <w:r>
              <w:rPr>
                <w:rFonts w:ascii="Times New Roman" w:cs="Times New Roman" w:eastAsia="Times New Roman" w:hAnsi="Times New Roman"/>
                <w:sz w:val="15"/>
                <w:szCs w:val="15"/>
                <w:color w:val="auto"/>
              </w:rPr>
              <w:t>– On June 17, 2021, the Company amended its loan agreement to reduce the principal</w:t>
            </w: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amount with a financial institution for 10 years, annual interest rate of 3.5% for the first 5 years, and then</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floating at Wall Street Journal rate from years 6 to 10. The loan is secured by the Company’s building, with a</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carrying value of $4.2 million, and matures on June 30, 2031. The note is subject to a prepayment penalty. Debt</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covenants of this loan require the Company to maintain a minimum debt service coverage ratio of at least 1.5 to</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1. The Company was not in compliance with the debt covenants of this loan for the trailing twelve month period</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3"/>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ended June 30, 2025 and received a waiver from the lender.</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2,679,531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2,722,549</w:t>
            </w:r>
          </w:p>
        </w:tc>
      </w:tr>
      <w:tr>
        <w:trPr>
          <w:trHeight w:val="166"/>
        </w:trPr>
        <w:tc>
          <w:tcPr>
            <w:tcW w:w="70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 xml:space="preserve">2025 Convertible Notes </w:t>
            </w:r>
            <w:r>
              <w:rPr>
                <w:rFonts w:ascii="Times New Roman" w:cs="Times New Roman" w:eastAsia="Times New Roman" w:hAnsi="Times New Roman"/>
                <w:sz w:val="15"/>
                <w:szCs w:val="15"/>
                <w:color w:val="auto"/>
              </w:rPr>
              <w:t>– On February 21, 2025, the Company issued convertible notes at a 10.0% discount</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and a principal balance of $3,300,000. The notes had an interest rate of 5.0% and will be paid in consecutive</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monthly installments beginning May 21, 2025 and will mature on February 21, 2026. In the event of a default</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Company could be required to pay to the holders an amount equal to the principal outstanding, plus any</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interest through the date of payments, multiplied by 120%. The Company has the option to prepay the</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notes at any time and the note holders have the option to convert the notes, in whole or in part, at any time. The</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Company elected the fair value option to account for the convertible notes and recognized a fair value</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 of $53,803 on the notes during the six months ended June 30, 2025.</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2,415,050</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5"/>
        </w:trPr>
        <w:tc>
          <w:tcPr>
            <w:tcW w:w="700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 xml:space="preserve">2025 Term Loan </w:t>
            </w:r>
            <w:r>
              <w:rPr>
                <w:rFonts w:ascii="Times New Roman" w:cs="Times New Roman" w:eastAsia="Times New Roman" w:hAnsi="Times New Roman"/>
                <w:sz w:val="15"/>
                <w:szCs w:val="15"/>
                <w:color w:val="auto"/>
              </w:rPr>
              <w:t>– On June 10, 2025, the Company entered into a term loan agreement with a principal balance</w:t>
            </w: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of $3,500,000. The note has a floating rate of 0.50% in excess of the Wall Street Journal Prime Rate and a floor</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of 6.50%, and will be paid in monthly installments starting July 1, 2025, and maturing June 30, 2028. In the</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event of a default, the Company could be required to pay the lender the entire principal balance, plus any</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accrued and unpaid interest immediately due and payable, without notice or demand. Collateral includes all of</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the borrower’s rights, title, and interest in all assets, including but not limited to accounts, equipment, deposits,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intellectual property and books and records. Debt covenants of this loan requires the Company to maintain a</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minimum debt service coverage ratio of at least 1.5 to 1. The Company was not in compliance with debt</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covenants of this loan for the trailing twelve month period ended June 30, 2025 and received a waiver from the</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5"/>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lender.</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1"/>
        </w:trPr>
        <w:tc>
          <w:tcPr>
            <w:tcW w:w="70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80"/>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debt</w:t>
            </w:r>
          </w:p>
        </w:tc>
        <w:tc>
          <w:tcPr>
            <w:tcW w:w="300" w:type="dxa"/>
            <w:vAlign w:val="bottom"/>
          </w:tcPr>
          <w:p>
            <w:pPr>
              <w:spacing w:after="0"/>
              <w:rPr>
                <w:sz w:val="15"/>
                <w:szCs w:val="15"/>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11,594,581</w:t>
            </w:r>
          </w:p>
        </w:tc>
        <w:tc>
          <w:tcPr>
            <w:tcW w:w="200" w:type="dxa"/>
            <w:vAlign w:val="bottom"/>
          </w:tcPr>
          <w:p>
            <w:pPr>
              <w:spacing w:after="0"/>
              <w:rPr>
                <w:sz w:val="15"/>
                <w:szCs w:val="15"/>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5,722,549</w:t>
            </w:r>
          </w:p>
        </w:tc>
      </w:tr>
      <w:tr>
        <w:trPr>
          <w:trHeight w:val="180"/>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Less: current portion of promissory note</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2,679,531</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2,722,549</w:t>
            </w:r>
          </w:p>
        </w:tc>
      </w:tr>
      <w:tr>
        <w:trPr>
          <w:trHeight w:val="180"/>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Less: revolving loan</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3,000,000</w:t>
            </w:r>
          </w:p>
        </w:tc>
      </w:tr>
      <w:tr>
        <w:trPr>
          <w:trHeight w:val="180"/>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Less: current portion of term loan</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3,500,000</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7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Less: convertible notes at fair value</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2,415,050</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long-term debt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Total interest expense for the above debt and revolver loan amounted to $148,360 and $142,295 for the three months ended June 30, 2025 and 2024, respectively. Total interest expense for the above debt and revolver loan amounted to $229,106 and $538,259 for the six months ended June 30, 2025 and 2024, respectively. Accretion of the convertible notes and amortization of loan origination expenses and loan discounts of $3,635 and $45,931 are included as part of interest expense for the three months ended June 30, 2025 and 2024, respectively. Accretion of the convertible notes and amortization of loan origination expenses and loan discounts of $6,246 and $340,614 are included as part of interest expense for the six months ended June 30, 2025 and 2024, respectively. The Company has a weighted average interest rate of 6.6% and 5.6% on its short-term obligations as of June 30, 2025 and December 31, 2024, respectively. The Company was not in compliance with its debt covenants related to the 2021 Revolving Note, 2021 Promissory note and 2025 Term Loan for the trailing twelve months ended June 30, 2025 and received a waiver from the lender for the breach. While waivers were received, it is probable that the Company will fail these covenants again within the next twelve months and accordingly the Company has classified the long-term portion of its promissory note, revolving loan and term loan as current.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0"/>
        </w:trPr>
        <w:tc>
          <w:tcPr>
            <w:tcW w:w="1140" w:type="dxa"/>
            <w:vAlign w:val="bottom"/>
          </w:tcPr>
          <w:p>
            <w:pPr>
              <w:spacing w:after="0"/>
              <w:rPr>
                <w:sz w:val="15"/>
                <w:szCs w:val="15"/>
                <w:color w:val="auto"/>
              </w:rPr>
            </w:pPr>
          </w:p>
        </w:tc>
        <w:tc>
          <w:tcPr>
            <w:tcW w:w="7220" w:type="dxa"/>
            <w:vAlign w:val="bottom"/>
          </w:tcPr>
          <w:p>
            <w:pPr>
              <w:ind w:left="366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7220" w:type="dxa"/>
            <w:vAlign w:val="bottom"/>
          </w:tcPr>
          <w:p>
            <w:pPr>
              <w:ind w:left="274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0"/>
        </w:trPr>
        <w:tc>
          <w:tcPr>
            <w:tcW w:w="8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provides future minimum payments of its long-term debt based on contractual payments, as of June 30, 2025: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8360" w:type="dxa"/>
            <w:vAlign w:val="bottom"/>
            <w:gridSpan w:val="2"/>
          </w:tcPr>
          <w:p>
            <w:pPr>
              <w:ind w:left="1140"/>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2"/>
        </w:trPr>
        <w:tc>
          <w:tcPr>
            <w:tcW w:w="1140" w:type="dxa"/>
            <w:vAlign w:val="bottom"/>
          </w:tcPr>
          <w:p>
            <w:pPr>
              <w:spacing w:after="0"/>
              <w:rPr>
                <w:sz w:val="14"/>
                <w:szCs w:val="14"/>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2,666,487</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1140" w:type="dxa"/>
            <w:vAlign w:val="bottom"/>
          </w:tcPr>
          <w:p>
            <w:pPr>
              <w:spacing w:after="0"/>
              <w:rPr>
                <w:sz w:val="15"/>
                <w:szCs w:val="15"/>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4,880,983</w:t>
            </w:r>
          </w:p>
        </w:tc>
        <w:tc>
          <w:tcPr>
            <w:tcW w:w="10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1,314,104</w:t>
            </w:r>
          </w:p>
        </w:tc>
        <w:tc>
          <w:tcPr>
            <w:tcW w:w="100" w:type="dxa"/>
            <w:vAlign w:val="bottom"/>
            <w:shd w:val="clear" w:color="auto" w:fill="CCEEFF"/>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619,525</w:t>
            </w:r>
          </w:p>
        </w:tc>
        <w:tc>
          <w:tcPr>
            <w:tcW w:w="10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99,101</w:t>
            </w:r>
          </w:p>
        </w:tc>
        <w:tc>
          <w:tcPr>
            <w:tcW w:w="100" w:type="dxa"/>
            <w:vAlign w:val="bottom"/>
            <w:shd w:val="clear" w:color="auto" w:fill="CCEEFF"/>
          </w:tcPr>
          <w:p>
            <w:pPr>
              <w:spacing w:after="0"/>
              <w:rPr>
                <w:sz w:val="15"/>
                <w:szCs w:val="15"/>
                <w:color w:val="auto"/>
              </w:rPr>
            </w:pPr>
          </w:p>
        </w:tc>
      </w:tr>
      <w:tr>
        <w:trPr>
          <w:trHeight w:val="191"/>
        </w:trPr>
        <w:tc>
          <w:tcPr>
            <w:tcW w:w="1140" w:type="dxa"/>
            <w:vAlign w:val="bottom"/>
          </w:tcPr>
          <w:p>
            <w:pPr>
              <w:spacing w:after="0"/>
              <w:rPr>
                <w:sz w:val="16"/>
                <w:szCs w:val="16"/>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2,260,577</w:t>
            </w:r>
          </w:p>
        </w:tc>
        <w:tc>
          <w:tcPr>
            <w:tcW w:w="100" w:type="dxa"/>
            <w:vAlign w:val="bottom"/>
            <w:tcBorders>
              <w:bottom w:val="single" w:sz="8" w:color="CCEEFF"/>
            </w:tcBorders>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7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11,840,777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Convertible Debt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2023 Convertible Notes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August 2023, pursuant to a securities purchase agreement, the Company issued to two accredited investors (the convertible debt “Investors”) convertible notes with an aggregate principal amount of $1,080,000 (the “2023 Convertible Notes”) and warrants to purchase up to an aggregate of 714,285 shares of the Company’s Class A common stock for gross proceeds of $1,000,000 (the “2023 Convertible Notes Financing”).</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The 2023 Convertible Notes carried an original issue discount of approximately 7.4%, bore interest at a rate of 7.5% per annum (16% per annum in case of an event of default), were repaid in equal consecutive monthly installments that began in February 2024 and matured on May 24, 2024.</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determined that the 2023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three and six months ended June 30, 2025 was $0. The change in fair value during the three and six months ended June 30, 2024, was not significant and as such, was not recorded.</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debt discount was amortized to interest expense over the maturity period using the effective interest method at a rate of 103.4%. The effective interest rate was based on the principal balance discounted by stated interest, debt issuance costs and fair value allocated to the related warrants. For the three months ended June 30, 2024, the Company recognized $56,613 of interest expense related to the 2023 Convertible Notes, comprising of $4,378 of contractual interest expense, $40,560 in accretion and $11,675 of amortization of debt discount and issuance costs. For the six months ended June 30, 2024, the Company recognized $309,433 of interest expense related to the 2023 Convertible notes, comprising of $22,725 of contractual interest expense, $222,628 in accretion and $64,080 of amortization of debt discount and issuance costs.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During the year ended December 31, 2024, the Company repaid the balance of $1,071,750 of principal and accrued interest and the investors converted $60,000 of principal into 71,460 shares of Class A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2025 Convertible Notes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February 2025, pursuant to a securities purchase agreement (the “SPA”), the Company issued to two accredited investors (the “Investors”) convertible notes with an aggregate principal amount of $3,300,000 (the “2025 Convertible Notes”) for gross proceeds of $3,000,000 (the “2025 Convertible Notes Financing”). The 2025 Convertible Notes, which mature on February 21, 2026, carry an original issue discount of 10%, and are subject to a guaranteed interest equal to 5% of the principal amount. The principal and interest charges are payable in 10 equal monthly payments starting May 21, 2025.</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Subject to certain ownership limitations, all or portion of the then outstanding and unpaid principal and interest (the “conversion amount”) of the 2025 Convertible Notes can be converted at the option of the holder at any time into shares of the Company’s Class A common, at a conversion price of $5.00 per share, except that, for an aggregate of $866,250 of 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2025 Convertible Notes may be prepaid by the Company upon giving the Investors a ten-calendar day notice by paying an amount equal to the outstanding balance. In event of default the Investors may require the Company to prepay the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Convertible Notes include multiple features that would require bifurcation, analysis and to be revalued at each reporting date. Accordingly, the Company has elected to apply the fair value option to the 2025 Convertible Notes to simplify the reporting. The 2025 Convertible Notes were initially measured at fair value and are being re-measured at fair value at each subsequent reporting date. From the date of issuance through June 30, 2025, the change in fair value was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at issuance</w:t>
            </w:r>
          </w:p>
        </w:tc>
        <w:tc>
          <w:tcPr>
            <w:tcW w:w="500" w:type="dxa"/>
            <w:vAlign w:val="bottom"/>
            <w:gridSpan w:val="2"/>
            <w:shd w:val="clear" w:color="auto" w:fill="CCEEFF"/>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100" w:type="dxa"/>
            <w:vAlign w:val="bottom"/>
            <w:shd w:val="clear" w:color="auto" w:fill="CCEEFF"/>
          </w:tcPr>
          <w:p>
            <w:pPr>
              <w:spacing w:after="0"/>
              <w:rPr>
                <w:sz w:val="15"/>
                <w:szCs w:val="15"/>
                <w:color w:val="auto"/>
              </w:rPr>
            </w:pPr>
          </w:p>
        </w:tc>
      </w:tr>
      <w:tr>
        <w:trPr>
          <w:trHeight w:val="180"/>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Principal payments</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(638,753)</w:t>
            </w:r>
          </w:p>
        </w:tc>
      </w:tr>
      <w:tr>
        <w:trPr>
          <w:trHeight w:val="191"/>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53,803</w:t>
            </w:r>
          </w:p>
        </w:tc>
        <w:tc>
          <w:tcPr>
            <w:tcW w:w="100" w:type="dxa"/>
            <w:vAlign w:val="bottom"/>
            <w:shd w:val="clear" w:color="auto" w:fill="CCEEFF"/>
          </w:tcPr>
          <w:p>
            <w:pPr>
              <w:spacing w:after="0"/>
              <w:rPr>
                <w:sz w:val="16"/>
                <w:szCs w:val="16"/>
                <w:color w:val="auto"/>
              </w:rPr>
            </w:pPr>
          </w:p>
        </w:tc>
      </w:tr>
      <w:tr>
        <w:trPr>
          <w:trHeight w:val="182"/>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Fair value at June 30, 2025</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2,415,050</w:t>
            </w:r>
          </w:p>
        </w:tc>
        <w:tc>
          <w:tcPr>
            <w:tcW w:w="10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 xml:space="preserve">The change in fair value of $53,803 is reported in other income in our condensed consolidated statement of operations and comprehensive income (loss) and $28,377 is recorded in other comprehensive income (loss) due to the change in credit spread from issuance to June 30, 2025, prior to tax adjustment. The portion of the total change in the fair value of the 2025 Convertible Notes that is attributable to changes in the Company’s own credit risk (the “credit component”) is estimated each reporting date using a </w:t>
      </w:r>
      <w:r>
        <w:rPr>
          <w:rFonts w:ascii="Times New Roman" w:cs="Times New Roman" w:eastAsia="Times New Roman" w:hAnsi="Times New Roman"/>
          <w:sz w:val="15"/>
          <w:szCs w:val="15"/>
          <w:i w:val="1"/>
          <w:iCs w:val="1"/>
          <w:color w:val="auto"/>
        </w:rPr>
        <w:t>with-and-without</w:t>
      </w:r>
      <w:r>
        <w:rPr>
          <w:rFonts w:ascii="Times New Roman" w:cs="Times New Roman" w:eastAsia="Times New Roman" w:hAnsi="Times New Roman"/>
          <w:sz w:val="15"/>
          <w:szCs w:val="15"/>
          <w:color w:val="auto"/>
        </w:rPr>
        <w:t xml:space="preserve"> approach. Management first measures fair value using all updated valuation inputs, including the credit spread implied by current market data (33.0%) then management re-measures fair value holding every assumption constant except for the credit spread, which is reset to the spread calibrated on the issuance date (31.2%). The difference between the two fair-value estimates isolates the effect of instrument-specific credit risk.</w:t>
      </w:r>
    </w:p>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Company used the binomial lattice framework to determine the fair value of each maturity payout. Accordingly, the valuation uses a range of level 3 inputs to evaluate each maturity payout individually. The range of level 3 inputs used on the issuance date and as of June 30, 2025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gridSpan w:val="2"/>
          </w:tcPr>
          <w:p>
            <w:pPr>
              <w:jc w:val="right"/>
              <w:ind w:right="1120"/>
              <w:spacing w:after="0"/>
              <w:rPr>
                <w:sz w:val="20"/>
                <w:szCs w:val="20"/>
                <w:color w:val="auto"/>
              </w:rPr>
            </w:pPr>
            <w:r>
              <w:rPr>
                <w:rFonts w:ascii="Times New Roman" w:cs="Times New Roman" w:eastAsia="Times New Roman" w:hAnsi="Times New Roman"/>
                <w:sz w:val="15"/>
                <w:szCs w:val="15"/>
                <w:color w:val="auto"/>
              </w:rPr>
              <w:t>June 30, 2025</w:t>
            </w:r>
          </w:p>
        </w:tc>
        <w:tc>
          <w:tcPr>
            <w:tcW w:w="360" w:type="dxa"/>
            <w:vAlign w:val="bottom"/>
          </w:tcPr>
          <w:p>
            <w:pPr>
              <w:spacing w:after="0"/>
              <w:rPr>
                <w:sz w:val="16"/>
                <w:szCs w:val="16"/>
                <w:color w:val="auto"/>
              </w:rPr>
            </w:pP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color w:val="auto"/>
              </w:rPr>
              <w:t>February 21, 2025</w:t>
            </w:r>
          </w:p>
        </w:tc>
      </w:tr>
      <w:tr>
        <w:trPr>
          <w:trHeight w:val="172"/>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25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3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40" w:type="dxa"/>
            <w:vAlign w:val="bottom"/>
            <w:tcBorders>
              <w:top w:val="single" w:sz="8" w:color="CCEEFF"/>
            </w:tcBorders>
            <w:shd w:val="clear" w:color="auto" w:fill="CCEEFF"/>
          </w:tcPr>
          <w:p>
            <w:pPr>
              <w:spacing w:after="0"/>
              <w:rPr>
                <w:sz w:val="14"/>
                <w:szCs w:val="14"/>
                <w:color w:val="auto"/>
              </w:rPr>
            </w:pP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92% VWAP or $5.00</w:t>
            </w:r>
          </w:p>
        </w:tc>
        <w:tc>
          <w:tcPr>
            <w:tcW w:w="360" w:type="dxa"/>
            <w:vAlign w:val="bottom"/>
          </w:tcPr>
          <w:p>
            <w:pPr>
              <w:spacing w:after="0"/>
              <w:rPr>
                <w:sz w:val="15"/>
                <w:szCs w:val="15"/>
                <w:color w:val="auto"/>
              </w:rPr>
            </w:pP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92% VWAP or $5.00</w:t>
            </w: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w:t>
            </w:r>
          </w:p>
        </w:tc>
        <w:tc>
          <w:tcPr>
            <w:tcW w:w="2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0.06-0.65</w:t>
            </w:r>
          </w:p>
        </w:tc>
        <w:tc>
          <w:tcPr>
            <w:tcW w:w="36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0.24-1.00</w:t>
            </w: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96.1% - 150.1%</w:t>
            </w:r>
          </w:p>
        </w:tc>
        <w:tc>
          <w:tcPr>
            <w:tcW w:w="360" w:type="dxa"/>
            <w:vAlign w:val="bottom"/>
          </w:tcPr>
          <w:p>
            <w:pPr>
              <w:spacing w:after="0"/>
              <w:rPr>
                <w:sz w:val="15"/>
                <w:szCs w:val="15"/>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117.0% - 190.9%</w:t>
            </w: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4.15% - 4.35%</w:t>
            </w:r>
          </w:p>
        </w:tc>
        <w:tc>
          <w:tcPr>
            <w:tcW w:w="36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4.11% - 4.29%</w:t>
            </w:r>
          </w:p>
        </w:tc>
      </w:tr>
      <w:tr>
        <w:trPr>
          <w:trHeight w:val="359"/>
        </w:trPr>
        <w:tc>
          <w:tcPr>
            <w:tcW w:w="3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color w:val="auto"/>
              </w:rPr>
              <w:t>22</w:t>
            </w:r>
          </w:p>
        </w:tc>
        <w:tc>
          <w:tcPr>
            <w:tcW w:w="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93" w:right="31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weighted average volatility, risk-free rate and contractual term used in the valuation was 122.8%, 4.26%, and 0.35 years as of June 30,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 – INCOME TAXES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is required to calculate its interim income tax provision using the estimated annual effective tax rate (“AETR”) method which involves the use of forecasted information, adjusted for the effect of discrete items arising in that quarter. Under the AETR method, the income tax provision is calculated by applying the estimated AETR for the full fiscal year to “ordinary” income or loss (pretax income or loss excluding discrete items) for the reporting period. This could result in a higher or lower effective tax rate during a particular quarter, based upon the mix and timing of actual earnings or losses versus forecasted earnings for the full fiscal year. In each quarter, the Company updates its estimate of the annual effective tax rate, and if the estimated annual tax rate changes, a cumulative adjustment is made in that quarter.</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recognized an income tax expense of $13,868,598 and $589,512 for the three months ended June 30, 2025 and 2024, respectively. The Company recognized an income tax expense of $12,397,768 and $111,562 for the six months ended June 30, 2025 and 2024, respectively. For the six months ended June 30, 2025 and 2024 the Company’s effective tax rate was 203% and 19%, respectively. The Company’s effective tax rate differed from the federal statutory rate of 21% during the six months ended June 30, 2025 primarily due to the impact of the valuation allowance recorded against U.S. net deferred tax assets. The Company’s effective tax rate differed from the federal statutory rate during the six months ended June 30, 2024 primarily due to state taxes and permanent differences.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 has assessed all available positive and negative evidence, including the results of recent operations, cumulative losses in recent periods, and projections of future taxable income. Based on this assessment, the Company concluded that it is more likely than not that its U.S. net deferred tax assets will not be realized and therefore recorded a full valuation allowance. The negative evidence included the Company’s cumulative U.S. pre-tax losses over the last twelve quarters, operating losses generated in the first half of 2025, and revised projections indicating lower anticipated profitability. While certain positive indicators, such as expected growth in specific business segments, were also considered, the Company determined that these did not outweigh the negative evidence. As a result, for the six months ended June 30, 2025, the Company recorded a full valuation allowance on the opening balance of $10,815,239 as a discrete adjustment.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the Company’s ordinary course of business the Internal Revenue Service (“IRS”) and other taxing authorities may examine various years of the Company’s tax filings. The Company’s 2022 fiscal year is currently under examination by the IRS. During the examination the Company may receive proposed adjustments that could be material. There are currently no settlements that the Company believes will be more likely than not to require settlement and thus no liability has been accrued.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 – OPERATING LEASE RIGHT-OF-USE ASSETS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June 30, 2025 and December 31, 2024, the Company’s net operating lease right-of-use assets amounted to $676,918 and $1,279,330, respectively. The Company has entered into an operating lease for a vehicle that commenced on June 15, 2025. The term for this lease is 36 months, with a fair value purchase option which the Company is not reasonably certain it will exercise. The Company had variable lease payments of approximately $37,865 and $34,840 during the three months ended June 30, 2025 and 2024, respectively, and approximately $76,142 and $62,171 during the six months ended June 30, 2025 and 2024, respectively, which consisted primarily of common area maintenance charges and administrative fees.</w:t>
      </w:r>
    </w:p>
    <w:p>
      <w:pPr>
        <w:spacing w:after="0" w:line="16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Operating lease costs included in the general and administrative expenses in our condensed consolidated statements of operations and comprehensive income (loss) for the three and six months ended June 30, 2025 and 2024,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8"/>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3"/>
        </w:trPr>
        <w:tc>
          <w:tcPr>
            <w:tcW w:w="4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3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Operating lease costs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425,743</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399,997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94"/>
              </w:rPr>
              <w:t>848,780</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796,512</w:t>
            </w:r>
          </w:p>
        </w:tc>
        <w:tc>
          <w:tcPr>
            <w:tcW w:w="120" w:type="dxa"/>
            <w:vAlign w:val="bottom"/>
            <w:shd w:val="clear" w:color="auto" w:fill="CCEEFF"/>
          </w:tcPr>
          <w:p>
            <w:pPr>
              <w:spacing w:after="0"/>
              <w:rPr>
                <w:sz w:val="14"/>
                <w:szCs w:val="14"/>
                <w:color w:val="auto"/>
              </w:rPr>
            </w:pPr>
          </w:p>
        </w:tc>
      </w:tr>
      <w:tr>
        <w:trPr>
          <w:trHeight w:val="359"/>
        </w:trPr>
        <w:tc>
          <w:tcPr>
            <w:tcW w:w="768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Supplemental information related to operating leases for lease liabilities as of June 30, 2025 and June 30, 2024, is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4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7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848,273</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801,327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 years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1.4 years</w:t>
            </w:r>
          </w:p>
        </w:tc>
      </w:tr>
      <w:tr>
        <w:trPr>
          <w:trHeight w:val="18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5.01%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undiscounted lease payments for operating leases and a reconciliation of these payments to our operating lease liabilities as of June 30, 2025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Imputed</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Future lease</w:t>
            </w:r>
          </w:p>
        </w:tc>
        <w:tc>
          <w:tcPr>
            <w:tcW w:w="280" w:type="dxa"/>
            <w:vAlign w:val="bottom"/>
          </w:tcPr>
          <w:p>
            <w:pPr>
              <w:spacing w:after="0"/>
              <w:rPr>
                <w:sz w:val="15"/>
                <w:szCs w:val="15"/>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w w:val="95"/>
              </w:rPr>
              <w:t>Interest</w:t>
            </w:r>
          </w:p>
        </w:tc>
        <w:tc>
          <w:tcPr>
            <w:tcW w:w="240" w:type="dxa"/>
            <w:vAlign w:val="bottom"/>
          </w:tcPr>
          <w:p>
            <w:pPr>
              <w:spacing w:after="0"/>
              <w:rPr>
                <w:sz w:val="15"/>
                <w:szCs w:val="15"/>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Lease</w:t>
            </w:r>
          </w:p>
        </w:tc>
      </w:tr>
      <w:tr>
        <w:trPr>
          <w:trHeight w:val="197"/>
        </w:trPr>
        <w:tc>
          <w:tcPr>
            <w:tcW w:w="5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w w:val="97"/>
              </w:rPr>
              <w:t>payments</w:t>
            </w:r>
          </w:p>
        </w:tc>
        <w:tc>
          <w:tcPr>
            <w:tcW w:w="280" w:type="dxa"/>
            <w:vAlign w:val="bottom"/>
          </w:tcPr>
          <w:p>
            <w:pPr>
              <w:spacing w:after="0"/>
              <w:rPr>
                <w:sz w:val="17"/>
                <w:szCs w:val="17"/>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4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172"/>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642,149</w:t>
            </w: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7,487</w:t>
            </w:r>
          </w:p>
        </w:tc>
        <w:tc>
          <w:tcPr>
            <w:tcW w:w="3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634,662</w:t>
            </w:r>
          </w:p>
        </w:tc>
        <w:tc>
          <w:tcPr>
            <w:tcW w:w="120" w:type="dxa"/>
            <w:vAlign w:val="bottom"/>
            <w:tcBorders>
              <w:top w:val="single" w:sz="8" w:color="CCEEFF"/>
            </w:tcBorders>
            <w:shd w:val="clear" w:color="auto" w:fill="CCEEFF"/>
          </w:tcPr>
          <w:p>
            <w:pPr>
              <w:spacing w:after="0"/>
              <w:rPr>
                <w:sz w:val="14"/>
                <w:szCs w:val="14"/>
                <w:color w:val="auto"/>
              </w:rPr>
            </w:pPr>
          </w:p>
        </w:tc>
      </w:tr>
      <w:tr>
        <w:trPr>
          <w:trHeight w:val="180"/>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43,936</w:t>
            </w:r>
          </w:p>
        </w:tc>
        <w:tc>
          <w:tcPr>
            <w:tcW w:w="28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4,412</w:t>
            </w:r>
          </w:p>
        </w:tc>
        <w:tc>
          <w:tcPr>
            <w:tcW w:w="24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39,524</w:t>
            </w:r>
          </w:p>
        </w:tc>
      </w:tr>
      <w:tr>
        <w:trPr>
          <w:trHeight w:val="18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44,836</w:t>
            </w:r>
          </w:p>
        </w:tc>
        <w:tc>
          <w:tcPr>
            <w:tcW w:w="2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2,207</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42,629</w:t>
            </w: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19,442</w:t>
            </w:r>
          </w:p>
        </w:tc>
        <w:tc>
          <w:tcPr>
            <w:tcW w:w="280" w:type="dxa"/>
            <w:vAlign w:val="bottom"/>
          </w:tcPr>
          <w:p>
            <w:pPr>
              <w:spacing w:after="0"/>
              <w:rPr>
                <w:sz w:val="16"/>
                <w:szCs w:val="16"/>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221</w:t>
            </w:r>
          </w:p>
        </w:tc>
        <w:tc>
          <w:tcPr>
            <w:tcW w:w="24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19,221</w:t>
            </w:r>
          </w:p>
        </w:tc>
      </w:tr>
      <w:tr>
        <w:trPr>
          <w:trHeight w:val="182"/>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lease payments</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750,363</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14,327</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736,036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15 –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which was developed by Suzhou Angela Online Game Technology Co., Ltd. (“Angela Game”) and published by Imperium Interactive Entertainment Limited (“Imperium”).</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source code.</w:t>
      </w:r>
    </w:p>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September 8, 2023, the Company entered into a settlement agreement with Angela Game. The settlement agreement includes an upfront payment from Angela Game to the Company plus ongoing payments.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On March 14, 2023, Bel Air Soto, LLC (“Plaintiff”) filed suit in the Superior Court of California, County of Los Angeles, against Snail Games USA Inc. and INDIEV, an affiliate company that is owned by Mr. Hai Shi, the Company’s Founder, Co-Chief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The Company disputes the allegations and the amount of damages. The Company has responded to the complaint with an answer and cross-complaint. The cross-complaint seeks return for the $130,000 security deposit. The landlord has answered and denied the allegations of the cross-complaint. Snail Games USA Inc. denies exercising the option to extend and has vigorously defended against the claims asserted. The Plaintiff recently amended its complaint to expand its claims in the ongoing litigation by adding Mr. Hai Shi and the Company as additional defendants. The landlord alleges that the Company is exclusively controlled by Mr. Shi and they act as the alter egos of Snail Games USA, Inc. and INDIEV and therefore should be liable for the underlying liability. Once again, the Company denies these new allegations and will vigorously defend against these new claims. The present trail date is February 2026, but the Company will and has filed several law and motions contesting the new and existing claims.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 However, the Company does not believe that the outcome of this litigation will have a material adverse effect on its consolidated financial position, results of operations, or cash flows and believes the likelihood of a loss to the Company to be remote.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$3.5 million as of June 30, 2025. The Company also has a license agreement with its related party SDE for the exclusive publishing rights of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In consideration of the publishing rights the Company will pay SDE a fixed monthly license fee of $2.0 million until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releases. Our commitments assume satisfactory performance by our related party software developer. See Note 10 – </w:t>
      </w:r>
      <w:r>
        <w:rPr>
          <w:rFonts w:ascii="Times New Roman" w:cs="Times New Roman" w:eastAsia="Times New Roman" w:hAnsi="Times New Roman"/>
          <w:sz w:val="15"/>
          <w:szCs w:val="15"/>
          <w:i w:val="1"/>
          <w:iCs w:val="1"/>
          <w:color w:val="auto"/>
        </w:rPr>
        <w:t>Accounts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Payable – Related Party </w:t>
      </w:r>
      <w:r>
        <w:rPr>
          <w:rFonts w:ascii="Times New Roman" w:cs="Times New Roman" w:eastAsia="Times New Roman" w:hAnsi="Times New Roman"/>
          <w:sz w:val="15"/>
          <w:szCs w:val="15"/>
          <w:color w:val="auto"/>
        </w:rPr>
        <w:t>and Note 20 –</w:t>
      </w:r>
      <w:r>
        <w:rPr>
          <w:rFonts w:ascii="Times New Roman" w:cs="Times New Roman" w:eastAsia="Times New Roman" w:hAnsi="Times New Roman"/>
          <w:sz w:val="15"/>
          <w:szCs w:val="15"/>
          <w:i w:val="1"/>
          <w:iCs w:val="1"/>
          <w:color w:val="auto"/>
        </w:rPr>
        <w:t xml:space="preserve"> Subsequent Events </w:t>
      </w:r>
      <w:r>
        <w:rPr>
          <w:rFonts w:ascii="Times New Roman" w:cs="Times New Roman" w:eastAsia="Times New Roman" w:hAnsi="Times New Roman"/>
          <w:sz w:val="15"/>
          <w:szCs w:val="15"/>
          <w:color w:val="auto"/>
        </w:rPr>
        <w:t>for more information.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16 – INCOME (LOSS) PER SHARE</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uses the two class method to compute its basic loss per share (“Basic EPS”) and diluted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as applicable. The following table provides a reconciliation of the weighted average number of shares used in the calculation of Basic and Diluted EPS.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60" w:type="dxa"/>
            <w:vAlign w:val="bottom"/>
            <w:gridSpan w:val="6"/>
          </w:tcPr>
          <w:p>
            <w:pPr>
              <w:jc w:val="right"/>
              <w:ind w:right="108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340" w:type="dxa"/>
            <w:vAlign w:val="bottom"/>
          </w:tcPr>
          <w:p>
            <w:pPr>
              <w:spacing w:after="0"/>
              <w:rPr>
                <w:sz w:val="15"/>
                <w:szCs w:val="15"/>
                <w:color w:val="auto"/>
              </w:rPr>
            </w:pPr>
          </w:p>
        </w:tc>
        <w:tc>
          <w:tcPr>
            <w:tcW w:w="3040" w:type="dxa"/>
            <w:vAlign w:val="bottom"/>
            <w:gridSpan w:val="6"/>
          </w:tcPr>
          <w:p>
            <w:pPr>
              <w:jc w:val="right"/>
              <w:ind w:right="940"/>
              <w:spacing w:after="0"/>
              <w:rPr>
                <w:sz w:val="20"/>
                <w:szCs w:val="20"/>
                <w:color w:val="auto"/>
              </w:rPr>
            </w:pPr>
            <w:r>
              <w:rPr>
                <w:rFonts w:ascii="Times New Roman" w:cs="Times New Roman" w:eastAsia="Times New Roman" w:hAnsi="Times New Roman"/>
                <w:sz w:val="15"/>
                <w:szCs w:val="15"/>
                <w:b w:val="1"/>
                <w:bCs w:val="1"/>
                <w:color w:val="auto"/>
              </w:rPr>
              <w:t>For the 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Basic Earnings (Loss) Per Share:</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(3,775,300)</w:t>
            </w:r>
          </w:p>
        </w:tc>
        <w:tc>
          <w:tcPr>
            <w:tcW w:w="48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489,379</w:t>
            </w:r>
          </w:p>
        </w:tc>
        <w:tc>
          <w:tcPr>
            <w:tcW w:w="34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(4,210,496)</w:t>
            </w:r>
          </w:p>
        </w:tc>
        <w:tc>
          <w:tcPr>
            <w:tcW w:w="48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103,656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(12,787,124)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1,766,772</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(14,297,937)</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373,166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net income (loss) attributable to Snail Inc.</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(16,562,424)</w:t>
            </w:r>
          </w:p>
        </w:tc>
        <w:tc>
          <w:tcPr>
            <w:tcW w:w="4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2,256,151</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(18,508,433)</w:t>
            </w:r>
          </w:p>
        </w:tc>
        <w:tc>
          <w:tcPr>
            <w:tcW w:w="48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476,822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8,487,796</w:t>
            </w: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8,013,634</w:t>
            </w:r>
          </w:p>
        </w:tc>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8,465,962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7,985,631</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28,748,580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28,748,580</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28,748,580</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28,748,580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Class A and B basic earnings (loss) per share</w:t>
            </w: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18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3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(0.50</w:t>
            </w:r>
          </w:p>
        </w:tc>
        <w:tc>
          <w:tcPr>
            <w:tcW w:w="200" w:type="dxa"/>
            <w:vAlign w:val="bottom"/>
            <w:tcBorders>
              <w:bottom w:val="single" w:sz="8" w:color="CCEEFF"/>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Diluted Earnings (Loss) Per Share: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(3,775,300)</w:t>
            </w:r>
          </w:p>
        </w:tc>
        <w:tc>
          <w:tcPr>
            <w:tcW w:w="4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489,379</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(4,210,496)</w:t>
            </w:r>
          </w:p>
        </w:tc>
        <w:tc>
          <w:tcPr>
            <w:tcW w:w="48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103,656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Dilutive effects of convertible note warrants</w:t>
            </w:r>
          </w:p>
        </w:tc>
        <w:tc>
          <w:tcPr>
            <w:tcW w:w="320" w:type="dxa"/>
            <w:vAlign w:val="bottom"/>
          </w:tcPr>
          <w:p>
            <w:pPr>
              <w:spacing w:after="0"/>
              <w:rPr>
                <w:sz w:val="15"/>
                <w:szCs w:val="15"/>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(26,130)</w:t>
            </w:r>
          </w:p>
        </w:tc>
        <w:tc>
          <w:tcPr>
            <w:tcW w:w="340" w:type="dxa"/>
            <w:vAlign w:val="bottom"/>
          </w:tcPr>
          <w:p>
            <w:pPr>
              <w:spacing w:after="0"/>
              <w:rPr>
                <w:sz w:val="15"/>
                <w:szCs w:val="15"/>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(24,540)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Dilutive effect of equity line of credit warrants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(5,918)</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(3,775,300</w:t>
            </w:r>
          </w:p>
        </w:tc>
        <w:tc>
          <w:tcPr>
            <w:tcW w:w="18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463,249</w:t>
            </w:r>
          </w:p>
        </w:tc>
        <w:tc>
          <w:tcPr>
            <w:tcW w:w="3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(4,216,414</w:t>
            </w:r>
          </w:p>
        </w:tc>
        <w:tc>
          <w:tcPr>
            <w:tcW w:w="200" w:type="dxa"/>
            <w:vAlign w:val="bottom"/>
            <w:tcBorders>
              <w:bottom w:val="single" w:sz="8" w:color="CCEEFF"/>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79,116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shd w:val="clear" w:color="auto" w:fill="CCEEFF"/>
          </w:tcPr>
          <w:p>
            <w:pPr>
              <w:ind w:left="140"/>
              <w:spacing w:after="0" w:line="154" w:lineRule="exact"/>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(12,787,124)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1,766,772</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(14,297,937)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373,166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Dilutive effects of convertible note warrants</w:t>
            </w:r>
          </w:p>
        </w:tc>
        <w:tc>
          <w:tcPr>
            <w:tcW w:w="320" w:type="dxa"/>
            <w:vAlign w:val="bottom"/>
          </w:tcPr>
          <w:p>
            <w:pPr>
              <w:spacing w:after="0"/>
              <w:rPr>
                <w:sz w:val="15"/>
                <w:szCs w:val="15"/>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(93,741)</w:t>
            </w:r>
          </w:p>
        </w:tc>
        <w:tc>
          <w:tcPr>
            <w:tcW w:w="340" w:type="dxa"/>
            <w:vAlign w:val="bottom"/>
          </w:tcPr>
          <w:p>
            <w:pPr>
              <w:spacing w:after="0"/>
              <w:rPr>
                <w:sz w:val="15"/>
                <w:szCs w:val="15"/>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(88,345)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Dilutive effect of equity line of credit warrants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(20,096)</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(12,787,124</w:t>
            </w:r>
          </w:p>
        </w:tc>
        <w:tc>
          <w:tcPr>
            <w:tcW w:w="18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1,673,031</w:t>
            </w:r>
          </w:p>
        </w:tc>
        <w:tc>
          <w:tcPr>
            <w:tcW w:w="3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(14,318,033</w:t>
            </w:r>
          </w:p>
        </w:tc>
        <w:tc>
          <w:tcPr>
            <w:tcW w:w="200" w:type="dxa"/>
            <w:vAlign w:val="bottom"/>
            <w:tcBorders>
              <w:bottom w:val="single" w:sz="8" w:color="CCEEFF"/>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284,821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shd w:val="clear" w:color="auto" w:fill="CCEEFF"/>
          </w:tcPr>
          <w:p>
            <w:pPr>
              <w:ind w:left="140"/>
              <w:spacing w:after="0" w:line="154" w:lineRule="exact"/>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8,487,796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8,013,634</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8,465,962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7,985,631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Dilutive effects of convertible note warrants</w:t>
            </w:r>
          </w:p>
        </w:tc>
        <w:tc>
          <w:tcPr>
            <w:tcW w:w="320" w:type="dxa"/>
            <w:vAlign w:val="bottom"/>
          </w:tcPr>
          <w:p>
            <w:pPr>
              <w:spacing w:after="0"/>
              <w:rPr>
                <w:sz w:val="15"/>
                <w:szCs w:val="15"/>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182,695</w:t>
            </w:r>
          </w:p>
        </w:tc>
        <w:tc>
          <w:tcPr>
            <w:tcW w:w="340" w:type="dxa"/>
            <w:vAlign w:val="bottom"/>
          </w:tcPr>
          <w:p>
            <w:pPr>
              <w:spacing w:after="0"/>
              <w:rPr>
                <w:sz w:val="15"/>
                <w:szCs w:val="15"/>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239,394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Dilutive effect of equity line of credit warrants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1,573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ind w:left="140"/>
              <w:spacing w:after="0" w:line="171" w:lineRule="exact"/>
              <w:rPr>
                <w:sz w:val="20"/>
                <w:szCs w:val="20"/>
                <w:color w:val="auto"/>
              </w:rPr>
            </w:pPr>
            <w:r>
              <w:rPr>
                <w:rFonts w:ascii="Times New Roman" w:cs="Times New Roman" w:eastAsia="Times New Roman" w:hAnsi="Times New Roman"/>
                <w:sz w:val="15"/>
                <w:szCs w:val="15"/>
                <w:color w:val="auto"/>
              </w:rPr>
              <w:t>Class A weighted average shares outstanding - diluted</w:t>
            </w: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8,487,796</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8,196,329</w:t>
            </w:r>
          </w:p>
        </w:tc>
        <w:tc>
          <w:tcPr>
            <w:tcW w:w="3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8,467,535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8,225,025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320" w:type="dxa"/>
            <w:vAlign w:val="bottom"/>
          </w:tcPr>
          <w:p>
            <w:pPr>
              <w:spacing w:after="0"/>
              <w:rPr>
                <w:sz w:val="16"/>
                <w:szCs w:val="16"/>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3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Borders>
              <w:top w:val="single" w:sz="8" w:color="CCEEFF"/>
            </w:tcBorders>
            <w:shd w:val="clear" w:color="auto" w:fill="CCEEFF"/>
          </w:tcPr>
          <w:p>
            <w:pPr>
              <w:ind w:left="140"/>
              <w:spacing w:after="0" w:line="171" w:lineRule="exact"/>
              <w:rPr>
                <w:sz w:val="20"/>
                <w:szCs w:val="20"/>
                <w:color w:val="auto"/>
              </w:rPr>
            </w:pPr>
            <w:r>
              <w:rPr>
                <w:rFonts w:ascii="Times New Roman" w:cs="Times New Roman" w:eastAsia="Times New Roman" w:hAnsi="Times New Roman"/>
                <w:sz w:val="15"/>
                <w:szCs w:val="15"/>
                <w:color w:val="auto"/>
              </w:rPr>
              <w:t>Class B weighted average shares outstanding - diluted</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28,748,580</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Diluted earnings (loss) per Class A share</w:t>
            </w: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18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(0.50</w:t>
            </w:r>
          </w:p>
        </w:tc>
        <w:tc>
          <w:tcPr>
            <w:tcW w:w="200" w:type="dxa"/>
            <w:vAlign w:val="bottom"/>
            <w:tcBorders>
              <w:bottom w:val="single" w:sz="8" w:color="CCEEFF"/>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tcBorders>
              <w:bottom w:val="single" w:sz="8" w:color="CCEEFF"/>
            </w:tcBorders>
            <w:shd w:val="clear" w:color="auto" w:fill="CCEEFF"/>
          </w:tcPr>
          <w:p>
            <w:pPr>
              <w:ind w:left="140"/>
              <w:spacing w:after="0" w:line="154" w:lineRule="exact"/>
              <w:rPr>
                <w:sz w:val="20"/>
                <w:szCs w:val="20"/>
                <w:color w:val="auto"/>
              </w:rPr>
            </w:pPr>
            <w:r>
              <w:rPr>
                <w:rFonts w:ascii="Times New Roman" w:cs="Times New Roman" w:eastAsia="Times New Roman" w:hAnsi="Times New Roman"/>
                <w:sz w:val="15"/>
                <w:szCs w:val="15"/>
                <w:color w:val="auto"/>
              </w:rPr>
              <w:t>Diluted earnings (loss) per Class B share</w:t>
            </w: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(0.44</w:t>
            </w:r>
          </w:p>
        </w:tc>
        <w:tc>
          <w:tcPr>
            <w:tcW w:w="1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0.06</w:t>
            </w:r>
          </w:p>
        </w:tc>
        <w:tc>
          <w:tcPr>
            <w:tcW w:w="3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(0.50</w:t>
            </w:r>
          </w:p>
        </w:tc>
        <w:tc>
          <w:tcPr>
            <w:tcW w:w="200" w:type="dxa"/>
            <w:vAlign w:val="bottom"/>
            <w:tcBorders>
              <w:bottom w:val="single" w:sz="8" w:color="CCEEFF"/>
            </w:tcBorders>
            <w:shd w:val="clear" w:color="auto" w:fill="CCEEFF"/>
          </w:tcPr>
          <w:p>
            <w:pPr>
              <w:jc w:val="right"/>
              <w:ind w:right="6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0.01</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For the three and six months ended June 31, 2025, the convertible notes were excluded from the calculation of Diluted EPS due to the conversion price being above the Company’s average stock price for the fixed portion while the variable portion was anti dilutive based upon the reversal of the fair value adjustment. The following table provides a listing of shares excluded from the calculation of Diluted EPS due to their anti-dilutive effects: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920" w:type="dxa"/>
            <w:vAlign w:val="bottom"/>
            <w:gridSpan w:val="4"/>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For the three months ended June 30,</w:t>
            </w:r>
          </w:p>
        </w:tc>
        <w:tc>
          <w:tcPr>
            <w:tcW w:w="2920" w:type="dxa"/>
            <w:vAlign w:val="bottom"/>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For the six months ended June 30,</w:t>
            </w:r>
          </w:p>
        </w:tc>
        <w:tc>
          <w:tcPr>
            <w:tcW w:w="1240" w:type="dxa"/>
            <w:vAlign w:val="bottom"/>
          </w:tcPr>
          <w:p>
            <w:pPr>
              <w:spacing w:after="0"/>
              <w:rPr>
                <w:sz w:val="17"/>
                <w:szCs w:val="17"/>
                <w:color w:val="auto"/>
              </w:rPr>
            </w:pPr>
          </w:p>
        </w:tc>
      </w:tr>
      <w:tr>
        <w:trPr>
          <w:trHeight w:val="183"/>
        </w:trPr>
        <w:tc>
          <w:tcPr>
            <w:tcW w:w="420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Method</w:t>
            </w:r>
          </w:p>
        </w:tc>
      </w:tr>
      <w:tr>
        <w:trPr>
          <w:trHeight w:val="171"/>
        </w:trPr>
        <w:tc>
          <w:tcPr>
            <w:tcW w:w="42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Excluded Shares:</w:t>
            </w: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units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1,260,690</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1,175,790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1,260,690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1,175,790</w:t>
            </w:r>
          </w:p>
        </w:tc>
        <w:tc>
          <w:tcPr>
            <w:tcW w:w="34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line of credit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334,314</w:t>
            </w: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367,647</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367,647</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w:t>
            </w:r>
          </w:p>
        </w:tc>
      </w:tr>
      <w:tr>
        <w:trPr>
          <w:trHeight w:val="18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Underwriters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1,683,919</w:t>
            </w: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641,206</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1,683,191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1,361,452</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If-Converted</w:t>
            </w:r>
          </w:p>
        </w:tc>
      </w:tr>
      <w:tr>
        <w:trPr>
          <w:trHeight w:val="193"/>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1,216,185</w:t>
            </w: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1,216,185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Treasury</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 EQUITY</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connection with our IPO, on November 9, 2022, the Company issued to the Underwriters warrants to purchase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Quarterly Report.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Underwriters Warrants are legally detachable and separately exercisable from the Class A common stock; therefore, they meet the definition of freestanding and are not considered embedded in the Firm Shares.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Underwriters Warrants are considered indexed to the Company’s own stock. Additionally, the Company concludes that the Underwriters Warrants meet all requirements for equity classification. Because the Underwriters Warrants were issued to the Underwriters for their services and can be exercised immediately (subject to certain transfer conditions) they were measured at their fair value on their date of issuance and recorded within stockholders’ equity. As long as the Underwriters Warrants remain classified as equity, they shall not be revalued.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Convertible Note Warrants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On August 24, 2023, the Company issued warrants in connection with its convertible debt for the purchase of 714,285 shares (the “Convertible Note Warrants”). The Convertible Note Warrants are accounted for as liabilities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convertible note warrants allow the Investors to purchase an aggregate of 714,285 shares of the Company’s Class A common stock at an exercise price of $1.89. The warrants can be exercised, subject to certain ownership limitations, in whole or in part during the exercise period commencing on November 24, 2023 and ending on the date that is five years thereafter.</w:t>
      </w:r>
    </w:p>
    <w:p>
      <w:pPr>
        <w:spacing w:after="0" w:line="13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Due to their adjustment provisions, the warrants are classified as a liability on the condensed consolidated balance sheet. In January 2024 there was a conversion which triggered anti-dilutive features of the convertible note warrants, decreasing the exercise price and increasing the number of outstanding convertible notes warrants to 1,607,849. The fair value of the warrants at issuance has been estimated using a Black-Scholes pricing model as of June 30, 2025 and a Monte Carlo pricing model as of December 31, 2024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72"/>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18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1"/>
              </w:rPr>
              <w:t>1.37</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5"/>
                <w:szCs w:val="15"/>
                <w:color w:val="auto"/>
                <w:w w:val="91"/>
              </w:rPr>
              <w:t>1.86</w:t>
            </w:r>
          </w:p>
        </w:tc>
        <w:tc>
          <w:tcPr>
            <w:tcW w:w="140" w:type="dxa"/>
            <w:vAlign w:val="bottom"/>
            <w:tcBorders>
              <w:top w:val="single" w:sz="8" w:color="CCEEFF"/>
            </w:tcBorders>
            <w:shd w:val="clear" w:color="auto" w:fill="CCEEFF"/>
          </w:tcPr>
          <w:p>
            <w:pPr>
              <w:spacing w:after="0"/>
              <w:rPr>
                <w:sz w:val="14"/>
                <w:szCs w:val="14"/>
                <w:color w:val="auto"/>
              </w:rPr>
            </w:pPr>
          </w:p>
        </w:tc>
      </w:tr>
      <w:tr>
        <w:trPr>
          <w:trHeight w:val="18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3200" w:type="dxa"/>
            <w:vAlign w:val="bottom"/>
            <w:gridSpan w:val="2"/>
          </w:tcPr>
          <w:p>
            <w:pPr>
              <w:jc w:val="right"/>
              <w:ind w:right="121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1"/>
              </w:rPr>
              <w:t>0.84</w:t>
            </w:r>
          </w:p>
        </w:tc>
        <w:tc>
          <w:tcPr>
            <w:tcW w:w="220" w:type="dxa"/>
            <w:vAlign w:val="bottom"/>
          </w:tcPr>
          <w:p>
            <w:pPr>
              <w:spacing w:after="0"/>
              <w:rPr>
                <w:sz w:val="15"/>
                <w:szCs w:val="15"/>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5"/>
                <w:szCs w:val="15"/>
                <w:color w:val="auto"/>
                <w:w w:val="91"/>
              </w:rPr>
              <w:t>0.84</w:t>
            </w:r>
          </w:p>
        </w:tc>
        <w:tc>
          <w:tcPr>
            <w:tcW w:w="140" w:type="dxa"/>
            <w:vAlign w:val="bottom"/>
          </w:tcPr>
          <w:p>
            <w:pPr>
              <w:spacing w:after="0"/>
              <w:rPr>
                <w:sz w:val="15"/>
                <w:szCs w:val="15"/>
                <w:color w:val="auto"/>
              </w:rPr>
            </w:pPr>
          </w:p>
        </w:tc>
      </w:tr>
      <w:tr>
        <w:trPr>
          <w:trHeight w:val="18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18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1"/>
              </w:rPr>
              <w:t>3.40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5"/>
                <w:szCs w:val="15"/>
                <w:color w:val="auto"/>
                <w:w w:val="91"/>
              </w:rPr>
              <w:t>3.65</w:t>
            </w:r>
          </w:p>
        </w:tc>
        <w:tc>
          <w:tcPr>
            <w:tcW w:w="140" w:type="dxa"/>
            <w:vAlign w:val="bottom"/>
            <w:shd w:val="clear" w:color="auto" w:fill="CCEEFF"/>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71.3%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w w:val="97"/>
              </w:rPr>
              <w:t>60.0%</w:t>
            </w:r>
          </w:p>
        </w:tc>
      </w:tr>
      <w:tr>
        <w:trPr>
          <w:trHeight w:val="18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8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3.67%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5"/>
                <w:szCs w:val="15"/>
                <w:color w:val="auto"/>
                <w:w w:val="97"/>
              </w:rPr>
              <w:t>4.31%</w:t>
            </w:r>
          </w:p>
        </w:tc>
      </w:tr>
    </w:tbl>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 as it is generally accepted that market participants to not pay for the full volatility.</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each reporting period with the change in fair value being recognized in other income. The measured fair value may be uncertain due to the use of unobservable inputs. At June 30, 2025 and December 31, 2024, the fair value of the warrant liability was $1,066,542 and $1,448,109, respectively, and was included in the accrued expenses and other liabilities in the Company’s condensed consolidated balance sheets. At June 30, 2024 and December 31, 2023, the fair value of the warrant liability was $337,389 and $480,281, respectively. The changes in fair value during the three and six months ended June 30, 2025, amounted to a loss and income of $429,403 and $58,455, respectively, included in other income in our condensed consolidated statement of operations and comprehensive income (loss). The changes in fair value during the three and six months ended June 30, 2024, amounted to an income of $147,993 and $142,892, included in other income in our condensed consolidated statements of operations and comprehensive income (loss).</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During the six months ended June 30, 2025, the Investors exercised 189,285 warrants, for which the Company received $159,000 in proceeds and recorded a loss of $128,085 upon revaluation of the exercised warrants. The loss is included in other income in our condensed consolidated statements of operations and comprehensive income (loss). There were no such exercises during the six months ended June 30, 2024. As of June 30, 2025, 391,664 of the convertible notes warrants have been exercised.</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The Convertible Notes Warrants were initially measured at fair value and are being re-measured at fair value at each subsequent reporting date. The change in fair value during the three and six months ended June 30, 2025 and 2024,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Warrants</w:t>
            </w:r>
          </w:p>
        </w:tc>
      </w:tr>
      <w:tr>
        <w:trPr>
          <w:trHeight w:val="17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at December 31, 2024</w:t>
            </w: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1,448,109</w:t>
            </w:r>
          </w:p>
        </w:tc>
        <w:tc>
          <w:tcPr>
            <w:tcW w:w="2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1,405,470</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34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(487,857)</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Exercises</w:t>
            </w: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(323,113)</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(189,285)</w:t>
            </w:r>
          </w:p>
        </w:tc>
      </w:tr>
      <w:tr>
        <w:trPr>
          <w:trHeight w:val="171"/>
        </w:trPr>
        <w:tc>
          <w:tcPr>
            <w:tcW w:w="560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Fair value at March 31, 2025</w:t>
            </w:r>
          </w:p>
        </w:tc>
        <w:tc>
          <w:tcPr>
            <w:tcW w:w="340" w:type="dxa"/>
            <w:vAlign w:val="bottom"/>
            <w:tcBorders>
              <w:top w:val="single" w:sz="8" w:color="auto"/>
            </w:tcBorders>
          </w:tcPr>
          <w:p>
            <w:pPr>
              <w:jc w:val="right"/>
              <w:ind w:right="1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637,139</w:t>
            </w:r>
          </w:p>
        </w:tc>
        <w:tc>
          <w:tcPr>
            <w:tcW w:w="260" w:type="dxa"/>
            <w:vAlign w:val="bottom"/>
          </w:tcPr>
          <w:p>
            <w:pPr>
              <w:spacing w:after="0"/>
              <w:rPr>
                <w:sz w:val="14"/>
                <w:szCs w:val="14"/>
                <w:color w:val="auto"/>
              </w:rPr>
            </w:pPr>
          </w:p>
        </w:tc>
        <w:tc>
          <w:tcPr>
            <w:tcW w:w="15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1,216,185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429,403</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Fair value at June 30, 2025</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1,066,542</w:t>
            </w:r>
          </w:p>
        </w:tc>
        <w:tc>
          <w:tcPr>
            <w:tcW w:w="260" w:type="dxa"/>
            <w:vAlign w:val="bottom"/>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1,216,185</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2260" w:type="dxa"/>
            <w:vAlign w:val="bottom"/>
          </w:tcPr>
          <w:p>
            <w:pPr>
              <w:spacing w:after="0"/>
              <w:rPr>
                <w:sz w:val="17"/>
                <w:szCs w:val="17"/>
                <w:color w:val="auto"/>
              </w:rPr>
            </w:pPr>
          </w:p>
        </w:tc>
      </w:tr>
      <w:tr>
        <w:trPr>
          <w:trHeight w:val="172"/>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at December 31, 2023</w:t>
            </w:r>
          </w:p>
        </w:tc>
        <w:tc>
          <w:tcPr>
            <w:tcW w:w="17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ind w:right="82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480,281</w:t>
            </w:r>
          </w:p>
        </w:tc>
        <w:tc>
          <w:tcPr>
            <w:tcW w:w="2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714,285</w:t>
            </w:r>
          </w:p>
        </w:tc>
        <w:tc>
          <w:tcPr>
            <w:tcW w:w="80" w:type="dxa"/>
            <w:vAlign w:val="bottom"/>
            <w:tcBorders>
              <w:top w:val="single" w:sz="8" w:color="CCEEFF"/>
            </w:tcBorders>
            <w:shd w:val="clear" w:color="auto" w:fill="CCEEFF"/>
          </w:tcPr>
          <w:p>
            <w:pPr>
              <w:spacing w:after="0"/>
              <w:rPr>
                <w:sz w:val="14"/>
                <w:szCs w:val="14"/>
                <w:color w:val="auto"/>
              </w:rPr>
            </w:pPr>
          </w:p>
        </w:tc>
        <w:tc>
          <w:tcPr>
            <w:tcW w:w="2260" w:type="dxa"/>
            <w:vAlign w:val="bottom"/>
          </w:tcPr>
          <w:p>
            <w:pPr>
              <w:spacing w:after="0"/>
              <w:rPr>
                <w:sz w:val="14"/>
                <w:szCs w:val="14"/>
                <w:color w:val="auto"/>
              </w:rPr>
            </w:pPr>
          </w:p>
        </w:tc>
      </w:tr>
      <w:tr>
        <w:trPr>
          <w:trHeight w:val="180"/>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5,101</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60" w:type="dxa"/>
            <w:vAlign w:val="bottom"/>
          </w:tcPr>
          <w:p>
            <w:pPr>
              <w:spacing w:after="0"/>
              <w:rPr>
                <w:sz w:val="15"/>
                <w:szCs w:val="15"/>
                <w:color w:val="auto"/>
              </w:rPr>
            </w:pPr>
          </w:p>
        </w:tc>
      </w:tr>
      <w:tr>
        <w:trPr>
          <w:trHeight w:val="19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Anti-dilution adjustment</w:t>
            </w:r>
          </w:p>
        </w:tc>
        <w:tc>
          <w:tcPr>
            <w:tcW w:w="17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893,563</w:t>
            </w:r>
          </w:p>
        </w:tc>
        <w:tc>
          <w:tcPr>
            <w:tcW w:w="2260" w:type="dxa"/>
            <w:vAlign w:val="bottom"/>
          </w:tcPr>
          <w:p>
            <w:pPr>
              <w:spacing w:after="0"/>
              <w:rPr>
                <w:sz w:val="16"/>
                <w:szCs w:val="16"/>
                <w:color w:val="auto"/>
              </w:rPr>
            </w:pPr>
          </w:p>
        </w:tc>
      </w:tr>
      <w:tr>
        <w:trPr>
          <w:trHeight w:val="171"/>
        </w:trPr>
        <w:tc>
          <w:tcPr>
            <w:tcW w:w="384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Fair value at March 31, 2024</w:t>
            </w:r>
          </w:p>
        </w:tc>
        <w:tc>
          <w:tcPr>
            <w:tcW w:w="1760" w:type="dxa"/>
            <w:vAlign w:val="bottom"/>
          </w:tcPr>
          <w:p>
            <w:pPr>
              <w:spacing w:after="0"/>
              <w:rPr>
                <w:sz w:val="14"/>
                <w:szCs w:val="14"/>
                <w:color w:val="auto"/>
              </w:rPr>
            </w:pPr>
          </w:p>
        </w:tc>
        <w:tc>
          <w:tcPr>
            <w:tcW w:w="980" w:type="dxa"/>
            <w:vAlign w:val="bottom"/>
            <w:tcBorders>
              <w:top w:val="single" w:sz="8" w:color="auto"/>
            </w:tcBorders>
          </w:tcPr>
          <w:p>
            <w:pPr>
              <w:jc w:val="center"/>
              <w:ind w:right="825"/>
              <w:spacing w:after="0" w:line="171"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485,382</w:t>
            </w:r>
          </w:p>
        </w:tc>
        <w:tc>
          <w:tcPr>
            <w:tcW w:w="260" w:type="dxa"/>
            <w:vAlign w:val="bottom"/>
          </w:tcPr>
          <w:p>
            <w:pPr>
              <w:spacing w:after="0"/>
              <w:rPr>
                <w:sz w:val="14"/>
                <w:szCs w:val="14"/>
                <w:color w:val="auto"/>
              </w:rPr>
            </w:pPr>
          </w:p>
        </w:tc>
        <w:tc>
          <w:tcPr>
            <w:tcW w:w="15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1,607,848</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7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(147,993)</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60" w:type="dxa"/>
            <w:vAlign w:val="bottom"/>
          </w:tcPr>
          <w:p>
            <w:pPr>
              <w:spacing w:after="0"/>
              <w:rPr>
                <w:sz w:val="16"/>
                <w:szCs w:val="16"/>
                <w:color w:val="auto"/>
              </w:rPr>
            </w:pPr>
          </w:p>
        </w:tc>
      </w:tr>
      <w:tr>
        <w:trPr>
          <w:trHeight w:val="182"/>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Fair value at June 30, 2024</w:t>
            </w:r>
          </w:p>
        </w:tc>
        <w:tc>
          <w:tcPr>
            <w:tcW w:w="17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center"/>
              <w:ind w:right="82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337,389</w:t>
            </w:r>
          </w:p>
        </w:tc>
        <w:tc>
          <w:tcPr>
            <w:tcW w:w="260" w:type="dxa"/>
            <w:vAlign w:val="bottom"/>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1,607,848</w:t>
            </w: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33"/>
        </w:trPr>
        <w:tc>
          <w:tcPr>
            <w:tcW w:w="38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center"/>
              <w:ind w:left="785"/>
              <w:spacing w:after="0"/>
              <w:rPr>
                <w:sz w:val="20"/>
                <w:szCs w:val="20"/>
                <w:color w:val="auto"/>
              </w:rPr>
            </w:pPr>
            <w:r>
              <w:rPr>
                <w:rFonts w:ascii="Times New Roman" w:cs="Times New Roman" w:eastAsia="Times New Roman" w:hAnsi="Times New Roman"/>
                <w:sz w:val="15"/>
                <w:szCs w:val="15"/>
                <w:color w:val="auto"/>
              </w:rPr>
              <w:t>27</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93" w:right="319" w:bottom="1440" w:gutter="0" w:footer="0" w:header="0"/>
        </w:sectPr>
      </w:pPr>
    </w:p>
    <w:bookmarkStart w:id="30" w:name="page31"/>
    <w:bookmarkEnd w:id="30"/>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Line Purchase Agreement</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As of June 30, 2025, the Company has not sold any Class A common stock under the Equity Line Purchase Agreement.</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registration statement covering the offer and sale of up to 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Concurrently with the signing of the Equity Line Purchase Agreement, the Company issued the equity line warrant to purchase 367,647 shares of its Class A common stock to the investor as a commitment fee. The total fair value, at the date of issuance, of the equity line warrant of approximately $105,411 was recorded as a liability and deferred offering cost and is included in other assets on our condensed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 Line Warrants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On August 24, 2023, the Company issued a warrant to an investor (the “Equity Line Warrant”) for the purchase of 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Investors warrants allow them to purchase the 367,647 shares of the Company’s Class A common stock for an exercise price of $1.50. The warrants can be exercised, subject to certain ownership limitations, in whole or in part during the exercise period commencing on August 24, 2023 and ending on the date that is five years thereafter.</w:t>
      </w:r>
    </w:p>
    <w:p>
      <w:pPr>
        <w:spacing w:after="0" w:line="1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spacing w:after="0" w:line="13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Due to their adjustment provision, the warrants are classified as a liability on the consolidated balance sheet. The fair value of the warrants has been estimated using a Black-Scholes pricing model as of June 30, 2025 and a Monte Carlo pricing model as of December 31, 2024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72"/>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18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1"/>
              </w:rPr>
              <w:t>1.37</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5"/>
                <w:szCs w:val="15"/>
                <w:color w:val="auto"/>
                <w:w w:val="91"/>
              </w:rPr>
              <w:t>1.86</w:t>
            </w:r>
          </w:p>
        </w:tc>
        <w:tc>
          <w:tcPr>
            <w:tcW w:w="140" w:type="dxa"/>
            <w:vAlign w:val="bottom"/>
            <w:tcBorders>
              <w:top w:val="single" w:sz="8" w:color="CCEEFF"/>
            </w:tcBorders>
            <w:shd w:val="clear" w:color="auto" w:fill="CCEEFF"/>
          </w:tcPr>
          <w:p>
            <w:pPr>
              <w:spacing w:after="0"/>
              <w:rPr>
                <w:sz w:val="14"/>
                <w:szCs w:val="14"/>
                <w:color w:val="auto"/>
              </w:rPr>
            </w:pPr>
          </w:p>
        </w:tc>
      </w:tr>
      <w:tr>
        <w:trPr>
          <w:trHeight w:val="18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3200" w:type="dxa"/>
            <w:vAlign w:val="bottom"/>
            <w:gridSpan w:val="2"/>
          </w:tcPr>
          <w:p>
            <w:pPr>
              <w:jc w:val="right"/>
              <w:ind w:right="121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1"/>
              </w:rPr>
              <w:t>1.50</w:t>
            </w:r>
          </w:p>
        </w:tc>
        <w:tc>
          <w:tcPr>
            <w:tcW w:w="220" w:type="dxa"/>
            <w:vAlign w:val="bottom"/>
          </w:tcPr>
          <w:p>
            <w:pPr>
              <w:spacing w:after="0"/>
              <w:rPr>
                <w:sz w:val="15"/>
                <w:szCs w:val="15"/>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5"/>
                <w:szCs w:val="15"/>
                <w:color w:val="auto"/>
                <w:w w:val="91"/>
              </w:rPr>
              <w:t>1.50</w:t>
            </w:r>
          </w:p>
        </w:tc>
        <w:tc>
          <w:tcPr>
            <w:tcW w:w="140" w:type="dxa"/>
            <w:vAlign w:val="bottom"/>
          </w:tcPr>
          <w:p>
            <w:pPr>
              <w:spacing w:after="0"/>
              <w:rPr>
                <w:sz w:val="15"/>
                <w:szCs w:val="15"/>
                <w:color w:val="auto"/>
              </w:rPr>
            </w:pPr>
          </w:p>
        </w:tc>
      </w:tr>
      <w:tr>
        <w:trPr>
          <w:trHeight w:val="18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18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1"/>
              </w:rPr>
              <w:t>3.15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5"/>
                <w:szCs w:val="15"/>
                <w:color w:val="auto"/>
                <w:w w:val="91"/>
              </w:rPr>
              <w:t>3.65</w:t>
            </w:r>
          </w:p>
        </w:tc>
        <w:tc>
          <w:tcPr>
            <w:tcW w:w="140" w:type="dxa"/>
            <w:vAlign w:val="bottom"/>
            <w:shd w:val="clear" w:color="auto" w:fill="CCEEFF"/>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87.1%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w w:val="97"/>
              </w:rPr>
              <w:t>60.0%</w:t>
            </w:r>
          </w:p>
        </w:tc>
      </w:tr>
      <w:tr>
        <w:trPr>
          <w:trHeight w:val="18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8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3.65%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5"/>
                <w:szCs w:val="15"/>
                <w:color w:val="auto"/>
                <w:w w:val="97"/>
              </w:rPr>
              <w:t>4.31%</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at each reporting period and with the change in fair value being recognized in earnings. The measured fair value may be uncertain due to the use of unobservable inputs. At June 30, 2025 and December 31, 2024, the fair value of the warrant liability was $259,075 and $292,004 respectively, and included in the accrued expenses and other liabilities in the Company’s condensed consolidated balance sheets. The changes in fair value during the three and six months ended June 30, 2025, amounted to (expense) income of ($118,732) and $32,929, respectively, and is included in other income in our condensed consolidated statements of operations and comprehensive income (loss). The changes in fair value during the three and six months ended June 30, 2024, amounted to an income of $20,194 and $29,814, respectively, and is included in other income in our condensed consolidated statements of operations and comprehensive income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June 30, 2025 and 2024, 33,333 and 0 warrants have been exercised, respectively.</w:t>
      </w:r>
    </w:p>
    <w:p>
      <w:pPr>
        <w:spacing w:after="0" w:line="18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The Equity Line Warrants were initially measured at fair value and are being re-measured at fair value at each subsequent reporting date. The change in fair value during the three and six months ended June 30, 2025 and 2024,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Warrants</w:t>
            </w:r>
          </w:p>
        </w:tc>
      </w:tr>
      <w:tr>
        <w:trPr>
          <w:trHeight w:val="171"/>
        </w:trPr>
        <w:tc>
          <w:tcPr>
            <w:tcW w:w="56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Fair value, at December 31, 2024</w:t>
            </w:r>
          </w:p>
        </w:tc>
        <w:tc>
          <w:tcPr>
            <w:tcW w:w="980" w:type="dxa"/>
            <w:vAlign w:val="bottom"/>
            <w:tcBorders>
              <w:top w:val="single" w:sz="8" w:color="auto"/>
            </w:tcBorders>
            <w:shd w:val="clear" w:color="auto" w:fill="CCEEFF"/>
          </w:tcPr>
          <w:p>
            <w:pPr>
              <w:jc w:val="right"/>
              <w:ind w:right="8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292,004</w:t>
            </w:r>
          </w:p>
        </w:tc>
        <w:tc>
          <w:tcPr>
            <w:tcW w:w="2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334,314</w:t>
            </w:r>
          </w:p>
        </w:tc>
        <w:tc>
          <w:tcPr>
            <w:tcW w:w="80" w:type="dxa"/>
            <w:vAlign w:val="bottom"/>
            <w:tcBorders>
              <w:top w:val="single" w:sz="8" w:color="CCEEFF"/>
            </w:tcBorders>
            <w:shd w:val="clear" w:color="auto" w:fill="CCEEFF"/>
          </w:tcPr>
          <w:p>
            <w:pPr>
              <w:spacing w:after="0"/>
              <w:rPr>
                <w:sz w:val="14"/>
                <w:szCs w:val="14"/>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9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8"/>
              </w:rPr>
              <w:t>(151,661)</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1"/>
        </w:trPr>
        <w:tc>
          <w:tcPr>
            <w:tcW w:w="56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Fair value at March 31, 2025</w:t>
            </w:r>
          </w:p>
        </w:tc>
        <w:tc>
          <w:tcPr>
            <w:tcW w:w="980" w:type="dxa"/>
            <w:vAlign w:val="bottom"/>
            <w:tcBorders>
              <w:top w:val="single" w:sz="8" w:color="auto"/>
            </w:tcBorders>
            <w:shd w:val="clear" w:color="auto" w:fill="CCEEFF"/>
          </w:tcPr>
          <w:p>
            <w:pPr>
              <w:jc w:val="right"/>
              <w:ind w:right="8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140,343</w:t>
            </w:r>
          </w:p>
        </w:tc>
        <w:tc>
          <w:tcPr>
            <w:tcW w:w="2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334,314</w:t>
            </w:r>
          </w:p>
        </w:tc>
        <w:tc>
          <w:tcPr>
            <w:tcW w:w="80" w:type="dxa"/>
            <w:vAlign w:val="bottom"/>
            <w:tcBorders>
              <w:top w:val="single" w:sz="8" w:color="CCEEFF"/>
            </w:tcBorders>
            <w:shd w:val="clear" w:color="auto" w:fill="CCEEFF"/>
          </w:tcPr>
          <w:p>
            <w:pPr>
              <w:spacing w:after="0"/>
              <w:rPr>
                <w:sz w:val="14"/>
                <w:szCs w:val="14"/>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9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118,732</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at June 30, 2025</w:t>
            </w: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259,075</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334,314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Warrants</w:t>
            </w:r>
          </w:p>
        </w:tc>
      </w:tr>
      <w:tr>
        <w:trPr>
          <w:trHeight w:val="17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at December 31, 2023</w:t>
            </w:r>
          </w:p>
        </w:tc>
        <w:tc>
          <w:tcPr>
            <w:tcW w:w="1000" w:type="dxa"/>
            <w:vAlign w:val="bottom"/>
            <w:tcBorders>
              <w:top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103,767</w:t>
            </w:r>
          </w:p>
        </w:tc>
        <w:tc>
          <w:tcPr>
            <w:tcW w:w="2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367,647</w:t>
            </w:r>
          </w:p>
        </w:tc>
        <w:tc>
          <w:tcPr>
            <w:tcW w:w="80" w:type="dxa"/>
            <w:vAlign w:val="bottom"/>
            <w:tcBorders>
              <w:top w:val="single" w:sz="8" w:color="CCEEFF"/>
            </w:tcBorders>
            <w:shd w:val="clear" w:color="auto" w:fill="CCEEFF"/>
          </w:tcPr>
          <w:p>
            <w:pPr>
              <w:spacing w:after="0"/>
              <w:rPr>
                <w:sz w:val="14"/>
                <w:szCs w:val="14"/>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0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(9,620)</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1"/>
        </w:trPr>
        <w:tc>
          <w:tcPr>
            <w:tcW w:w="56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Fair value at March 31, 2024</w:t>
            </w:r>
          </w:p>
        </w:tc>
        <w:tc>
          <w:tcPr>
            <w:tcW w:w="1000" w:type="dxa"/>
            <w:vAlign w:val="bottom"/>
            <w:tcBorders>
              <w:top w:val="single" w:sz="8" w:color="auto"/>
            </w:tcBorders>
            <w:shd w:val="clear" w:color="auto" w:fill="CCEEFF"/>
          </w:tcPr>
          <w:p>
            <w:pPr>
              <w:jc w:val="right"/>
              <w:ind w:right="8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94,147</w:t>
            </w:r>
          </w:p>
        </w:tc>
        <w:tc>
          <w:tcPr>
            <w:tcW w:w="2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367,647</w:t>
            </w:r>
          </w:p>
        </w:tc>
        <w:tc>
          <w:tcPr>
            <w:tcW w:w="80" w:type="dxa"/>
            <w:vAlign w:val="bottom"/>
            <w:tcBorders>
              <w:top w:val="single" w:sz="8" w:color="CCEEFF"/>
            </w:tcBorders>
            <w:shd w:val="clear" w:color="auto" w:fill="CCEEFF"/>
          </w:tcPr>
          <w:p>
            <w:pPr>
              <w:spacing w:after="0"/>
              <w:rPr>
                <w:sz w:val="14"/>
                <w:szCs w:val="14"/>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0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(20,194)</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at June 30, 2024</w:t>
            </w:r>
          </w:p>
        </w:tc>
        <w:tc>
          <w:tcPr>
            <w:tcW w:w="1000" w:type="dxa"/>
            <w:vAlign w:val="bottom"/>
            <w:tcBorders>
              <w:top w:val="single" w:sz="8" w:color="auto"/>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73,953</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367,647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 (“RSUs”)</w:t>
      </w:r>
    </w:p>
    <w:p>
      <w:pPr>
        <w:spacing w:after="0" w:line="19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RSUs granted to directors vest based on the directors’ continued employment with us through each applicable vest date, which is generally over one year. If the vesting conditions are not met, unvested RSUs will be forfeited. The following table summarizes our RSU units’ activity with directors for the six months ended June 30, 2025 and 2024, respectively.</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0"/>
        </w:trPr>
        <w:tc>
          <w:tcPr>
            <w:tcW w:w="5600" w:type="dxa"/>
            <w:vAlign w:val="bottom"/>
          </w:tcPr>
          <w:p>
            <w:pPr>
              <w:spacing w:after="0"/>
              <w:rPr>
                <w:sz w:val="15"/>
                <w:szCs w:val="15"/>
                <w:color w:val="auto"/>
              </w:rPr>
            </w:pP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Grant-Date</w:t>
            </w:r>
          </w:p>
        </w:tc>
      </w:tr>
      <w:tr>
        <w:trPr>
          <w:trHeight w:val="197"/>
        </w:trPr>
        <w:tc>
          <w:tcPr>
            <w:tcW w:w="5600" w:type="dxa"/>
            <w:vAlign w:val="bottom"/>
          </w:tcPr>
          <w:p>
            <w:pPr>
              <w:spacing w:after="0"/>
              <w:rPr>
                <w:sz w:val="17"/>
                <w:szCs w:val="17"/>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Fair Values</w:t>
            </w:r>
          </w:p>
        </w:tc>
      </w:tr>
      <w:tr>
        <w:trPr>
          <w:trHeight w:val="17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337,774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tcPr>
          <w:p>
            <w:pPr>
              <w:spacing w:after="0"/>
              <w:rPr>
                <w:sz w:val="15"/>
                <w:szCs w:val="15"/>
                <w:color w:val="auto"/>
              </w:rPr>
            </w:pP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(204,442)</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shd w:val="clear" w:color="auto" w:fill="CCEEFF"/>
          </w:tcPr>
          <w:p>
            <w:pPr>
              <w:spacing w:after="0"/>
              <w:rPr>
                <w:sz w:val="15"/>
                <w:szCs w:val="15"/>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60"/>
        </w:trPr>
        <w:tc>
          <w:tcPr>
            <w:tcW w:w="560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Outstanding as of June 30, 2025</w:t>
            </w:r>
          </w:p>
        </w:tc>
        <w:tc>
          <w:tcPr>
            <w:tcW w:w="1520" w:type="dxa"/>
            <w:vAlign w:val="bottom"/>
            <w:tcBorders>
              <w:top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133,332</w:t>
            </w: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1.35</w:t>
            </w:r>
          </w:p>
        </w:tc>
        <w:tc>
          <w:tcPr>
            <w:tcW w:w="100" w:type="dxa"/>
            <w:vAlign w:val="bottom"/>
            <w:tcBorders>
              <w:top w:val="single" w:sz="8" w:color="CCEEFF"/>
            </w:tcBorders>
            <w:shd w:val="clear" w:color="auto" w:fill="CCEEFF"/>
          </w:tcPr>
          <w:p>
            <w:pPr>
              <w:spacing w:after="0"/>
              <w:rPr>
                <w:sz w:val="13"/>
                <w:szCs w:val="13"/>
                <w:color w:val="auto"/>
              </w:rPr>
            </w:pPr>
          </w:p>
        </w:tc>
      </w:tr>
    </w:tbl>
    <w:p>
      <w:pPr>
        <w:sectPr>
          <w:pgSz w:w="11900" w:h="16900" w:orient="portrait"/>
          <w:cols w:equalWidth="0" w:num="1">
            <w:col w:w="11280"/>
          </w:cols>
          <w:pgMar w:left="300" w:top="593" w:right="319" w:bottom="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4469765</wp:posOffset>
            </wp:positionH>
            <wp:positionV relativeFrom="page">
              <wp:posOffset>88900</wp:posOffset>
            </wp:positionV>
            <wp:extent cx="21113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0"/>
        </w:trPr>
        <w:tc>
          <w:tcPr>
            <w:tcW w:w="5600" w:type="dxa"/>
            <w:vAlign w:val="bottom"/>
          </w:tcPr>
          <w:p>
            <w:pPr>
              <w:spacing w:after="0"/>
              <w:rPr>
                <w:sz w:val="15"/>
                <w:szCs w:val="15"/>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Grant-Date</w:t>
            </w:r>
          </w:p>
        </w:tc>
      </w:tr>
      <w:tr>
        <w:trPr>
          <w:trHeight w:val="197"/>
        </w:trPr>
        <w:tc>
          <w:tcPr>
            <w:tcW w:w="560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Fair Values</w:t>
            </w:r>
          </w:p>
        </w:tc>
      </w:tr>
      <w:tr>
        <w:trPr>
          <w:trHeight w:val="17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43,478</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(21,739)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(1.38)</w:t>
            </w: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71"/>
        </w:trPr>
        <w:tc>
          <w:tcPr>
            <w:tcW w:w="56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Outstanding as of June 30, 2024</w:t>
            </w:r>
          </w:p>
        </w:tc>
        <w:tc>
          <w:tcPr>
            <w:tcW w:w="15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21,739</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1.38</w:t>
            </w:r>
          </w:p>
        </w:tc>
        <w:tc>
          <w:tcPr>
            <w:tcW w:w="100" w:type="dxa"/>
            <w:vAlign w:val="bottom"/>
            <w:tcBorders>
              <w:top w:val="single" w:sz="8" w:color="CCEEFF"/>
            </w:tcBorders>
            <w:shd w:val="clear" w:color="auto" w:fill="CCEEFF"/>
          </w:tcPr>
          <w:p>
            <w:pPr>
              <w:spacing w:after="0"/>
              <w:rPr>
                <w:sz w:val="14"/>
                <w:szCs w:val="14"/>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RSUs granted to directors is based on the quoted market price of our common stock on the date of grant.</w:t>
      </w:r>
    </w:p>
    <w:p>
      <w:pPr>
        <w:spacing w:after="0" w:line="1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0160"/>
          </w:cols>
          <w:pgMar w:left="300" w:top="312" w:right="14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5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1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The following table summarizes our PSU activity with employees, presented with the maximum number of shares that could potentially vest, for the six months ended June 30, 2025 and 2024.</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0"/>
        </w:trPr>
        <w:tc>
          <w:tcPr>
            <w:tcW w:w="5600" w:type="dxa"/>
            <w:vAlign w:val="bottom"/>
          </w:tcPr>
          <w:p>
            <w:pPr>
              <w:spacing w:after="0"/>
              <w:rPr>
                <w:sz w:val="15"/>
                <w:szCs w:val="15"/>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Grant-Date</w:t>
            </w:r>
          </w:p>
        </w:tc>
      </w:tr>
      <w:tr>
        <w:trPr>
          <w:trHeight w:val="197"/>
        </w:trPr>
        <w:tc>
          <w:tcPr>
            <w:tcW w:w="5600" w:type="dxa"/>
            <w:vAlign w:val="bottom"/>
          </w:tcPr>
          <w:p>
            <w:pPr>
              <w:spacing w:after="0"/>
              <w:rPr>
                <w:sz w:val="17"/>
                <w:szCs w:val="17"/>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Fair Values</w:t>
            </w:r>
          </w:p>
        </w:tc>
      </w:tr>
      <w:tr>
        <w:trPr>
          <w:trHeight w:val="17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1,142,284</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w:t>
            </w:r>
          </w:p>
        </w:tc>
      </w:tr>
      <w:tr>
        <w:trPr>
          <w:trHeight w:val="171"/>
        </w:trPr>
        <w:tc>
          <w:tcPr>
            <w:tcW w:w="56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Outstanding as of June 30, 2025</w:t>
            </w:r>
          </w:p>
        </w:tc>
        <w:tc>
          <w:tcPr>
            <w:tcW w:w="15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1,127,358</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5.00</w:t>
            </w:r>
          </w:p>
        </w:tc>
        <w:tc>
          <w:tcPr>
            <w:tcW w:w="100" w:type="dxa"/>
            <w:vAlign w:val="bottom"/>
            <w:tcBorders>
              <w:top w:val="single" w:sz="8" w:color="CCEEFF"/>
            </w:tcBorders>
            <w:shd w:val="clear" w:color="auto" w:fill="CCEEFF"/>
          </w:tcPr>
          <w:p>
            <w:pPr>
              <w:spacing w:after="0"/>
              <w:rPr>
                <w:sz w:val="14"/>
                <w:szCs w:val="14"/>
                <w:color w:val="auto"/>
              </w:rPr>
            </w:pPr>
          </w:p>
        </w:tc>
      </w:tr>
      <w:tr>
        <w:trPr>
          <w:trHeight w:val="332"/>
        </w:trPr>
        <w:tc>
          <w:tcPr>
            <w:tcW w:w="5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Weighted-</w:t>
            </w:r>
          </w:p>
        </w:tc>
      </w:tr>
      <w:tr>
        <w:trPr>
          <w:trHeight w:val="180"/>
        </w:trPr>
        <w:tc>
          <w:tcPr>
            <w:tcW w:w="5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0"/>
        </w:trPr>
        <w:tc>
          <w:tcPr>
            <w:tcW w:w="5600" w:type="dxa"/>
            <w:vAlign w:val="bottom"/>
          </w:tcPr>
          <w:p>
            <w:pPr>
              <w:spacing w:after="0"/>
              <w:rPr>
                <w:sz w:val="15"/>
                <w:szCs w:val="15"/>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Grant-Date</w:t>
            </w:r>
          </w:p>
        </w:tc>
      </w:tr>
      <w:tr>
        <w:trPr>
          <w:trHeight w:val="197"/>
        </w:trPr>
        <w:tc>
          <w:tcPr>
            <w:tcW w:w="5600" w:type="dxa"/>
            <w:vAlign w:val="bottom"/>
          </w:tcPr>
          <w:p>
            <w:pPr>
              <w:spacing w:after="0"/>
              <w:rPr>
                <w:sz w:val="17"/>
                <w:szCs w:val="17"/>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Fair Values</w:t>
            </w:r>
          </w:p>
        </w:tc>
      </w:tr>
      <w:tr>
        <w:trPr>
          <w:trHeight w:val="17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1,165,247</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(11,196)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w:t>
            </w:r>
          </w:p>
        </w:tc>
      </w:tr>
      <w:tr>
        <w:trPr>
          <w:trHeight w:val="171"/>
        </w:trPr>
        <w:tc>
          <w:tcPr>
            <w:tcW w:w="56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Outstanding as of June 30, 2024</w:t>
            </w:r>
          </w:p>
        </w:tc>
        <w:tc>
          <w:tcPr>
            <w:tcW w:w="15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1,154,051</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5.00</w:t>
            </w:r>
          </w:p>
        </w:tc>
        <w:tc>
          <w:tcPr>
            <w:tcW w:w="100" w:type="dxa"/>
            <w:vAlign w:val="bottom"/>
            <w:tcBorders>
              <w:top w:val="single" w:sz="8" w:color="CCEEFF"/>
            </w:tcBorders>
            <w:shd w:val="clear" w:color="auto" w:fill="CCEEFF"/>
          </w:tcPr>
          <w:p>
            <w:pPr>
              <w:spacing w:after="0"/>
              <w:rPr>
                <w:sz w:val="14"/>
                <w:szCs w:val="14"/>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PSUs granted to employees is based on the quoted market price of our common stock on the date of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Repurchase Activity</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of June 30, 2025,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were no share repurchases made during the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 (Income)</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During the six months ended June 30, 2024, the Company determined that it is probable that the Company will not meet the performance-based milestones required by the RSU’s granted to employees. Conversely, during the three months ended March 31, 2025, the Company determined it is probable it will meet the performance-based milestones required by said RSU’s, then in the three months ended June 30, 2025, the milestone was reverted back to not probable.</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Stock-based compensation (income) expense resulting from RSUs and PSUs of ($562,731) and $14,982 are recorded under general and administrative expenses included in our condensed consolidated statements of operations and comprehensive income (loss) for the three months ended June 30, 2025 and 2024, respectively. Stock-based compensation expense (income) resulting from RSUs and PSUs of $257,642 and ($848,685) are recorded under general and administrative expenses included in our condensed consolidated statements of operations and comprehensive income (loss) for the six months ended June 30, 2025 and 2024, respectively. Stock-based compensation (income) expense resulting from PSUs of ($32,196) and $1,033 are recorded under research and development expenses included in our condensed consolidated statements of operations and comprehensive income (loss) for the three months ended June 30, 2025 and 2024, respectively. Stock-based compensation expense (income) resulting from PSUs of $23,246 and ($63,208) are recorded under research and development expenses included in our condensed consolidated statements of operations and comprehensive income (loss) for the six months ended June 30, 2025 and 2024,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During the six months ended June 30, 2025 and 2024, the Company recognized approximately $62,898 of deferred income tax expense, and $181,230 of deferred income tax expense, respectively, related to our stock-based compensation expense.</w:t>
      </w:r>
    </w:p>
    <w:p>
      <w:pPr>
        <w:spacing w:after="0" w:line="13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As of June 30, 2025, our total unrecognized compensation cost related to RSUs and PSUs was approximately $1.7 million and is expected to be recognized over a weighted-average service period of 1.4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18 – OPERATING SEGMENTS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Company’s Chief Operating Decision Maker (“CODM”) is our Founder, Co-Chief Executive Officer, Chief Strategy Officer, and Chairman Mr. Hai Shi. The CODM assesses performance and decides how to allocate resources based on net loss to evaluate operational efficiency and direct resources of the Company. Segment assets are reported on the condensed consolidated balance sheets as total assets. The table below presents segment revenue, operating profit and significant expenses for the three and six months ended June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40" w:type="dxa"/>
            <w:vAlign w:val="bottom"/>
          </w:tcPr>
          <w:p>
            <w:pPr>
              <w:spacing w:after="0"/>
              <w:rPr>
                <w:sz w:val="17"/>
                <w:szCs w:val="17"/>
                <w:color w:val="auto"/>
              </w:rPr>
            </w:pPr>
          </w:p>
        </w:tc>
        <w:tc>
          <w:tcPr>
            <w:tcW w:w="3040" w:type="dxa"/>
            <w:vAlign w:val="bottom"/>
            <w:gridSpan w:val="6"/>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3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22,185,750</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21,606,650</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42,296,622</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35,722,379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3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15,231,005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13,504,174</w:t>
            </w:r>
          </w:p>
        </w:tc>
        <w:tc>
          <w:tcPr>
            <w:tcW w:w="3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29,494,350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25,545,872</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6,954,745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8,102,476</w:t>
            </w:r>
          </w:p>
        </w:tc>
        <w:tc>
          <w:tcPr>
            <w:tcW w:w="3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12,802,272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10,176,507</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Salaries and wages</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2,729,107</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1,981,379</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5,622,187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3,935,744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Public company expenses</w:t>
            </w:r>
          </w:p>
        </w:tc>
        <w:tc>
          <w:tcPr>
            <w:tcW w:w="3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198,293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147,853</w:t>
            </w:r>
          </w:p>
        </w:tc>
        <w:tc>
          <w:tcPr>
            <w:tcW w:w="3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361,799</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248,503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963,408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666,652</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2,871,173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893,677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3,293,409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1,860,881</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6,903,154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3,637,403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1,520,201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694,195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2,826,567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835,225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67,761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80,554</w:t>
            </w:r>
          </w:p>
        </w:tc>
        <w:tc>
          <w:tcPr>
            <w:tcW w:w="3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135,665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162,892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8,772,179</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5,431,514</w:t>
            </w: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18,720,545</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9,713,444</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income from operations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(1,817,434)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2,670,962</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(5,918,273)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463,063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other (expense) income, net</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(876,674)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173,166</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(193,630)</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122,657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income before benefit from income taxes</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(2,694,108)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2,844,128</w:t>
            </w: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(6,111,903)</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585,720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13,868,598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589,512</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12,397,768</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111,562</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(16,562,706)</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2,254,616</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(18,509,671)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474,158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Depreciation and amortization expense is consistent with those presented in the condensed consolidated statements of cash flows. There are no additional segment items requiring separate disclosure. Interest income, interest expense, other income and foreign currency transactions are captured in the total other income (expense), net line item. The Company continues to report revenue by geographic region as part of its revenue disclosures, see Note 3 –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The CFO provides reports to the CODM for key decision making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19 – BUSINESS COMBINATION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 xml:space="preserve">On May 2, 2025, the Company completed the acquisition of the remaining 66.0% equity interest in Matrioshka Games LLC (“Matrioshka”), increasing its ownership from 34.0% to 100.0%, and obtaining a controlling financial interest. The acquisition was accounted for as a business combination under the </w:t>
      </w:r>
      <w:r>
        <w:rPr>
          <w:rFonts w:ascii="Times New Roman" w:cs="Times New Roman" w:eastAsia="Times New Roman" w:hAnsi="Times New Roman"/>
          <w:sz w:val="15"/>
          <w:szCs w:val="15"/>
          <w:i w:val="1"/>
          <w:iCs w:val="1"/>
          <w:color w:val="auto"/>
        </w:rPr>
        <w:t>acquisition method of accounting</w:t>
      </w:r>
      <w:r>
        <w:rPr>
          <w:rFonts w:ascii="Times New Roman" w:cs="Times New Roman" w:eastAsia="Times New Roman" w:hAnsi="Times New Roman"/>
          <w:sz w:val="15"/>
          <w:szCs w:val="15"/>
          <w:color w:val="auto"/>
        </w:rPr>
        <w:t xml:space="preserve">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As a result, Matrioshka became a wholly owned subsidiary and is consolidated in the Company’s financial statements effective May 2, 2025. The Company previously accounted for its 34.0% interest in Matrioshka under the equity method of accounting. Upon obtaining control, the Company remeasured its previously held equity interest to its acquisition-date fair value, resulting in a recognition of a gain on remeasurement of $7,857 and included in the determination of the total purchase consideration. Matrioshka is a U.S.-based software development company. The acquisition is expected to enhance the Company’s human capital and software development capabilities. The acquisition was not material to the Company’s condensed consolidated financial statements, and the assets acquired and liabilities assumed have been recognized at their estimated fair values as of the acquisition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20 – SUBSEQUENT EVENTS</w:t>
      </w:r>
    </w:p>
    <w:p>
      <w:pPr>
        <w:spacing w:after="0" w:line="191" w:lineRule="exact"/>
        <w:rPr>
          <w:sz w:val="20"/>
          <w:szCs w:val="20"/>
          <w:color w:val="auto"/>
        </w:rPr>
      </w:pPr>
    </w:p>
    <w:p>
      <w:pPr>
        <w:jc w:val="both"/>
        <w:ind w:left="540" w:hanging="260"/>
        <w:spacing w:after="0" w:line="254"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exploring a potential strategic digital asset initiative, including the feasibility of developing a proprietary stablecoin. The stablecoin initiative is aimed at delivering a secure, regulated, and scalable solution that addresses current market gaps in digital payments and on-chain financial infrastructure. To support this initiative, the Company has set up a legal entity, Snail Coins, LLC. This event does not exist as of the balance sheet data and does not impact the Company’s financial position as of June 30, 2025.</w:t>
      </w:r>
    </w:p>
    <w:p>
      <w:pPr>
        <w:spacing w:after="0" w:line="2" w:lineRule="exact"/>
        <w:rPr>
          <w:rFonts w:ascii="Times New Roman" w:cs="Times New Roman" w:eastAsia="Times New Roman" w:hAnsi="Times New Roman"/>
          <w:sz w:val="15"/>
          <w:szCs w:val="15"/>
          <w:color w:val="auto"/>
        </w:rPr>
      </w:pPr>
    </w:p>
    <w:p>
      <w:pPr>
        <w:ind w:left="540" w:hanging="260"/>
        <w:spacing w:after="0" w:line="250"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received federal income tax refunds of $3.1 million and $0.6 million from the Internal Revenue Service related to an overpayment of income taxes for the 2022 and 2017 tax years. The refunds did not impact the results of operations for the period of June 30, 2025, and will be recognized in the period in which they were received.</w:t>
      </w:r>
    </w:p>
    <w:p>
      <w:pPr>
        <w:jc w:val="both"/>
        <w:ind w:left="540" w:hanging="260"/>
        <w:spacing w:after="0" w:line="250"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4, 2025, the One Big Beautiful Bill Act (OBBBA) was signed into law in the U.S. which contains a broad range of tax reform provisions affecting businesses. The Company is evaluating the full effects of this legislation and an estimate of the financial effect is not available yet. As the legislation was signed into law after the close our second quarter, the impacts are not included in our operating results for the six months ended June 30, 2025.</w:t>
      </w:r>
    </w:p>
    <w:p>
      <w:pPr>
        <w:jc w:val="both"/>
        <w:ind w:left="540" w:hanging="260"/>
        <w:spacing w:after="0" w:line="250"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August 2025 the Company entered into a quality control agreement with its related party Suzhou Snail. The Company will pay a $60,000 quarterly fee for services related to game testing and compliance work delivered by Suzhou Snail. The service period is August 1, 2025 through June 30, 2026 and the Company can terminate the agreement at any time with 30 days notice.</w:t>
      </w:r>
    </w:p>
    <w:p>
      <w:pPr>
        <w:jc w:val="both"/>
        <w:ind w:left="540" w:hanging="260"/>
        <w:spacing w:after="0" w:line="255"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August 2025 the Company entered into a second agreement with Suzhou Snail for the management of the SaltyTV application. The Company will pay a $180,000 quarterly fee for Suzhou Snail to manage all aspects of the SaltyTV application. The term of the agreement is from August 1, 2025 through June 30, 2026 and the Company can terminate the agreement at any time with 30 days notice.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2024, and the “Cautionary Statement Regarding Forward-Looking Statements” section of this Quarterly Report</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1"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5"/>
          <w:szCs w:val="15"/>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has been a top-25 selling game on the Steam platform by gross revenue in each year we released an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is a leader within the sandbox survival genre with 106.3 million console and PC installs through June 30, 2025 and repeated releases within the top-25 selling games on the Steam platform. See below for discussion of key performance metrics and non-GAAP measures. In the three and six months ended June 30, 2025,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combined for an average total of 242,000 and 242,000 daily active users (“DAUs”) on the Steam and Epic platforms, as compared to 218,241 and 213,691 in the three and six months ended June 30, 2024, respectively. We define “daily active users” as the number of unique users who play any given game on any given day. For the three months ended June 30, 2025 and 2024, we generated 90.1% and 77.2%,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For the six months ended June 30, 2025 and 2024, we generated 90.8% and 77.7%,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159"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5"/>
          <w:szCs w:val="15"/>
          <w:color w:val="auto"/>
        </w:rPr>
        <w:t xml:space="preserve">Our dedication to providing audiences with high-quality entertainment experiences utilizing the latest gaming technology has produced strong user engagement, continued revenue growth, and increased cash flows. Through June 30, 2025,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game has been played for 4.1 billion hours with an average playing time per user of 161 hours and with the top 21.3% of all players spending over 100 hours in the game, according to data from the Steam platform. For the three months ended June 30, 2025 and 2024, our net revenue was $22.2 million and $21.6 million, respectively. For the six months ended June 30, 2025 and 2024, our net revenue was $42.3 million and $35.7 million, respectively. During the three months ended June 30, 2025, approximately 42.8% of our revenue came from consoles, 45.2% from PC and 9.2% from mobile as compared to 38.6% from consoles, 54.7% from PC and 5.2% from mobile during the three months ended June 30, 2024. During the six month ended June 30, 2025, approximately 42.1% of our revenue came from consoles, 45.0% came from PC and 10.4% from mobile platforms as compared to 40.1% from consoles, 47.4% from PC and 5.9% from mobile platforms during the six month ended June 30, 2024. We had a net loss of $16.6 million compared to a net income of $2.3 million, for the three months ended June 30, 2025 and 2024, respectively. For the six months ended June 30, 2025, we had a net loss of $18.5 million as compared to net income of $0.5 million for the six months ended June 30, 2024.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color w:val="auto"/>
        </w:rPr>
        <w:t>Key Factors Affecting Our Business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There are a number of factors that affect the performance of our business, and the comparability of our results from period to period, including:</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content strategy</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by attracting new influencers and brand customers. We have established a new division internally under the Interactive Films brand. This division will focus on creating content in the vertical short film segment of the digital entertainment market. The mobile application has already soft launched on iOS and Android platforms. We have released fifty-five short film dramas including licensed films from external organizations and expect a consistent roll out of new short film dramas.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Growth of user base</w:t>
      </w:r>
    </w:p>
    <w:p>
      <w:pPr>
        <w:spacing w:after="0" w:line="19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 xml:space="preserve">We have experienced significant growth in our number of downloads over the last several years. We have sold 53.6 million units between January 1, 2016 and June 30, 2025. During the three months ended June 30, 2025, we sold 2.1 million units compared to 1.3 million in the three months ended June 30, 2024.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Survival Evolved </w:t>
      </w:r>
      <w:r>
        <w:rPr>
          <w:rFonts w:ascii="Times New Roman" w:cs="Times New Roman" w:eastAsia="Times New Roman" w:hAnsi="Times New Roman"/>
          <w:sz w:val="15"/>
          <w:szCs w:val="15"/>
          <w:color w:val="auto"/>
        </w:rPr>
        <w:t>is our master game and</w:t>
      </w:r>
      <w:r>
        <w:rPr>
          <w:rFonts w:ascii="Times New Roman" w:cs="Times New Roman" w:eastAsia="Times New Roman" w:hAnsi="Times New Roman"/>
          <w:sz w:val="15"/>
          <w:szCs w:val="15"/>
          <w:i w:val="1"/>
          <w:iCs w:val="1"/>
          <w:color w:val="auto"/>
        </w:rPr>
        <w:t xml:space="preserve"> ARK: Genesis </w:t>
      </w:r>
      <w:r>
        <w:rPr>
          <w:rFonts w:ascii="Times New Roman" w:cs="Times New Roman" w:eastAsia="Times New Roman" w:hAnsi="Times New Roman"/>
          <w:sz w:val="15"/>
          <w:szCs w:val="15"/>
          <w:color w:val="auto"/>
        </w:rPr>
        <w:t>is a DLC.</w:t>
      </w:r>
    </w:p>
    <w:p>
      <w:pPr>
        <w:spacing w:after="0" w:line="160"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technology platform</w:t>
      </w:r>
    </w:p>
    <w:p>
      <w:pPr>
        <w:spacing w:after="0" w:line="19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 xml:space="preserve">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Furthermore, to accompany our entry into the vertical short film market, we have developed a distribution platform, the </w:t>
      </w:r>
      <w:r>
        <w:rPr>
          <w:rFonts w:ascii="Times New Roman" w:cs="Times New Roman" w:eastAsia="Times New Roman" w:hAnsi="Times New Roman"/>
          <w:sz w:val="15"/>
          <w:szCs w:val="15"/>
          <w:i w:val="1"/>
          <w:iCs w:val="1"/>
          <w:color w:val="auto"/>
        </w:rPr>
        <w:t>Salty TV</w:t>
      </w:r>
      <w:r>
        <w:rPr>
          <w:rFonts w:ascii="Times New Roman" w:cs="Times New Roman" w:eastAsia="Times New Roman" w:hAnsi="Times New Roman"/>
          <w:sz w:val="15"/>
          <w:szCs w:val="15"/>
          <w:color w:val="auto"/>
        </w:rPr>
        <w:t xml:space="preserve"> mobile application that allows users to access the content on demand.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6" w:name="page37"/>
    <w:bookmarkEnd w:id="36"/>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Ability to release content, market effectively through cross media and expand the gaming group</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Strategic relationship with developers, Studio Wildcard &amp; Suzhou Snail</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have an exclusive license with Studio Wildcard for rights to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Relationship with third party distribution platforms</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Seasonality</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Recent Developments</w:t>
      </w:r>
    </w:p>
    <w:p>
      <w:pPr>
        <w:spacing w:after="0" w:line="1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5"/>
          <w:szCs w:val="15"/>
          <w:color w:val="auto"/>
        </w:rPr>
        <w:t xml:space="preserve">In February 2025, we released a brand new DLC map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ARK: Astraeos</w:t>
      </w:r>
      <w:r>
        <w:rPr>
          <w:rFonts w:ascii="Times New Roman" w:cs="Times New Roman" w:eastAsia="Times New Roman" w:hAnsi="Times New Roman"/>
          <w:sz w:val="15"/>
          <w:szCs w:val="15"/>
          <w:color w:val="auto"/>
        </w:rPr>
        <w:t>. This expansive Greek methodology map offers over 264-square kilometers of playable area, filled with stunning scenery, ancient ruins, sacred temples, and powerful new bosses. Since release, we sold 480K units across Steam, PlayStation, and Xbox. We have also completed two new game acquisitions through our gaming network and partners as part of the larger effort to expand our games portfolio.</w:t>
      </w:r>
    </w:p>
    <w:p>
      <w:pPr>
        <w:spacing w:after="0" w:line="14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5"/>
          <w:szCs w:val="15"/>
          <w:color w:val="auto"/>
        </w:rPr>
        <w:t xml:space="preserve">At GDC 2025, we officially announced the 10-year celebration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with a brand new DLC, </w:t>
      </w:r>
      <w:r>
        <w:rPr>
          <w:rFonts w:ascii="Times New Roman" w:cs="Times New Roman" w:eastAsia="Times New Roman" w:hAnsi="Times New Roman"/>
          <w:sz w:val="15"/>
          <w:szCs w:val="15"/>
          <w:i w:val="1"/>
          <w:iCs w:val="1"/>
          <w:color w:val="auto"/>
        </w:rPr>
        <w:t>ARK: Aquatica</w:t>
      </w:r>
      <w:r>
        <w:rPr>
          <w:rFonts w:ascii="Times New Roman" w:cs="Times New Roman" w:eastAsia="Times New Roman" w:hAnsi="Times New Roman"/>
          <w:sz w:val="15"/>
          <w:szCs w:val="15"/>
          <w:color w:val="auto"/>
        </w:rPr>
        <w:t xml:space="preserve">, released in July 2025. The new non-canonical expansion map features an ambitious underwater setting where 95% of gameplay will take place beneath the surface.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w:t>
      </w:r>
      <w:r>
        <w:rPr>
          <w:rFonts w:ascii="Times New Roman" w:cs="Times New Roman" w:eastAsia="Times New Roman" w:hAnsi="Times New Roman"/>
          <w:sz w:val="15"/>
          <w:szCs w:val="15"/>
          <w:color w:val="auto"/>
        </w:rPr>
        <w:t xml:space="preserve">e announced a new full-size canonical expansion, </w:t>
      </w:r>
      <w:r>
        <w:rPr>
          <w:rFonts w:ascii="Times New Roman" w:cs="Times New Roman" w:eastAsia="Times New Roman" w:hAnsi="Times New Roman"/>
          <w:sz w:val="15"/>
          <w:szCs w:val="15"/>
          <w:i w:val="1"/>
          <w:iCs w:val="1"/>
          <w:color w:val="auto"/>
        </w:rPr>
        <w:t>Lost Colony,</w:t>
      </w:r>
      <w:r>
        <w:rPr>
          <w:rFonts w:ascii="Times New Roman" w:cs="Times New Roman" w:eastAsia="Times New Roman" w:hAnsi="Times New Roman"/>
          <w:sz w:val="15"/>
          <w:szCs w:val="15"/>
          <w:color w:val="auto"/>
        </w:rPr>
        <w:t xml:space="preserve"> that sets in a frozen world where players follow legendary survivor Mei Yin on a perilous quest to uncover ARK’s buried secrets. Furthermore, we announced </w:t>
      </w:r>
      <w:r>
        <w:rPr>
          <w:rFonts w:ascii="Times New Roman" w:cs="Times New Roman" w:eastAsia="Times New Roman" w:hAnsi="Times New Roman"/>
          <w:sz w:val="15"/>
          <w:szCs w:val="15"/>
          <w:i w:val="1"/>
          <w:iCs w:val="1"/>
          <w:color w:val="auto"/>
        </w:rPr>
        <w:t xml:space="preserve">Bellwright </w:t>
      </w:r>
      <w:r>
        <w:rPr>
          <w:rFonts w:ascii="Times New Roman" w:cs="Times New Roman" w:eastAsia="Times New Roman" w:hAnsi="Times New Roman"/>
          <w:sz w:val="15"/>
          <w:szCs w:val="15"/>
          <w:color w:val="auto"/>
        </w:rPr>
        <w:t>will be released on the Xbox platform as a next step to broaden the game’s exposure and player base. We have also debut teaser trailers for two in-house developed projects,</w:t>
      </w:r>
      <w:r>
        <w:rPr>
          <w:rFonts w:ascii="Times New Roman" w:cs="Times New Roman" w:eastAsia="Times New Roman" w:hAnsi="Times New Roman"/>
          <w:sz w:val="15"/>
          <w:szCs w:val="15"/>
          <w:i w:val="1"/>
          <w:iCs w:val="1"/>
          <w:color w:val="auto"/>
        </w:rPr>
        <w:t xml:space="preserve"> Nine Yin Sutra: Wushu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Nine Yin Sutra: Immortal</w:t>
      </w:r>
      <w:r>
        <w:rPr>
          <w:rFonts w:ascii="Times New Roman" w:cs="Times New Roman" w:eastAsia="Times New Roman" w:hAnsi="Times New Roman"/>
          <w:sz w:val="15"/>
          <w:szCs w:val="15"/>
          <w:color w:val="auto"/>
        </w:rPr>
        <w:t>. These two original titles invite players into vast, immersive worlds shaped by martial arts mastery and cultivation.</w:t>
      </w:r>
    </w:p>
    <w:p>
      <w:pPr>
        <w:spacing w:after="0" w:line="151"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5"/>
          <w:szCs w:val="15"/>
          <w:color w:val="auto"/>
        </w:rPr>
        <w:t xml:space="preserve">Shortly after GDC, on April 23, 2025, we released a major content update to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in the way of celebrating its one-year anniversary. Content update includes 200+ enhancements across visual, audio &amp; gameplay quality-of-life. In the subsequent month, we saw 1.5x units sold compared to one month prior.</w:t>
      </w:r>
    </w:p>
    <w:p>
      <w:pPr>
        <w:spacing w:after="0" w:line="13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5"/>
          <w:szCs w:val="15"/>
          <w:color w:val="auto"/>
        </w:rPr>
        <w:t xml:space="preserve">In keeping up with the momentum of Lost Colony announcement,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ASA</w:t>
      </w:r>
      <w:r>
        <w:rPr>
          <w:rFonts w:ascii="Times New Roman" w:cs="Times New Roman" w:eastAsia="Times New Roman" w:hAnsi="Times New Roman"/>
          <w:sz w:val="15"/>
          <w:szCs w:val="15"/>
          <w:color w:val="auto"/>
        </w:rPr>
        <w:t>”) was added to the PlayStation Plus subscription program and made available free of charge to any PlayStation Plus subscribers. The inclusion proved a major success, driving a surge in downloads with over 8 million installs and significantly expanding the player base, further cementing ARK’s presence on console. During the inclusion month, we also saw a healthy uplift in ASA DLC sales on PlayStation.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7" w:name="page38"/>
    <w:bookmarkEnd w:id="37"/>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On June 18, 2025, the Lost Colony Expansion Pass pre-sale went live across Steam, PlayStation, and Xbox. The DLC is expected to be released later this year. To deepen our commitment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fans, we have included a brand-new </w:t>
      </w:r>
      <w:r>
        <w:rPr>
          <w:rFonts w:ascii="Times New Roman" w:cs="Times New Roman" w:eastAsia="Times New Roman" w:hAnsi="Times New Roman"/>
          <w:sz w:val="15"/>
          <w:szCs w:val="15"/>
          <w:i w:val="1"/>
          <w:iCs w:val="1"/>
          <w:color w:val="auto"/>
        </w:rPr>
        <w:t>ARK: Fantastic Tames – Drakelings</w:t>
      </w:r>
      <w:r>
        <w:rPr>
          <w:rFonts w:ascii="Times New Roman" w:cs="Times New Roman" w:eastAsia="Times New Roman" w:hAnsi="Times New Roman"/>
          <w:sz w:val="15"/>
          <w:szCs w:val="15"/>
          <w:color w:val="auto"/>
        </w:rPr>
        <w:t xml:space="preserve"> as part of the expansion pass. The pre-sale exceeded our expectations, selling over 160K units through June 30, 2025.</w:t>
      </w:r>
    </w:p>
    <w:p>
      <w:pPr>
        <w:spacing w:after="0" w:line="150"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 xml:space="preserve">Furthermore, in an effort to broaden our portfolio offerings beyond the sandbox survival genre, we have released five indies games that cater to a broader set of audience in the second quarter of 2025; </w:t>
      </w:r>
      <w:r>
        <w:rPr>
          <w:rFonts w:ascii="Times New Roman" w:cs="Times New Roman" w:eastAsia="Times New Roman" w:hAnsi="Times New Roman"/>
          <w:sz w:val="15"/>
          <w:szCs w:val="15"/>
          <w:i w:val="1"/>
          <w:iCs w:val="1"/>
          <w:color w:val="auto"/>
        </w:rPr>
        <w:t>The Cecil: The Journey Begins, Chasmal Fear, Castle of Secrets, Zombie Rollerz: The Last Ship, and Robots at Midnight</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5"/>
          <w:szCs w:val="15"/>
          <w:color w:val="auto"/>
        </w:rPr>
        <w:t xml:space="preserve">To bring more entertainment to our users, our short film mobile application, </w:t>
      </w:r>
      <w:r>
        <w:rPr>
          <w:rFonts w:ascii="Times New Roman" w:cs="Times New Roman" w:eastAsia="Times New Roman" w:hAnsi="Times New Roman"/>
          <w:sz w:val="15"/>
          <w:szCs w:val="15"/>
          <w:i w:val="1"/>
          <w:iCs w:val="1"/>
          <w:color w:val="auto"/>
        </w:rPr>
        <w:t>Salty TV</w:t>
      </w:r>
      <w:r>
        <w:rPr>
          <w:rFonts w:ascii="Times New Roman" w:cs="Times New Roman" w:eastAsia="Times New Roman" w:hAnsi="Times New Roman"/>
          <w:sz w:val="15"/>
          <w:szCs w:val="15"/>
          <w:color w:val="auto"/>
        </w:rPr>
        <w:t>, brings exclusive, original stories from heart-racing thrillers to jaw-dropping romances to our viewers. We have released fifty-five short film dramas through June 30, 2025 and expect a consistent roll out of new short film dramas throughout 2025 and beyond. In a strategic step forward in advancing the short-film business line, Snail Inc. subsidiary Interactive Films signed a Memorandum of Understanding (MOU) with Mega Matrix Inc. (NYSE American: MPU) for a joint development, production, and global distribution of short dramas.</w:t>
      </w:r>
    </w:p>
    <w:p>
      <w:pPr>
        <w:spacing w:after="0" w:line="153"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In addition, the Company recently announced on July 15, 2025, of its intention to explore a strategic digital asset initiative that includes the evaluation and feasibility for introduction of its own proprietary stablecoin. This initiative would be subject to a range of factors, including but not limited to, regulatory approvals, market conditions, technical feasibility, cybersecurity safeguards, financial controls, and internal governance. The Company believe that exploring stablecoin infrastructure may position us as an early mover within the digital entertainment industry. While no definitive decisions have been made to integrate such technology into the Company’s corporate strategy, the Company continues to evaluate and explore opportunities as part of our broader innovation roadmap.</w:t>
      </w:r>
    </w:p>
    <w:p>
      <w:pPr>
        <w:spacing w:after="0" w:line="155"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On June 19, 2025, the Company held its 2025 Annual Meeting of Stockholders (the “2025 Annual Meeting”). The Company’s stockholders approved the following proposals at the 2025 Annual Meeting: (i) election of the eight (8) named director nominees to the Company’s Board of Directors, each for a term of one year expiring at the 2026 Annual Meeting of Stockholders and until such director’s successor has been duly elected and qualified, and (ii) the stockholders ratified the appointment of BDO USA, P.C. as the Company’s independent registered public accounting firm for the fiscal year ending December 31, 2025.</w:t>
      </w:r>
    </w:p>
    <w:p>
      <w:pPr>
        <w:spacing w:after="0" w:line="154"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On August 7, 2025, we entered into an At The Market Offering Agreement (the “ATM Sales Agreement”) with H.C. Wainwright &amp; Co., LLC, as sales agent (the “Sales Agent” or “Wainwright”), to sell its shares of Class A Common Stock from time to time, in an “at the market offering” program through Wainwright, with certain limitations on the amount of Class A Common Stock (the “Shares”) that may be offered and sold thereunder. The sales, if any, of the Shares made under the ATM Sales Agreement will be made by any method permitted by law deemed to be an “at the market offering” as defined in Rule 415(a)(4) promulgated under the Securities Act, including sales made directly on or through the Nasdaq Capital Market (the “Nasdaq”)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 (the “Offering”).</w:t>
      </w:r>
    </w:p>
    <w:p>
      <w:pPr>
        <w:spacing w:after="0" w:line="159"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Offers and sales of shares of Class A Common Stock by the Company, if any, under the ATM Sales Agreement, will be made through a prospectus supplement, dated August 7, 2025 and an accompanying base prospectus, dated September 20, 2024, contained therein (the “ATM Prospectus Supplement”), which ATM Prospectus Supplement forms a part of the Company’s shelf registration statement on Form S-3 (File 333-282030), initially filed by the Company with the U.S. Securities and Exchange Commission (the “SEC”) on September 11, 2024 (the “Registration Statement”) and declared effective by the SEC on September 20, 2024. The aggregate market value of the shares of Class A Common Stock eligible for sale under the ATM Prospectus Supplement is currently $4,500,000, which is based on the limitations of General Instruction I.B.6 of Form S-3.</w:t>
      </w:r>
    </w:p>
    <w:p>
      <w:pPr>
        <w:spacing w:after="0" w:line="155"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Pursuant to the ATM Sales Agreement, the Company will set the parameters for the sale of shares of Class A Common Stock, including the number of shares to be issued, the time period during which sales are requested to be made, limitation on the number of shares that may be sold in any one trading day and any minimum price below which sales may not be made. Upon delivery of a placement notice and subject to the terms and conditions of the ATM Sales Agreement, the Sales Agent will use its commercially reasonable efforts, consistent with its normal trading and sales practices, applicable state and federal law, rules and regulations, and the rules of the Nasdaq, to sell shares of Class A Common Stock from time to time based upon the Company’s instructions. The Company has no obligation to sell any shares of Class A Common Stock under the ATM Sales Agreement and may at any time suspend solicitation and offers under the ATM Sales Agreement. The Sales Agent is not obligated to purchase any shares of Class A Common Stock on a principal basis pursuant to the ATM Sales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9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record deferred revenue when payments are due or received in advance of the fulfillment of our associated performance obligations.</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unaudited condensed consolidated financial statements included in this Quarterly Report. We generally expect cost of revenues to fluctuate proportionately with revenues.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when expanding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 and the inflationary pressures of recent years.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Research and development consists primarily of consulting expenses and salaries and wages devoted towards the development of new games and related technologies and development costs outsourced through Suzhou Snail. We expect our research and development to increase as we develop new content, games or technologies.</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Impairment of film assets</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Impairment of film assets consists of costs related to short films produced by Snail. When projected future cash flows were no longer expected to recover from the carrying value of film projects, we recognized an impairment charge to write down the assets in full, or in part, to their estimated fair value. Impairments during the period primarily resulted from changes in marketing strategies, underperformance of certain titles, or shifts in market demand. These charges negatively impact operating income and reflect our continuous assessment of content performance in a rapidly evolving landscape.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Provision for income taxes</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(515%) differed materially from the federal statutory tax rate of 21% primarily due to the impact of the valuation allowance recorded against U.S. net deferred tax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June 30, 2025 versus the three months ended June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60" w:type="dxa"/>
            <w:vAlign w:val="bottom"/>
            <w:gridSpan w:val="2"/>
            <w:vMerge w:val="restart"/>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216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22.2</w:t>
            </w:r>
          </w:p>
        </w:tc>
        <w:tc>
          <w:tcPr>
            <w:tcW w:w="102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21.6</w:t>
            </w:r>
          </w:p>
        </w:tc>
        <w:tc>
          <w:tcPr>
            <w:tcW w:w="5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0.6</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80"/>
        </w:trPr>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Cost of revenues</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1.7</w:t>
            </w:r>
          </w:p>
        </w:tc>
        <w:tc>
          <w:tcPr>
            <w:tcW w:w="16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12.8%</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2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7.0</w:t>
            </w:r>
          </w:p>
        </w:tc>
        <w:tc>
          <w:tcPr>
            <w:tcW w:w="340" w:type="dxa"/>
            <w:vAlign w:val="bottom"/>
            <w:vMerge w:val="continue"/>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8.1</w:t>
            </w:r>
          </w:p>
        </w:tc>
        <w:tc>
          <w:tcPr>
            <w:tcW w:w="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63"/>
              <w:spacing w:after="0" w:line="171" w:lineRule="exact"/>
              <w:rPr>
                <w:sz w:val="20"/>
                <w:szCs w:val="20"/>
                <w:color w:val="auto"/>
              </w:rPr>
            </w:pPr>
            <w:r>
              <w:rPr>
                <w:rFonts w:ascii="Times New Roman" w:cs="Times New Roman" w:eastAsia="Times New Roman" w:hAnsi="Times New Roman"/>
                <w:sz w:val="15"/>
                <w:szCs w:val="15"/>
                <w:color w:val="auto"/>
              </w:rPr>
              <w:t>(1.1)</w:t>
            </w:r>
          </w:p>
        </w:tc>
        <w:tc>
          <w:tcPr>
            <w:tcW w:w="16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171"/>
        </w:trPr>
        <w:tc>
          <w:tcPr>
            <w:tcW w:w="312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3.5</w:t>
            </w:r>
          </w:p>
        </w:tc>
        <w:tc>
          <w:tcPr>
            <w:tcW w:w="10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2.8</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0.7</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180"/>
        </w:trPr>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3.3</w:t>
            </w:r>
          </w:p>
        </w:tc>
        <w:tc>
          <w:tcPr>
            <w:tcW w:w="10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1.4</w:t>
            </w:r>
          </w:p>
        </w:tc>
        <w:tc>
          <w:tcPr>
            <w:tcW w:w="16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77.0%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1.5</w:t>
            </w:r>
          </w:p>
        </w:tc>
        <w:tc>
          <w:tcPr>
            <w:tcW w:w="10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0.7</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0.8</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119.0%</w:t>
            </w:r>
          </w:p>
        </w:tc>
        <w:tc>
          <w:tcPr>
            <w:tcW w:w="0" w:type="dxa"/>
            <w:vAlign w:val="bottom"/>
          </w:tcPr>
          <w:p>
            <w:pPr>
              <w:spacing w:after="0"/>
              <w:rPr>
                <w:sz w:val="1"/>
                <w:szCs w:val="1"/>
                <w:color w:val="auto"/>
              </w:rPr>
            </w:pPr>
          </w:p>
        </w:tc>
      </w:tr>
      <w:tr>
        <w:trPr>
          <w:trHeight w:val="180"/>
        </w:trPr>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0.1</w:t>
            </w:r>
          </w:p>
        </w:tc>
        <w:tc>
          <w:tcPr>
            <w:tcW w:w="10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Impairment of film assets</w:t>
            </w: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0.4</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8.8</w:t>
            </w:r>
          </w:p>
        </w:tc>
        <w:tc>
          <w:tcPr>
            <w:tcW w:w="3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5.5</w:t>
            </w:r>
          </w:p>
        </w:tc>
        <w:tc>
          <w:tcPr>
            <w:tcW w:w="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3.3</w:t>
            </w:r>
          </w:p>
        </w:tc>
        <w:tc>
          <w:tcPr>
            <w:tcW w:w="340" w:type="dxa"/>
            <w:vAlign w:val="bottom"/>
            <w:vMerge w:val="continue"/>
          </w:tcPr>
          <w:p>
            <w:pPr>
              <w:spacing w:after="0"/>
              <w:rPr>
                <w:sz w:val="14"/>
                <w:szCs w:val="14"/>
                <w:color w:val="auto"/>
              </w:rPr>
            </w:pPr>
          </w:p>
        </w:tc>
        <w:tc>
          <w:tcPr>
            <w:tcW w:w="1660" w:type="dxa"/>
            <w:vAlign w:val="bottom"/>
            <w:gridSpan w:val="2"/>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61.5%</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c>
          <w:tcPr>
            <w:tcW w:w="340" w:type="dxa"/>
            <w:vAlign w:val="bottom"/>
            <w:tcBorders>
              <w:top w:val="single" w:sz="8" w:color="CCEEFF"/>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02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340" w:type="dxa"/>
            <w:vAlign w:val="bottom"/>
            <w:tcBorders>
              <w:top w:val="single" w:sz="8" w:color="CCEEFF"/>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(168.0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89"/>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83"/>
              <w:spacing w:after="0"/>
              <w:rPr>
                <w:sz w:val="20"/>
                <w:szCs w:val="20"/>
                <w:color w:val="auto"/>
              </w:rPr>
            </w:pPr>
            <w:r>
              <w:rPr>
                <w:rFonts w:ascii="Times New Roman" w:cs="Times New Roman" w:eastAsia="Times New Roman" w:hAnsi="Times New Roman"/>
                <w:sz w:val="15"/>
                <w:szCs w:val="15"/>
                <w:color w:val="auto"/>
              </w:rPr>
              <w:t>35</w:t>
            </w: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3" w:right="31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9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 xml:space="preserve">Net revenues for the three months ended June 30, 2025 increased by $0.6 million, or 2.7%, compared to the three months ended June 30, 2024. The increase in net revenues was due to an increase in total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sales of $3.3 million, $3.0 million recognized for the inclusion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in a platform subscription program in 2025, an increase in sales of the </w:t>
      </w:r>
      <w:r>
        <w:rPr>
          <w:rFonts w:ascii="Times New Roman" w:cs="Times New Roman" w:eastAsia="Times New Roman" w:hAnsi="Times New Roman"/>
          <w:sz w:val="15"/>
          <w:szCs w:val="15"/>
          <w:i w:val="1"/>
          <w:iCs w:val="1"/>
          <w:color w:val="auto"/>
        </w:rPr>
        <w:t xml:space="preserve">ARK Mobile </w:t>
      </w:r>
      <w:r>
        <w:rPr>
          <w:rFonts w:ascii="Times New Roman" w:cs="Times New Roman" w:eastAsia="Times New Roman" w:hAnsi="Times New Roman"/>
          <w:sz w:val="15"/>
          <w:szCs w:val="15"/>
          <w:color w:val="auto"/>
        </w:rPr>
        <w:t>of $0.6 million that was driven by the release of</w:t>
      </w:r>
      <w:r>
        <w:rPr>
          <w:rFonts w:ascii="Times New Roman" w:cs="Times New Roman" w:eastAsia="Times New Roman" w:hAnsi="Times New Roman"/>
          <w:sz w:val="15"/>
          <w:szCs w:val="15"/>
          <w:i w:val="1"/>
          <w:iCs w:val="1"/>
          <w:color w:val="auto"/>
        </w:rPr>
        <w:t xml:space="preserve"> ARK: Ultimate Mobile Edition</w:t>
      </w:r>
      <w:r>
        <w:rPr>
          <w:rFonts w:ascii="Times New Roman" w:cs="Times New Roman" w:eastAsia="Times New Roman" w:hAnsi="Times New Roman"/>
          <w:sz w:val="15"/>
          <w:szCs w:val="15"/>
          <w:color w:val="auto"/>
        </w:rPr>
        <w:t>, and an increase in revenues related to other games of $0.3 million due to the release of various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games during the three months ended June 30, 2025 as compared to June 30, 2024. The increase in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related sales is due to sales and discount promotions that did not occur in 2024. These increases were partially offset by the increase in deferred revenues of $3.7 million and a decrease in revenues related to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of $3.0 million in the three months ended June 30, 2025 compared to the three months ended June 30, 2024.</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Cost of revenues for the three months ended June 30, 2025 increased by $1.7 million, or 12.8%, compared to the three months ended June 30, 2024.</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Cost of revenues for the three months ended June 30, 2025 and 2024 comprised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40" w:type="dxa"/>
            <w:vAlign w:val="bottom"/>
            <w:tcBorders>
              <w:bottom w:val="single" w:sz="8" w:color="auto"/>
            </w:tcBorders>
            <w:gridSpan w:val="5"/>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3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1"/>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190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5.8</w:t>
            </w:r>
          </w:p>
        </w:tc>
        <w:tc>
          <w:tcPr>
            <w:tcW w:w="120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4.7</w:t>
            </w:r>
          </w:p>
        </w:tc>
        <w:tc>
          <w:tcPr>
            <w:tcW w:w="3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(26.0)%</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Licensing fees - related party</w:t>
            </w: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6.0</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236,849%</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0.2</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w:t>
            </w: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0.9</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w:t>
            </w:r>
          </w:p>
        </w:tc>
        <w:tc>
          <w:tcPr>
            <w:tcW w:w="3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(671.0)%</w:t>
            </w:r>
          </w:p>
        </w:tc>
      </w:tr>
      <w:tr>
        <w:trPr>
          <w:trHeight w:val="182"/>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The increase in cost of revenues for the three months ended June 30, 2025 was due to an increase of $1.1 million in software license royalties – related parties, a result of increased </w:t>
      </w:r>
      <w:r>
        <w:rPr>
          <w:rFonts w:ascii="Times New Roman" w:cs="Times New Roman" w:eastAsia="Times New Roman" w:hAnsi="Times New Roman"/>
          <w:sz w:val="15"/>
          <w:szCs w:val="15"/>
          <w:i w:val="1"/>
          <w:iCs w:val="1"/>
          <w:color w:val="auto"/>
        </w:rPr>
        <w:t xml:space="preserve">ARK </w:t>
      </w:r>
      <w:r>
        <w:rPr>
          <w:rFonts w:ascii="Times New Roman" w:cs="Times New Roman" w:eastAsia="Times New Roman" w:hAnsi="Times New Roman"/>
          <w:sz w:val="15"/>
          <w:szCs w:val="15"/>
          <w:color w:val="auto"/>
        </w:rPr>
        <w:t>sales, an increase of $0.4 million in license and amortization due to the increased depreciable base of intangible assets in 2025, an increase in merchant fees of $0.3 million related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increased </w:t>
      </w:r>
      <w:r>
        <w:rPr>
          <w:rFonts w:ascii="Times New Roman" w:cs="Times New Roman" w:eastAsia="Times New Roman" w:hAnsi="Times New Roman"/>
          <w:sz w:val="15"/>
          <w:szCs w:val="15"/>
          <w:i w:val="1"/>
          <w:iCs w:val="1"/>
          <w:color w:val="auto"/>
        </w:rPr>
        <w:t>ARK: Ultimate Mobile Edition</w:t>
      </w:r>
      <w:r>
        <w:rPr>
          <w:rFonts w:ascii="Times New Roman" w:cs="Times New Roman" w:eastAsia="Times New Roman" w:hAnsi="Times New Roman"/>
          <w:sz w:val="15"/>
          <w:szCs w:val="15"/>
          <w:color w:val="auto"/>
        </w:rPr>
        <w:t xml:space="preserve"> revenues, an increase of $0.3 million in internet, server and data center, partially offset by decreased engine fees of $0.4 million.</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General and administrative expenses for the three months ended June 30, 2025 increased by $0.7 million, or 24.3%, compared to the three months ended June 30, 2024. The increase in general and administrative expenses was due to an increase in contractors expense of $0.2 million, an increase in public company expense of $0.1 million, an increase in office expense of $0.1 million, an increase in insurance expense of $0.1 million, and an increase in legal and professional expense of $0.1 million.</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three months ended June 30, 2025 increased by $1.4 million, or 77.0%, compared to the three months ended June 30, 2024. The increase in research and development expenses was due to the outsourced development of </w:t>
      </w:r>
      <w:r>
        <w:rPr>
          <w:rFonts w:ascii="Times New Roman" w:cs="Times New Roman" w:eastAsia="Times New Roman" w:hAnsi="Times New Roman"/>
          <w:sz w:val="15"/>
          <w:szCs w:val="15"/>
          <w:i w:val="1"/>
          <w:iCs w:val="1"/>
          <w:color w:val="auto"/>
        </w:rPr>
        <w:t>For the Stars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Nine Yin Sutra: Immortal</w:t>
      </w:r>
      <w:r>
        <w:rPr>
          <w:rFonts w:ascii="Times New Roman" w:cs="Times New Roman" w:eastAsia="Times New Roman" w:hAnsi="Times New Roman"/>
          <w:sz w:val="15"/>
          <w:szCs w:val="15"/>
          <w:color w:val="auto"/>
        </w:rPr>
        <w:t xml:space="preserve"> paid through Suzhou Snail and an increase in internal research and development salaries as the Company continues to expand its internal development team</w:t>
      </w:r>
      <w:r>
        <w:rPr>
          <w:rFonts w:ascii="Times New Roman" w:cs="Times New Roman" w:eastAsia="Times New Roman" w:hAnsi="Times New Roman"/>
          <w:sz w:val="15"/>
          <w:szCs w:val="15"/>
          <w:i w:val="1"/>
          <w:iCs w:val="1"/>
          <w:color w:val="auto"/>
        </w:rPr>
        <w:t>.</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expenses</w:t>
      </w:r>
    </w:p>
    <w:p>
      <w:pPr>
        <w:spacing w:after="0" w:line="191"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5"/>
          <w:szCs w:val="15"/>
          <w:color w:val="auto"/>
        </w:rPr>
        <w:t xml:space="preserve">Advertising and marketing expenses for the three months ended June 30, 2025 increased by $0.8 million, or 119.0%, compared to the three months ended June 30, 2024. The increase in advertising and marketing expenses was due to the increased advertising campaigns for our </w:t>
      </w:r>
      <w:r>
        <w:rPr>
          <w:rFonts w:ascii="Times New Roman" w:cs="Times New Roman" w:eastAsia="Times New Roman" w:hAnsi="Times New Roman"/>
          <w:sz w:val="15"/>
          <w:szCs w:val="15"/>
          <w:i w:val="1"/>
          <w:iCs w:val="1"/>
          <w:color w:val="auto"/>
        </w:rPr>
        <w:t>ARK: Aquatica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Robots at Midnight</w:t>
      </w:r>
      <w:r>
        <w:rPr>
          <w:rFonts w:ascii="Times New Roman" w:cs="Times New Roman" w:eastAsia="Times New Roman" w:hAnsi="Times New Roman"/>
          <w:sz w:val="15"/>
          <w:szCs w:val="15"/>
          <w:color w:val="auto"/>
        </w:rPr>
        <w:t xml:space="preserve"> titles and </w:t>
      </w:r>
      <w:r>
        <w:rPr>
          <w:rFonts w:ascii="Times New Roman" w:cs="Times New Roman" w:eastAsia="Times New Roman" w:hAnsi="Times New Roman"/>
          <w:sz w:val="15"/>
          <w:szCs w:val="15"/>
          <w:i w:val="1"/>
          <w:iCs w:val="1"/>
          <w:color w:val="auto"/>
        </w:rPr>
        <w:t>SaltyTV</w:t>
      </w:r>
      <w:r>
        <w:rPr>
          <w:rFonts w:ascii="Times New Roman" w:cs="Times New Roman" w:eastAsia="Times New Roman" w:hAnsi="Times New Roman"/>
          <w:sz w:val="15"/>
          <w:szCs w:val="15"/>
          <w:color w:val="auto"/>
        </w:rPr>
        <w:t xml:space="preserve"> application and related offerings.</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Impairment of film assets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Impairment of film assets for the three months ended June 30, 2025 increased by $0.4 million, or 100.0%, compared to the three months ended June 30, 2024. The increase in impairment of film assets was due to the underperformance of specific film assets and changes in the market conditions affecting expected future cash flow during the three months ended June 30, 2025.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7"/>
        </w:trPr>
        <w:tc>
          <w:tcPr>
            <w:tcW w:w="3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Factors Affecting Net Loss</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71"/>
        </w:trPr>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Borders>
              <w:bottom w:val="single" w:sz="8" w:color="auto"/>
            </w:tcBorders>
            <w:gridSpan w:val="3"/>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3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ind w:right="74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1"/>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5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080" w:type="dxa"/>
            <w:vAlign w:val="bottom"/>
            <w:gridSpan w:val="2"/>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0.1</w:t>
            </w:r>
          </w:p>
        </w:tc>
        <w:tc>
          <w:tcPr>
            <w:tcW w:w="4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w:t>
            </w:r>
          </w:p>
        </w:tc>
      </w:tr>
      <w:tr>
        <w:trPr>
          <w:trHeight w:val="180"/>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(0.2)</w:t>
            </w:r>
          </w:p>
        </w:tc>
        <w:tc>
          <w:tcPr>
            <w:tcW w:w="1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(0.1)</w:t>
            </w:r>
          </w:p>
        </w:tc>
        <w:tc>
          <w:tcPr>
            <w:tcW w:w="460" w:type="dxa"/>
            <w:vAlign w:val="bottom"/>
          </w:tcPr>
          <w:p>
            <w:pPr>
              <w:spacing w:after="0"/>
              <w:rPr>
                <w:sz w:val="15"/>
                <w:szCs w:val="15"/>
                <w:color w:val="auto"/>
              </w:rPr>
            </w:pPr>
          </w:p>
        </w:tc>
        <w:tc>
          <w:tcPr>
            <w:tcW w:w="1540" w:type="dxa"/>
            <w:vAlign w:val="bottom"/>
          </w:tcPr>
          <w:p>
            <w:pPr>
              <w:jc w:val="right"/>
              <w:ind w:right="265"/>
              <w:spacing w:after="0"/>
              <w:rPr>
                <w:sz w:val="20"/>
                <w:szCs w:val="20"/>
                <w:color w:val="auto"/>
              </w:rPr>
            </w:pPr>
            <w:r>
              <w:rPr>
                <w:rFonts w:ascii="Times New Roman" w:cs="Times New Roman" w:eastAsia="Times New Roman" w:hAnsi="Times New Roman"/>
                <w:sz w:val="15"/>
                <w:szCs w:val="15"/>
                <w:color w:val="auto"/>
              </w:rPr>
              <w:t>(0.1)</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(19.0)%</w:t>
            </w:r>
          </w:p>
        </w:tc>
      </w:tr>
      <w:tr>
        <w:trPr>
          <w:trHeight w:val="18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(0.7)</w:t>
            </w:r>
          </w:p>
        </w:tc>
        <w:tc>
          <w:tcPr>
            <w:tcW w:w="1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0.2</w:t>
            </w: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(0.9)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(389.5)%</w:t>
            </w:r>
          </w:p>
        </w:tc>
      </w:t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(13.9)</w:t>
            </w:r>
          </w:p>
        </w:tc>
        <w:tc>
          <w:tcPr>
            <w:tcW w:w="1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(0.6)</w:t>
            </w:r>
          </w:p>
        </w:tc>
        <w:tc>
          <w:tcPr>
            <w:tcW w:w="460" w:type="dxa"/>
            <w:vAlign w:val="bottom"/>
          </w:tcPr>
          <w:p>
            <w:pPr>
              <w:spacing w:after="0"/>
              <w:rPr>
                <w:sz w:val="16"/>
                <w:szCs w:val="16"/>
                <w:color w:val="auto"/>
              </w:rPr>
            </w:pPr>
          </w:p>
        </w:tc>
        <w:tc>
          <w:tcPr>
            <w:tcW w:w="1540" w:type="dxa"/>
            <w:vAlign w:val="bottom"/>
          </w:tcPr>
          <w:p>
            <w:pPr>
              <w:jc w:val="right"/>
              <w:ind w:right="265"/>
              <w:spacing w:after="0"/>
              <w:rPr>
                <w:sz w:val="20"/>
                <w:szCs w:val="20"/>
                <w:color w:val="auto"/>
              </w:rPr>
            </w:pPr>
            <w:r>
              <w:rPr>
                <w:rFonts w:ascii="Times New Roman" w:cs="Times New Roman" w:eastAsia="Times New Roman" w:hAnsi="Times New Roman"/>
                <w:sz w:val="15"/>
                <w:szCs w:val="15"/>
                <w:color w:val="auto"/>
              </w:rPr>
              <w:t>(13.3)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(2,452.6)%</w:t>
            </w:r>
          </w:p>
        </w:tc>
      </w:tr>
    </w:tbl>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Interest income was $0.0 million and $0.1 million for the three months ended June 30, 2025 and June 30, 2024, respectively. The decrease was due to the balance of our cash deposits being lower on average during the three months ended June 30, 2025.</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Interest expense primarily related to our outstanding indebtedness with third-party lenders. Interest expense increased slightly for the three months ended June 30, 2025 due to the new term loan initiated on June 10, 2025. The new term loan increased the average debt during the three months ended June 30, 2025.</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Other income</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Other income decreased by $0.9 million for the three months ended June 30, 2025, in comparison to the three months ended June 30, 2024. The decrease is due to the recognition of $0.5 million due to the revaluation of warrant liabilities and $0.4 million due to the revaluation of the convertible notes in the three months ended June 30, 2025 in comparison to the recognition of $0.2 million in the other income during the three months ended June 30, 2024 for the revaluation of the Company’s warrant liabilities.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Provision for income taxes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The Company had an income tax provision of $13.9 million and an income tax benefit of $0.6 million for the three months ended June 30, 2025 and 2024, respectively. This is primarily due to the impact of the valuation allowance recorded against U.S. net deferred tax assets. Our effective income tax rate was (515%) and 21% during the three months ended June 30, 2025 and 2024, respectively.</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six months ended June 30, 2025 versus the six months ended June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3"/>
        </w:trPr>
        <w:tc>
          <w:tcPr>
            <w:tcW w:w="3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60" w:type="dxa"/>
            <w:vAlign w:val="bottom"/>
            <w:gridSpan w:val="2"/>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1"/>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216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42.3</w:t>
            </w:r>
          </w:p>
        </w:tc>
        <w:tc>
          <w:tcPr>
            <w:tcW w:w="102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35.7</w:t>
            </w:r>
          </w:p>
        </w:tc>
        <w:tc>
          <w:tcPr>
            <w:tcW w:w="5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6.6</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18.4%</w:t>
            </w:r>
          </w:p>
        </w:tc>
      </w:tr>
      <w:tr>
        <w:trPr>
          <w:trHeight w:val="191"/>
        </w:trPr>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Cost of revenues</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29.5</w:t>
            </w:r>
          </w:p>
        </w:tc>
        <w:tc>
          <w:tcPr>
            <w:tcW w:w="10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4.0</w:t>
            </w:r>
          </w:p>
        </w:tc>
        <w:tc>
          <w:tcPr>
            <w:tcW w:w="16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15.5%</w:t>
            </w:r>
          </w:p>
        </w:tc>
      </w:tr>
      <w:tr>
        <w:trPr>
          <w:trHeight w:val="171"/>
        </w:trPr>
        <w:tc>
          <w:tcPr>
            <w:tcW w:w="31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Gross profit</w:t>
            </w:r>
          </w:p>
        </w:tc>
        <w:tc>
          <w:tcPr>
            <w:tcW w:w="1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12.8</w:t>
            </w: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w:t>
            </w:r>
          </w:p>
        </w:tc>
        <w:tc>
          <w:tcPr>
            <w:tcW w:w="3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25.8</w:t>
            </w:r>
          </w:p>
        </w:tc>
        <w:tc>
          <w:tcPr>
            <w:tcW w:w="2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r>
      <w:tr>
        <w:trPr>
          <w:trHeight w:val="171"/>
        </w:trPr>
        <w:tc>
          <w:tcPr>
            <w:tcW w:w="312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8.5</w:t>
            </w:r>
          </w:p>
        </w:tc>
        <w:tc>
          <w:tcPr>
            <w:tcW w:w="10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3.4</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66.2%</w:t>
            </w:r>
          </w:p>
        </w:tc>
      </w:tr>
      <w:tr>
        <w:trPr>
          <w:trHeight w:val="180"/>
        </w:trPr>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6.9</w:t>
            </w:r>
          </w:p>
        </w:tc>
        <w:tc>
          <w:tcPr>
            <w:tcW w:w="10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3.3</w:t>
            </w:r>
          </w:p>
        </w:tc>
        <w:tc>
          <w:tcPr>
            <w:tcW w:w="16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89.8%</w:t>
            </w:r>
          </w:p>
        </w:tc>
      </w:tr>
      <w:tr>
        <w:trPr>
          <w:trHeight w:val="180"/>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2.8</w:t>
            </w:r>
          </w:p>
        </w:tc>
        <w:tc>
          <w:tcPr>
            <w:tcW w:w="10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0.8</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2.0</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238.4%</w:t>
            </w:r>
          </w:p>
        </w:tc>
      </w:tr>
      <w:tr>
        <w:trPr>
          <w:trHeight w:val="180"/>
        </w:trPr>
        <w:tc>
          <w:tcPr>
            <w:tcW w:w="3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0.1</w:t>
            </w:r>
          </w:p>
        </w:tc>
        <w:tc>
          <w:tcPr>
            <w:tcW w:w="10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(0.1)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191"/>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Impairment of film assets</w:t>
            </w: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0.4</w:t>
            </w:r>
          </w:p>
        </w:tc>
        <w:tc>
          <w:tcPr>
            <w:tcW w:w="10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0.4</w:t>
            </w:r>
          </w:p>
        </w:tc>
        <w:tc>
          <w:tcPr>
            <w:tcW w:w="16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100.0%</w:t>
            </w:r>
          </w:p>
        </w:tc>
      </w:tr>
      <w:tr>
        <w:trPr>
          <w:trHeight w:val="171"/>
        </w:trPr>
        <w:tc>
          <w:tcPr>
            <w:tcW w:w="3120" w:type="dxa"/>
            <w:vAlign w:val="bottom"/>
            <w:tcBorders>
              <w:bottom w:val="single" w:sz="8" w:color="CCEEFF"/>
            </w:tcBorders>
          </w:tcPr>
          <w:p>
            <w:pPr>
              <w:ind w:left="160"/>
              <w:spacing w:after="0" w:line="171" w:lineRule="exact"/>
              <w:rPr>
                <w:sz w:val="20"/>
                <w:szCs w:val="20"/>
                <w:color w:val="auto"/>
              </w:rPr>
            </w:pPr>
            <w:r>
              <w:rPr>
                <w:rFonts w:ascii="Times New Roman" w:cs="Times New Roman" w:eastAsia="Times New Roman" w:hAnsi="Times New Roman"/>
                <w:sz w:val="15"/>
                <w:szCs w:val="15"/>
                <w:color w:val="auto"/>
              </w:rPr>
              <w:t>Total operating expenses</w:t>
            </w:r>
          </w:p>
        </w:tc>
        <w:tc>
          <w:tcPr>
            <w:tcW w:w="11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18.7</w:t>
            </w:r>
          </w:p>
        </w:tc>
        <w:tc>
          <w:tcPr>
            <w:tcW w:w="34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9.7</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9.0</w:t>
            </w:r>
          </w:p>
        </w:tc>
        <w:tc>
          <w:tcPr>
            <w:tcW w:w="34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92.7</w:t>
            </w:r>
          </w:p>
        </w:tc>
        <w:tc>
          <w:tcPr>
            <w:tcW w:w="20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w:t>
            </w:r>
          </w:p>
        </w:tc>
      </w:tr>
      <w:tr>
        <w:trPr>
          <w:trHeight w:val="182"/>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1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w:t>
            </w:r>
          </w:p>
        </w:tc>
        <w:tc>
          <w:tcPr>
            <w:tcW w:w="3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02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0.5</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w:t>
            </w:r>
          </w:p>
        </w:tc>
        <w:tc>
          <w:tcPr>
            <w:tcW w:w="3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(1,378.1</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89"/>
              </w:rPr>
              <w:t>)%</w:t>
            </w:r>
          </w:p>
        </w:tc>
      </w:tr>
      <w:tr>
        <w:trPr>
          <w:trHeight w:val="20"/>
        </w:trPr>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 xml:space="preserve">Net revenues for the six months ended June 30, 2025 increased by $6.6 million, or 18.4%, compared to the six months ended June 30, 2024. The increase in net revenues was due to an increase in total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sales of $6.1 million, $3.0 million in revenues for the inclusion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in a platform subscription program and an increase in sales of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Mobile </w:t>
      </w:r>
      <w:r>
        <w:rPr>
          <w:rFonts w:ascii="Times New Roman" w:cs="Times New Roman" w:eastAsia="Times New Roman" w:hAnsi="Times New Roman"/>
          <w:sz w:val="15"/>
          <w:szCs w:val="15"/>
          <w:color w:val="auto"/>
        </w:rPr>
        <w:t>of $1.9 million that was driven by the release of</w:t>
      </w:r>
      <w:r>
        <w:rPr>
          <w:rFonts w:ascii="Times New Roman" w:cs="Times New Roman" w:eastAsia="Times New Roman" w:hAnsi="Times New Roman"/>
          <w:sz w:val="15"/>
          <w:szCs w:val="15"/>
          <w:i w:val="1"/>
          <w:iCs w:val="1"/>
          <w:color w:val="auto"/>
        </w:rPr>
        <w:t xml:space="preserve"> ARK: Ultimate Mobile Edition. </w:t>
      </w:r>
      <w:r>
        <w:rPr>
          <w:rFonts w:ascii="Times New Roman" w:cs="Times New Roman" w:eastAsia="Times New Roman" w:hAnsi="Times New Roman"/>
          <w:sz w:val="15"/>
          <w:szCs w:val="15"/>
          <w:color w:val="auto"/>
        </w:rPr>
        <w:t>These increases were partially offset by the decrease in revenue specific to</w:t>
      </w:r>
      <w:r>
        <w:rPr>
          <w:rFonts w:ascii="Times New Roman" w:cs="Times New Roman" w:eastAsia="Times New Roman" w:hAnsi="Times New Roman"/>
          <w:sz w:val="15"/>
          <w:szCs w:val="15"/>
          <w:i w:val="1"/>
          <w:iCs w:val="1"/>
          <w:color w:val="auto"/>
        </w:rPr>
        <w:t xml:space="preserve"> Bellwright </w:t>
      </w:r>
      <w:r>
        <w:rPr>
          <w:rFonts w:ascii="Times New Roman" w:cs="Times New Roman" w:eastAsia="Times New Roman" w:hAnsi="Times New Roman"/>
          <w:sz w:val="15"/>
          <w:szCs w:val="15"/>
          <w:color w:val="auto"/>
        </w:rPr>
        <w:t>of $2.2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a non-reoccurring Angela Games settlement of $1.2 million occurring in 2024, the related decrease in Angela Games revenues of $0.7 million, and the increase in deferred revenue of $0.3 million during the six months ended June 30, 2025 compared to June 30,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1" w:name="page42"/>
    <w:bookmarkEnd w:id="41"/>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Cost of revenues for the six months ended June 30, 2025 increased by $4.0 million, or 15.5%, compared to the six months ended June 30, 2024.</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Cost of revenues for the six months ended June 30, 2025 and 2024 comprised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40" w:type="dxa"/>
            <w:vAlign w:val="bottom"/>
            <w:tcBorders>
              <w:bottom w:val="single" w:sz="8" w:color="auto"/>
            </w:tcBorders>
            <w:gridSpan w:val="5"/>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3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1"/>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190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11.0</w:t>
            </w:r>
          </w:p>
        </w:tc>
        <w:tc>
          <w:tcPr>
            <w:tcW w:w="120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7.9</w:t>
            </w:r>
          </w:p>
        </w:tc>
        <w:tc>
          <w:tcPr>
            <w:tcW w:w="3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0.2</w:t>
            </w:r>
          </w:p>
        </w:tc>
        <w:tc>
          <w:tcPr>
            <w:tcW w:w="3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Licensing fees - related party</w:t>
            </w: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12.0</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0.7</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3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183,977.8%</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0.5</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2.3</w:t>
            </w:r>
          </w:p>
        </w:tc>
        <w:tc>
          <w:tcPr>
            <w:tcW w:w="3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(23.6)%</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2.8</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2.6</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431.4%</w:t>
            </w:r>
          </w:p>
        </w:tc>
      </w:tr>
      <w:tr>
        <w:trPr>
          <w:trHeight w:val="182"/>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5"/>
          <w:szCs w:val="15"/>
          <w:color w:val="auto"/>
        </w:rPr>
        <w:t xml:space="preserve">The increase in cost of revenues for the six months ended June 30, 2025 was due to an increase of $3.0 million in software license royalties – related parties, a result of increased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revenues, an increase of $0.7 million in license and amortization due to the increased depreciable base of intangible assets in 2025, an increase in merchant fees of $0.6 million related to the increased </w:t>
      </w:r>
      <w:r>
        <w:rPr>
          <w:rFonts w:ascii="Times New Roman" w:cs="Times New Roman" w:eastAsia="Times New Roman" w:hAnsi="Times New Roman"/>
          <w:sz w:val="15"/>
          <w:szCs w:val="15"/>
          <w:i w:val="1"/>
          <w:iCs w:val="1"/>
          <w:color w:val="auto"/>
        </w:rPr>
        <w:t>ARK: Ultimate Mobile Edition</w:t>
      </w:r>
      <w:r>
        <w:rPr>
          <w:rFonts w:ascii="Times New Roman" w:cs="Times New Roman" w:eastAsia="Times New Roman" w:hAnsi="Times New Roman"/>
          <w:sz w:val="15"/>
          <w:szCs w:val="15"/>
          <w:color w:val="auto"/>
        </w:rPr>
        <w:t xml:space="preserve"> revenues, an increase of $0.2 million in internet, server and data center, partially offset by decreased engine fees of $0.5 million.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General and administrative expenses for the six months ended June 30, 2025 increased by $3.4 million, or 66.2%, compared to the six months ended June 30, 2024. The increase in general and administrative expenses was due to an increase in salaries and wages of $2.1 million, the result of the Company recording $0.3 million in stock compensation expense in 2025 versus an income related to stock based income compensation of ($0.8) million in 2024 and the Company’s increased headcount in 2025, an increase in office expense of $0.3 million, an increase in contractors expense of $0.3 million, an increase in legal and professional fees of $0.2 million, an increase in travel expense of $0.1 million, an increase in insurance expenses of $0.1 million, an increase in other tax expense of $0.1 million, and an increase in public company expenses of $0.1 million.</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six months ended June 30, 2025 increased by $3.3 million, or 89.8%, compared to the six months ended June 30, 2024. The increase in research and development expenses was due to the outsourced development of </w:t>
      </w:r>
      <w:r>
        <w:rPr>
          <w:rFonts w:ascii="Times New Roman" w:cs="Times New Roman" w:eastAsia="Times New Roman" w:hAnsi="Times New Roman"/>
          <w:sz w:val="15"/>
          <w:szCs w:val="15"/>
          <w:i w:val="1"/>
          <w:iCs w:val="1"/>
          <w:color w:val="auto"/>
        </w:rPr>
        <w:t>For the Stars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Nine Yin Sutra: Immortal</w:t>
      </w:r>
      <w:r>
        <w:rPr>
          <w:rFonts w:ascii="Times New Roman" w:cs="Times New Roman" w:eastAsia="Times New Roman" w:hAnsi="Times New Roman"/>
          <w:sz w:val="15"/>
          <w:szCs w:val="15"/>
          <w:color w:val="auto"/>
        </w:rPr>
        <w:t xml:space="preserve"> paid through Suzhou Snail and an increase in internal research and development salaries as the Company continues to expand its internal development team</w:t>
      </w:r>
      <w:r>
        <w:rPr>
          <w:rFonts w:ascii="Times New Roman" w:cs="Times New Roman" w:eastAsia="Times New Roman" w:hAnsi="Times New Roman"/>
          <w:sz w:val="15"/>
          <w:szCs w:val="15"/>
          <w:i w:val="1"/>
          <w:iCs w:val="1"/>
          <w:color w:val="auto"/>
        </w:rPr>
        <w:t>.</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expenses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Advertising and marketing expenses for the six months ended June 30, 2025 increased by $2.0 million, or 238.4%, compared to the six months ended June 30, 2024. The increase in advertising and marketing expenses was due to the Company’s presence at the Game Developers Conference (“GDC”) during the six months ended June 30, 2025, and increased advertising campaigns for our </w:t>
      </w:r>
      <w:r>
        <w:rPr>
          <w:rFonts w:ascii="Times New Roman" w:cs="Times New Roman" w:eastAsia="Times New Roman" w:hAnsi="Times New Roman"/>
          <w:sz w:val="15"/>
          <w:szCs w:val="15"/>
          <w:i w:val="1"/>
          <w:iCs w:val="1"/>
          <w:color w:val="auto"/>
        </w:rPr>
        <w:t>ARK: Aquatica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Wandering Wizard</w:t>
      </w:r>
      <w:r>
        <w:rPr>
          <w:rFonts w:ascii="Times New Roman" w:cs="Times New Roman" w:eastAsia="Times New Roman" w:hAnsi="Times New Roman"/>
          <w:sz w:val="15"/>
          <w:szCs w:val="15"/>
          <w:color w:val="auto"/>
        </w:rPr>
        <w:t xml:space="preserve"> titles and </w:t>
      </w:r>
      <w:r>
        <w:rPr>
          <w:rFonts w:ascii="Times New Roman" w:cs="Times New Roman" w:eastAsia="Times New Roman" w:hAnsi="Times New Roman"/>
          <w:sz w:val="15"/>
          <w:szCs w:val="15"/>
          <w:i w:val="1"/>
          <w:iCs w:val="1"/>
          <w:color w:val="auto"/>
        </w:rPr>
        <w:t>SaltyTV</w:t>
      </w:r>
      <w:r>
        <w:rPr>
          <w:rFonts w:ascii="Times New Roman" w:cs="Times New Roman" w:eastAsia="Times New Roman" w:hAnsi="Times New Roman"/>
          <w:sz w:val="15"/>
          <w:szCs w:val="15"/>
          <w:color w:val="auto"/>
        </w:rPr>
        <w:t xml:space="preserve"> application and related offerings in 2025.</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Impairment of film assets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Impairment of film assets for the six months ended June 30, 2025 increased by $0.4 million, or 100.0%, compared to the six months ended June 30, 2024. The increase in impairment of film assets was due to the Company’s underperformance of four films and changes in the market conditions affecting expected future cash flow during the six months ended June 30, 2025. There were no such impairments during the six months ended June 30, 2025.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Factors Affecting Net Income (Loss)</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71"/>
        </w:trPr>
        <w:tc>
          <w:tcPr>
            <w:tcW w:w="3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Borders>
              <w:bottom w:val="single" w:sz="8" w:color="auto"/>
            </w:tcBorders>
            <w:gridSpan w:val="3"/>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ind w:right="74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1"/>
        </w:trPr>
        <w:tc>
          <w:tcPr>
            <w:tcW w:w="3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5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760" w:type="dxa"/>
            <w:vAlign w:val="bottom"/>
            <w:gridSpan w:val="2"/>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0.1</w:t>
            </w:r>
          </w:p>
        </w:tc>
        <w:tc>
          <w:tcPr>
            <w:tcW w:w="120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0.2</w:t>
            </w:r>
          </w:p>
        </w:tc>
        <w:tc>
          <w:tcPr>
            <w:tcW w:w="4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(0.3)</w:t>
            </w:r>
          </w:p>
        </w:tc>
        <w:tc>
          <w:tcPr>
            <w:tcW w:w="1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(0.5)</w:t>
            </w:r>
          </w:p>
        </w:tc>
        <w:tc>
          <w:tcPr>
            <w:tcW w:w="460" w:type="dxa"/>
            <w:vAlign w:val="bottom"/>
          </w:tcPr>
          <w:p>
            <w:pPr>
              <w:spacing w:after="0"/>
              <w:rPr>
                <w:sz w:val="15"/>
                <w:szCs w:val="15"/>
                <w:color w:val="auto"/>
              </w:rPr>
            </w:pPr>
          </w:p>
        </w:tc>
        <w:tc>
          <w:tcPr>
            <w:tcW w:w="1540" w:type="dxa"/>
            <w:vAlign w:val="bottom"/>
          </w:tcPr>
          <w:p>
            <w:pPr>
              <w:jc w:val="right"/>
              <w:ind w:right="325"/>
              <w:spacing w:after="0"/>
              <w:rPr>
                <w:sz w:val="20"/>
                <w:szCs w:val="20"/>
                <w:color w:val="auto"/>
              </w:rPr>
            </w:pPr>
            <w:r>
              <w:rPr>
                <w:rFonts w:ascii="Times New Roman" w:cs="Times New Roman" w:eastAsia="Times New Roman" w:hAnsi="Times New Roman"/>
                <w:sz w:val="15"/>
                <w:szCs w:val="15"/>
                <w:color w:val="auto"/>
              </w:rPr>
              <w:t>0.2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(52.0)%</w:t>
            </w: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0.1</w:t>
            </w:r>
          </w:p>
        </w:tc>
        <w:tc>
          <w:tcPr>
            <w:tcW w:w="1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0.5</w:t>
            </w: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(0.4)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w:t>
            </w:r>
          </w:p>
        </w:tc>
      </w:t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(12.4)</w:t>
            </w:r>
          </w:p>
        </w:tc>
        <w:tc>
          <w:tcPr>
            <w:tcW w:w="1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(0.1)</w:t>
            </w:r>
          </w:p>
        </w:tc>
        <w:tc>
          <w:tcPr>
            <w:tcW w:w="460" w:type="dxa"/>
            <w:vAlign w:val="bottom"/>
          </w:tcPr>
          <w:p>
            <w:pPr>
              <w:spacing w:after="0"/>
              <w:rPr>
                <w:sz w:val="16"/>
                <w:szCs w:val="16"/>
                <w:color w:val="auto"/>
              </w:rPr>
            </w:pPr>
          </w:p>
        </w:tc>
        <w:tc>
          <w:tcPr>
            <w:tcW w:w="1540" w:type="dxa"/>
            <w:vAlign w:val="bottom"/>
          </w:tcPr>
          <w:p>
            <w:pPr>
              <w:jc w:val="right"/>
              <w:ind w:right="265"/>
              <w:spacing w:after="0"/>
              <w:rPr>
                <w:sz w:val="20"/>
                <w:szCs w:val="20"/>
                <w:color w:val="auto"/>
              </w:rPr>
            </w:pPr>
            <w:r>
              <w:rPr>
                <w:rFonts w:ascii="Times New Roman" w:cs="Times New Roman" w:eastAsia="Times New Roman" w:hAnsi="Times New Roman"/>
                <w:sz w:val="15"/>
                <w:szCs w:val="15"/>
                <w:color w:val="auto"/>
              </w:rPr>
              <w:t>(12.3)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11,012.9%</w:t>
            </w:r>
          </w:p>
        </w:tc>
      </w:tr>
    </w:tbl>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Interest income was $0.1 million and $0.2 million for the six months ended June 30, 2025 and June 30, 2024, respectively. The decrease was due to the balance of our cash deposits being lower on average during the six months ended June 30, 2025.</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Interest expense primarily related to our outstanding indebtedness with third-party lenders. Interest expense decreased by $0.2 million for the six months ended June 30, 2025 because of lower average debt during the six months ended June 30, 2025.</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Other income</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Other income decreased by $0.4 million for the six months ended June 30, 2025, in comparison to the six months ended June 30, 2024. The decrease is due to the recognition of a $0.4 million expense due to the revaluation of warrant liabilities in the six months ended June 30, 2025. In the six months ended June 30, 2024 the company recognized a $0.2 million expense due to the revaluation of warrant liabilities and recognized litigation revenues related to a revenue share agreement resulting for the settlement with Angela Games.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Provision for income taxes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The Company had provision of income taxes of $12.4 million and $0.1 million for the six months ended June 30, 2025 and 2024, respectively. This is primarily due to the impact of the valuation allowance recorded against U.S. net deferred tax assets. Our effective income tax rate was (203%) and 19% during the six months ended June 30, 2025 and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Performance Metrics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Units Sold</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54"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7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53"/>
        </w:trPr>
        <w:tc>
          <w:tcPr>
            <w:tcW w:w="3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r>
      <w:tr>
        <w:trPr>
          <w:trHeight w:val="198"/>
        </w:trPr>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300" w:type="dxa"/>
            <w:vAlign w:val="bottom"/>
          </w:tcPr>
          <w:p>
            <w:pPr>
              <w:spacing w:after="0"/>
              <w:rPr>
                <w:sz w:val="17"/>
                <w:szCs w:val="17"/>
                <w:color w:val="auto"/>
              </w:rPr>
            </w:pPr>
          </w:p>
        </w:tc>
        <w:tc>
          <w:tcPr>
            <w:tcW w:w="110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6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71"/>
        </w:trPr>
        <w:tc>
          <w:tcPr>
            <w:tcW w:w="33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3"/>
          </w:tcPr>
          <w:p>
            <w:pPr>
              <w:jc w:val="right"/>
              <w:ind w:right="565"/>
              <w:spacing w:after="0" w:line="172"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0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3"/>
        </w:trPr>
        <w:tc>
          <w:tcPr>
            <w:tcW w:w="3860" w:type="dxa"/>
            <w:vAlign w:val="bottom"/>
            <w:gridSpan w:val="2"/>
            <w:shd w:val="clear" w:color="auto" w:fill="CCEEFF"/>
          </w:tcPr>
          <w:p>
            <w:pPr>
              <w:jc w:val="right"/>
              <w:ind w:right="3060"/>
              <w:spacing w:after="0" w:line="213" w:lineRule="exact"/>
              <w:rPr>
                <w:sz w:val="20"/>
                <w:szCs w:val="20"/>
                <w:color w:val="auto"/>
              </w:rPr>
            </w:pPr>
            <w:r>
              <w:rPr>
                <w:rFonts w:ascii="Times New Roman" w:cs="Times New Roman" w:eastAsia="Times New Roman" w:hAnsi="Times New Roman"/>
                <w:sz w:val="15"/>
                <w:szCs w:val="15"/>
                <w:color w:val="auto"/>
                <w:w w:val="94"/>
              </w:rPr>
              <w:t>Units Sold</w:t>
            </w:r>
            <w:r>
              <w:rPr>
                <w:rFonts w:ascii="Times New Roman" w:cs="Times New Roman" w:eastAsia="Times New Roman" w:hAnsi="Times New Roman"/>
                <w:sz w:val="24"/>
                <w:szCs w:val="24"/>
                <w:color w:val="auto"/>
                <w:w w:val="94"/>
                <w:vertAlign w:val="superscript"/>
              </w:rPr>
              <w:t>(1)</w:t>
            </w:r>
          </w:p>
        </w:tc>
        <w:tc>
          <w:tcPr>
            <w:tcW w:w="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85"/>
              </w:rPr>
              <w:t>2.1</w:t>
            </w:r>
          </w:p>
        </w:tc>
        <w:tc>
          <w:tcPr>
            <w:tcW w:w="11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1.3</w:t>
            </w:r>
          </w:p>
        </w:tc>
        <w:tc>
          <w:tcPr>
            <w:tcW w:w="106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0.8</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58.4%</w:t>
            </w:r>
          </w:p>
        </w:tc>
        <w:tc>
          <w:tcPr>
            <w:tcW w:w="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3.7</w:t>
            </w:r>
          </w:p>
        </w:tc>
        <w:tc>
          <w:tcPr>
            <w:tcW w:w="10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2.4</w:t>
            </w:r>
          </w:p>
        </w:tc>
        <w:tc>
          <w:tcPr>
            <w:tcW w:w="10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52.4%</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Units include master games, DLCs, season pass and bundles and excludes skins, soundtracks and other items.</w:t>
      </w:r>
    </w:p>
    <w:p>
      <w:pPr>
        <w:spacing w:after="0" w:line="187"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Units sold increased during the three months ended June 30, 2025, as compared to the three months ended June 30, 2024, by 0.8 million units, or 58.4%. The Company’s units sold increased due to an increase in sales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its related DLC’s of 0.7 million units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its related DLC’s by 0.3 million units. This was offset by the decline in sales of other various games of 0.2 million units.</w:t>
      </w:r>
    </w:p>
    <w:p>
      <w:pPr>
        <w:spacing w:after="0" w:line="150"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 xml:space="preserve">Units sold increased during the six months ended June 30, 2025, as compared to the six months ended June 30, 2024, by 1.3 million units, or 52.4%. The Company’s units sold increased due to an increase in sales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its related DLC’s of 0.8 million units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an increase in sales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its related DLC’s of 0.6 million units. This increase was partially offset by the decrease of units sold of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of 0.1 million during the six months ended June 30, 2025.</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Bookings</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loss, as measures of financial performance or any other performance measure derived in accordance with GAAP. Below is a reconciliation of total net revenue to Bookings, the closest GAAP financial measure.</w:t>
      </w:r>
    </w:p>
    <w:p>
      <w:pPr>
        <w:sectPr>
          <w:pgSz w:w="11900" w:h="16838" w:orient="portrait"/>
          <w:cols w:equalWidth="0" w:num="1">
            <w:col w:w="11280"/>
          </w:cols>
          <w:pgMar w:left="300" w:top="593" w:right="319"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net revenue</w:t>
      </w:r>
    </w:p>
    <w:p>
      <w:pPr>
        <w:spacing w:after="0" w:line="21"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5"/>
          <w:szCs w:val="15"/>
          <w:color w:val="auto"/>
        </w:rPr>
        <w:t>Change in deferred net revenue Bookings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7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120" w:type="dxa"/>
            <w:vAlign w:val="bottom"/>
          </w:tcPr>
          <w:p>
            <w:pPr>
              <w:spacing w:after="0"/>
              <w:rPr>
                <w:sz w:val="17"/>
                <w:szCs w:val="17"/>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57"/>
        </w:trPr>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5"/>
          </w:tcPr>
          <w:p>
            <w:pPr>
              <w:jc w:val="right"/>
              <w:ind w:right="640"/>
              <w:spacing w:after="0" w:line="157"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21.6</w:t>
            </w:r>
          </w:p>
        </w:tc>
        <w:tc>
          <w:tcPr>
            <w:tcW w:w="3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0.6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42.3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18.4%</w:t>
            </w: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3.6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286.5%</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83"/>
        </w:trPr>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18.5%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3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-384810</wp:posOffset>
            </wp:positionV>
            <wp:extent cx="7155180" cy="114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-149225</wp:posOffset>
            </wp:positionV>
            <wp:extent cx="7155180"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13525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640" w:space="720"/>
            <w:col w:w="7920"/>
          </w:cols>
          <w:pgMar w:left="300" w:top="593" w:right="319" w:bottom="371" w:gutter="0" w:footer="0" w:header="0"/>
          <w:type w:val="continuous"/>
        </w:sectPr>
      </w:pPr>
    </w:p>
    <w:p>
      <w:pPr>
        <w:jc w:val="both"/>
        <w:ind w:right="20" w:firstLine="270"/>
        <w:spacing w:after="0" w:line="279" w:lineRule="auto"/>
        <w:rPr>
          <w:sz w:val="20"/>
          <w:szCs w:val="20"/>
          <w:color w:val="auto"/>
        </w:rPr>
      </w:pPr>
      <w:r>
        <w:rPr>
          <w:rFonts w:ascii="Times New Roman" w:cs="Times New Roman" w:eastAsia="Times New Roman" w:hAnsi="Times New Roman"/>
          <w:sz w:val="15"/>
          <w:szCs w:val="15"/>
          <w:color w:val="auto"/>
        </w:rPr>
        <w:t xml:space="preserve">For the three months ended June 30, 2025, bookings increased by $4.2 million or 18.5%, compared to the three months ended June 30, 2024, driven by various sales promotions in 2025 that did not occur in 2024, specifically around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the release of </w:t>
      </w:r>
      <w:r>
        <w:rPr>
          <w:rFonts w:ascii="Times New Roman" w:cs="Times New Roman" w:eastAsia="Times New Roman" w:hAnsi="Times New Roman"/>
          <w:sz w:val="15"/>
          <w:szCs w:val="15"/>
          <w:i w:val="1"/>
          <w:iCs w:val="1"/>
          <w:color w:val="auto"/>
        </w:rPr>
        <w:t>ARK: Lost Colony</w:t>
      </w:r>
      <w:r>
        <w:rPr>
          <w:rFonts w:ascii="Times New Roman" w:cs="Times New Roman" w:eastAsia="Times New Roman" w:hAnsi="Times New Roman"/>
          <w:sz w:val="15"/>
          <w:szCs w:val="15"/>
          <w:color w:val="auto"/>
        </w:rPr>
        <w:t xml:space="preserve"> to presale in 2025.</w:t>
      </w:r>
    </w:p>
    <w:p>
      <w:pPr>
        <w:spacing w:after="0" w:line="13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5"/>
          <w:szCs w:val="15"/>
          <w:color w:val="auto"/>
        </w:rPr>
        <w:t xml:space="preserve">For the six months ended June 30, 2025, bookings increased by $7.0 million, or 16.3%, compared to the six months ended June 30, 2024, because of the releases of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Ascended </w:t>
      </w:r>
      <w:r>
        <w:rPr>
          <w:rFonts w:ascii="Times New Roman" w:cs="Times New Roman" w:eastAsia="Times New Roman" w:hAnsi="Times New Roman"/>
          <w:sz w:val="15"/>
          <w:szCs w:val="15"/>
          <w:color w:val="auto"/>
        </w:rPr>
        <w:t>DLC</w:t>
      </w:r>
      <w:r>
        <w:rPr>
          <w:rFonts w:ascii="Times New Roman" w:cs="Times New Roman" w:eastAsia="Times New Roman" w:hAnsi="Times New Roman"/>
          <w:sz w:val="15"/>
          <w:szCs w:val="15"/>
          <w:i w:val="1"/>
          <w:iCs w:val="1"/>
          <w:color w:val="auto"/>
        </w:rPr>
        <w:t xml:space="preserve"> Astraeos </w:t>
      </w:r>
      <w:r>
        <w:rPr>
          <w:rFonts w:ascii="Times New Roman" w:cs="Times New Roman" w:eastAsia="Times New Roman" w:hAnsi="Times New Roman"/>
          <w:sz w:val="15"/>
          <w:szCs w:val="15"/>
          <w:color w:val="auto"/>
        </w:rPr>
        <w:t>in the first quarter of 2025, sales promotions that were the first of their kind on</w:t>
      </w:r>
      <w:r>
        <w:rPr>
          <w:rFonts w:ascii="Times New Roman" w:cs="Times New Roman" w:eastAsia="Times New Roman" w:hAnsi="Times New Roman"/>
          <w:sz w:val="15"/>
          <w:szCs w:val="15"/>
          <w:i w:val="1"/>
          <w:iCs w:val="1"/>
          <w:color w:val="auto"/>
        </w:rPr>
        <w:t xml:space="preserve"> ARK: Survival Evolved </w:t>
      </w:r>
      <w:r>
        <w:rPr>
          <w:rFonts w:ascii="Times New Roman" w:cs="Times New Roman" w:eastAsia="Times New Roman" w:hAnsi="Times New Roman"/>
          <w:sz w:val="15"/>
          <w:szCs w:val="15"/>
          <w:color w:val="auto"/>
        </w:rPr>
        <w:t>in 2025, and the release of</w:t>
      </w:r>
      <w:r>
        <w:rPr>
          <w:rFonts w:ascii="Times New Roman" w:cs="Times New Roman" w:eastAsia="Times New Roman" w:hAnsi="Times New Roman"/>
          <w:sz w:val="15"/>
          <w:szCs w:val="15"/>
          <w:i w:val="1"/>
          <w:iCs w:val="1"/>
          <w:color w:val="auto"/>
        </w:rPr>
        <w:t xml:space="preserve"> ARK: Lost Colony </w:t>
      </w:r>
      <w:r>
        <w:rPr>
          <w:rFonts w:ascii="Times New Roman" w:cs="Times New Roman" w:eastAsia="Times New Roman" w:hAnsi="Times New Roman"/>
          <w:sz w:val="15"/>
          <w:szCs w:val="15"/>
          <w:color w:val="auto"/>
        </w:rPr>
        <w:t>to presale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2025.</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371"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i w:val="1"/>
          <w:iCs w:val="1"/>
          <w:color w:val="auto"/>
        </w:rPr>
        <w:t>Non-GAAP Measures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In addition to our financial results determined in accordance with U.S. generally accepted accounting principles (“U.S. GAAP” or “GAAP”), we believe EBITDA, as a non-GAAP measure, is useful in evaluating our operating performance. EBITDA, as used in this Quarterly Report on Form 10-Q, is a non-GAAP financial measure that is presented as supplemental disclosures and should not be construed as an alternative to net loss or any other GAAP measure as an indicator of operating performance.</w:t>
      </w:r>
    </w:p>
    <w:p>
      <w:pPr>
        <w:spacing w:after="0" w:line="150"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EBITDA</w:t>
      </w:r>
    </w:p>
    <w:p>
      <w:pPr>
        <w:spacing w:after="0" w:line="189"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5"/>
          <w:szCs w:val="15"/>
          <w:color w:val="auto"/>
        </w:rPr>
        <w:t>We define EBITDA as net income (loss) before (i) interest income, (ii) interest expense, (iii) (benefit from) provision for income taxes, and (iv) depreciation expense, property and equipment.</w:t>
      </w:r>
    </w:p>
    <w:p>
      <w:pPr>
        <w:spacing w:after="0" w:line="138"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Below is a reconciliation of net income (loss) to EBITDA, the closest GAAP financial measure.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7"/>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74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3"/>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85"/>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3"/>
                <w:szCs w:val="13"/>
                <w:color w:val="auto"/>
              </w:rPr>
            </w:pPr>
          </w:p>
        </w:tc>
      </w:tr>
      <w:tr>
        <w:trPr>
          <w:trHeight w:val="198"/>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Pr>
          <w:p>
            <w:pPr>
              <w:spacing w:after="0"/>
              <w:rPr>
                <w:sz w:val="17"/>
                <w:szCs w:val="17"/>
                <w:color w:val="auto"/>
              </w:rPr>
            </w:pPr>
          </w:p>
        </w:tc>
        <w:tc>
          <w:tcPr>
            <w:tcW w:w="48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93"/>
              </w:rPr>
              <w:t>2025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Change</w:t>
            </w:r>
          </w:p>
        </w:tc>
      </w:tr>
      <w:tr>
        <w:trPr>
          <w:trHeight w:val="171"/>
        </w:trPr>
        <w:tc>
          <w:tcPr>
            <w:tcW w:w="3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right"/>
              <w:spacing w:after="0" w:line="172"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(16.6)</w:t>
            </w:r>
          </w:p>
        </w:tc>
        <w:tc>
          <w:tcPr>
            <w:tcW w:w="3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(18.9)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(834.6)%</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(18.5)</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(4,003.7)%</w:t>
            </w:r>
          </w:p>
        </w:tc>
      </w:tr>
      <w:tr>
        <w:trPr>
          <w:trHeight w:val="165"/>
        </w:trPr>
        <w:tc>
          <w:tcPr>
            <w:tcW w:w="32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Interest income and interest income – related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3"/>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parties</w:t>
            </w:r>
          </w:p>
        </w:tc>
        <w:tc>
          <w:tcPr>
            <w:tcW w:w="140" w:type="dxa"/>
            <w:vAlign w:val="bottom"/>
          </w:tcPr>
          <w:p>
            <w:pPr>
              <w:spacing w:after="0"/>
              <w:rPr>
                <w:sz w:val="16"/>
                <w:szCs w:val="16"/>
                <w:color w:val="auto"/>
              </w:rPr>
            </w:pP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(50.4)%</w:t>
            </w:r>
          </w:p>
        </w:tc>
        <w:tc>
          <w:tcPr>
            <w:tcW w:w="180" w:type="dxa"/>
            <w:vAlign w:val="bottom"/>
          </w:tcPr>
          <w:p>
            <w:pPr>
              <w:spacing w:after="0"/>
              <w:rPr>
                <w:sz w:val="16"/>
                <w:szCs w:val="16"/>
                <w:color w:val="auto"/>
              </w:rPr>
            </w:pPr>
          </w:p>
        </w:tc>
        <w:tc>
          <w:tcPr>
            <w:tcW w:w="6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62.0%</w:t>
            </w:r>
          </w:p>
        </w:tc>
      </w:tr>
      <w:tr>
        <w:trPr>
          <w:trHeight w:val="18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19.0%</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w:t>
            </w:r>
          </w:p>
        </w:tc>
      </w:tr>
      <w:tr>
        <w:trPr>
          <w:trHeight w:val="180"/>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40" w:type="dxa"/>
            <w:vAlign w:val="bottom"/>
          </w:tcPr>
          <w:p>
            <w:pPr>
              <w:spacing w:after="0"/>
              <w:rPr>
                <w:sz w:val="15"/>
                <w:szCs w:val="15"/>
                <w:color w:val="auto"/>
              </w:rPr>
            </w:pP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13.9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tcPr>
          <w:p>
            <w:pPr>
              <w:spacing w:after="0"/>
              <w:rPr>
                <w:sz w:val="15"/>
                <w:szCs w:val="15"/>
                <w:color w:val="auto"/>
              </w:rPr>
            </w:pPr>
          </w:p>
        </w:tc>
        <w:tc>
          <w:tcPr>
            <w:tcW w:w="80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13.3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2,252.6%</w:t>
            </w:r>
          </w:p>
        </w:tc>
        <w:tc>
          <w:tcPr>
            <w:tcW w:w="180" w:type="dxa"/>
            <w:vAlign w:val="bottom"/>
          </w:tcPr>
          <w:p>
            <w:pPr>
              <w:spacing w:after="0"/>
              <w:rPr>
                <w:sz w:val="15"/>
                <w:szCs w:val="15"/>
                <w:color w:val="auto"/>
              </w:rPr>
            </w:pPr>
          </w:p>
        </w:tc>
        <w:tc>
          <w:tcPr>
            <w:tcW w:w="68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12.4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11,012.9%</w:t>
            </w:r>
          </w:p>
        </w:tc>
      </w:tr>
      <w:tr>
        <w:trPr>
          <w:trHeight w:val="19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expense</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(15.9)%</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182"/>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w w:val="83"/>
              </w:rPr>
              <w:t>)</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3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60" w:type="dxa"/>
            <w:vAlign w:val="bottom"/>
          </w:tcPr>
          <w:p>
            <w:pPr>
              <w:jc w:val="right"/>
              <w:ind w:right="183"/>
              <w:spacing w:after="0"/>
              <w:rPr>
                <w:sz w:val="20"/>
                <w:szCs w:val="20"/>
                <w:color w:val="auto"/>
              </w:rPr>
            </w:pPr>
            <w:r>
              <w:rPr>
                <w:rFonts w:ascii="Times New Roman" w:cs="Times New Roman" w:eastAsia="Times New Roman" w:hAnsi="Times New Roman"/>
                <w:sz w:val="7"/>
                <w:szCs w:val="7"/>
                <w:color w:val="auto"/>
                <w:w w:val="83"/>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(182.9)%</w:t>
            </w: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3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(616.3)%</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For the three months ended June 30, 2025, EBITDA decreased by $5.5 million, or 182.9%, compared to the three months ended June 30, 2024, primarily because of an increase in net loss of $18.9 million, partially offset by an increase in provision for income taxes of $13.3 million and an increase in interest income and interest income – related parties of $0.1 million.</w:t>
      </w:r>
    </w:p>
    <w:p>
      <w:pPr>
        <w:spacing w:after="0" w:line="138"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For the six months ended June 30, 2025, EBITDA decreased by $7.0 million, or 616.3%, compared to the six months ended June 30, 2024, primarily because of an increase in net loss of $19.0 million, a decrease in interest expense of $0.3 million, partially offset by an increase in provision for income taxes of $12.3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Capital spending</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Liquidity</w:t>
      </w:r>
    </w:p>
    <w:p>
      <w:pPr>
        <w:spacing w:after="0" w:line="191"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5"/>
          <w:szCs w:val="15"/>
          <w:color w:val="auto"/>
        </w:rPr>
        <w:t>Our primary sources of liquidity are the cash flows generated from our operations, that are currently available as unrestricted cash. Our unrestricted cash was $7.9 million and $7.3 million as of June 30, 2025 and December 31, 2024, respectively.</w:t>
      </w:r>
    </w:p>
    <w:p>
      <w:pPr>
        <w:spacing w:after="0" w:line="138"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5"/>
          <w:szCs w:val="15"/>
          <w:color w:val="auto"/>
        </w:rPr>
        <w:t>Our restricted cash and cash equivalents were $0.9 million as of June 30, 2025 and December 31, 2024. Our restricted cash primarily consists of time deposits and is used as security for certain of our debt instruments and to secure standby letters of credit with certain of our landlords.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4" w:name="page45"/>
    <w:bookmarkEnd w:id="44"/>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As of June 30, 2025, our 2021 Revolving Loan has a balance of $3.0 million and is due and payable in June 2026. Additionally, in February 2025 the Company issued convertible notes with a par value of $3.3 million which mature in February 2026. The Company also obtained a term loan note of $3.5 million in June 2025 with a maturity date of June 2028. In concurrence with the registration of the 2023 convertible notes shares the Company registered shares for distribution in an equity line of credit. The Company has the right, but not the obligation, to sell up to $5.0 million in Class A common stock to the investor. The Company was not in compliance with its debt covenants related to the 2021 Revolving Note, 2021 Promissory note and 2025 Term Loan for the trailing twelve months ended June 30, 2025. The Company received a waiver for the covenant breach during the trailing twelve months ended June 30, 2025. As such, the Company has classified the long-term portion of its promissory note and term loan as current. There is no guarantee that the Company will receive a waiver from the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the Company.</w:t>
      </w:r>
    </w:p>
    <w:p>
      <w:pPr>
        <w:spacing w:after="0" w:line="157"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The Company has raised capital through the issuance of the convertible notes, equity line of credit,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60"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Our current unrestricted cash position of approximately $7.9 million, and our expected revenue receipts will allow the Company to continue operations beyond the next 12 months and service its current debts.</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tables present a summary of our cash flows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225"/>
              <w:spacing w:after="0" w:line="17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(used in) provided by operating activities</w:t>
            </w:r>
          </w:p>
        </w:tc>
        <w:tc>
          <w:tcPr>
            <w:tcW w:w="1240" w:type="dxa"/>
            <w:vAlign w:val="bottom"/>
            <w:gridSpan w:val="2"/>
            <w:shd w:val="clear" w:color="auto" w:fill="CCEEFF"/>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(2.4)</w:t>
            </w:r>
          </w:p>
        </w:tc>
        <w:tc>
          <w:tcPr>
            <w:tcW w:w="12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7.0</w:t>
            </w:r>
          </w:p>
        </w:tc>
        <w:tc>
          <w:tcPr>
            <w:tcW w:w="5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(9.4)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19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6.0</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(6.7)</w:t>
            </w: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12.7</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189.8%</w:t>
            </w:r>
          </w:p>
        </w:tc>
      </w:tr>
      <w:tr>
        <w:trPr>
          <w:trHeight w:val="145"/>
        </w:trPr>
        <w:tc>
          <w:tcPr>
            <w:tcW w:w="4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Net increase in cash and cash equivalents and restricted cash and</w:t>
            </w: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1240" w:type="dxa"/>
            <w:vAlign w:val="bottom"/>
            <w:gridSpan w:val="2"/>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0.6</w:t>
            </w: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0.3</w:t>
            </w: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4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64.6%</w:t>
            </w:r>
          </w:p>
        </w:tc>
      </w:tr>
      <w:tr>
        <w:trPr>
          <w:trHeight w:val="20"/>
        </w:trPr>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Net cash flows (used in) provided by operating activities for the six months ended June 30, 2025 decreased by $9.4 million as compared to the six months ended June 30, 2024, which resulted primarily from a decrease in net accounts receivable and account receivable related party of $21.2 million, an increase in net loss of $19.0 million, an increase in other noncurrent assets of $1.1 million, and an increase in noncash reconciling items of $12.7 million, partially offset by an increase in accrued expenses and other liabilities of $1.7 million, an increase in prepaid expenses related party and prepaid expenses and other current assets of $1.0 million, an increase in deferred revenue of $1.1 million and an increase in accounts payable and accounts payable – related parties of $14.1 million.</w:t>
      </w:r>
    </w:p>
    <w:p>
      <w:pPr>
        <w:spacing w:after="0" w:line="155"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The Company had a net loss and net income of ($18.5) million and $0.5 million, for the six months ended June 30, 2025 and 2024, respectively, representing a decrease of $19.0 million. The decrease was primarily due to an increase in provision for income taxes of $12.3 million, increase in general and administrative expenses of $3.4 million, an increase in research and development of $3.3 million, an increase in advertising and marketing of $2.0 million, an increase in impairment of film assets of $0.4 million, a decrease in total other income (expense) of $0.3 million, and an increase in cost of revenues of $3.9 million, partially offset by increased revenues of $6.6 million.</w:t>
      </w:r>
    </w:p>
    <w:p>
      <w:pPr>
        <w:spacing w:after="0" w:line="154"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Non-cash reconciling items were $12.3 million and ($0.4) million for the six months ended June 30, 2025 and 2024, respectively, representing an increase of $12.7 million. The increase in the non-cash reconciling items was due to an increase in deferred taxes of $10.7 million, an increase in stock based compensation expense (income) of $1.2 million, an increase in impairment charges of $0.4 million, and an increase in amortization expense of $0.6 million, partially offset by an increase in the loss on change in fair value of warrant liabilities of $0.1 million, and a decrease in accretion of convertible debt of $0.2 million.</w:t>
      </w:r>
    </w:p>
    <w:p>
      <w:pPr>
        <w:spacing w:after="0" w:line="154"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June 30, 2025 and December 31, 2024, the net outstanding balances of receivables due from SDE were $4.5 million and $7.5 million, respectively. We expect accounts receivables owed to us by SDE will be repaid within the next fiscal year and intend to exercise all legally available means of collection. The Company and SDE have entered into an agreement to offset uncollected amounts against monthly payments due to SDE for operating expenses and costs of revenue. See Note 5- </w:t>
      </w:r>
      <w:r>
        <w:rPr>
          <w:rFonts w:ascii="Times New Roman" w:cs="Times New Roman" w:eastAsia="Times New Roman" w:hAnsi="Times New Roman"/>
          <w:sz w:val="15"/>
          <w:szCs w:val="15"/>
          <w:i w:val="1"/>
          <w:iCs w:val="1"/>
          <w:color w:val="auto"/>
        </w:rPr>
        <w:t xml:space="preserve">Accounts (Payable) Receivable -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Related Party </w:t>
      </w:r>
      <w:r>
        <w:rPr>
          <w:rFonts w:ascii="Times New Roman" w:cs="Times New Roman" w:eastAsia="Times New Roman" w:hAnsi="Times New Roman"/>
          <w:sz w:val="15"/>
          <w:szCs w:val="15"/>
          <w:color w:val="auto"/>
        </w:rPr>
        <w:t>to our unaudited condensed consolidated financial statements included in this Quarterly Report.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45" w:name="page46"/>
    <w:bookmarkEnd w:id="45"/>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Net cash flows used in investing activities for the six months ended June 30, 2025 were $3.0 million compared to none in the six months ended June 30, 2024. Investing activities for the six months ended June 30, 2025 included $0.3 million for the acquisition of software applications, $2.0 million for the acquisition of license rights to certain titles, and $0.7 million in capitalized research and development expenditures for the development of software to be sold or marketed.</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Net cash flows provided by (used in) financing activities for the six months ended June 30, 2025 were $6.0 million compared to ($6.7) million for the six months ended June 30, 2024. Financing activities for the six months ended June 30, 2025 included $3.0 million from the issuance of convertible notes, $3.5 million obtained from the new term loan, and $0.2 million received upon the exercise of warrants during the period. This was partially offset by the repayments of the convertible notes of $0.6 million. Financing activities for the six months ended June 30, 2024 included debt repayments of $6.4 million and $0.3 million in payments of capitalized offering costs in accounts payable.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Registered Offering</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50"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Company’s unrestricted cash and cash equivalents in November 2023.</w:t>
      </w:r>
    </w:p>
    <w:p>
      <w:pPr>
        <w:spacing w:after="0" w:line="150"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In October 2023, we filed a Form S-1 Registration Statement with the SEC in connection with our issuance of convertible note, equity line of credit and warrants related to each financing as noted below.</w:t>
      </w:r>
    </w:p>
    <w:p>
      <w:pPr>
        <w:spacing w:after="0" w:line="138"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On May 8, 2025, we filed a Form S-1 Registration Statement with the United States Securities and Exchange Commission in connection with our issuance of our convertible notes in the amount of $3.3 million maturing February 2026. The notes bear a 5% interest rate, repayable in 10 monthly installments starting May 21, 2025. These notes are convertible into Class A common stock at $5.00 per share.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Capital resources</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We fund our operations from our net cash flows provided by operating activities. In addition to these cash flows, we have entered into certain debt arrangements to provide additional liquidity and to finance our operations.</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Revolving Loan</w:t>
      </w:r>
    </w:p>
    <w:p>
      <w:pPr>
        <w:spacing w:after="0" w:line="189"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matured on December 31, 2023 and bore interest at a rate equal to the prime rate less 0.25% and a floor rate of 6.50%. Interest is due and payable under the 2021 Revolving Loan on a monthly basis. The Company amended the revolving loan agreement in December 2024, to extend the 2021 Revolving Loan maturity date to June 2026. As of June 30, 2025, we had borrowings of $3.0 million outstanding under our 2021 Revolving Loan.</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Promissory Note</w:t>
      </w:r>
    </w:p>
    <w:p>
      <w:pPr>
        <w:spacing w:after="0" w:line="189"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2025 Term Loan</w:t>
      </w:r>
    </w:p>
    <w:p>
      <w:pPr>
        <w:spacing w:after="0" w:line="189"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In June 2025, we entered into a loan agreement with a financial institution provided for a term loan in an aggregate principal amount of $3.5 million. This loan is set to mature in June 2028, bears interest at a floating rate of 0.50% in excess of Wall Street Journal prime rate or a floor of 6.50% rate until maturity.</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Convertible Notes</w:t>
      </w:r>
    </w:p>
    <w:p>
      <w:pPr>
        <w:spacing w:after="0" w:line="189"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In February 2025, the Company issued convertible notes with an aggregate principal amount of $3,300,000 for gross proceeds of $3,000,000. The 2025 Convertible Notes, which mature on February 21, 2026, carry an original issue discount of 10%, and are subject to a guaranteed interest equal to 5% of the principal amount. The principal and interest charges are payable in 10 equal monthly payments starting May 21, 2025. The Company is accounting for the convertible notes at fair value.</w:t>
      </w:r>
    </w:p>
    <w:p>
      <w:pPr>
        <w:spacing w:after="0" w:line="150"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Subject to certain ownership limitations, all or portion of the then outstanding and unpaid principal and interest of the 2025 Convertible Notes can be converted at the option of the holder at any time into shares of the Company’s Class A common, at a conversion price of $5.00 per share, except that except that, for an aggregate of $866,250 of the conversion amount, the conversion price is equal to the lesser of $5.00 per share or 92% of the lowest daily volume weighted average price of the Class A common stock during the 5 trading days period prior the receipt of the notice of conversion. The conversion price may be adjusted for certain customary dilutive events.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Equity Line Purchase Agreement</w:t>
      </w:r>
    </w:p>
    <w:p>
      <w:pPr>
        <w:spacing w:after="0" w:line="189"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June 30, 2025, the Company has not sold any Class A common stock under the Equity Line Purchase Agreement, and the investor has exercised 33,333 warrants.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7" w:name="page48"/>
    <w:bookmarkEnd w:id="47"/>
    <w:p>
      <w:pPr>
        <w:ind w:left="280"/>
        <w:spacing w:after="0"/>
        <w:rPr>
          <w:sz w:val="20"/>
          <w:szCs w:val="20"/>
          <w:color w:val="auto"/>
        </w:rPr>
      </w:pPr>
      <w:r>
        <w:rPr>
          <w:rFonts w:ascii="Times New Roman" w:cs="Times New Roman" w:eastAsia="Times New Roman" w:hAnsi="Times New Roman"/>
          <w:sz w:val="15"/>
          <w:szCs w:val="15"/>
          <w:i w:val="1"/>
          <w:iCs w:val="1"/>
          <w:color w:val="auto"/>
        </w:rPr>
        <w:t>2023 Note Payable</w:t>
      </w:r>
    </w:p>
    <w:p>
      <w:pPr>
        <w:spacing w:after="0" w:line="18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5"/>
          <w:szCs w:val="15"/>
          <w:color w:val="auto"/>
        </w:rPr>
        <w:t xml:space="preserve">In July 2023, the Company entered into a cooperation agreement with its IDC vendor. The Company agreed to make the vendor the official server host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future iterations and sequels of the game for a period of 7 years. In return, the vendor has agreed to provide the Company with funds in cash of up to $3.0 million without discount and free of charges and costs to the Company. The funds were repaid in monthly installments starting in November 2023 and were based on 20% of the gross monthly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revenues. The Company has imputed interest at 8.0% on draws made. As of December 31, 2024, we had repaid the remaining $1.5 million outstanding under the Note Payable.</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Financial covenants</w:t>
      </w:r>
    </w:p>
    <w:p>
      <w:pPr>
        <w:spacing w:after="0" w:line="19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The 2021 Revolving Loan, 2021 Term Loan, 2022 Short Term Note, and the 2025 Term Loan require us to maintain a minimum debt service coverage ratio of 1.5 to 1.0. Additionally, the 2021 Revolving Loan requires us to maintain an outstanding principal balance of no more than $3.0 million for 30 consecutive days during any twelve-month period. For the trailing twelve months ended June 30, 2025, the Company has not met the minimum debt service coverage ratio required by its debt covenants. The Company received a waiver for the breach of the debt service coverage ratio covenant for the trailing twelve months ended June 30, 2025.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As a result of non-compliance with debt covenants and the projected failure to comply, the Company has reclassified the long-term portion of its promissory note as a current liability.</w:t>
      </w:r>
    </w:p>
    <w:p>
      <w:pPr>
        <w:spacing w:after="0" w:line="158"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5"/>
          <w:szCs w:val="15"/>
          <w:color w:val="auto"/>
        </w:rPr>
        <w:t xml:space="preserve">For additional information regarding our indebtedness, see Note 12,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xml:space="preserve"> to our unaudited condensed consolidated financial statements included in this Quarterly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9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condensed consolidated financial statements included in this Quarterly Report. We believe that the following critical accounting policies and estimates have the greatest potential impact on our condensed consolidated financial statements.</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Deferred Revenue</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condensed consolidated financial statements.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5" w:right="319" w:bottom="1440" w:gutter="0" w:footer="0" w:header="0"/>
        </w:sectPr>
      </w:pPr>
    </w:p>
    <w:bookmarkStart w:id="48" w:name="page49"/>
    <w:bookmarkEnd w:id="48"/>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Selling Prices of Performance Obligations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 uses the following reasonably available information in developing the standalone selling prices of the performance obligations:</w:t>
      </w:r>
    </w:p>
    <w:p>
      <w:pPr>
        <w:spacing w:after="0" w:line="187" w:lineRule="exact"/>
        <w:rPr>
          <w:sz w:val="20"/>
          <w:szCs w:val="20"/>
          <w:color w:val="auto"/>
        </w:rPr>
      </w:pPr>
    </w:p>
    <w:p>
      <w:pPr>
        <w:ind w:left="540" w:hanging="260"/>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87"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Income Taxes</w:t>
      </w:r>
    </w:p>
    <w:p>
      <w:pPr>
        <w:spacing w:after="0" w:line="19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9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Condensed Consolidated Financial Statements included in this Quarterly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and Smaller Reporting Company Status</w:t>
      </w:r>
    </w:p>
    <w:p>
      <w:pPr>
        <w:spacing w:after="0" w:line="19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49" w:name="page50"/>
    <w:bookmarkEnd w:id="49"/>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spacing w:after="0" w:line="155"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54"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a “smaller reporting company” as defined by Item 10 of Regulation S-K, the Company is not required to provide the information required by this item.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Disclosure Controls and Procedures</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Co-Chief Executive Officers and the Chief Financial Officer, as appropriate, to allow timely decisions regarding required disclosure.</w:t>
      </w:r>
    </w:p>
    <w:p>
      <w:pPr>
        <w:spacing w:after="0" w:line="154"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 xml:space="preserve">Under the supervision and with the participation of our management, including the Co-Chief Executive Officers and Chief Financial Officer, we have evaluated the effectiveness of our disclosure controls and procedures (as defined in Rules 13a-15(e) and 15d-15(e) under the Exchange Act), as of June 30, 2025. As described further in our 2024 Annual Report, the Company’s Co-Chief Executive Officer and Chief Financial Officer have concluded that our disclosure controls and procedures were not effective as of such date due to a material weakness in the internal control over financial reporting. This material weakness related to the failure to properly value the fair value of warrants related to the convertible notes and equity line of credit in accordance with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and this material weakness continued to exist at June 30,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Management’s Plan for Remediation</w:t>
      </w:r>
    </w:p>
    <w:p>
      <w:pPr>
        <w:spacing w:after="0" w:line="19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We have begun enhancing the process of, and are focused on, designing and implementing effective internal control measures to improve our internal control over financial reporting and remediate the material weaknesses. Our internal control remediation efforts include the following:</w:t>
      </w:r>
    </w:p>
    <w:p>
      <w:pPr>
        <w:spacing w:after="0" w:line="138" w:lineRule="exact"/>
        <w:rPr>
          <w:sz w:val="20"/>
          <w:szCs w:val="20"/>
          <w:color w:val="auto"/>
        </w:rPr>
      </w:pPr>
    </w:p>
    <w:p>
      <w:pPr>
        <w:ind w:left="540" w:hanging="26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new review controls and procedures over fair value valuations</w:t>
      </w:r>
    </w:p>
    <w:p>
      <w:pPr>
        <w:spacing w:after="0" w:line="20"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qualified external valuation specialist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191"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Except for the remediation efforts described above, we have not made changes in our internal control over financial reporting (as defined in Rules 13a-15(f) and 15d-15(f) under the Exchange Act) during the quarter ended June 30, 2025, which have materially affected, or are reasonably likely to materially affect, our internal control over financial reporting other than the remediation efforts described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See Item 1 of Part I, “Unaudited Condensed Consolidated Financial Statements - Note 15 - Commitments and Contingencies-Litigation.”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making an investment decision, you should carefully consider the risk factors described below as well as under the “Risk Factors” section in Part I – Item 1A of our 2024 Annual Report on Form 10-K, and any other periodic or current report that we file with the SEC, together with all of the related financial statements and notes thereto. Other than as set forth below, we have not identified any material changes to the risk factors previously disclosed in Part I – Item 1A – “Risk Factors” in our Annual Report on Form 10-K for the year ended December 31,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33"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i w:val="1"/>
          <w:iCs w:val="1"/>
          <w:color w:val="auto"/>
        </w:rPr>
        <w:t xml:space="preserve">ARK </w:t>
      </w:r>
      <w:r>
        <w:rPr>
          <w:rFonts w:ascii="Times New Roman" w:cs="Times New Roman" w:eastAsia="Times New Roman" w:hAnsi="Times New Roman"/>
          <w:sz w:val="15"/>
          <w:szCs w:val="15"/>
          <w:color w:val="auto"/>
        </w:rPr>
        <w:t>is a “hit” product and has historically accounted for a substantial portion of our revenue. The</w:t>
      </w:r>
      <w:r>
        <w:rPr>
          <w:rFonts w:ascii="Times New Roman" w:cs="Times New Roman" w:eastAsia="Times New Roman" w:hAnsi="Times New Roman"/>
          <w:sz w:val="15"/>
          <w:szCs w:val="15"/>
          <w:i w:val="1"/>
          <w:iCs w:val="1"/>
          <w:color w:val="auto"/>
        </w:rPr>
        <w:t xml:space="preserve"> ARK </w:t>
      </w:r>
      <w:r>
        <w:rPr>
          <w:rFonts w:ascii="Times New Roman" w:cs="Times New Roman" w:eastAsia="Times New Roman" w:hAnsi="Times New Roman"/>
          <w:sz w:val="15"/>
          <w:szCs w:val="15"/>
          <w:color w:val="auto"/>
        </w:rPr>
        <w:t>franchise contributed 90.8% of our net revenue for the six months ended June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30, 2025, and our five best-selling franchises (including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which may change year over year, in the aggregate accounted for 96.4% of our net revenue for the six months ended June 30, 2025.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7"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5"/>
          <w:szCs w:val="15"/>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from SDE, the parent company of Studio Wildcard, which is also an entity that is owned and controlled by the spouse of our Founder, Co-Chief Executive Officer, Chief Strategy Officer and Chairman, Mr. Shi. We entered into an original exclusive software license agreement with SDE in November 2015, for the rights to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contributed 90.8% of our net revenue for the six months ended June 30, 2025.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2024.</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52" w:name="page53"/>
    <w:bookmarkEnd w:id="52"/>
    <w:p>
      <w:pPr>
        <w:jc w:val="both"/>
        <w:ind w:firstLine="270"/>
        <w:spacing w:after="0" w:line="252" w:lineRule="auto"/>
        <w:rPr>
          <w:sz w:val="20"/>
          <w:szCs w:val="20"/>
          <w:color w:val="auto"/>
        </w:rPr>
      </w:pPr>
      <w:r>
        <w:rPr>
          <w:rFonts w:ascii="Times New Roman" w:cs="Times New Roman" w:eastAsia="Times New Roman" w:hAnsi="Times New Roman"/>
          <w:sz w:val="15"/>
          <w:szCs w:val="15"/>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spacing w:after="0" w:line="147"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six months ended June 30, 2025, 94.6%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157" w:lineRule="exact"/>
        <w:rPr>
          <w:sz w:val="20"/>
          <w:szCs w:val="20"/>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providers discontinue or limit our access to their platforms;</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private parties, such as internet providers, impose bandwidth restrictions, increase charges or restrict or prohibit access to those platforms;</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increase the fees they charge us;</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modify their algorithms, communication channels available to developers, respective terms of service or other policies;</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decline in popularity;</w:t>
      </w:r>
    </w:p>
    <w:p>
      <w:pPr>
        <w:spacing w:after="0" w:line="187" w:lineRule="exact"/>
        <w:rPr>
          <w:rFonts w:ascii="Times New Roman" w:cs="Times New Roman" w:eastAsia="Times New Roman" w:hAnsi="Times New Roman"/>
          <w:sz w:val="15"/>
          <w:szCs w:val="15"/>
          <w:color w:val="auto"/>
        </w:rPr>
      </w:pPr>
    </w:p>
    <w:p>
      <w:pPr>
        <w:ind w:left="820" w:right="20" w:hanging="271"/>
        <w:spacing w:after="0" w:line="279"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38"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elect or are required to change how they label free-to-play games or take payment for in-game purchases;</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block or limit access to the genres of games that we provide in any jurisdiction;</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experiences a bankruptcy or other form of insolvency event; or</w:t>
      </w:r>
    </w:p>
    <w:p>
      <w:pPr>
        <w:spacing w:after="0" w:line="187"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unable to comply with the platform providers’ terms of service.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53" w:name="page54"/>
    <w:bookmarkEnd w:id="53"/>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60"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5"/>
          <w:szCs w:val="15"/>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35"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94.6% of our net revenue by product platform for the six months ended June 30, 2025. The success of our business is subject to the continued popularity of these platforms and our ability to develop commercially successful products for these platforms.</w:t>
      </w:r>
    </w:p>
    <w:p>
      <w:pPr>
        <w:spacing w:after="0" w:line="154"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 law or tax rate changes could affect our effective tax rate and future profitability.</w:t>
      </w:r>
    </w:p>
    <w:p>
      <w:pPr>
        <w:spacing w:after="0" w:line="191"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Our effective tax rate was 22% and 19% for the six month periods ended June 30, 2025 and 2024,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Tariffs may cause cost increases and disruptions in technical R&amp;D operations.</w:t>
      </w:r>
    </w:p>
    <w:p>
      <w:pPr>
        <w:spacing w:after="0" w:line="191"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54" w:name="page55"/>
    <w:bookmarkEnd w:id="54"/>
    <w:p>
      <w:pPr>
        <w:jc w:val="both"/>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47"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5"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5"/>
          <w:szCs w:val="15"/>
          <w:color w:val="auto"/>
        </w:rPr>
        <w:t>Our management identified a material weakness in our internal control over financial reporting involving the failure to properly value the fair value of warrants related to the convertible notes and equity line of credit. See Part II, Item 9A, “Controls and Procedures,” in this Quarterly Report for information regarding the identified material weaknesses and our actions to date to remediate the material weakness. As a result of the material weakness, our management has concluded that our internal control over financial reporting were not effective as of June 30, 2025.</w:t>
      </w:r>
    </w:p>
    <w:p>
      <w:pPr>
        <w:spacing w:after="0" w:line="154"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5"/>
          <w:szCs w:val="15"/>
          <w:color w:val="auto"/>
        </w:rPr>
        <w:t>We are taking steps to remediate the material weakness, which include to enhancing our financial reporting close control procedures by implementing additional reviews of fair value measurements and hiring appropriate valuation experts as needed. However, our efforts to remediate the material weakness may not be effective in preventing a future material weakness in our internal control over financial reporting. If we do not effectively remediate the material weakness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55"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5"/>
          <w:szCs w:val="15"/>
          <w:color w:val="auto"/>
        </w:rPr>
        <w:t>We can give no assurance that the measures we have taken or plans to take in the future will remediate the material weakness identified or that any additional material weakness or restatements of financial results will not arise in the future due to a failure to implement and maintain adequate internal control over financial reporting or circumvention of these controls.</w:t>
      </w:r>
    </w:p>
    <w:p>
      <w:pPr>
        <w:spacing w:after="0" w:line="1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b w:val="1"/>
          <w:bCs w:val="1"/>
          <w:i w:val="1"/>
          <w:iCs w:val="1"/>
          <w:color w:val="auto"/>
        </w:rPr>
        <w:t>We may require additional financing to sustain our operations, without which we may not be able to continue operations, and the terms of subsequent financings may adversely impact our stockholders.</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We may direct our Equity Line Investor to purchase up to $5.0 million worth of shares of our Class A common stock under the Equity Line Purchase Agreement until December 31, 2025, in amounts up to $1.0 million in shares of our Class A common stock depending on market prices. In addition, pursuant to our arrangements with the Selling Stockholders, we may issue additional convertible notes to the Selling Stockholders in the aggregate principal amount of up to $11.0 million, with the first tranche consisting of the Crom Notes and the Jefferson Street Notes in the aggregate principal amount of $3.3 million. Lastly, on August 7, 2025, we entered into an At The Market Offering Agreement (the “Sales Agreement”) with H.C. Wainwright</w:t>
      </w:r>
    </w:p>
    <w:p>
      <w:pPr>
        <w:jc w:val="both"/>
        <w:ind w:firstLine="10"/>
        <w:spacing w:after="0" w:line="255" w:lineRule="auto"/>
        <w:tabs>
          <w:tab w:leader="none" w:pos="15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 as sales agent to sell shares of our Class A Common Stock from time to time in an at the market offering (“the ATM Offering”). Pursuant to a prospectus supplement, dated August 7, 2025, and accompanying base, we may offer and sell shares of our Class A Common Stock from time to time under the Sales Agreement having an aggregate offering price of up to $4,500,000 in the ATM Offering.</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Notwithstanding the foregoing, our ability to obtain these additional funds contains certain restrictions, such as selling shares to the Equity Line Investor and obtaining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(i.e.,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(i) the full amount available to us under the Equity Line Purchase Agreement due to the price of our Class A common stock and</w:t>
      </w:r>
    </w:p>
    <w:p>
      <w:pPr>
        <w:spacing w:after="0" w:line="4" w:lineRule="exact"/>
        <w:rPr>
          <w:sz w:val="20"/>
          <w:szCs w:val="20"/>
          <w:color w:val="auto"/>
        </w:rPr>
      </w:pPr>
    </w:p>
    <w:p>
      <w:pPr>
        <w:ind w:firstLine="10"/>
        <w:spacing w:after="0" w:line="260" w:lineRule="auto"/>
        <w:tabs>
          <w:tab w:leader="none" w:pos="221"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amounts available under the additional tranches from the Selling Stockholders. In addition, any amounts we may obtain from these financing sources may not satisfy all of our funding needs, even if we are able and choose to sell and issue all of our Class A common stock currently registered.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5"/>
          <w:szCs w:val="15"/>
          <w:color w:val="auto"/>
        </w:rPr>
        <w:t>The extent we rely on the Equity Line Investor as a source of funding will depend on a number of factors including the prevailing market price of our Class A common stock and the extent to which we are able to secure working capital from other sources, such as the Selling Stockholders. If obtaining sufficient funding from the Equity Line Investor were to prove unavailable or prohibitively dilutive, we will need to secure a third source of funding in order to satisfy our working capital needs. Even if we sell all $5.0 million in shares of our Class A common stock under the Equity Line Purchase Agreement to the Equity Line Investor and issues additional convertible Notes to the Selling Stockholders,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placement notices to the Sales Agent in the ATM Offering at any time throughout the term of the sales agreement. The number of shares of Class A Common Stock that are sold by the Sales Agent as our Sales Agent after we deliver a placement notice will fluctuate based on the market price of the Class A Common Stock and the trading volume of our Class A Common Stock during the sales period and limits we set with the Sales Agent. In addition, we may issue and sell shares of our Class A Common Stock having aggregate gross proceeds of up to $4,500,000 from time to time in the ATM Offering. Because there is no minimum offering amount required as a condition of the ATM Offering, the actual total offering amount in such offering, commissions and proceeds to us, if any, are not determinable at this time. The amount of proceeds from the ATM Offering will depend upon the number of shares of our Class A Common Stock sold and the market price at which they are sold. There can be no assurance that we will be able to sell any shares of our Class A Common Stock under or fully utilize the Sales Agreement with the Sales Agent as a source of financing.</w:t>
      </w:r>
    </w:p>
    <w:p>
      <w:pPr>
        <w:spacing w:after="0" w:line="1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default on our credit obligations, our operations may be interrupted, and our business could be seriously harmed.</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 addition to the Notes that we issued to the Selling Stockholders in the Offering that closed in February 2025, we also have a credit facility that we may draw on to finance our operations and other corporate purposes. If we default on these credit obligations, our lenders may accelerate the debt and/or foreclose on property securing the debt.</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Because we do not anticipate paying any cash dividends on our capital stock in the foreseeable future, capital appreciation, if any, will be your sole source of gain.</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relating to Stablecoins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b w:val="1"/>
          <w:bCs w:val="1"/>
          <w:i w:val="1"/>
          <w:iCs w:val="1"/>
          <w:color w:val="auto"/>
        </w:rPr>
        <w:t>We may require additional capital to support our strategic digital asset initiative, and implementing such initiative may subject us to various licensing requirements and significant compliance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recently announced our intention to explore a strategic digital asset initiative that includes the evaluation and feasibility of our own proprietary stablecoin backed by U.S. dollars.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regulatory environment for stablecoins and digital assets is rapidly evolving in the United States and globally. There is a significant uncertainty regarding how federal and state regulators will apply existing laws, implement Guiding and Establishing National Innovation for U.S. Stablecoins Act of 2025 (GENIUS Act of 2025) or adopt new regulations with respect to stablecoin issuances. Changes in laws, regulations, or interpretations could require us to modify or cease our strategic digital asset or stablecoin initiative, subject us to possible enforcement actions, or result in significant compliance costs.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may be required to seek additional capital to implement our strategic digital asset and stablecoin initiative as we may be required to be licensed as a money transmitter, payment services provider, bank, financial institution, custodian, broker-dealer, exchange, or otherwise in the United States or other jurisdictions which could result in significant costs and have a negative impact on our business, operational result and financial condition.</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5"/>
          <w:szCs w:val="15"/>
          <w:b w:val="1"/>
          <w:bCs w:val="1"/>
          <w:i w:val="1"/>
          <w:iCs w:val="1"/>
          <w:color w:val="auto"/>
        </w:rPr>
        <w:t>Any negative publicity regarding stablecoins or the broader digital asset industry may have an outsized negative effect on consumer confidence in our proposed proprietary stablecoins.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As in the case with other novel technology, compared to more established and well-known industries, any negative publicity regarding blockchain technology and digital assets companies could have an outsized negative effect on confidence in blockchain technology in general and our proposed proprietary stablecoins in particular. For example, since the inception of blockchain technology, there have been incidents of smart contract developers acting maliciously and misappropriating funds, and numerous digital assets businesses and platforms have been sued, investigated, or shut down due to fraud, illegal activities, the sale or issuance of unregistered securities, manipulative practices, business failure, and cyberattacks or security breaches. In addition, the energy usage and environmental impact of certain blockchains have attracted considerable attention, which could potentially create a negative consumer sentiment and perception of digital assets and delay a wider acceptance and use of our proposed proprietary stablecoins, whether or not our proposed stablecoins are available on those blockchains.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(a) Unregistered Sales of Equity Securities.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 did not issue any securities that were not registered under the Securities Act during the six months ended June 30,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(b) Use of Proceeds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0"/>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Not applicable.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(c) Purchases of Equity Securities by the Issuer and Affiliated Purchasers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4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Total Number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Approximate Dollar</w:t>
            </w:r>
          </w:p>
        </w:tc>
      </w:tr>
      <w:tr>
        <w:trPr>
          <w:trHeight w:val="180"/>
        </w:trPr>
        <w:tc>
          <w:tcPr>
            <w:tcW w:w="4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Shares Purchased as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Value of Shares that</w:t>
            </w:r>
          </w:p>
        </w:tc>
      </w:tr>
      <w:tr>
        <w:trPr>
          <w:trHeight w:val="180"/>
        </w:trPr>
        <w:tc>
          <w:tcPr>
            <w:tcW w:w="4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Part of Publicly</w:t>
            </w:r>
          </w:p>
        </w:tc>
        <w:tc>
          <w:tcPr>
            <w:tcW w:w="20" w:type="dxa"/>
            <w:vAlign w:val="bottom"/>
          </w:tcPr>
          <w:p>
            <w:pPr>
              <w:spacing w:after="0"/>
              <w:rPr>
                <w:sz w:val="15"/>
                <w:szCs w:val="15"/>
                <w:color w:val="auto"/>
              </w:rPr>
            </w:pPr>
          </w:p>
        </w:tc>
        <w:tc>
          <w:tcPr>
            <w:tcW w:w="15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6"/>
              </w:rPr>
              <w:t>May Yet Be Purchased</w:t>
            </w:r>
          </w:p>
        </w:tc>
      </w:tr>
      <w:tr>
        <w:trPr>
          <w:trHeight w:val="180"/>
        </w:trPr>
        <w:tc>
          <w:tcPr>
            <w:tcW w:w="4320" w:type="dxa"/>
            <w:vAlign w:val="bottom"/>
          </w:tcPr>
          <w:p>
            <w:pPr>
              <w:spacing w:after="0"/>
              <w:rPr>
                <w:sz w:val="15"/>
                <w:szCs w:val="15"/>
                <w:color w:val="auto"/>
              </w:rPr>
            </w:pPr>
          </w:p>
        </w:tc>
        <w:tc>
          <w:tcPr>
            <w:tcW w:w="1300" w:type="dxa"/>
            <w:vAlign w:val="bottom"/>
          </w:tcPr>
          <w:p>
            <w:pPr>
              <w:jc w:val="center"/>
              <w:ind w:left="85"/>
              <w:spacing w:after="0"/>
              <w:rPr>
                <w:sz w:val="20"/>
                <w:szCs w:val="20"/>
                <w:color w:val="auto"/>
              </w:rPr>
            </w:pPr>
            <w:r>
              <w:rPr>
                <w:rFonts w:ascii="Times New Roman" w:cs="Times New Roman" w:eastAsia="Times New Roman" w:hAnsi="Times New Roman"/>
                <w:sz w:val="15"/>
                <w:szCs w:val="15"/>
                <w:b w:val="1"/>
                <w:bCs w:val="1"/>
                <w:color w:val="auto"/>
                <w:w w:val="98"/>
              </w:rPr>
              <w:t>Total Number of</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Announced Plans or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under the Plans or</w:t>
            </w:r>
          </w:p>
        </w:tc>
      </w:tr>
      <w:tr>
        <w:trPr>
          <w:trHeight w:val="198"/>
        </w:trPr>
        <w:tc>
          <w:tcPr>
            <w:tcW w:w="4320" w:type="dxa"/>
            <w:vAlign w:val="bottom"/>
          </w:tcPr>
          <w:p>
            <w:pPr>
              <w:spacing w:after="0"/>
              <w:rPr>
                <w:sz w:val="17"/>
                <w:szCs w:val="17"/>
                <w:color w:val="auto"/>
              </w:rPr>
            </w:pPr>
          </w:p>
        </w:tc>
        <w:tc>
          <w:tcPr>
            <w:tcW w:w="1300" w:type="dxa"/>
            <w:vAlign w:val="bottom"/>
          </w:tcPr>
          <w:p>
            <w:pPr>
              <w:jc w:val="center"/>
              <w:ind w:left="85"/>
              <w:spacing w:after="0"/>
              <w:rPr>
                <w:sz w:val="20"/>
                <w:szCs w:val="20"/>
                <w:color w:val="auto"/>
              </w:rPr>
            </w:pPr>
            <w:r>
              <w:rPr>
                <w:rFonts w:ascii="Times New Roman" w:cs="Times New Roman" w:eastAsia="Times New Roman" w:hAnsi="Times New Roman"/>
                <w:sz w:val="15"/>
                <w:szCs w:val="15"/>
                <w:b w:val="1"/>
                <w:bCs w:val="1"/>
                <w:color w:val="auto"/>
                <w:w w:val="99"/>
              </w:rPr>
              <w:t>Shares Purchased</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Programs</w:t>
            </w:r>
          </w:p>
        </w:tc>
      </w:tr>
      <w:tr>
        <w:trPr>
          <w:trHeight w:val="171"/>
        </w:trPr>
        <w:tc>
          <w:tcPr>
            <w:tcW w:w="4320" w:type="dxa"/>
            <w:vAlign w:val="bottom"/>
            <w:tcBorders>
              <w:bottom w:val="single" w:sz="8" w:color="CCEEFF"/>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500" w:type="dxa"/>
            <w:vAlign w:val="bottom"/>
            <w:tcBorders>
              <w:top w:val="single" w:sz="8" w:color="auto"/>
              <w:bottom w:val="single" w:sz="8" w:color="auto"/>
            </w:tcBorders>
            <w:gridSpan w:val="4"/>
          </w:tcPr>
          <w:p>
            <w:pPr>
              <w:ind w:left="280"/>
              <w:spacing w:after="0" w:line="172" w:lineRule="exact"/>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Period</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2025</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70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February 2025</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2025</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70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2025</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May 2025</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70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2025</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1"/>
        </w:trPr>
        <w:tc>
          <w:tcPr>
            <w:tcW w:w="43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3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71" w:lineRule="exact"/>
              <w:rPr>
                <w:sz w:val="20"/>
                <w:szCs w:val="20"/>
                <w:color w:val="auto"/>
              </w:rPr>
            </w:pPr>
            <w:r>
              <w:rPr>
                <w:rFonts w:ascii="Times New Roman" w:cs="Times New Roman" w:eastAsia="Times New Roman" w:hAnsi="Times New Roman"/>
                <w:sz w:val="15"/>
                <w:szCs w:val="15"/>
                <w:color w:val="auto"/>
                <w:w w:val="93"/>
              </w:rPr>
              <w:t>—</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ind w:left="1220"/>
              <w:spacing w:after="0" w:line="171" w:lineRule="exact"/>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4"/>
                <w:szCs w:val="14"/>
                <w:color w:val="auto"/>
              </w:rPr>
            </w:pPr>
          </w:p>
        </w:tc>
        <w:tc>
          <w:tcPr>
            <w:tcW w:w="1460" w:type="dxa"/>
            <w:vAlign w:val="bottom"/>
            <w:tcBorders>
              <w:top w:val="single" w:sz="8" w:color="auto"/>
              <w:bottom w:val="single" w:sz="8" w:color="auto"/>
            </w:tcBorders>
          </w:tcPr>
          <w:p>
            <w:pPr>
              <w:ind w:left="132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bl>
    <w:p>
      <w:pPr>
        <w:spacing w:after="0" w:line="165"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5"/>
          <w:szCs w:val="15"/>
          <w:color w:val="auto"/>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three months ended June 30, 2025. As of June 30, 2025,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Summary of Significant Accounting Policies to our condensed consolidated financial statements included in this Quarterly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91" w:lineRule="exact"/>
        <w:rPr>
          <w:sz w:val="20"/>
          <w:szCs w:val="20"/>
          <w:color w:val="auto"/>
        </w:rPr>
      </w:pPr>
    </w:p>
    <w:p>
      <w:pPr>
        <w:ind w:right="20" w:firstLine="270"/>
        <w:spacing w:after="0" w:line="279" w:lineRule="auto"/>
        <w:rPr>
          <w:sz w:val="20"/>
          <w:szCs w:val="20"/>
          <w:color w:val="auto"/>
        </w:rPr>
      </w:pPr>
      <w:r>
        <w:rPr>
          <w:rFonts w:ascii="Times New Roman" w:cs="Times New Roman" w:eastAsia="Times New Roman" w:hAnsi="Times New Roman"/>
          <w:sz w:val="15"/>
          <w:szCs w:val="15"/>
          <w:color w:val="auto"/>
        </w:rPr>
        <w:t>During the quarter ended June 30, 2025, no director or officer of the Company adopted or terminated any “Rule 10b5-1 trading arrangement” or “non-Rule 10b5-1 trading arrangement,” as each term is defined in Item 408(a) of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60" w:type="dxa"/>
            <w:vAlign w:val="bottom"/>
            <w:gridSpan w:val="6"/>
          </w:tcPr>
          <w:p>
            <w:pPr>
              <w:ind w:left="50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tc>
        <w:tc>
          <w:tcPr>
            <w:tcW w:w="0" w:type="dxa"/>
            <w:vAlign w:val="bottom"/>
          </w:tcPr>
          <w:p>
            <w:pPr>
              <w:spacing w:after="0"/>
              <w:rPr>
                <w:sz w:val="1"/>
                <w:szCs w:val="1"/>
                <w:color w:val="auto"/>
              </w:rPr>
            </w:pPr>
          </w:p>
        </w:tc>
      </w:tr>
      <w:tr>
        <w:trPr>
          <w:trHeight w:val="172"/>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60" w:type="dxa"/>
            <w:vAlign w:val="bottom"/>
            <w:gridSpan w:val="7"/>
          </w:tcPr>
          <w:p>
            <w:pPr>
              <w:ind w:left="3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Form</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File No.</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Filing Date</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0" w:type="dxa"/>
            <w:vAlign w:val="bottom"/>
            <w:tcBorders>
              <w:bottom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12"/>
                <w:szCs w:val="12"/>
                <w:color w:val="auto"/>
              </w:rPr>
            </w:pPr>
          </w:p>
        </w:tc>
        <w:tc>
          <w:tcPr>
            <w:tcW w:w="6840" w:type="dxa"/>
            <w:vAlign w:val="bottom"/>
            <w:tcBorders>
              <w:bottom w:val="single" w:sz="8" w:color="0000EE"/>
            </w:tcBorders>
            <w:gridSpan w:val="8"/>
            <w:shd w:val="clear" w:color="auto" w:fill="CCEEFF"/>
          </w:tcPr>
          <w:p>
            <w:pPr>
              <w:spacing w:after="0" w:line="146" w:lineRule="exact"/>
              <w:rPr>
                <w:rFonts w:ascii="Times New Roman" w:cs="Times New Roman" w:eastAsia="Times New Roman" w:hAnsi="Times New Roman"/>
                <w:sz w:val="15"/>
                <w:szCs w:val="15"/>
                <w:color w:val="0000EE"/>
              </w:rPr>
            </w:pPr>
            <w:hyperlink r:id="rId67">
              <w:r>
                <w:rPr>
                  <w:rFonts w:ascii="Times New Roman" w:cs="Times New Roman" w:eastAsia="Times New Roman" w:hAnsi="Times New Roman"/>
                  <w:sz w:val="15"/>
                  <w:szCs w:val="15"/>
                  <w:color w:val="0000EE"/>
                </w:rPr>
                <w:t>At The Market Offering Agreement, dated August 7, 2025, by and between Snail, Inc. and H.C. Wainwright &amp;</w:t>
              </w:r>
            </w:hyperlink>
          </w:p>
        </w:tc>
        <w:tc>
          <w:tcPr>
            <w:tcW w:w="120" w:type="dxa"/>
            <w:vAlign w:val="bottom"/>
            <w:tcBorders>
              <w:bottom w:val="single" w:sz="8" w:color="CCEEFF"/>
            </w:tcBorders>
            <w:gridSpan w:val="3"/>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center"/>
              <w:ind w:right="120"/>
              <w:spacing w:after="0" w:line="146" w:lineRule="exact"/>
              <w:rPr>
                <w:sz w:val="20"/>
                <w:szCs w:val="20"/>
                <w:color w:val="auto"/>
              </w:rPr>
            </w:pPr>
            <w:r>
              <w:rPr>
                <w:rFonts w:ascii="Times New Roman" w:cs="Times New Roman" w:eastAsia="Times New Roman" w:hAnsi="Times New Roman"/>
                <w:sz w:val="15"/>
                <w:szCs w:val="15"/>
                <w:color w:val="auto"/>
              </w:rPr>
              <w:t>8-K</w:t>
            </w:r>
          </w:p>
        </w:tc>
        <w:tc>
          <w:tcPr>
            <w:tcW w:w="68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w w:val="98"/>
              </w:rPr>
              <w:t>001-41556</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rPr>
              <w:t>August 07, 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960" w:type="dxa"/>
            <w:vAlign w:val="bottom"/>
            <w:gridSpan w:val="11"/>
            <w:shd w:val="clear" w:color="auto" w:fill="CCEEFF"/>
          </w:tcPr>
          <w:p>
            <w:pPr>
              <w:spacing w:after="0" w:line="160" w:lineRule="exact"/>
              <w:rPr>
                <w:rFonts w:ascii="Times New Roman" w:cs="Times New Roman" w:eastAsia="Times New Roman" w:hAnsi="Times New Roman"/>
                <w:sz w:val="15"/>
                <w:szCs w:val="15"/>
                <w:color w:val="0000EE"/>
              </w:rPr>
            </w:pPr>
            <w:hyperlink r:id="rId67">
              <w:r>
                <w:rPr>
                  <w:rFonts w:ascii="Times New Roman" w:cs="Times New Roman" w:eastAsia="Times New Roman" w:hAnsi="Times New Roman"/>
                  <w:sz w:val="15"/>
                  <w:szCs w:val="15"/>
                  <w:color w:val="0000EE"/>
                </w:rPr>
                <w:t>Co., LLC</w:t>
              </w:r>
            </w:hyperlink>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3"/>
                <w:szCs w:val="13"/>
                <w:color w:val="auto"/>
              </w:rPr>
            </w:pPr>
          </w:p>
        </w:tc>
        <w:tc>
          <w:tcPr>
            <w:tcW w:w="6960" w:type="dxa"/>
            <w:vAlign w:val="bottom"/>
            <w:gridSpan w:val="11"/>
            <w:shd w:val="clear" w:color="auto" w:fill="CCEEFF"/>
          </w:tcPr>
          <w:p>
            <w:pPr>
              <w:spacing w:after="0" w:line="146" w:lineRule="exact"/>
              <w:rPr>
                <w:rFonts w:ascii="Times New Roman" w:cs="Times New Roman" w:eastAsia="Times New Roman" w:hAnsi="Times New Roman"/>
                <w:sz w:val="15"/>
                <w:szCs w:val="15"/>
                <w:color w:val="0000EE"/>
              </w:rPr>
            </w:pPr>
            <w:hyperlink r:id="rId68">
              <w:r>
                <w:rPr>
                  <w:rFonts w:ascii="Times New Roman" w:cs="Times New Roman" w:eastAsia="Times New Roman" w:hAnsi="Times New Roman"/>
                  <w:sz w:val="15"/>
                  <w:szCs w:val="15"/>
                  <w:color w:val="0000EE"/>
                </w:rPr>
                <w:t>Amended and Restated Certificate of Incorporation of Snail, Inc.</w:t>
              </w:r>
            </w:hyperlink>
          </w:p>
        </w:tc>
        <w:tc>
          <w:tcPr>
            <w:tcW w:w="640" w:type="dxa"/>
            <w:vAlign w:val="bottom"/>
            <w:gridSpan w:val="2"/>
            <w:shd w:val="clear" w:color="auto" w:fill="CCEEFF"/>
          </w:tcPr>
          <w:p>
            <w:pPr>
              <w:jc w:val="center"/>
              <w:ind w:right="120"/>
              <w:spacing w:after="0" w:line="146" w:lineRule="exact"/>
              <w:rPr>
                <w:sz w:val="20"/>
                <w:szCs w:val="20"/>
                <w:color w:val="auto"/>
              </w:rPr>
            </w:pPr>
            <w:r>
              <w:rPr>
                <w:rFonts w:ascii="Times New Roman" w:cs="Times New Roman" w:eastAsia="Times New Roman" w:hAnsi="Times New Roman"/>
                <w:sz w:val="15"/>
                <w:szCs w:val="15"/>
                <w:color w:val="auto"/>
              </w:rPr>
              <w:t>8-K</w:t>
            </w:r>
          </w:p>
        </w:tc>
        <w:tc>
          <w:tcPr>
            <w:tcW w:w="6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w w:val="98"/>
              </w:rPr>
              <w:t>001-41556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rPr>
              <w:t>November 15, 2022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3"/>
                <w:szCs w:val="13"/>
                <w:color w:val="auto"/>
              </w:rPr>
            </w:pPr>
          </w:p>
        </w:tc>
        <w:tc>
          <w:tcPr>
            <w:tcW w:w="6960" w:type="dxa"/>
            <w:vAlign w:val="bottom"/>
            <w:gridSpan w:val="11"/>
            <w:shd w:val="clear" w:color="auto" w:fill="CCEEFF"/>
          </w:tcPr>
          <w:p>
            <w:pPr>
              <w:spacing w:after="0" w:line="146" w:lineRule="exact"/>
              <w:rPr>
                <w:rFonts w:ascii="Times New Roman" w:cs="Times New Roman" w:eastAsia="Times New Roman" w:hAnsi="Times New Roman"/>
                <w:sz w:val="15"/>
                <w:szCs w:val="15"/>
                <w:color w:val="0000EE"/>
              </w:rPr>
            </w:pPr>
            <w:hyperlink r:id="rId69">
              <w:r>
                <w:rPr>
                  <w:rFonts w:ascii="Times New Roman" w:cs="Times New Roman" w:eastAsia="Times New Roman" w:hAnsi="Times New Roman"/>
                  <w:sz w:val="15"/>
                  <w:szCs w:val="15"/>
                  <w:color w:val="0000EE"/>
                </w:rPr>
                <w:t>Amended and Restated Bylaws of Snail, Inc.</w:t>
              </w:r>
            </w:hyperlink>
          </w:p>
        </w:tc>
        <w:tc>
          <w:tcPr>
            <w:tcW w:w="640" w:type="dxa"/>
            <w:vAlign w:val="bottom"/>
            <w:gridSpan w:val="2"/>
            <w:shd w:val="clear" w:color="auto" w:fill="CCEEFF"/>
          </w:tcPr>
          <w:p>
            <w:pPr>
              <w:jc w:val="center"/>
              <w:ind w:right="120"/>
              <w:spacing w:after="0" w:line="146" w:lineRule="exact"/>
              <w:rPr>
                <w:sz w:val="20"/>
                <w:szCs w:val="20"/>
                <w:color w:val="auto"/>
              </w:rPr>
            </w:pPr>
            <w:r>
              <w:rPr>
                <w:rFonts w:ascii="Times New Roman" w:cs="Times New Roman" w:eastAsia="Times New Roman" w:hAnsi="Times New Roman"/>
                <w:sz w:val="15"/>
                <w:szCs w:val="15"/>
                <w:color w:val="auto"/>
              </w:rPr>
              <w:t>8-K</w:t>
            </w:r>
          </w:p>
        </w:tc>
        <w:tc>
          <w:tcPr>
            <w:tcW w:w="6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w w:val="98"/>
              </w:rPr>
              <w:t>001-41556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rPr>
              <w:t>November 15, 2022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31.1*</w:t>
            </w:r>
          </w:p>
        </w:tc>
        <w:tc>
          <w:tcPr>
            <w:tcW w:w="100" w:type="dxa"/>
            <w:vAlign w:val="bottom"/>
            <w:shd w:val="clear" w:color="auto" w:fill="CCEEFF"/>
          </w:tcPr>
          <w:p>
            <w:pPr>
              <w:spacing w:after="0"/>
              <w:rPr>
                <w:sz w:val="12"/>
                <w:szCs w:val="12"/>
                <w:color w:val="auto"/>
              </w:rPr>
            </w:pPr>
          </w:p>
        </w:tc>
        <w:tc>
          <w:tcPr>
            <w:tcW w:w="6960" w:type="dxa"/>
            <w:vAlign w:val="bottom"/>
            <w:gridSpan w:val="11"/>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Certification of Co-Chief Executive Officer Pursuant to Rules 13a-14(a) and 15d-14(a), under the Securities</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40" w:type="dxa"/>
            <w:vAlign w:val="bottom"/>
            <w:tcBorders>
              <w:top w:val="single" w:sz="8" w:color="0000EE"/>
            </w:tcBorders>
            <w:gridSpan w:val="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120" w:type="dxa"/>
            <w:vAlign w:val="bottom"/>
            <w:tcBorders>
              <w:top w:val="single" w:sz="8" w:color="CCEEFF"/>
            </w:tcBorders>
            <w:gridSpan w:val="3"/>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31.2*</w:t>
            </w:r>
          </w:p>
        </w:tc>
        <w:tc>
          <w:tcPr>
            <w:tcW w:w="100" w:type="dxa"/>
            <w:vAlign w:val="bottom"/>
            <w:shd w:val="clear" w:color="auto" w:fill="CCEEFF"/>
          </w:tcPr>
          <w:p>
            <w:pPr>
              <w:spacing w:after="0"/>
              <w:rPr>
                <w:sz w:val="12"/>
                <w:szCs w:val="12"/>
                <w:color w:val="auto"/>
              </w:rPr>
            </w:pPr>
          </w:p>
        </w:tc>
        <w:tc>
          <w:tcPr>
            <w:tcW w:w="6960" w:type="dxa"/>
            <w:vAlign w:val="bottom"/>
            <w:gridSpan w:val="11"/>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Certification of Chief Financial Officer Pursuant to Rules 13a-14(a) and 15d-14(a) under the Securities Exchange</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40" w:type="dxa"/>
            <w:vAlign w:val="bottom"/>
            <w:tcBorders>
              <w:top w:val="single" w:sz="8" w:color="0000EE"/>
            </w:tcBorders>
            <w:gridSpan w:val="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Act of 1934, as Adopted Pursuant to Section 302 of the Sarbanes-Oxley Act of 2002.</w:t>
            </w:r>
          </w:p>
        </w:tc>
        <w:tc>
          <w:tcPr>
            <w:tcW w:w="120" w:type="dxa"/>
            <w:vAlign w:val="bottom"/>
            <w:tcBorders>
              <w:top w:val="single" w:sz="8" w:color="CCEEFF"/>
            </w:tcBorders>
            <w:gridSpan w:val="3"/>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0" w:type="dxa"/>
            <w:vAlign w:val="bottom"/>
            <w:tcBorders>
              <w:bottom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32.1**</w:t>
            </w:r>
          </w:p>
        </w:tc>
        <w:tc>
          <w:tcPr>
            <w:tcW w:w="100" w:type="dxa"/>
            <w:vAlign w:val="bottom"/>
            <w:tcBorders>
              <w:bottom w:val="single" w:sz="8" w:color="CCEEFF"/>
            </w:tcBorders>
            <w:shd w:val="clear" w:color="auto" w:fill="CCEEFF"/>
          </w:tcPr>
          <w:p>
            <w:pPr>
              <w:spacing w:after="0"/>
              <w:rPr>
                <w:sz w:val="12"/>
                <w:szCs w:val="12"/>
                <w:color w:val="auto"/>
              </w:rPr>
            </w:pPr>
          </w:p>
        </w:tc>
        <w:tc>
          <w:tcPr>
            <w:tcW w:w="6860" w:type="dxa"/>
            <w:vAlign w:val="bottom"/>
            <w:tcBorders>
              <w:bottom w:val="single" w:sz="8" w:color="0000EE"/>
            </w:tcBorders>
            <w:gridSpan w:val="9"/>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Certification of Co-Chief Executive Officer Pursuant to 18 U.S.C. Section 1350, as Adopted Pursuant to Section</w:t>
            </w: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960" w:type="dxa"/>
            <w:vAlign w:val="bottom"/>
            <w:gridSpan w:val="11"/>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906 of the Sarbanes-Oxley Act of 2002.</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32.2**</w:t>
            </w:r>
          </w:p>
        </w:tc>
        <w:tc>
          <w:tcPr>
            <w:tcW w:w="100" w:type="dxa"/>
            <w:vAlign w:val="bottom"/>
            <w:shd w:val="clear" w:color="auto" w:fill="CCEEFF"/>
          </w:tcPr>
          <w:p>
            <w:pPr>
              <w:spacing w:after="0"/>
              <w:rPr>
                <w:sz w:val="12"/>
                <w:szCs w:val="12"/>
                <w:color w:val="auto"/>
              </w:rPr>
            </w:pPr>
          </w:p>
        </w:tc>
        <w:tc>
          <w:tcPr>
            <w:tcW w:w="6960" w:type="dxa"/>
            <w:vAlign w:val="bottom"/>
            <w:gridSpan w:val="11"/>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Certification of Chief Financial Officer Pursuant to 18 U.S.C. Section 1350, as Adopted Pursuant to Section 906</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40" w:type="dxa"/>
            <w:vAlign w:val="bottom"/>
            <w:tcBorders>
              <w:top w:val="single" w:sz="8" w:color="0000EE"/>
            </w:tcBorders>
            <w:gridSpan w:val="8"/>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of the Sarbanes-Oxley Act of 2002.</w:t>
            </w:r>
          </w:p>
        </w:tc>
        <w:tc>
          <w:tcPr>
            <w:tcW w:w="120" w:type="dxa"/>
            <w:vAlign w:val="bottom"/>
            <w:tcBorders>
              <w:top w:val="single" w:sz="8" w:color="CCEEFF"/>
            </w:tcBorders>
            <w:gridSpan w:val="3"/>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101.INS</w:t>
            </w:r>
          </w:p>
        </w:tc>
        <w:tc>
          <w:tcPr>
            <w:tcW w:w="69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101.SCH</w:t>
            </w:r>
          </w:p>
        </w:tc>
        <w:tc>
          <w:tcPr>
            <w:tcW w:w="69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101.CAL</w:t>
            </w:r>
          </w:p>
        </w:tc>
        <w:tc>
          <w:tcPr>
            <w:tcW w:w="69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101.DEF</w:t>
            </w:r>
          </w:p>
        </w:tc>
        <w:tc>
          <w:tcPr>
            <w:tcW w:w="69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101.LAB</w:t>
            </w:r>
          </w:p>
        </w:tc>
        <w:tc>
          <w:tcPr>
            <w:tcW w:w="69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101.PRE</w:t>
            </w:r>
          </w:p>
        </w:tc>
        <w:tc>
          <w:tcPr>
            <w:tcW w:w="69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800" w:hanging="790"/>
        <w:spacing w:after="0"/>
        <w:tabs>
          <w:tab w:leader="none" w:pos="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187"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-327660</wp:posOffset>
            </wp:positionV>
            <wp:extent cx="7155180" cy="114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These certifications are being furnished solely to accompany this Quarterly Report on Form 10-Q pursuant to 18 U.S.C. Section 1350, and are not being filed for purposes of</w:t>
      </w:r>
    </w:p>
    <w:p>
      <w:pPr>
        <w:spacing w:after="0" w:line="21" w:lineRule="exact"/>
        <w:rPr>
          <w:sz w:val="20"/>
          <w:szCs w:val="20"/>
          <w:color w:val="auto"/>
        </w:rPr>
      </w:pPr>
    </w:p>
    <w:p>
      <w:pPr>
        <w:ind w:left="540" w:right="20" w:hanging="530"/>
        <w:spacing w:after="0" w:line="260"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18 of the Securities Exchange Act of 1934 and are not to be incorporated by reference into any filing of Snail, Inc., whether made before or after the date hereof, regardless of any general incorporation language in such filing.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1"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as amended, the Registrant has duly caused this Report to be signed on its behalf by the undersigned, thereunto duly authorized, in Culver City, California, on August 19, 2025</w:t>
      </w:r>
      <w:r>
        <w:rPr>
          <w:rFonts w:ascii="Times New Roman" w:cs="Times New Roman" w:eastAsia="Times New Roman" w:hAnsi="Times New Roman"/>
          <w:sz w:val="15"/>
          <w:szCs w:val="15"/>
          <w:b w:val="1"/>
          <w:bCs w:val="1"/>
          <w:color w:val="auto"/>
        </w:rPr>
        <w:t>.</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Snail, Inc.</w:t>
      </w:r>
    </w:p>
    <w:p>
      <w:pPr>
        <w:spacing w:after="0" w:line="185" w:lineRule="exact"/>
        <w:rPr>
          <w:sz w:val="20"/>
          <w:szCs w:val="20"/>
          <w:color w:val="auto"/>
        </w:rPr>
      </w:pPr>
    </w:p>
    <w:p>
      <w:pPr>
        <w:spacing w:after="0"/>
        <w:tabs>
          <w:tab w:leader="none" w:pos="5620" w:val="left"/>
          <w:tab w:leader="none" w:pos="5960" w:val="left"/>
        </w:tabs>
        <w:rPr>
          <w:sz w:val="20"/>
          <w:szCs w:val="20"/>
          <w:color w:val="auto"/>
        </w:rPr>
      </w:pPr>
      <w:r>
        <w:rPr>
          <w:rFonts w:ascii="Times New Roman" w:cs="Times New Roman" w:eastAsia="Times New Roman" w:hAnsi="Times New Roman"/>
          <w:sz w:val="15"/>
          <w:szCs w:val="15"/>
          <w:color w:val="auto"/>
        </w:rPr>
        <w:t>Date: August 19,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Xuedong Tian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Xuedong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-108585</wp:posOffset>
            </wp:positionV>
            <wp:extent cx="335978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59785"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5"/>
          <w:szCs w:val="15"/>
          <w:b w:val="1"/>
          <w:bCs w:val="1"/>
          <w:color w:val="auto"/>
        </w:rPr>
        <w:t>Co-Chief Executive Officer</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(Co-Principal Executive Officer)</w:t>
      </w:r>
    </w:p>
    <w:p>
      <w:pPr>
        <w:spacing w:after="0" w:line="171" w:lineRule="exact"/>
        <w:rPr>
          <w:sz w:val="20"/>
          <w:szCs w:val="20"/>
          <w:color w:val="auto"/>
        </w:rPr>
      </w:pPr>
    </w:p>
    <w:p>
      <w:pPr>
        <w:spacing w:after="0"/>
        <w:tabs>
          <w:tab w:leader="none" w:pos="5620" w:val="left"/>
          <w:tab w:leader="none" w:pos="5960" w:val="left"/>
        </w:tabs>
        <w:rPr>
          <w:sz w:val="20"/>
          <w:szCs w:val="20"/>
          <w:color w:val="auto"/>
        </w:rPr>
      </w:pPr>
      <w:r>
        <w:rPr>
          <w:rFonts w:ascii="Times New Roman" w:cs="Times New Roman" w:eastAsia="Times New Roman" w:hAnsi="Times New Roman"/>
          <w:sz w:val="15"/>
          <w:szCs w:val="15"/>
          <w:color w:val="auto"/>
        </w:rPr>
        <w:t>Date: August 19,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i w:val="1"/>
          <w:iCs w:val="1"/>
          <w:color w:val="auto"/>
        </w:rPr>
        <w:t>/s/ Heidy Chow</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-108585</wp:posOffset>
            </wp:positionV>
            <wp:extent cx="335978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59785"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(Principal Financial Officer and Principal Accounting Officer)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00" w:top="59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7"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5"/>
          <w:szCs w:val="15"/>
          <w:b w:val="1"/>
          <w:bCs w:val="1"/>
          <w:color w:val="auto"/>
        </w:rPr>
        <w:t>CERTIFICATION OF CO-CHIEF EXECUTIVE OFFICER PURSUANT TO RULE 13a-14(a) AND RULE 15d-14(a) OF THE SECURITIES EXCHANGE ACT OF 1934, 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Xuedong Tian, certify that:</w:t>
      </w:r>
    </w:p>
    <w:p>
      <w:pPr>
        <w:spacing w:after="0" w:line="187" w:lineRule="exact"/>
        <w:rPr>
          <w:sz w:val="20"/>
          <w:szCs w:val="20"/>
          <w:color w:val="auto"/>
        </w:rPr>
      </w:pPr>
    </w:p>
    <w:p>
      <w:pPr>
        <w:ind w:left="280" w:hanging="270"/>
        <w:spacing w:after="0"/>
        <w:tabs>
          <w:tab w:leader="none" w:pos="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for the period ended June 30, 2025 of Snail, Inc;</w:t>
      </w:r>
    </w:p>
    <w:p>
      <w:pPr>
        <w:spacing w:after="0" w:line="187" w:lineRule="exact"/>
        <w:rPr>
          <w:rFonts w:ascii="Times New Roman" w:cs="Times New Roman" w:eastAsia="Times New Roman" w:hAnsi="Times New Roman"/>
          <w:sz w:val="15"/>
          <w:szCs w:val="15"/>
          <w:color w:val="auto"/>
        </w:rPr>
      </w:pPr>
    </w:p>
    <w:p>
      <w:pPr>
        <w:ind w:left="280" w:hanging="270"/>
        <w:spacing w:after="0" w:line="279" w:lineRule="auto"/>
        <w:tabs>
          <w:tab w:leader="none" w:pos="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5"/>
          <w:szCs w:val="15"/>
          <w:color w:val="auto"/>
        </w:rPr>
      </w:pPr>
    </w:p>
    <w:p>
      <w:pPr>
        <w:ind w:left="280" w:hanging="270"/>
        <w:spacing w:after="0" w:line="279" w:lineRule="auto"/>
        <w:tabs>
          <w:tab w:leader="none" w:pos="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5"/>
          <w:szCs w:val="15"/>
          <w:color w:val="auto"/>
        </w:rPr>
      </w:pPr>
    </w:p>
    <w:p>
      <w:pPr>
        <w:ind w:left="280" w:hanging="270"/>
        <w:spacing w:after="0"/>
        <w:tabs>
          <w:tab w:leader="none" w:pos="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5"/>
          <w:szCs w:val="15"/>
          <w:color w:val="auto"/>
        </w:rPr>
      </w:pPr>
    </w:p>
    <w:p>
      <w:pPr>
        <w:ind w:left="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5"/>
          <w:szCs w:val="15"/>
          <w:color w:val="auto"/>
        </w:rPr>
      </w:pPr>
    </w:p>
    <w:p>
      <w:pPr>
        <w:jc w:val="both"/>
        <w:ind w:left="540" w:hanging="260"/>
        <w:spacing w:after="0" w:line="264" w:lineRule="auto"/>
        <w:tabs>
          <w:tab w:leader="none" w:pos="54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left="540" w:right="20" w:hanging="260"/>
        <w:spacing w:after="0" w:line="264" w:lineRule="auto"/>
        <w:tabs>
          <w:tab w:leader="none" w:pos="54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left="540" w:hanging="260"/>
        <w:spacing w:after="0" w:line="279" w:lineRule="auto"/>
        <w:tabs>
          <w:tab w:leader="none" w:pos="54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5"/>
          <w:szCs w:val="15"/>
          <w:color w:val="auto"/>
        </w:rPr>
      </w:pPr>
    </w:p>
    <w:p>
      <w:pPr>
        <w:jc w:val="both"/>
        <w:ind w:left="540" w:hanging="260"/>
        <w:spacing w:after="0" w:line="264" w:lineRule="auto"/>
        <w:tabs>
          <w:tab w:leader="none" w:pos="54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5"/>
          <w:szCs w:val="15"/>
          <w:color w:val="auto"/>
        </w:rPr>
      </w:pPr>
    </w:p>
    <w:p>
      <w:pPr>
        <w:ind w:left="280" w:hanging="270"/>
        <w:spacing w:after="0" w:line="279" w:lineRule="auto"/>
        <w:tabs>
          <w:tab w:leader="none" w:pos="2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5"/>
          <w:szCs w:val="15"/>
          <w:color w:val="auto"/>
        </w:rPr>
      </w:pPr>
    </w:p>
    <w:p>
      <w:pPr>
        <w:ind w:left="540" w:hanging="260"/>
        <w:spacing w:after="0" w:line="279" w:lineRule="auto"/>
        <w:tabs>
          <w:tab w:leader="none" w:pos="54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19, 2025</w:t>
            </w:r>
          </w:p>
        </w:tc>
        <w:tc>
          <w:tcPr>
            <w:tcW w:w="7780" w:type="dxa"/>
            <w:vAlign w:val="bottom"/>
            <w:gridSpan w:val="2"/>
          </w:tcPr>
          <w:p>
            <w:pPr>
              <w:ind w:left="214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tc>
      </w:tr>
      <w:tr>
        <w:trPr>
          <w:trHeight w:val="157"/>
        </w:trPr>
        <w:tc>
          <w:tcPr>
            <w:tcW w:w="35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30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5"/>
                <w:szCs w:val="15"/>
                <w:color w:val="auto"/>
              </w:rPr>
              <w:t>Xuedong Tian</w:t>
            </w:r>
          </w:p>
        </w:tc>
      </w:tr>
      <w:tr>
        <w:trPr>
          <w:trHeight w:val="180"/>
        </w:trPr>
        <w:tc>
          <w:tcPr>
            <w:tcW w:w="3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3"/>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60"/>
        </w:trPr>
        <w:tc>
          <w:tcPr>
            <w:tcW w:w="3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1"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87"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5"/>
          <w:szCs w:val="15"/>
          <w:b w:val="1"/>
          <w:bCs w:val="1"/>
          <w:color w:val="auto"/>
        </w:rPr>
        <w:t>CERTIFICATION OF CHIEF FINANCIAL OFFICER PURSUANT TO RULE 13a-14(a) AND RULE 15d-14(a) OF THE SECURITIES EXCHANGE ACT OF 1934, 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Heidy Chow, certify that:</w:t>
      </w:r>
    </w:p>
    <w:p>
      <w:pPr>
        <w:spacing w:after="0" w:line="187" w:lineRule="exact"/>
        <w:rPr>
          <w:sz w:val="20"/>
          <w:szCs w:val="20"/>
          <w:color w:val="auto"/>
        </w:rPr>
      </w:pPr>
    </w:p>
    <w:p>
      <w:pPr>
        <w:ind w:left="280" w:hanging="270"/>
        <w:spacing w:after="0"/>
        <w:tabs>
          <w:tab w:leader="none" w:pos="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for the period ended June 30, 2025 of Snail, Inc.;</w:t>
      </w:r>
    </w:p>
    <w:p>
      <w:pPr>
        <w:spacing w:after="0" w:line="187" w:lineRule="exact"/>
        <w:rPr>
          <w:rFonts w:ascii="Times New Roman" w:cs="Times New Roman" w:eastAsia="Times New Roman" w:hAnsi="Times New Roman"/>
          <w:sz w:val="15"/>
          <w:szCs w:val="15"/>
          <w:color w:val="auto"/>
        </w:rPr>
      </w:pPr>
    </w:p>
    <w:p>
      <w:pPr>
        <w:ind w:left="280" w:hanging="270"/>
        <w:spacing w:after="0" w:line="279" w:lineRule="auto"/>
        <w:tabs>
          <w:tab w:leader="none" w:pos="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5"/>
          <w:szCs w:val="15"/>
          <w:color w:val="auto"/>
        </w:rPr>
      </w:pPr>
    </w:p>
    <w:p>
      <w:pPr>
        <w:ind w:left="280" w:hanging="270"/>
        <w:spacing w:after="0" w:line="279" w:lineRule="auto"/>
        <w:tabs>
          <w:tab w:leader="none" w:pos="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5"/>
          <w:szCs w:val="15"/>
          <w:color w:val="auto"/>
        </w:rPr>
      </w:pPr>
    </w:p>
    <w:p>
      <w:pPr>
        <w:ind w:left="280" w:hanging="270"/>
        <w:spacing w:after="0"/>
        <w:tabs>
          <w:tab w:leader="none" w:pos="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5"/>
          <w:szCs w:val="15"/>
          <w:color w:val="auto"/>
        </w:rPr>
      </w:pPr>
    </w:p>
    <w:p>
      <w:pPr>
        <w:ind w:left="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5"/>
          <w:szCs w:val="15"/>
          <w:color w:val="auto"/>
        </w:rPr>
      </w:pPr>
    </w:p>
    <w:p>
      <w:pPr>
        <w:jc w:val="both"/>
        <w:ind w:left="540" w:hanging="260"/>
        <w:spacing w:after="0" w:line="264" w:lineRule="auto"/>
        <w:tabs>
          <w:tab w:leader="none" w:pos="5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left="540" w:right="20" w:hanging="260"/>
        <w:spacing w:after="0" w:line="264" w:lineRule="auto"/>
        <w:tabs>
          <w:tab w:leader="none" w:pos="5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left="540" w:hanging="260"/>
        <w:spacing w:after="0" w:line="279" w:lineRule="auto"/>
        <w:tabs>
          <w:tab w:leader="none" w:pos="5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5"/>
          <w:szCs w:val="15"/>
          <w:color w:val="auto"/>
        </w:rPr>
      </w:pPr>
    </w:p>
    <w:p>
      <w:pPr>
        <w:jc w:val="both"/>
        <w:ind w:left="540" w:hanging="260"/>
        <w:spacing w:after="0" w:line="264" w:lineRule="auto"/>
        <w:tabs>
          <w:tab w:leader="none" w:pos="5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5"/>
          <w:szCs w:val="15"/>
          <w:color w:val="auto"/>
        </w:rPr>
      </w:pPr>
    </w:p>
    <w:p>
      <w:pPr>
        <w:ind w:left="280" w:hanging="270"/>
        <w:spacing w:after="0" w:line="279" w:lineRule="auto"/>
        <w:tabs>
          <w:tab w:leader="none" w:pos="2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5"/>
          <w:szCs w:val="15"/>
          <w:color w:val="auto"/>
        </w:rPr>
      </w:pPr>
    </w:p>
    <w:p>
      <w:pPr>
        <w:ind w:left="540" w:hanging="260"/>
        <w:spacing w:after="0" w:line="279" w:lineRule="auto"/>
        <w:tabs>
          <w:tab w:leader="none" w:pos="5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5"/>
          <w:szCs w:val="15"/>
          <w:color w:val="auto"/>
        </w:rPr>
      </w:pPr>
    </w:p>
    <w:p>
      <w:pPr>
        <w:ind w:left="540" w:hanging="260"/>
        <w:spacing w:after="0"/>
        <w:tabs>
          <w:tab w:leader="none" w:pos="5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19, 2025</w:t>
            </w:r>
          </w:p>
        </w:tc>
        <w:tc>
          <w:tcPr>
            <w:tcW w:w="7780" w:type="dxa"/>
            <w:vAlign w:val="bottom"/>
            <w:gridSpan w:val="2"/>
          </w:tcPr>
          <w:p>
            <w:pPr>
              <w:ind w:left="214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Heidy Chow</w:t>
            </w:r>
          </w:p>
        </w:tc>
      </w:tr>
      <w:tr>
        <w:trPr>
          <w:trHeight w:val="157"/>
        </w:trPr>
        <w:tc>
          <w:tcPr>
            <w:tcW w:w="35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30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5"/>
                <w:szCs w:val="15"/>
                <w:color w:val="auto"/>
              </w:rPr>
              <w:t>Heidy Chow</w:t>
            </w:r>
          </w:p>
        </w:tc>
      </w:tr>
      <w:tr>
        <w:trPr>
          <w:trHeight w:val="180"/>
        </w:trPr>
        <w:tc>
          <w:tcPr>
            <w:tcW w:w="3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3"/>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0"/>
        </w:trPr>
        <w:tc>
          <w:tcPr>
            <w:tcW w:w="3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1"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THE CO-CHIEF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3" w:lineRule="exact"/>
        <w:rPr>
          <w:sz w:val="20"/>
          <w:szCs w:val="20"/>
          <w:color w:val="auto"/>
        </w:rPr>
      </w:pPr>
    </w:p>
    <w:p>
      <w:pPr>
        <w:ind w:firstLine="539"/>
        <w:spacing w:after="0" w:line="279" w:lineRule="auto"/>
        <w:rPr>
          <w:sz w:val="20"/>
          <w:szCs w:val="20"/>
          <w:color w:val="auto"/>
        </w:rPr>
      </w:pPr>
      <w:r>
        <w:rPr>
          <w:rFonts w:ascii="Times New Roman" w:cs="Times New Roman" w:eastAsia="Times New Roman" w:hAnsi="Times New Roman"/>
          <w:sz w:val="15"/>
          <w:szCs w:val="15"/>
          <w:color w:val="auto"/>
        </w:rPr>
        <w:t>In connection with the Quarterly Report of Snail, Inc. (the “Company”) on Form 10-Q for the quarter ended June 30, 2025 (the “Report”), I, Xuedong Tian, Co-Chief Executive Officer of the Company, certify, pursuant to 18 U.S.C. Section 1350, as adopted pursuant to Section 906 of the Sarbanes-Oxley Act of 2002, that, to the best of my knowledge:</w:t>
      </w:r>
    </w:p>
    <w:p>
      <w:pPr>
        <w:spacing w:after="0" w:line="138" w:lineRule="exact"/>
        <w:rPr>
          <w:sz w:val="20"/>
          <w:szCs w:val="20"/>
          <w:color w:val="auto"/>
        </w:rPr>
      </w:pPr>
    </w:p>
    <w:p>
      <w:pPr>
        <w:ind w:left="280" w:hanging="270"/>
        <w:spacing w:after="0"/>
        <w:tabs>
          <w:tab w:leader="none" w:pos="2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7" w:lineRule="exact"/>
        <w:rPr>
          <w:rFonts w:ascii="Times New Roman" w:cs="Times New Roman" w:eastAsia="Times New Roman" w:hAnsi="Times New Roman"/>
          <w:sz w:val="15"/>
          <w:szCs w:val="15"/>
          <w:color w:val="auto"/>
        </w:rPr>
      </w:pPr>
    </w:p>
    <w:p>
      <w:pPr>
        <w:ind w:left="280" w:hanging="270"/>
        <w:spacing w:after="0"/>
        <w:tabs>
          <w:tab w:leader="none" w:pos="2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19, 2025</w:t>
            </w:r>
          </w:p>
        </w:tc>
        <w:tc>
          <w:tcPr>
            <w:tcW w:w="272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Xuedong Tian</w:t>
            </w:r>
          </w:p>
        </w:tc>
      </w:tr>
      <w:tr>
        <w:trPr>
          <w:trHeight w:val="157"/>
        </w:trPr>
        <w:tc>
          <w:tcPr>
            <w:tcW w:w="3500" w:type="dxa"/>
            <w:vAlign w:val="bottom"/>
          </w:tcPr>
          <w:p>
            <w:pPr>
              <w:spacing w:after="0"/>
              <w:rPr>
                <w:sz w:val="13"/>
                <w:szCs w:val="13"/>
                <w:color w:val="auto"/>
              </w:rPr>
            </w:pPr>
          </w:p>
        </w:tc>
        <w:tc>
          <w:tcPr>
            <w:tcW w:w="2720" w:type="dxa"/>
            <w:vAlign w:val="bottom"/>
          </w:tcPr>
          <w:p>
            <w:pPr>
              <w:ind w:left="2140"/>
              <w:spacing w:after="0" w:line="157"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57" w:lineRule="exact"/>
              <w:rPr>
                <w:sz w:val="20"/>
                <w:szCs w:val="20"/>
                <w:color w:val="auto"/>
              </w:rPr>
            </w:pPr>
            <w:r>
              <w:rPr>
                <w:rFonts w:ascii="Times New Roman" w:cs="Times New Roman" w:eastAsia="Times New Roman" w:hAnsi="Times New Roman"/>
                <w:sz w:val="15"/>
                <w:szCs w:val="15"/>
                <w:color w:val="auto"/>
              </w:rPr>
              <w:t>Xuedong Tian</w:t>
            </w:r>
          </w:p>
        </w:tc>
      </w:tr>
      <w:tr>
        <w:trPr>
          <w:trHeight w:val="180"/>
        </w:trPr>
        <w:tc>
          <w:tcPr>
            <w:tcW w:w="3500" w:type="dxa"/>
            <w:vAlign w:val="bottom"/>
          </w:tcPr>
          <w:p>
            <w:pPr>
              <w:spacing w:after="0"/>
              <w:rPr>
                <w:sz w:val="15"/>
                <w:szCs w:val="15"/>
                <w:color w:val="auto"/>
              </w:rPr>
            </w:pPr>
          </w:p>
        </w:tc>
        <w:tc>
          <w:tcPr>
            <w:tcW w:w="272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3"/>
        </w:trPr>
        <w:tc>
          <w:tcPr>
            <w:tcW w:w="3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60"/>
        </w:trPr>
        <w:tc>
          <w:tcPr>
            <w:tcW w:w="3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1"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THE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3" w:lineRule="exact"/>
        <w:rPr>
          <w:sz w:val="20"/>
          <w:szCs w:val="20"/>
          <w:color w:val="auto"/>
        </w:rPr>
      </w:pPr>
    </w:p>
    <w:p>
      <w:pPr>
        <w:ind w:firstLine="539"/>
        <w:spacing w:after="0" w:line="279" w:lineRule="auto"/>
        <w:rPr>
          <w:sz w:val="20"/>
          <w:szCs w:val="20"/>
          <w:color w:val="auto"/>
        </w:rPr>
      </w:pPr>
      <w:r>
        <w:rPr>
          <w:rFonts w:ascii="Times New Roman" w:cs="Times New Roman" w:eastAsia="Times New Roman" w:hAnsi="Times New Roman"/>
          <w:sz w:val="15"/>
          <w:szCs w:val="15"/>
          <w:color w:val="auto"/>
        </w:rPr>
        <w:t>In connection with the Quarterly Report of Snail, Inc. (the “Company”) on Form 10-Q for the quarter ended June 30, 2025 (the “Report”), I, Heidy Chow, Chief Financial Officer of the Company, certify, pursuant to 18 U.S.C. Section 1350, as adopted pursuant to Section 906 of the Sarbanes-Oxley Act of 2002, that, to the best of my knowledge:</w:t>
      </w:r>
    </w:p>
    <w:p>
      <w:pPr>
        <w:spacing w:after="0" w:line="138" w:lineRule="exact"/>
        <w:rPr>
          <w:sz w:val="20"/>
          <w:szCs w:val="20"/>
          <w:color w:val="auto"/>
        </w:rPr>
      </w:pPr>
    </w:p>
    <w:p>
      <w:pPr>
        <w:ind w:left="280" w:hanging="270"/>
        <w:spacing w:after="0"/>
        <w:tabs>
          <w:tab w:leader="none" w:pos="2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7" w:lineRule="exact"/>
        <w:rPr>
          <w:rFonts w:ascii="Times New Roman" w:cs="Times New Roman" w:eastAsia="Times New Roman" w:hAnsi="Times New Roman"/>
          <w:sz w:val="15"/>
          <w:szCs w:val="15"/>
          <w:color w:val="auto"/>
        </w:rPr>
      </w:pPr>
    </w:p>
    <w:p>
      <w:pPr>
        <w:ind w:left="280" w:hanging="270"/>
        <w:spacing w:after="0"/>
        <w:tabs>
          <w:tab w:leader="none" w:pos="2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19, 2025</w:t>
            </w:r>
          </w:p>
        </w:tc>
        <w:tc>
          <w:tcPr>
            <w:tcW w:w="272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Heidy Chow</w:t>
            </w:r>
          </w:p>
        </w:tc>
      </w:tr>
      <w:tr>
        <w:trPr>
          <w:trHeight w:val="157"/>
        </w:trPr>
        <w:tc>
          <w:tcPr>
            <w:tcW w:w="3500" w:type="dxa"/>
            <w:vAlign w:val="bottom"/>
          </w:tcPr>
          <w:p>
            <w:pPr>
              <w:spacing w:after="0"/>
              <w:rPr>
                <w:sz w:val="13"/>
                <w:szCs w:val="13"/>
                <w:color w:val="auto"/>
              </w:rPr>
            </w:pPr>
          </w:p>
        </w:tc>
        <w:tc>
          <w:tcPr>
            <w:tcW w:w="2720" w:type="dxa"/>
            <w:vAlign w:val="bottom"/>
          </w:tcPr>
          <w:p>
            <w:pPr>
              <w:ind w:left="2140"/>
              <w:spacing w:after="0" w:line="157"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57" w:lineRule="exact"/>
              <w:rPr>
                <w:sz w:val="20"/>
                <w:szCs w:val="20"/>
                <w:color w:val="auto"/>
              </w:rPr>
            </w:pPr>
            <w:r>
              <w:rPr>
                <w:rFonts w:ascii="Times New Roman" w:cs="Times New Roman" w:eastAsia="Times New Roman" w:hAnsi="Times New Roman"/>
                <w:sz w:val="15"/>
                <w:szCs w:val="15"/>
                <w:color w:val="auto"/>
              </w:rPr>
              <w:t>Heidy Chow</w:t>
            </w:r>
          </w:p>
        </w:tc>
      </w:tr>
      <w:tr>
        <w:trPr>
          <w:trHeight w:val="180"/>
        </w:trPr>
        <w:tc>
          <w:tcPr>
            <w:tcW w:w="3500" w:type="dxa"/>
            <w:vAlign w:val="bottom"/>
          </w:tcPr>
          <w:p>
            <w:pPr>
              <w:spacing w:after="0"/>
              <w:rPr>
                <w:sz w:val="15"/>
                <w:szCs w:val="15"/>
                <w:color w:val="auto"/>
              </w:rPr>
            </w:pPr>
          </w:p>
        </w:tc>
        <w:tc>
          <w:tcPr>
            <w:tcW w:w="272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3"/>
        </w:trPr>
        <w:tc>
          <w:tcPr>
            <w:tcW w:w="3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0"/>
        </w:trPr>
        <w:tc>
          <w:tcPr>
            <w:tcW w:w="3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30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amp;"/>
      <w:numFmt w:val="bullet"/>
      <w:start w:val="1"/>
    </w:lvl>
  </w:abstractNum>
  <w:abstractNum w:abstractNumId="12">
    <w:nsid w:val="6B68079A"/>
    <w:multiLevelType w:val="hybridMultilevel"/>
    <w:lvl w:ilvl="0">
      <w:lvlJc w:val="left"/>
      <w:lvlText w:val="(%1)"/>
      <w:numFmt w:val="lowerRoman"/>
      <w:start w:val="2"/>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7" Type="http://schemas.openxmlformats.org/officeDocument/2006/relationships/hyperlink" Target="https://www.sec.gov/Archives/edgar/data/1886894/000164117225022508/ex1-1.htm" TargetMode="External"/><Relationship Id="rId68" Type="http://schemas.openxmlformats.org/officeDocument/2006/relationships/hyperlink" Target="https://www.sec.gov/Archives/edgar/data/1886894/000110465922118795/tm2128835d28_ex3-1.htm" TargetMode="External"/><Relationship Id="rId69" Type="http://schemas.openxmlformats.org/officeDocument/2006/relationships/hyperlink" Target="https://www.sec.gov/Archives/edgar/data/1886894/000110465922118795/tm2128835d2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2025-08-19T14:15:16Z</dcterms:created>
  <dcterms:modified xsi:type="dcterms:W3CDTF">2025-08-19T14:15:16Z</dcterms:modified>
</cp:coreProperties>
</file>