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form10-q.htm"/>
      <w:bookmarkStart w:id="1" w:name="ksform10q"/>
      <w:bookmarkEnd w:id="0"/>
      <w:bookmarkEnd w:id="1"/>
      <w:r>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9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B_edei--DocumentPeriodEndDate_c202"/>
      <w:bookmarkEnd w:id="4"/>
      <w:r>
        <w:rPr>
          <w:rFonts w:ascii="Times New Roman;Times;Serif" w:hAnsi="Times New Roman;Times;Serif"/>
          <w:b/>
          <w:i w:val="false"/>
          <w:caps w:val="false"/>
          <w:smallCaps w:val="false"/>
          <w:sz w:val="20"/>
        </w:rPr>
        <w:t xml:space="preserve">March 31, </w:t>
      </w:r>
      <w:bookmarkStart w:id="5" w:name="xdx_907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6" w:name="xdx_907_edei--DocumentTransitionReport_c"/>
            <w:bookmarkEnd w:id="6"/>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TRANSITION REPORT PURSUANT TO SECTION 13 OR 15(d) OF THE SECURITIES EXCHANGE ACT OF 1934 FOR THE TRANSITION PERIOD FROM TO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3_edei--EntityFileNumber_c20260101"/>
      <w:bookmarkEnd w:id="7"/>
      <w:r>
        <w:rPr>
          <w:rFonts w:ascii="Times New Roman;Times;Serif" w:hAnsi="Times New Roman;Times;Serif"/>
          <w:b/>
          <w:i w:val="false"/>
          <w:caps w:val="false"/>
          <w:smallCaps w:val="false"/>
          <w:sz w:val="20"/>
        </w:rPr>
        <w:t>001-41556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6_edei--EntityRegistrantName_c2026"/>
      <w:bookmarkEnd w:id="8"/>
      <w:r>
        <w:rPr>
          <w:rFonts w:ascii="Times New Roman;Times;Serif" w:hAnsi="Times New Roman;Times;Serif"/>
          <w:b/>
          <w:i w:val="false"/>
          <w:caps w:val="false"/>
          <w:smallCaps w:val="false"/>
          <w:sz w:val="36"/>
        </w:rPr>
        <w:t>SNAIL,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660"/>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D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8_edei--EntityTaxIdentificationNum"/>
            <w:bookmarkEnd w:id="10"/>
            <w:r>
              <w:rPr>
                <w:rFonts w:ascii="Times New Roman;Times;Serif" w:hAnsi="Times New Roman;Times;Serif"/>
                <w:b/>
                <w:i w:val="false"/>
                <w:caps w:val="false"/>
                <w:smallCaps w:val="false"/>
                <w:sz w:val="20"/>
              </w:rPr>
              <w:t>88-4146991</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3290"/>
        <w:gridCol w:w="60"/>
        <w:gridCol w:w="890"/>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1_edei--EntityAddressAddressLine1_"/>
            <w:bookmarkEnd w:id="11"/>
            <w:r>
              <w:rPr>
                <w:rFonts w:ascii="Times New Roman;Times;Serif" w:hAnsi="Times New Roman;Times;Serif"/>
                <w:b/>
                <w:i w:val="false"/>
                <w:caps w:val="false"/>
                <w:smallCaps w:val="false"/>
                <w:sz w:val="20"/>
              </w:rPr>
              <w:t>12049 Jefferson Blvd</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E_edei--EntityAddressCityOrTown_c2"/>
            <w:bookmarkEnd w:id="12"/>
            <w:r>
              <w:rPr>
                <w:rFonts w:ascii="Times New Roman;Times;Serif" w:hAnsi="Times New Roman;Times;Serif"/>
                <w:b/>
                <w:i w:val="false"/>
                <w:caps w:val="false"/>
                <w:smallCaps w:val="false"/>
                <w:sz w:val="20"/>
              </w:rPr>
              <w:t xml:space="preserve">Culver City, </w:t>
            </w:r>
            <w:bookmarkStart w:id="13" w:name="xdx_901_edei--EntityAddressStateOrProvin"/>
            <w:bookmarkEnd w:id="13"/>
            <w:r>
              <w:rPr>
                <w:rFonts w:ascii="Times New Roman;Times;Serif" w:hAnsi="Times New Roman;Times;Serif"/>
                <w:b/>
                <w:i w:val="false"/>
                <w:caps w:val="false"/>
                <w:smallCaps w:val="false"/>
                <w:sz w:val="20"/>
              </w:rPr>
              <w:t>CA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F_edei--EntityAddressPostalZipCode"/>
            <w:bookmarkEnd w:id="14"/>
            <w:r>
              <w:rPr>
                <w:rFonts w:ascii="Times New Roman;Times;Serif" w:hAnsi="Times New Roman;Times;Serif"/>
                <w:b/>
                <w:i w:val="false"/>
                <w:caps w:val="false"/>
                <w:smallCaps w:val="false"/>
                <w:sz w:val="20"/>
              </w:rPr>
              <w:t>90230</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+1 </w:t>
      </w:r>
      <w:bookmarkStart w:id="15" w:name="xdx_90A_edei--CityAreaCode_c20260101__20"/>
      <w:bookmarkEnd w:id="15"/>
      <w:r>
        <w:rPr>
          <w:rFonts w:ascii="Times New Roman;Times;Serif" w:hAnsi="Times New Roman;Times;Serif"/>
          <w:b/>
          <w:i w:val="false"/>
          <w:caps w:val="false"/>
          <w:smallCaps w:val="false"/>
          <w:sz w:val="20"/>
        </w:rPr>
        <w:t xml:space="preserve">(310) </w:t>
      </w:r>
      <w:bookmarkStart w:id="16" w:name="xdx_900_edei--LocalPhoneNumber_c20260101"/>
      <w:bookmarkEnd w:id="16"/>
      <w:r>
        <w:rPr>
          <w:rFonts w:ascii="Times New Roman;Times;Serif" w:hAnsi="Times New Roman;Times;Serif"/>
          <w:b/>
          <w:i w:val="false"/>
          <w:caps w:val="false"/>
          <w:smallCaps w:val="false"/>
          <w:sz w:val="20"/>
        </w:rPr>
        <w:t>988-0643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690" w:type="dxa"/>
        <w:jc w:val="left"/>
        <w:tblInd w:w="0" w:type="dxa"/>
        <w:tblLayout w:type="fixed"/>
        <w:tblCellMar>
          <w:top w:w="0" w:type="dxa"/>
          <w:left w:w="0" w:type="dxa"/>
          <w:bottom w:w="28" w:type="dxa"/>
          <w:right w:w="0" w:type="dxa"/>
        </w:tblCellMar>
      </w:tblPr>
      <w:tblGrid>
        <w:gridCol w:w="4205"/>
        <w:gridCol w:w="60"/>
        <w:gridCol w:w="1655"/>
        <w:gridCol w:w="60"/>
        <w:gridCol w:w="3710"/>
      </w:tblGrid>
      <w:tr>
        <w:trPr/>
        <w:tc>
          <w:tcPr>
            <w:tcW w:w="42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 (s)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20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7" w:name="xdx_906_edei--Security12bTitle_c20260101"/>
            <w:bookmarkEnd w:id="17"/>
            <w:r>
              <w:rPr>
                <w:rFonts w:ascii="Times New Roman;Times;Serif" w:hAnsi="Times New Roman;Times;Serif"/>
                <w:sz w:val="20"/>
              </w:rPr>
              <w:t>Class A common stock, par value $0.0001 per share</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D_edei--TradingSymbol_c20260101__2"/>
            <w:bookmarkEnd w:id="18"/>
            <w:r>
              <w:rPr>
                <w:rFonts w:ascii="Times New Roman;Times;Serif" w:hAnsi="Times New Roman;Times;Serif"/>
                <w:sz w:val="20"/>
              </w:rPr>
              <w:t>SNAL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9" w:name="xdx_901_edei--SecurityExchangeName_c2026"/>
            <w:bookmarkEnd w:id="19"/>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0" w:name="xdx_90D_edei--EntityCurrentReportingStat"/>
      <w:bookmarkEnd w:id="20"/>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21" w:name="xdx_900_edei--EntityInteractiveDataCurre"/>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bookmarkStart w:id="22" w:name="xdx_905_edei--EntityFilerCategory_c20260"/>
            <w:bookmarkEnd w:id="22"/>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bookmarkStart w:id="23" w:name="xdx_909_edei--EntitySmallBusiness_c20260"/>
            <w:bookmarkEnd w:id="23"/>
            <w:r>
              <w:rPr/>
              <w:t>☒</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30" w:type="dxa"/>
            <w:tcBorders/>
            <w:vAlign w:val="center"/>
          </w:tcPr>
          <w:p>
            <w:pPr>
              <w:pStyle w:val="TableContents"/>
              <w:bidi w:val="0"/>
              <w:spacing w:before="0" w:after="283"/>
              <w:jc w:val="left"/>
              <w:rPr/>
            </w:pPr>
            <w:bookmarkStart w:id="24" w:name="xdx_904_edei--EntityEmergingGrowthCompan"/>
            <w:bookmarkEnd w:id="24"/>
            <w:r>
              <w:rPr/>
              <w:t>☒</w:t>
            </w:r>
          </w:p>
        </w:tc>
        <w:tc>
          <w:tcPr>
            <w:tcW w:w="22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9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6" w:name="xdx_903_edei--EntityShellCompany_dbF_c20"/>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registrant’s classes of common stock, as of the latest practicable date.</w:t>
      </w:r>
    </w:p>
    <w:p>
      <w:pPr>
        <w:pStyle w:val="TextBody"/>
        <w:bidi w:val="0"/>
        <w:spacing w:before="0" w:after="0"/>
        <w:ind w:left="0" w:right="0" w:hanging="0"/>
        <w:jc w:val="both"/>
        <w:rPr>
          <w:caps w:val="false"/>
          <w:smallCaps w:val="false"/>
        </w:rPr>
      </w:pPr>
      <w:r>
        <w:rPr>
          <w:caps w:val="false"/>
          <w:smallCaps w:val="false"/>
        </w:rPr>
        <w:t> </w:t>
      </w:r>
    </w:p>
    <w:tbl>
      <w:tblPr>
        <w:tblW w:w="7840" w:type="dxa"/>
        <w:jc w:val="left"/>
        <w:tblInd w:w="0" w:type="dxa"/>
        <w:tblLayout w:type="fixed"/>
        <w:tblCellMar>
          <w:top w:w="0" w:type="dxa"/>
          <w:left w:w="0" w:type="dxa"/>
          <w:bottom w:w="28" w:type="dxa"/>
          <w:right w:w="0" w:type="dxa"/>
        </w:tblCellMar>
      </w:tblPr>
      <w:tblGrid>
        <w:gridCol w:w="4460"/>
        <w:gridCol w:w="60"/>
        <w:gridCol w:w="3320"/>
      </w:tblGrid>
      <w:tr>
        <w:trPr/>
        <w:tc>
          <w:tcPr>
            <w:tcW w:w="44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of Common Stock</w:t>
            </w:r>
          </w:p>
        </w:tc>
        <w:tc>
          <w:tcPr>
            <w:tcW w:w="60" w:type="dxa"/>
            <w:tcBorders/>
            <w:tcMar>
              <w:bottom w:w="0" w:type="dxa"/>
            </w:tcMar>
            <w:vAlign w:val="center"/>
          </w:tcPr>
          <w:p>
            <w:pPr>
              <w:pStyle w:val="TableContents"/>
              <w:bidi w:val="0"/>
              <w:spacing w:before="0" w:after="283"/>
              <w:jc w:val="center"/>
              <w:rPr/>
            </w:pPr>
            <w:r>
              <w:rPr/>
              <w:t> </w:t>
            </w:r>
          </w:p>
        </w:tc>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Outstanding Shares as of May 12, 2026</w:t>
            </w:r>
          </w:p>
        </w:tc>
      </w:tr>
      <w:tr>
        <w:trPr/>
        <w:tc>
          <w:tcPr>
            <w:tcW w:w="4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 Common Stock, par value $</w:t>
            </w:r>
            <w:bookmarkStart w:id="27" w:name="xdx_90F_edei--EntityListingParValuePerSh"/>
            <w:bookmarkEnd w:id="27"/>
            <w:r>
              <w:rPr>
                <w:rFonts w:ascii="Times New Roman;Times;Serif" w:hAnsi="Times New Roman;Times;Serif"/>
                <w:b/>
                <w:sz w:val="20"/>
              </w:rPr>
              <w:t>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8" w:name="xdx_90B_edei--EntityCommonStockSharesOut"/>
            <w:bookmarkEnd w:id="28"/>
            <w:r>
              <w:rPr>
                <w:rFonts w:ascii="Times New Roman;Times;Serif" w:hAnsi="Times New Roman;Times;Serif"/>
                <w:b/>
                <w:sz w:val="20"/>
              </w:rPr>
              <w:t>13,873,422</w:t>
            </w:r>
          </w:p>
        </w:tc>
      </w:tr>
      <w:tr>
        <w:trPr/>
        <w:tc>
          <w:tcPr>
            <w:tcW w:w="4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 Common Stock, par value $</w:t>
            </w:r>
            <w:bookmarkStart w:id="29" w:name="xdx_90B_edei--EntityListingParValuePerSh"/>
            <w:bookmarkEnd w:id="29"/>
            <w:r>
              <w:rPr>
                <w:rFonts w:ascii="Times New Roman;Times;Serif" w:hAnsi="Times New Roman;Times;Serif"/>
                <w:b/>
                <w:sz w:val="20"/>
              </w:rPr>
              <w:t>0.0001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30" w:name="xdx_90C_edei--EntityCommonStockSharesOut"/>
            <w:bookmarkEnd w:id="30"/>
            <w:r>
              <w:rPr>
                <w:rFonts w:ascii="Times New Roman;Times;Serif" w:hAnsi="Times New Roman;Times;Serif"/>
                <w:b/>
                <w:sz w:val="20"/>
              </w:rPr>
              <w:t>28,748,580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 Ended 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3"/>
        <w:gridCol w:w="9116"/>
        <w:gridCol w:w="456"/>
      </w:tblGrid>
      <w:tr>
        <w:trPr/>
        <w:tc>
          <w:tcPr>
            <w:tcW w:w="633"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spacing w:before="0" w:after="283"/>
              <w:jc w:val="left"/>
              <w:rPr/>
            </w:pPr>
            <w:r>
              <w:rPr/>
              <w:t> </w:t>
            </w:r>
          </w:p>
        </w:tc>
        <w:tc>
          <w:tcPr>
            <w:tcW w:w="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633" w:type="dxa"/>
            <w:tcBorders/>
            <w:shd w:fill="CCEEFF" w:val="clear"/>
            <w:vAlign w:val="center"/>
          </w:tcPr>
          <w:p>
            <w:pPr>
              <w:pStyle w:val="TableContents"/>
              <w:bidi w:val="0"/>
              <w:spacing w:before="0" w:after="283"/>
              <w:jc w:val="left"/>
              <w:rPr/>
            </w:pPr>
            <w:r>
              <w:rPr/>
              <w:t> </w:t>
            </w:r>
          </w:p>
        </w:tc>
        <w:tc>
          <w:tcPr>
            <w:tcW w:w="9116" w:type="dxa"/>
            <w:tcBorders/>
            <w:shd w:fill="CCEEFF" w:val="clear"/>
            <w:vAlign w:val="center"/>
          </w:tcPr>
          <w:p>
            <w:pPr>
              <w:pStyle w:val="TableContents"/>
              <w:bidi w:val="0"/>
              <w:spacing w:before="0" w:after="283"/>
              <w:jc w:val="left"/>
              <w:rPr/>
            </w:pPr>
            <w:hyperlink w:anchor="vr_001">
              <w:r>
                <w:rPr>
                  <w:rStyle w:val="InternetLink"/>
                  <w:rFonts w:ascii="Times New Roman;Times;Serif" w:hAnsi="Times New Roman;Times;Serif"/>
                  <w:sz w:val="20"/>
                </w:rPr>
                <w:t>Cautionary Statement</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9749" w:type="dxa"/>
            <w:gridSpan w:val="2"/>
            <w:tcBorders/>
            <w:shd w:fill="FFFFFF" w:val="clear"/>
            <w:vAlign w:val="center"/>
          </w:tcPr>
          <w:p>
            <w:pPr>
              <w:pStyle w:val="TableContents"/>
              <w:bidi w:val="0"/>
              <w:spacing w:before="0" w:after="283"/>
              <w:jc w:val="left"/>
              <w:rPr/>
            </w:pPr>
            <w:hyperlink w:anchor="vr_002">
              <w:r>
                <w:rPr>
                  <w:rStyle w:val="InternetLink"/>
                  <w:rFonts w:ascii="Times New Roman;Times;Serif" w:hAnsi="Times New Roman;Times;Serif"/>
                  <w:b/>
                  <w:sz w:val="20"/>
                </w:rPr>
                <w:t>PART I. FINANCIAL INFORMATION</w:t>
              </w:r>
            </w:hyperlink>
          </w:p>
        </w:tc>
        <w:tc>
          <w:tcPr>
            <w:tcW w:w="456" w:type="dxa"/>
            <w:tcBorders/>
            <w:shd w:fill="FFFFFF" w:val="clear"/>
            <w:vAlign w:val="center"/>
          </w:tcPr>
          <w:p>
            <w:pPr>
              <w:pStyle w:val="TableContents"/>
              <w:bidi w:val="0"/>
              <w:spacing w:before="0" w:after="283"/>
              <w:jc w:val="right"/>
              <w:rPr/>
            </w:pPr>
            <w:r>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9116" w:type="dxa"/>
            <w:tcBorders/>
            <w:shd w:fill="CCEEFF" w:val="clear"/>
            <w:vAlign w:val="center"/>
          </w:tcPr>
          <w:p>
            <w:pPr>
              <w:pStyle w:val="TableContents"/>
              <w:bidi w:val="0"/>
              <w:spacing w:before="0" w:after="283"/>
              <w:jc w:val="left"/>
              <w:rPr/>
            </w:pPr>
            <w:hyperlink w:anchor="vr_003">
              <w:r>
                <w:rPr>
                  <w:rStyle w:val="InternetLink"/>
                  <w:rFonts w:ascii="Times New Roman;Times;Serif" w:hAnsi="Times New Roman;Times;Serif"/>
                  <w:sz w:val="20"/>
                </w:rPr>
                <w:t>Condensed Consolidated Financial Statements (Unaudited)</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633" w:type="dxa"/>
            <w:tcBorders/>
            <w:shd w:fill="FFFFFF" w:val="clear"/>
            <w:vAlign w:val="center"/>
          </w:tcPr>
          <w:p>
            <w:pPr>
              <w:pStyle w:val="TableContents"/>
              <w:bidi w:val="0"/>
              <w:spacing w:before="0" w:after="283"/>
              <w:jc w:val="left"/>
              <w:rPr/>
            </w:pPr>
            <w:r>
              <w:rPr/>
              <w:t> </w:t>
            </w:r>
          </w:p>
        </w:tc>
        <w:tc>
          <w:tcPr>
            <w:tcW w:w="9116" w:type="dxa"/>
            <w:tcBorders/>
            <w:shd w:fill="FFFFFF" w:val="clear"/>
            <w:vAlign w:val="center"/>
          </w:tcPr>
          <w:p>
            <w:pPr>
              <w:pStyle w:val="TableContents"/>
              <w:bidi w:val="0"/>
              <w:spacing w:before="0" w:after="283"/>
              <w:jc w:val="left"/>
              <w:rPr/>
            </w:pPr>
            <w:hyperlink w:anchor="vr_004">
              <w:r>
                <w:rPr>
                  <w:rStyle w:val="InternetLink"/>
                  <w:rFonts w:ascii="Times New Roman;Times;Serif" w:hAnsi="Times New Roman;Times;Serif"/>
                  <w:sz w:val="20"/>
                </w:rPr>
                <w:t>Snail, Inc. and Subsidiaries Condensed Consolidated Balance Sheets as of March 31, 2026 and December 31, 2025</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633" w:type="dxa"/>
            <w:tcBorders/>
            <w:shd w:fill="CCEEFF" w:val="clear"/>
            <w:vAlign w:val="center"/>
          </w:tcPr>
          <w:p>
            <w:pPr>
              <w:pStyle w:val="TableContents"/>
              <w:bidi w:val="0"/>
              <w:spacing w:before="0" w:after="283"/>
              <w:jc w:val="left"/>
              <w:rPr/>
            </w:pPr>
            <w:r>
              <w:rPr/>
              <w:t> </w:t>
            </w:r>
          </w:p>
        </w:tc>
        <w:tc>
          <w:tcPr>
            <w:tcW w:w="9116" w:type="dxa"/>
            <w:tcBorders/>
            <w:shd w:fill="CCEEFF" w:val="clear"/>
            <w:vAlign w:val="center"/>
          </w:tcPr>
          <w:p>
            <w:pPr>
              <w:pStyle w:val="TableContents"/>
              <w:bidi w:val="0"/>
              <w:spacing w:before="0" w:after="283"/>
              <w:jc w:val="left"/>
              <w:rPr/>
            </w:pPr>
            <w:hyperlink w:anchor="vr_005">
              <w:r>
                <w:rPr>
                  <w:rStyle w:val="InternetLink"/>
                  <w:rFonts w:ascii="Times New Roman;Times;Serif" w:hAnsi="Times New Roman;Times;Serif"/>
                  <w:sz w:val="20"/>
                </w:rPr>
                <w:t>Snail, Inc. and Subsidiaries Condensed Consolidated Statements of Operations and Comprehensive Income (Loss) for the three months ended March 31, 2026 and 2025</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633" w:type="dxa"/>
            <w:tcBorders/>
            <w:shd w:fill="FFFFFF" w:val="clear"/>
            <w:vAlign w:val="center"/>
          </w:tcPr>
          <w:p>
            <w:pPr>
              <w:pStyle w:val="TableContents"/>
              <w:bidi w:val="0"/>
              <w:spacing w:before="0" w:after="283"/>
              <w:jc w:val="left"/>
              <w:rPr/>
            </w:pPr>
            <w:r>
              <w:rPr/>
              <w:t> </w:t>
            </w:r>
          </w:p>
        </w:tc>
        <w:tc>
          <w:tcPr>
            <w:tcW w:w="9116" w:type="dxa"/>
            <w:tcBorders/>
            <w:shd w:fill="FFFFFF" w:val="clear"/>
            <w:vAlign w:val="center"/>
          </w:tcPr>
          <w:p>
            <w:pPr>
              <w:pStyle w:val="TableContents"/>
              <w:bidi w:val="0"/>
              <w:spacing w:before="0" w:after="283"/>
              <w:jc w:val="left"/>
              <w:rPr/>
            </w:pPr>
            <w:hyperlink w:anchor="vr_006">
              <w:r>
                <w:rPr>
                  <w:rStyle w:val="InternetLink"/>
                  <w:rFonts w:ascii="Times New Roman;Times;Serif" w:hAnsi="Times New Roman;Times;Serif"/>
                  <w:sz w:val="20"/>
                </w:rPr>
                <w:t>Snail, Inc. and Subsidiaries Condensed Consolidated Statements of Equity (Deficit) for the three months ended March 31, 2026 and 2025</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633" w:type="dxa"/>
            <w:tcBorders/>
            <w:shd w:fill="CCEEFF" w:val="clear"/>
            <w:vAlign w:val="center"/>
          </w:tcPr>
          <w:p>
            <w:pPr>
              <w:pStyle w:val="TableContents"/>
              <w:bidi w:val="0"/>
              <w:spacing w:before="0" w:after="283"/>
              <w:jc w:val="left"/>
              <w:rPr/>
            </w:pPr>
            <w:r>
              <w:rPr/>
              <w:t> </w:t>
            </w:r>
          </w:p>
        </w:tc>
        <w:tc>
          <w:tcPr>
            <w:tcW w:w="9116" w:type="dxa"/>
            <w:tcBorders/>
            <w:shd w:fill="CCEEFF" w:val="clear"/>
            <w:vAlign w:val="center"/>
          </w:tcPr>
          <w:p>
            <w:pPr>
              <w:pStyle w:val="TableContents"/>
              <w:bidi w:val="0"/>
              <w:spacing w:before="0" w:after="283"/>
              <w:jc w:val="left"/>
              <w:rPr/>
            </w:pPr>
            <w:hyperlink w:anchor="vr_007">
              <w:r>
                <w:rPr>
                  <w:rStyle w:val="InternetLink"/>
                  <w:rFonts w:ascii="Times New Roman;Times;Serif" w:hAnsi="Times New Roman;Times;Serif"/>
                  <w:sz w:val="20"/>
                </w:rPr>
                <w:t>Snail, Inc. and Subsidiaries Condensed Consolidated Statements of Cash Flows for the three months ended March 31, 2026 and 2025</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633" w:type="dxa"/>
            <w:tcBorders/>
            <w:shd w:fill="FFFFFF" w:val="clear"/>
            <w:vAlign w:val="center"/>
          </w:tcPr>
          <w:p>
            <w:pPr>
              <w:pStyle w:val="TableContents"/>
              <w:bidi w:val="0"/>
              <w:spacing w:before="0" w:after="283"/>
              <w:jc w:val="left"/>
              <w:rPr/>
            </w:pPr>
            <w:r>
              <w:rPr/>
              <w:t> </w:t>
            </w:r>
          </w:p>
        </w:tc>
        <w:tc>
          <w:tcPr>
            <w:tcW w:w="9116" w:type="dxa"/>
            <w:tcBorders/>
            <w:shd w:fill="FFFFFF" w:val="clear"/>
            <w:vAlign w:val="center"/>
          </w:tcPr>
          <w:p>
            <w:pPr>
              <w:pStyle w:val="TableContents"/>
              <w:bidi w:val="0"/>
              <w:spacing w:before="0" w:after="283"/>
              <w:jc w:val="left"/>
              <w:rPr/>
            </w:pPr>
            <w:hyperlink w:anchor="vr_008">
              <w:r>
                <w:rPr>
                  <w:rStyle w:val="InternetLink"/>
                  <w:rFonts w:ascii="Times New Roman;Times;Serif" w:hAnsi="Times New Roman;Times;Serif"/>
                  <w:sz w:val="20"/>
                </w:rPr>
                <w:t>Snail, Inc. and Subsidiaries Notes to Condensed Consolidated Financial Statements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Item 2. </w:t>
            </w:r>
          </w:p>
        </w:tc>
        <w:tc>
          <w:tcPr>
            <w:tcW w:w="9116" w:type="dxa"/>
            <w:tcBorders/>
            <w:shd w:fill="CCEEFF" w:val="clear"/>
            <w:vAlign w:val="center"/>
          </w:tcPr>
          <w:p>
            <w:pPr>
              <w:pStyle w:val="TableContents"/>
              <w:bidi w:val="0"/>
              <w:spacing w:before="0" w:after="283"/>
              <w:jc w:val="left"/>
              <w:rPr/>
            </w:pPr>
            <w:hyperlink w:anchor="vr_009">
              <w:r>
                <w:rPr>
                  <w:rStyle w:val="InternetLink"/>
                  <w:rFonts w:ascii="Times New Roman;Times;Serif" w:hAnsi="Times New Roman;Times;Serif"/>
                  <w:sz w:val="20"/>
                </w:rPr>
                <w:t>Management’s Discussion and Analysis of Financial Condition and Results of Operations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6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Item 3. </w:t>
            </w:r>
          </w:p>
        </w:tc>
        <w:tc>
          <w:tcPr>
            <w:tcW w:w="9116" w:type="dxa"/>
            <w:tcBorders/>
            <w:shd w:fill="FFFFFF" w:val="clear"/>
            <w:vAlign w:val="center"/>
          </w:tcPr>
          <w:p>
            <w:pPr>
              <w:pStyle w:val="TableContents"/>
              <w:bidi w:val="0"/>
              <w:spacing w:before="0" w:after="283"/>
              <w:jc w:val="left"/>
              <w:rPr/>
            </w:pPr>
            <w:hyperlink w:anchor="vr_010">
              <w:r>
                <w:rPr>
                  <w:rStyle w:val="InternetLink"/>
                  <w:rFonts w:ascii="Times New Roman;Times;Serif" w:hAnsi="Times New Roman;Times;Serif"/>
                  <w:sz w:val="20"/>
                </w:rPr>
                <w:t>Quantitative and Qualitative Disclosures About Market Risk</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9116" w:type="dxa"/>
            <w:tcBorders/>
            <w:shd w:fill="CCEEFF" w:val="clear"/>
            <w:vAlign w:val="center"/>
          </w:tcPr>
          <w:p>
            <w:pPr>
              <w:pStyle w:val="TableContents"/>
              <w:bidi w:val="0"/>
              <w:spacing w:before="0" w:after="283"/>
              <w:jc w:val="left"/>
              <w:rPr/>
            </w:pPr>
            <w:hyperlink w:anchor="vr_011">
              <w:r>
                <w:rPr>
                  <w:rStyle w:val="InternetLink"/>
                  <w:rFonts w:ascii="Times New Roman;Times;Serif" w:hAnsi="Times New Roman;Times;Serif"/>
                  <w:sz w:val="20"/>
                </w:rPr>
                <w:t>Controls and Procedures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9749" w:type="dxa"/>
            <w:gridSpan w:val="2"/>
            <w:tcBorders/>
            <w:shd w:fill="FFFFFF" w:val="clear"/>
            <w:vAlign w:val="center"/>
          </w:tcPr>
          <w:p>
            <w:pPr>
              <w:pStyle w:val="TableContents"/>
              <w:bidi w:val="0"/>
              <w:spacing w:before="0" w:after="283"/>
              <w:jc w:val="left"/>
              <w:rPr/>
            </w:pPr>
            <w:hyperlink w:anchor="vr_012">
              <w:r>
                <w:rPr>
                  <w:rStyle w:val="InternetLink"/>
                  <w:rFonts w:ascii="Times New Roman;Times;Serif" w:hAnsi="Times New Roman;Times;Serif"/>
                  <w:b/>
                  <w:sz w:val="20"/>
                </w:rPr>
                <w:t>PART II. OTHER INFORMATION</w:t>
              </w:r>
            </w:hyperlink>
          </w:p>
        </w:tc>
        <w:tc>
          <w:tcPr>
            <w:tcW w:w="456" w:type="dxa"/>
            <w:tcBorders/>
            <w:shd w:fill="FFFFFF" w:val="clear"/>
            <w:vAlign w:val="center"/>
          </w:tcPr>
          <w:p>
            <w:pPr>
              <w:pStyle w:val="TableContents"/>
              <w:bidi w:val="0"/>
              <w:spacing w:before="0" w:after="283"/>
              <w:jc w:val="right"/>
              <w:rPr/>
            </w:pPr>
            <w:r>
              <w:rPr/>
              <w:t> </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9116" w:type="dxa"/>
            <w:tcBorders/>
            <w:shd w:fill="CCEEFF" w:val="clear"/>
            <w:vAlign w:val="center"/>
          </w:tcPr>
          <w:p>
            <w:pPr>
              <w:pStyle w:val="TableContents"/>
              <w:bidi w:val="0"/>
              <w:spacing w:before="0" w:after="283"/>
              <w:jc w:val="left"/>
              <w:rPr/>
            </w:pPr>
            <w:hyperlink w:anchor="vr_013">
              <w:r>
                <w:rPr>
                  <w:rStyle w:val="InternetLink"/>
                  <w:rFonts w:ascii="Times New Roman;Times;Serif" w:hAnsi="Times New Roman;Times;Serif"/>
                  <w:sz w:val="20"/>
                </w:rPr>
                <w:t>Legal Proceedings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6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Item 1A. </w:t>
            </w:r>
          </w:p>
        </w:tc>
        <w:tc>
          <w:tcPr>
            <w:tcW w:w="9116" w:type="dxa"/>
            <w:tcBorders/>
            <w:shd w:fill="FFFFFF" w:val="clear"/>
            <w:vAlign w:val="center"/>
          </w:tcPr>
          <w:p>
            <w:pPr>
              <w:pStyle w:val="TableContents"/>
              <w:bidi w:val="0"/>
              <w:spacing w:before="0" w:after="283"/>
              <w:jc w:val="left"/>
              <w:rPr/>
            </w:pPr>
            <w:hyperlink w:anchor="vr_014">
              <w:r>
                <w:rPr>
                  <w:rStyle w:val="InternetLink"/>
                  <w:rFonts w:ascii="Times New Roman;Times;Serif" w:hAnsi="Times New Roman;Times;Serif"/>
                  <w:sz w:val="20"/>
                </w:rPr>
                <w:t>Risk Factors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9116" w:type="dxa"/>
            <w:tcBorders/>
            <w:shd w:fill="CCEEFF" w:val="clear"/>
            <w:vAlign w:val="center"/>
          </w:tcPr>
          <w:p>
            <w:pPr>
              <w:pStyle w:val="TableContents"/>
              <w:bidi w:val="0"/>
              <w:spacing w:before="0" w:after="283"/>
              <w:jc w:val="left"/>
              <w:rPr/>
            </w:pPr>
            <w:hyperlink w:anchor="vr_015">
              <w:r>
                <w:rPr>
                  <w:rStyle w:val="InternetLink"/>
                  <w:rFonts w:ascii="Times New Roman;Times;Serif" w:hAnsi="Times New Roman;Times;Serif"/>
                  <w:sz w:val="20"/>
                </w:rPr>
                <w:t>Unregistered Sales of Equity Securities and Use of Proceeds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6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9116" w:type="dxa"/>
            <w:tcBorders/>
            <w:shd w:fill="FFFFFF" w:val="clear"/>
            <w:vAlign w:val="center"/>
          </w:tcPr>
          <w:p>
            <w:pPr>
              <w:pStyle w:val="TableContents"/>
              <w:bidi w:val="0"/>
              <w:spacing w:before="0" w:after="283"/>
              <w:jc w:val="left"/>
              <w:rPr/>
            </w:pPr>
            <w:hyperlink w:anchor="vr_016">
              <w:r>
                <w:rPr>
                  <w:rStyle w:val="InternetLink"/>
                  <w:rFonts w:ascii="Times New Roman;Times;Serif" w:hAnsi="Times New Roman;Times;Serif"/>
                  <w:sz w:val="20"/>
                </w:rPr>
                <w:t>Defaults Upon Senior Securities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9116" w:type="dxa"/>
            <w:tcBorders/>
            <w:shd w:fill="CCEEFF" w:val="clear"/>
            <w:vAlign w:val="center"/>
          </w:tcPr>
          <w:p>
            <w:pPr>
              <w:pStyle w:val="TableContents"/>
              <w:bidi w:val="0"/>
              <w:spacing w:before="0" w:after="283"/>
              <w:jc w:val="left"/>
              <w:rPr/>
            </w:pPr>
            <w:hyperlink w:anchor="vr_017">
              <w:r>
                <w:rPr>
                  <w:rStyle w:val="InternetLink"/>
                  <w:rFonts w:ascii="Times New Roman;Times;Serif" w:hAnsi="Times New Roman;Times;Serif"/>
                  <w:sz w:val="20"/>
                </w:rPr>
                <w:t>Mine Safety Disclosures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6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9116" w:type="dxa"/>
            <w:tcBorders/>
            <w:shd w:fill="FFFFFF" w:val="clear"/>
            <w:vAlign w:val="center"/>
          </w:tcPr>
          <w:p>
            <w:pPr>
              <w:pStyle w:val="TableContents"/>
              <w:bidi w:val="0"/>
              <w:spacing w:before="0" w:after="283"/>
              <w:jc w:val="left"/>
              <w:rPr/>
            </w:pPr>
            <w:hyperlink w:anchor="vr_018">
              <w:r>
                <w:rPr>
                  <w:rStyle w:val="InternetLink"/>
                  <w:rFonts w:ascii="Times New Roman;Times;Serif" w:hAnsi="Times New Roman;Times;Serif"/>
                  <w:sz w:val="20"/>
                </w:rPr>
                <w:t>Other Information</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6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9116" w:type="dxa"/>
            <w:tcBorders/>
            <w:shd w:fill="CCEEFF" w:val="clear"/>
            <w:vAlign w:val="center"/>
          </w:tcPr>
          <w:p>
            <w:pPr>
              <w:pStyle w:val="TableContents"/>
              <w:bidi w:val="0"/>
              <w:spacing w:before="0" w:after="283"/>
              <w:jc w:val="left"/>
              <w:rPr/>
            </w:pPr>
            <w:hyperlink w:anchor="vr_019">
              <w:r>
                <w:rPr>
                  <w:rStyle w:val="InternetLink"/>
                  <w:rFonts w:ascii="Times New Roman;Times;Serif" w:hAnsi="Times New Roman;Times;Serif"/>
                  <w:sz w:val="20"/>
                </w:rPr>
                <w:t>Exhibits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9749" w:type="dxa"/>
            <w:gridSpan w:val="2"/>
            <w:tcBorders/>
            <w:shd w:fill="FFFFFF" w:val="clear"/>
            <w:vAlign w:val="center"/>
          </w:tcPr>
          <w:p>
            <w:pPr>
              <w:pStyle w:val="TableContents"/>
              <w:bidi w:val="0"/>
              <w:spacing w:before="0" w:after="283"/>
              <w:jc w:val="left"/>
              <w:rPr/>
            </w:pPr>
            <w:hyperlink w:anchor="vr_020">
              <w:r>
                <w:rPr>
                  <w:rStyle w:val="InternetLink"/>
                  <w:rFonts w:ascii="Times New Roman;Times;Serif" w:hAnsi="Times New Roman;Times;Serif"/>
                  <w:sz w:val="20"/>
                </w:rPr>
                <w:t>SIGNATURES</w:t>
              </w:r>
            </w:hyperlink>
            <w:r>
              <w:rPr/>
              <w:t xml:space="preserve"> </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vr_001"/>
      <w:bookmarkEnd w:id="31"/>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(the “Quarterly Report”) contains statements that constitute forward-looking statements. Many of the forward-looking statements contained in this Quarterly Report can be identified by the use of forward-looking words such as “anticipate,” “believe,” “could,” “expect,” “should,” “plan,” “intend,” “may,” “predict,” “continue,” “estimate” and “potential,” or the negative of these terms or other similar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appear in a number of places in this Quarterly Report and include, but are not limited to, statements regarding our intent, belief or current expectations. These forward-looking statements include information about possible or assumed future results of our business, financial condition, results of operations, liquidity, plans and objectives.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described in “Part II, Item 1A. – Risk Factors,” of this Quarterly Report. The statements we make regarding the following matters are forward-looking by their nature: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re-establish profitable operations, raise additional capital or renegotiate our debt arrangements;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growth prospects and strategies;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launching new games and additional functionality to games that are commercially successful;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significant drivers of our future growth;</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comply or regain compliance with the continued listing requirements of the Nasdaq Capital Market;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retain and increase our player base and develop new video games and enhance our existing games;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from companies in a number of industries, including other casual game developers and publishers and both large and small, public and private multimedia companies;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and retain a qualified management team and other team members while controlling our labor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relationships with third-party platforms such as Xbox Live and Game Pass, PlayStation Network, Steam, Epic Games Store, the Apple App Store, the Google Play Store and My Nintendo Store;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successfully enter new markets and manage our international expansion;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protecting and developing our brand and intellectual property portfolio;</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associated with defending intellectual property infringement and other claims;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business development, results of operations and financial condition;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rulings by courts or other governmental authorities;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Share Repurchase Program (as defined below), including expectations regarding the timing and manner of repurchases made under the Share Repurchase Program;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plans to pursue and successfully integrate strategic acquisitions;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risks and uncertainties described in this Quarterly Report, including those described in Item 1A of Part II, “Risk Factors”;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require additional capital to support our strategic digital asset initiative, and implementing such initiative may subject us to various licensing requirement and significant compliance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negative publicity regarding stablecoins or the broader digital asset industry may have an outsize negative effect on consumer confidence in our proposed proprietary stablecoins;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assumptions underlying any of the foregoing.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on risks, uncertainties and other factors that could affect our financial results are included in our filings with the United States Securities and Exchange Commission (the “SEC”) from time to time, including in Item 1A of Part II, “Risk Factors,” of this Quarterly Report and other periodic reports on Form 10-K and 10-Q filed or to be filed with the SEC. You should not rely on these forward-looking statements, as actual outcomes and results may differ materially from those expressed or implied in the forward-looking statements as a result of such risks and uncertainties. All forward-looking statements in this Quarterly Report are based on management’s beliefs and assumptions and on information currently available to us as of the date of this filing, and we do not assume any obligation to update the forward-looking statements provided to reflect events that occur or circumstances that exist after the date on which they were made.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 w:name="vr_002"/>
      <w:bookmarkEnd w:id="32"/>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vr_003"/>
      <w:bookmarkEnd w:id="33"/>
      <w:r>
        <w:rPr>
          <w:rFonts w:ascii="Times New Roman;Times;Serif" w:hAnsi="Times New Roman;Times;Serif"/>
          <w:b/>
          <w:i w:val="false"/>
          <w:caps w:val="false"/>
          <w:smallCaps w:val="false"/>
          <w:sz w:val="20"/>
        </w:rPr>
        <w:t>Item 1. Condensed Consolidated Financial Statement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vr_004"/>
      <w:bookmarkEnd w:id="34"/>
      <w:r>
        <w:rPr>
          <w:rFonts w:ascii="Times New Roman;Times;Serif" w:hAnsi="Times New Roman;Times;Serif"/>
          <w:b/>
          <w:i w:val="false"/>
          <w:caps w:val="false"/>
          <w:smallCaps w:val="false"/>
          <w:sz w:val="20"/>
        </w:rPr>
        <w:t>Condensed Consolidated Balance Sheets as of March 31, 2026 and December 31,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5" w:name="xdx_303_111_zM9xycdmd4A7"/>
      <w:bookmarkStart w:id="36" w:name="xdx_303_111_zM9xycdmd4A7"/>
      <w:bookmarkEnd w:id="36"/>
    </w:p>
    <w:tbl>
      <w:tblPr>
        <w:tblW w:w="10205" w:type="dxa"/>
        <w:jc w:val="left"/>
        <w:tblInd w:w="0" w:type="dxa"/>
        <w:tblLayout w:type="fixed"/>
        <w:tblCellMar>
          <w:top w:w="0" w:type="dxa"/>
          <w:left w:w="0" w:type="dxa"/>
          <w:bottom w:w="0" w:type="dxa"/>
          <w:right w:w="0" w:type="dxa"/>
        </w:tblCellMar>
      </w:tblPr>
      <w:tblGrid>
        <w:gridCol w:w="7051"/>
        <w:gridCol w:w="60"/>
        <w:gridCol w:w="146"/>
        <w:gridCol w:w="1229"/>
        <w:gridCol w:w="95"/>
        <w:gridCol w:w="60"/>
        <w:gridCol w:w="154"/>
        <w:gridCol w:w="1297"/>
        <w:gridCol w:w="113"/>
      </w:tblGrid>
      <w:tr>
        <w:trPr/>
        <w:tc>
          <w:tcPr>
            <w:tcW w:w="70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7" w:name="xdx_499_20260331_zLkiFCu4lSic"/>
            <w:bookmarkEnd w:id="37"/>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 w:name="xdx_491_20251231_zdUueG12Xbr9"/>
            <w:bookmarkEnd w:id="38"/>
          </w:p>
        </w:tc>
        <w:tc>
          <w:tcPr>
            <w:tcW w:w="145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December 31, 2025</w:t>
            </w:r>
          </w:p>
        </w:tc>
        <w:tc>
          <w:tcPr>
            <w:tcW w:w="113" w:type="dxa"/>
            <w:tcBorders/>
            <w:vAlign w:val="center"/>
          </w:tcPr>
          <w:p>
            <w:pPr>
              <w:pStyle w:val="TableContents"/>
              <w:bidi w:val="0"/>
              <w:spacing w:before="0" w:after="283"/>
              <w:jc w:val="left"/>
              <w:rPr/>
            </w:pPr>
            <w:r>
              <w:rPr/>
              <w:t> </w:t>
            </w:r>
          </w:p>
        </w:tc>
      </w:tr>
      <w:tr>
        <w:trPr/>
        <w:tc>
          <w:tcPr>
            <w:tcW w:w="7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1"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39" w:name="xdx_400_eus-gaap--AssetsAbstract_iB_zln5"/>
            <w:bookmarkEnd w:id="39"/>
          </w:p>
        </w:tc>
      </w:tr>
      <w:tr>
        <w:trPr/>
        <w:tc>
          <w:tcPr>
            <w:tcW w:w="7051"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0" w:name="xdx_40C_eus-gaap--AssetsCurrentAbstract_"/>
            <w:bookmarkEnd w:id="40"/>
          </w:p>
        </w:tc>
      </w:tr>
      <w:tr>
        <w:trPr/>
        <w:tc>
          <w:tcPr>
            <w:tcW w:w="7051"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1" w:name="xdx_401_eus-gaap--CashAndCashEquivalents"/>
            <w:bookmarkEnd w:id="41"/>
          </w:p>
        </w:tc>
      </w:tr>
      <w:tr>
        <w:trPr/>
        <w:tc>
          <w:tcPr>
            <w:tcW w:w="7051"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229" w:type="dxa"/>
            <w:tcBorders/>
            <w:shd w:fill="FFFFFF" w:val="clear"/>
            <w:vAlign w:val="center"/>
          </w:tcPr>
          <w:p>
            <w:pPr>
              <w:pStyle w:val="TableContents"/>
              <w:bidi w:val="0"/>
              <w:spacing w:before="0" w:after="283"/>
              <w:jc w:val="right"/>
              <w:rPr/>
            </w:pPr>
            <w:r>
              <w:rPr/>
              <w:t>14,259,168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297" w:type="dxa"/>
            <w:tcBorders/>
            <w:shd w:fill="FFFFFF" w:val="clear"/>
            <w:vAlign w:val="center"/>
          </w:tcPr>
          <w:p>
            <w:pPr>
              <w:pStyle w:val="TableContents"/>
              <w:bidi w:val="0"/>
              <w:spacing w:before="0" w:after="283"/>
              <w:jc w:val="right"/>
              <w:rPr/>
            </w:pPr>
            <w:r>
              <w:rPr/>
              <w:t>8,568,164</w:t>
            </w:r>
          </w:p>
        </w:tc>
        <w:tc>
          <w:tcPr>
            <w:tcW w:w="113" w:type="dxa"/>
            <w:tcBorders/>
            <w:shd w:fill="FFFFFF" w:val="clear"/>
            <w:vAlign w:val="center"/>
          </w:tcPr>
          <w:p>
            <w:pPr>
              <w:pStyle w:val="TableContents"/>
              <w:bidi w:val="0"/>
              <w:spacing w:before="0" w:after="283"/>
              <w:jc w:val="left"/>
              <w:rPr/>
            </w:pPr>
            <w:r>
              <w:rPr/>
              <w:t> </w:t>
            </w:r>
            <w:bookmarkStart w:id="42" w:name="xdx_40B_eus-gaap--RestrictedCashAndCashE"/>
            <w:bookmarkEnd w:id="42"/>
          </w:p>
        </w:tc>
      </w:tr>
      <w:tr>
        <w:trPr/>
        <w:tc>
          <w:tcPr>
            <w:tcW w:w="7051" w:type="dxa"/>
            <w:tcBorders/>
            <w:shd w:fill="CCEEFF" w:val="clear"/>
            <w:vAlign w:val="center"/>
          </w:tcPr>
          <w:p>
            <w:pPr>
              <w:pStyle w:val="TableContents"/>
              <w:bidi w:val="0"/>
              <w:spacing w:before="0" w:after="283"/>
              <w:jc w:val="left"/>
              <w:rPr/>
            </w:pPr>
            <w:r>
              <w:rPr/>
              <w:t>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187,000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187,000</w:t>
            </w:r>
          </w:p>
        </w:tc>
        <w:tc>
          <w:tcPr>
            <w:tcW w:w="113" w:type="dxa"/>
            <w:tcBorders/>
            <w:shd w:fill="CCEEFF" w:val="clear"/>
            <w:vAlign w:val="center"/>
          </w:tcPr>
          <w:p>
            <w:pPr>
              <w:pStyle w:val="TableContents"/>
              <w:bidi w:val="0"/>
              <w:spacing w:before="0" w:after="283"/>
              <w:jc w:val="left"/>
              <w:rPr/>
            </w:pPr>
            <w:r>
              <w:rPr/>
              <w:t> </w:t>
            </w:r>
            <w:bookmarkStart w:id="43" w:name="xdx_40C_eus-gaap--AccountsReceivableNetC"/>
            <w:bookmarkEnd w:id="43"/>
          </w:p>
        </w:tc>
      </w:tr>
      <w:tr>
        <w:trPr/>
        <w:tc>
          <w:tcPr>
            <w:tcW w:w="7051" w:type="dxa"/>
            <w:tcBorders/>
            <w:shd w:fill="FFFFFF" w:val="clear"/>
            <w:vAlign w:val="center"/>
          </w:tcPr>
          <w:p>
            <w:pPr>
              <w:pStyle w:val="TableContents"/>
              <w:bidi w:val="0"/>
              <w:spacing w:before="0" w:after="283"/>
              <w:jc w:val="left"/>
              <w:rPr/>
            </w:pPr>
            <w:r>
              <w:rPr/>
              <w:t>Accounts receivable, net of allowances for credit losses of $</w:t>
            </w:r>
            <w:bookmarkStart w:id="44" w:name="xdx_90E_eus-gaap--AllowanceForDoubtfulAc"/>
            <w:bookmarkStart w:id="45" w:name="xdx_90D_eus-gaap--AllowanceForDoubtfulAc"/>
            <w:bookmarkEnd w:id="44"/>
            <w:bookmarkEnd w:id="45"/>
            <w:r>
              <w:rPr/>
              <w:t>523,500 as of March 31, 2026 and December 31, 2025</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9,206,357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12,528,347</w:t>
            </w:r>
          </w:p>
        </w:tc>
        <w:tc>
          <w:tcPr>
            <w:tcW w:w="113" w:type="dxa"/>
            <w:tcBorders/>
            <w:shd w:fill="FFFFFF" w:val="clear"/>
            <w:vAlign w:val="center"/>
          </w:tcPr>
          <w:p>
            <w:pPr>
              <w:pStyle w:val="TableContents"/>
              <w:bidi w:val="0"/>
              <w:spacing w:before="0" w:after="283"/>
              <w:jc w:val="left"/>
              <w:rPr/>
            </w:pPr>
            <w:r>
              <w:rPr/>
              <w:t> </w:t>
            </w:r>
            <w:bookmarkStart w:id="46" w:name="xdx_40D_eus-gaap--OtherReceivablesNetCur"/>
            <w:bookmarkEnd w:id="46"/>
          </w:p>
        </w:tc>
      </w:tr>
      <w:tr>
        <w:trPr/>
        <w:tc>
          <w:tcPr>
            <w:tcW w:w="7051" w:type="dxa"/>
            <w:tcBorders/>
            <w:shd w:fill="CCEEFF" w:val="clear"/>
            <w:vAlign w:val="center"/>
          </w:tcPr>
          <w:p>
            <w:pPr>
              <w:pStyle w:val="TableContents"/>
              <w:bidi w:val="0"/>
              <w:spacing w:before="0" w:after="283"/>
              <w:jc w:val="left"/>
              <w:rPr/>
            </w:pPr>
            <w:r>
              <w:rPr/>
              <w:t>Loan and interest receivable – related party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108,252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107,759</w:t>
            </w:r>
          </w:p>
        </w:tc>
        <w:tc>
          <w:tcPr>
            <w:tcW w:w="113" w:type="dxa"/>
            <w:tcBorders/>
            <w:shd w:fill="CCEEFF" w:val="clear"/>
            <w:vAlign w:val="center"/>
          </w:tcPr>
          <w:p>
            <w:pPr>
              <w:pStyle w:val="TableContents"/>
              <w:bidi w:val="0"/>
              <w:spacing w:before="0" w:after="283"/>
              <w:jc w:val="left"/>
              <w:rPr/>
            </w:pPr>
            <w:r>
              <w:rPr/>
              <w:t> </w:t>
            </w:r>
            <w:bookmarkStart w:id="47" w:name="xdx_401_ecustom--PrepaidExpensesRelatedP"/>
            <w:bookmarkEnd w:id="47"/>
          </w:p>
        </w:tc>
      </w:tr>
      <w:tr>
        <w:trPr/>
        <w:tc>
          <w:tcPr>
            <w:tcW w:w="7051" w:type="dxa"/>
            <w:tcBorders/>
            <w:shd w:fill="FFFFFF" w:val="clear"/>
            <w:vAlign w:val="center"/>
          </w:tcPr>
          <w:p>
            <w:pPr>
              <w:pStyle w:val="TableContents"/>
              <w:bidi w:val="0"/>
              <w:spacing w:before="0" w:after="283"/>
              <w:jc w:val="left"/>
              <w:rPr/>
            </w:pPr>
            <w:r>
              <w:rPr/>
              <w:t>Prepaid expenses – related party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2,647,267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2,700,474</w:t>
            </w:r>
          </w:p>
        </w:tc>
        <w:tc>
          <w:tcPr>
            <w:tcW w:w="113" w:type="dxa"/>
            <w:tcBorders/>
            <w:shd w:fill="FFFFFF" w:val="clear"/>
            <w:vAlign w:val="center"/>
          </w:tcPr>
          <w:p>
            <w:pPr>
              <w:pStyle w:val="TableContents"/>
              <w:bidi w:val="0"/>
              <w:spacing w:before="0" w:after="283"/>
              <w:jc w:val="left"/>
              <w:rPr/>
            </w:pPr>
            <w:r>
              <w:rPr/>
              <w:t> </w:t>
            </w:r>
            <w:bookmarkStart w:id="48" w:name="xdx_408_eus-gaap--PrepaidExpenseAndOther"/>
            <w:bookmarkEnd w:id="48"/>
          </w:p>
        </w:tc>
      </w:tr>
      <w:tr>
        <w:trPr/>
        <w:tc>
          <w:tcPr>
            <w:tcW w:w="7051"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1,485,655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2,232,485</w:t>
            </w:r>
          </w:p>
        </w:tc>
        <w:tc>
          <w:tcPr>
            <w:tcW w:w="113" w:type="dxa"/>
            <w:tcBorders/>
            <w:shd w:fill="CCEEFF" w:val="clear"/>
            <w:vAlign w:val="center"/>
          </w:tcPr>
          <w:p>
            <w:pPr>
              <w:pStyle w:val="TableContents"/>
              <w:bidi w:val="0"/>
              <w:spacing w:before="0" w:after="283"/>
              <w:jc w:val="left"/>
              <w:rPr/>
            </w:pPr>
            <w:r>
              <w:rPr/>
              <w:t> </w:t>
            </w:r>
            <w:bookmarkStart w:id="49" w:name="xdx_40E_eus-gaap--PrepaidTaxes_i02I_maAC"/>
            <w:bookmarkEnd w:id="49"/>
          </w:p>
        </w:tc>
      </w:tr>
      <w:tr>
        <w:trPr/>
        <w:tc>
          <w:tcPr>
            <w:tcW w:w="7051" w:type="dxa"/>
            <w:tcBorders/>
            <w:shd w:fill="FFFFFF" w:val="clear"/>
            <w:vAlign w:val="center"/>
          </w:tcPr>
          <w:p>
            <w:pPr>
              <w:pStyle w:val="TableContents"/>
              <w:bidi w:val="0"/>
              <w:spacing w:before="0" w:after="283"/>
              <w:jc w:val="left"/>
              <w:rPr/>
            </w:pPr>
            <w:r>
              <w:rPr/>
              <w:t>Prepaid taxes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pPr>
            <w:r>
              <w:rPr/>
              <w:t>904,099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shd w:fill="FFFFFF" w:val="clear"/>
            <w:tcMar>
              <w:bottom w:w="28" w:type="dxa"/>
            </w:tcMar>
            <w:vAlign w:val="center"/>
          </w:tcPr>
          <w:p>
            <w:pPr>
              <w:pStyle w:val="TableContents"/>
              <w:bidi w:val="0"/>
              <w:spacing w:before="0" w:after="283"/>
              <w:jc w:val="right"/>
              <w:rPr/>
            </w:pPr>
            <w:r>
              <w:rPr/>
              <w:t>4,734,007</w:t>
            </w:r>
          </w:p>
        </w:tc>
        <w:tc>
          <w:tcPr>
            <w:tcW w:w="113" w:type="dxa"/>
            <w:tcBorders/>
            <w:shd w:fill="FFFFFF" w:val="clear"/>
            <w:vAlign w:val="center"/>
          </w:tcPr>
          <w:p>
            <w:pPr>
              <w:pStyle w:val="TableContents"/>
              <w:bidi w:val="0"/>
              <w:spacing w:before="0" w:after="283"/>
              <w:jc w:val="left"/>
              <w:rPr/>
            </w:pPr>
            <w:r>
              <w:rPr/>
              <w:t> </w:t>
            </w:r>
            <w:bookmarkStart w:id="50" w:name="xdx_40E_eus-gaap--AssetsCurrent_i02TI_mt"/>
            <w:bookmarkEnd w:id="50"/>
          </w:p>
        </w:tc>
      </w:tr>
      <w:tr>
        <w:trPr/>
        <w:tc>
          <w:tcPr>
            <w:tcW w:w="7051"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28,797,798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31,058,236</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1" w:name="xdx_407_eus-gaap--RestrictedCashAndCashE"/>
            <w:bookmarkEnd w:id="51"/>
          </w:p>
        </w:tc>
      </w:tr>
      <w:tr>
        <w:trPr/>
        <w:tc>
          <w:tcPr>
            <w:tcW w:w="7051" w:type="dxa"/>
            <w:tcBorders/>
            <w:shd w:fill="CCEEFF" w:val="clear"/>
            <w:vAlign w:val="center"/>
          </w:tcPr>
          <w:p>
            <w:pPr>
              <w:pStyle w:val="TableContents"/>
              <w:bidi w:val="0"/>
              <w:spacing w:before="0" w:after="283"/>
              <w:jc w:val="left"/>
              <w:rPr/>
            </w:pPr>
            <w:r>
              <w:rPr/>
              <w:t>Restricted cash and cash equivalents, net of current portion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1,748,000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1,748,000</w:t>
            </w:r>
          </w:p>
        </w:tc>
        <w:tc>
          <w:tcPr>
            <w:tcW w:w="113" w:type="dxa"/>
            <w:tcBorders/>
            <w:shd w:fill="CCEEFF" w:val="clear"/>
            <w:vAlign w:val="center"/>
          </w:tcPr>
          <w:p>
            <w:pPr>
              <w:pStyle w:val="TableContents"/>
              <w:bidi w:val="0"/>
              <w:spacing w:before="0" w:after="283"/>
              <w:jc w:val="left"/>
              <w:rPr/>
            </w:pPr>
            <w:r>
              <w:rPr/>
              <w:t> </w:t>
            </w:r>
            <w:bookmarkStart w:id="52" w:name="xdx_40A_ecustom--PrepaidExpensesRelatedP"/>
            <w:bookmarkEnd w:id="52"/>
          </w:p>
        </w:tc>
      </w:tr>
      <w:tr>
        <w:trPr/>
        <w:tc>
          <w:tcPr>
            <w:tcW w:w="7051" w:type="dxa"/>
            <w:tcBorders/>
            <w:shd w:fill="FFFFFF" w:val="clear"/>
            <w:vAlign w:val="center"/>
          </w:tcPr>
          <w:p>
            <w:pPr>
              <w:pStyle w:val="TableContents"/>
              <w:bidi w:val="0"/>
              <w:spacing w:before="0" w:after="283"/>
              <w:jc w:val="left"/>
              <w:rPr/>
            </w:pPr>
            <w:r>
              <w:rPr/>
              <w:t>Prepaid expenses – related party, net of current portion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8,229,767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8,282,974</w:t>
            </w:r>
          </w:p>
        </w:tc>
        <w:tc>
          <w:tcPr>
            <w:tcW w:w="113" w:type="dxa"/>
            <w:tcBorders/>
            <w:shd w:fill="FFFFFF" w:val="clear"/>
            <w:vAlign w:val="center"/>
          </w:tcPr>
          <w:p>
            <w:pPr>
              <w:pStyle w:val="TableContents"/>
              <w:bidi w:val="0"/>
              <w:spacing w:before="0" w:after="283"/>
              <w:jc w:val="left"/>
              <w:rPr/>
            </w:pPr>
            <w:r>
              <w:rPr/>
              <w:t> </w:t>
            </w:r>
            <w:bookmarkStart w:id="53" w:name="xdx_40C_eus-gaap--PropertyPlantAndEquipm"/>
            <w:bookmarkEnd w:id="53"/>
          </w:p>
        </w:tc>
      </w:tr>
      <w:tr>
        <w:trPr/>
        <w:tc>
          <w:tcPr>
            <w:tcW w:w="7051"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4,133,441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4,146,175</w:t>
            </w:r>
          </w:p>
        </w:tc>
        <w:tc>
          <w:tcPr>
            <w:tcW w:w="113" w:type="dxa"/>
            <w:tcBorders/>
            <w:shd w:fill="CCEEFF" w:val="clear"/>
            <w:vAlign w:val="center"/>
          </w:tcPr>
          <w:p>
            <w:pPr>
              <w:pStyle w:val="TableContents"/>
              <w:bidi w:val="0"/>
              <w:spacing w:before="0" w:after="283"/>
              <w:jc w:val="left"/>
              <w:rPr/>
            </w:pPr>
            <w:r>
              <w:rPr/>
              <w:t> </w:t>
            </w:r>
            <w:bookmarkStart w:id="54" w:name="xdx_40C_eus-gaap--IntangibleAssetsNetExc"/>
            <w:bookmarkEnd w:id="54"/>
          </w:p>
        </w:tc>
      </w:tr>
      <w:tr>
        <w:trPr/>
        <w:tc>
          <w:tcPr>
            <w:tcW w:w="7051"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3,848,124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3,827,927</w:t>
            </w:r>
          </w:p>
        </w:tc>
        <w:tc>
          <w:tcPr>
            <w:tcW w:w="113" w:type="dxa"/>
            <w:tcBorders/>
            <w:shd w:fill="FFFFFF" w:val="clear"/>
            <w:vAlign w:val="center"/>
          </w:tcPr>
          <w:p>
            <w:pPr>
              <w:pStyle w:val="TableContents"/>
              <w:bidi w:val="0"/>
              <w:spacing w:before="0" w:after="283"/>
              <w:jc w:val="left"/>
              <w:rPr/>
            </w:pPr>
            <w:r>
              <w:rPr/>
              <w:t> </w:t>
            </w:r>
            <w:bookmarkStart w:id="55" w:name="xdx_40B_eus-gaap--IntangibleAssetsNetExc"/>
            <w:bookmarkEnd w:id="55"/>
          </w:p>
        </w:tc>
      </w:tr>
      <w:tr>
        <w:trPr/>
        <w:tc>
          <w:tcPr>
            <w:tcW w:w="7051" w:type="dxa"/>
            <w:tcBorders/>
            <w:shd w:fill="CCEEFF" w:val="clear"/>
            <w:vAlign w:val="center"/>
          </w:tcPr>
          <w:p>
            <w:pPr>
              <w:pStyle w:val="TableContents"/>
              <w:bidi w:val="0"/>
              <w:spacing w:before="0" w:after="283"/>
              <w:jc w:val="left"/>
              <w:rPr/>
            </w:pPr>
            <w:r>
              <w:rPr/>
              <w:t>Intangible assets, net – related party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4,666,667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4,916,667</w:t>
            </w:r>
          </w:p>
        </w:tc>
        <w:tc>
          <w:tcPr>
            <w:tcW w:w="113" w:type="dxa"/>
            <w:tcBorders/>
            <w:shd w:fill="CCEEFF" w:val="clear"/>
            <w:vAlign w:val="center"/>
          </w:tcPr>
          <w:p>
            <w:pPr>
              <w:pStyle w:val="TableContents"/>
              <w:bidi w:val="0"/>
              <w:spacing w:before="0" w:after="283"/>
              <w:jc w:val="left"/>
              <w:rPr/>
            </w:pPr>
            <w:r>
              <w:rPr/>
              <w:t> </w:t>
            </w:r>
            <w:bookmarkStart w:id="56" w:name="xdx_408_eus-gaap--IntangibleAssetsNetExc"/>
            <w:bookmarkEnd w:id="56"/>
          </w:p>
        </w:tc>
      </w:tr>
      <w:tr>
        <w:trPr/>
        <w:tc>
          <w:tcPr>
            <w:tcW w:w="7051"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4,666,667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4,916,667</w:t>
            </w:r>
          </w:p>
        </w:tc>
        <w:tc>
          <w:tcPr>
            <w:tcW w:w="113" w:type="dxa"/>
            <w:tcBorders/>
            <w:shd w:fill="CCEEFF" w:val="clear"/>
            <w:vAlign w:val="center"/>
          </w:tcPr>
          <w:p>
            <w:pPr>
              <w:pStyle w:val="TableContents"/>
              <w:bidi w:val="0"/>
              <w:spacing w:before="0" w:after="283"/>
              <w:jc w:val="left"/>
              <w:rPr/>
            </w:pPr>
            <w:r>
              <w:rPr/>
              <w:t> </w:t>
            </w:r>
            <w:bookmarkStart w:id="57" w:name="xdx_405_eus-gaap--OtherAssetsNoncurrent_"/>
            <w:bookmarkEnd w:id="57"/>
          </w:p>
        </w:tc>
      </w:tr>
      <w:tr>
        <w:trPr/>
        <w:tc>
          <w:tcPr>
            <w:tcW w:w="7051" w:type="dxa"/>
            <w:tcBorders/>
            <w:shd w:fill="FFFFFF" w:val="clear"/>
            <w:vAlign w:val="center"/>
          </w:tcPr>
          <w:p>
            <w:pPr>
              <w:pStyle w:val="TableContents"/>
              <w:bidi w:val="0"/>
              <w:spacing w:before="0" w:after="283"/>
              <w:jc w:val="left"/>
              <w:rPr/>
            </w:pPr>
            <w:r>
              <w:rPr/>
              <w:t>Other noncurrent assets, net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836,060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604,793</w:t>
            </w:r>
          </w:p>
        </w:tc>
        <w:tc>
          <w:tcPr>
            <w:tcW w:w="113" w:type="dxa"/>
            <w:tcBorders/>
            <w:shd w:fill="FFFFFF" w:val="clear"/>
            <w:vAlign w:val="center"/>
          </w:tcPr>
          <w:p>
            <w:pPr>
              <w:pStyle w:val="TableContents"/>
              <w:bidi w:val="0"/>
              <w:spacing w:before="0" w:after="283"/>
              <w:jc w:val="left"/>
              <w:rPr/>
            </w:pPr>
            <w:r>
              <w:rPr/>
              <w:t> </w:t>
            </w:r>
            <w:bookmarkStart w:id="58" w:name="xdx_406_eus-gaap--OperatingLeaseRightOfU"/>
            <w:bookmarkEnd w:id="58"/>
          </w:p>
        </w:tc>
      </w:tr>
      <w:tr>
        <w:trPr/>
        <w:tc>
          <w:tcPr>
            <w:tcW w:w="7051" w:type="dxa"/>
            <w:tcBorders/>
            <w:shd w:fill="CCEEFF" w:val="clear"/>
            <w:vAlign w:val="center"/>
          </w:tcPr>
          <w:p>
            <w:pPr>
              <w:pStyle w:val="TableContents"/>
              <w:bidi w:val="0"/>
              <w:spacing w:before="0" w:after="283"/>
              <w:jc w:val="left"/>
              <w:rPr/>
            </w:pPr>
            <w:r>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4,581,907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shd w:fill="CCEEFF" w:val="clear"/>
            <w:tcMar>
              <w:bottom w:w="28" w:type="dxa"/>
            </w:tcMar>
            <w:vAlign w:val="center"/>
          </w:tcPr>
          <w:p>
            <w:pPr>
              <w:pStyle w:val="TableContents"/>
              <w:bidi w:val="0"/>
              <w:spacing w:before="0" w:after="283"/>
              <w:jc w:val="right"/>
              <w:rPr/>
            </w:pPr>
            <w:r>
              <w:rPr/>
              <w:t>4,722,366</w:t>
            </w:r>
          </w:p>
        </w:tc>
        <w:tc>
          <w:tcPr>
            <w:tcW w:w="113" w:type="dxa"/>
            <w:tcBorders/>
            <w:shd w:fill="CCEEFF" w:val="clear"/>
            <w:vAlign w:val="center"/>
          </w:tcPr>
          <w:p>
            <w:pPr>
              <w:pStyle w:val="TableContents"/>
              <w:bidi w:val="0"/>
              <w:spacing w:before="0" w:after="283"/>
              <w:jc w:val="left"/>
              <w:rPr/>
            </w:pPr>
            <w:r>
              <w:rPr/>
              <w:t> </w:t>
            </w:r>
            <w:bookmarkStart w:id="59" w:name="xdx_40F_eus-gaap--Assets_i01TI_mtAzVBu_z"/>
            <w:bookmarkEnd w:id="59"/>
          </w:p>
        </w:tc>
      </w:tr>
      <w:tr>
        <w:trPr/>
        <w:tc>
          <w:tcPr>
            <w:tcW w:w="7051"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9" w:type="dxa"/>
            <w:tcBorders>
              <w:bottom w:val="double" w:sz="6" w:space="0" w:color="000000"/>
            </w:tcBorders>
            <w:shd w:fill="FFFFFF" w:val="clear"/>
            <w:tcMar>
              <w:bottom w:w="28" w:type="dxa"/>
            </w:tcMar>
            <w:vAlign w:val="center"/>
          </w:tcPr>
          <w:p>
            <w:pPr>
              <w:pStyle w:val="TableContents"/>
              <w:bidi w:val="0"/>
              <w:spacing w:before="0" w:after="283"/>
              <w:jc w:val="right"/>
              <w:rPr/>
            </w:pPr>
            <w:r>
              <w:rPr/>
              <w:t>56,841,764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7" w:type="dxa"/>
            <w:tcBorders>
              <w:bottom w:val="double" w:sz="6" w:space="0" w:color="000000"/>
            </w:tcBorders>
            <w:shd w:fill="FFFFFF" w:val="clear"/>
            <w:tcMar>
              <w:bottom w:w="28" w:type="dxa"/>
            </w:tcMar>
            <w:vAlign w:val="center"/>
          </w:tcPr>
          <w:p>
            <w:pPr>
              <w:pStyle w:val="TableContents"/>
              <w:bidi w:val="0"/>
              <w:spacing w:before="0" w:after="283"/>
              <w:jc w:val="right"/>
              <w:rPr/>
            </w:pPr>
            <w:r>
              <w:rPr/>
              <w:t>59,307,138</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0" w:name="xdx_407_eus-gaap--LiabilitiesAndStockhol"/>
            <w:bookmarkEnd w:id="60"/>
          </w:p>
        </w:tc>
      </w:tr>
      <w:tr>
        <w:trPr/>
        <w:tc>
          <w:tcPr>
            <w:tcW w:w="7051" w:type="dxa"/>
            <w:tcBorders/>
            <w:shd w:fill="FFFFFF" w:val="clear"/>
            <w:vAlign w:val="center"/>
          </w:tcPr>
          <w:p>
            <w:pPr>
              <w:pStyle w:val="TableContents"/>
              <w:bidi w:val="0"/>
              <w:spacing w:before="0" w:after="283"/>
              <w:jc w:val="left"/>
              <w:rPr>
                <w:b/>
              </w:rPr>
            </w:pPr>
            <w:r>
              <w:rPr>
                <w:b/>
              </w:rPr>
              <w:t>LIABILITIES, NONCONTROLLING INTERESTS AND STOCKHOLDERS’ DEFICIT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1" w:name="xdx_407_eus-gaap--LiabilitiesCurrentAbst"/>
            <w:bookmarkEnd w:id="61"/>
          </w:p>
        </w:tc>
      </w:tr>
      <w:tr>
        <w:trPr/>
        <w:tc>
          <w:tcPr>
            <w:tcW w:w="7051"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2" w:name="xdx_400_eus-gaap--AccountsPayableCurrent"/>
            <w:bookmarkEnd w:id="62"/>
          </w:p>
        </w:tc>
      </w:tr>
      <w:tr>
        <w:trPr/>
        <w:tc>
          <w:tcPr>
            <w:tcW w:w="7051"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3,907,540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5,506,332</w:t>
            </w:r>
          </w:p>
        </w:tc>
        <w:tc>
          <w:tcPr>
            <w:tcW w:w="113" w:type="dxa"/>
            <w:tcBorders/>
            <w:shd w:fill="CCEEFF" w:val="clear"/>
            <w:vAlign w:val="center"/>
          </w:tcPr>
          <w:p>
            <w:pPr>
              <w:pStyle w:val="TableContents"/>
              <w:bidi w:val="0"/>
              <w:spacing w:before="0" w:after="283"/>
              <w:jc w:val="left"/>
              <w:rPr/>
            </w:pPr>
            <w:r>
              <w:rPr/>
              <w:t> </w:t>
            </w:r>
            <w:bookmarkStart w:id="63" w:name="xdx_407_eus-gaap--AccountsPayableCurrent"/>
            <w:bookmarkEnd w:id="63"/>
          </w:p>
        </w:tc>
      </w:tr>
      <w:tr>
        <w:trPr/>
        <w:tc>
          <w:tcPr>
            <w:tcW w:w="7051" w:type="dxa"/>
            <w:tcBorders/>
            <w:shd w:fill="FFFFFF" w:val="clear"/>
            <w:vAlign w:val="center"/>
          </w:tcPr>
          <w:p>
            <w:pPr>
              <w:pStyle w:val="TableContents"/>
              <w:bidi w:val="0"/>
              <w:spacing w:before="0" w:after="283"/>
              <w:jc w:val="left"/>
              <w:rPr/>
            </w:pPr>
            <w:r>
              <w:rPr/>
              <w:t>Accounts payable – related parties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21,648,949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20,067,013</w:t>
            </w:r>
          </w:p>
        </w:tc>
        <w:tc>
          <w:tcPr>
            <w:tcW w:w="113" w:type="dxa"/>
            <w:tcBorders/>
            <w:shd w:fill="FFFFFF" w:val="clear"/>
            <w:vAlign w:val="center"/>
          </w:tcPr>
          <w:p>
            <w:pPr>
              <w:pStyle w:val="TableContents"/>
              <w:bidi w:val="0"/>
              <w:spacing w:before="0" w:after="283"/>
              <w:jc w:val="left"/>
              <w:rPr/>
            </w:pPr>
            <w:r>
              <w:rPr/>
              <w:t> </w:t>
            </w:r>
            <w:bookmarkStart w:id="64" w:name="xdx_40C_eus-gaap--AccountsPayableCurrent"/>
            <w:bookmarkEnd w:id="64"/>
          </w:p>
        </w:tc>
      </w:tr>
      <w:tr>
        <w:trPr/>
        <w:tc>
          <w:tcPr>
            <w:tcW w:w="7051"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21,648,949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20,067,013</w:t>
            </w:r>
          </w:p>
        </w:tc>
        <w:tc>
          <w:tcPr>
            <w:tcW w:w="113" w:type="dxa"/>
            <w:tcBorders/>
            <w:shd w:fill="FFFFFF" w:val="clear"/>
            <w:vAlign w:val="center"/>
          </w:tcPr>
          <w:p>
            <w:pPr>
              <w:pStyle w:val="TableContents"/>
              <w:bidi w:val="0"/>
              <w:spacing w:before="0" w:after="283"/>
              <w:jc w:val="left"/>
              <w:rPr/>
            </w:pPr>
            <w:r>
              <w:rPr/>
              <w:t> </w:t>
            </w:r>
            <w:bookmarkStart w:id="65" w:name="xdx_409_ecustom--AccruedExpensesAndOther"/>
            <w:bookmarkEnd w:id="65"/>
          </w:p>
        </w:tc>
      </w:tr>
      <w:tr>
        <w:trPr/>
        <w:tc>
          <w:tcPr>
            <w:tcW w:w="7051"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3,267,643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3,364,150</w:t>
            </w:r>
          </w:p>
        </w:tc>
        <w:tc>
          <w:tcPr>
            <w:tcW w:w="113" w:type="dxa"/>
            <w:tcBorders/>
            <w:shd w:fill="CCEEFF" w:val="clear"/>
            <w:vAlign w:val="center"/>
          </w:tcPr>
          <w:p>
            <w:pPr>
              <w:pStyle w:val="TableContents"/>
              <w:bidi w:val="0"/>
              <w:spacing w:before="0" w:after="283"/>
              <w:jc w:val="left"/>
              <w:rPr/>
            </w:pPr>
            <w:r>
              <w:rPr/>
              <w:t> </w:t>
            </w:r>
            <w:bookmarkStart w:id="66" w:name="xdx_406_ecustom--InterestPayableRelatedP"/>
            <w:bookmarkEnd w:id="66"/>
          </w:p>
        </w:tc>
      </w:tr>
      <w:tr>
        <w:trPr/>
        <w:tc>
          <w:tcPr>
            <w:tcW w:w="7051" w:type="dxa"/>
            <w:tcBorders/>
            <w:shd w:fill="FFFFFF" w:val="clear"/>
            <w:vAlign w:val="center"/>
          </w:tcPr>
          <w:p>
            <w:pPr>
              <w:pStyle w:val="TableContents"/>
              <w:bidi w:val="0"/>
              <w:spacing w:before="0" w:after="283"/>
              <w:jc w:val="left"/>
              <w:rPr/>
            </w:pPr>
            <w:r>
              <w:rPr/>
              <w:t>Interest payable – related parties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527,770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527,770</w:t>
            </w:r>
          </w:p>
        </w:tc>
        <w:tc>
          <w:tcPr>
            <w:tcW w:w="113" w:type="dxa"/>
            <w:tcBorders/>
            <w:shd w:fill="FFFFFF" w:val="clear"/>
            <w:vAlign w:val="center"/>
          </w:tcPr>
          <w:p>
            <w:pPr>
              <w:pStyle w:val="TableContents"/>
              <w:bidi w:val="0"/>
              <w:spacing w:before="0" w:after="283"/>
              <w:jc w:val="left"/>
              <w:rPr/>
            </w:pPr>
            <w:r>
              <w:rPr/>
              <w:t> </w:t>
            </w:r>
            <w:bookmarkStart w:id="67" w:name="xdx_407_eus-gaap--ConvertibleDebtCurrent"/>
            <w:bookmarkEnd w:id="67"/>
          </w:p>
        </w:tc>
      </w:tr>
      <w:tr>
        <w:trPr/>
        <w:tc>
          <w:tcPr>
            <w:tcW w:w="7051" w:type="dxa"/>
            <w:tcBorders/>
            <w:shd w:fill="CCEEFF" w:val="clear"/>
            <w:vAlign w:val="center"/>
          </w:tcPr>
          <w:p>
            <w:pPr>
              <w:pStyle w:val="TableContents"/>
              <w:bidi w:val="0"/>
              <w:spacing w:before="0" w:after="283"/>
              <w:jc w:val="left"/>
              <w:rPr/>
            </w:pPr>
            <w:r>
              <w:rPr/>
              <w:t>Convertible notes at fair value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2,382,255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3,842,189</w:t>
            </w:r>
          </w:p>
        </w:tc>
        <w:tc>
          <w:tcPr>
            <w:tcW w:w="113" w:type="dxa"/>
            <w:tcBorders/>
            <w:shd w:fill="CCEEFF" w:val="clear"/>
            <w:vAlign w:val="center"/>
          </w:tcPr>
          <w:p>
            <w:pPr>
              <w:pStyle w:val="TableContents"/>
              <w:bidi w:val="0"/>
              <w:spacing w:before="0" w:after="283"/>
              <w:jc w:val="left"/>
              <w:rPr/>
            </w:pPr>
            <w:r>
              <w:rPr/>
              <w:t> </w:t>
            </w:r>
            <w:bookmarkStart w:id="68" w:name="xdx_404_ecustom--LongTermDebtCurrentPort"/>
            <w:bookmarkEnd w:id="68"/>
          </w:p>
        </w:tc>
      </w:tr>
      <w:tr>
        <w:trPr/>
        <w:tc>
          <w:tcPr>
            <w:tcW w:w="7051" w:type="dxa"/>
            <w:tcBorders/>
            <w:shd w:fill="FFFFFF" w:val="clear"/>
            <w:vAlign w:val="center"/>
          </w:tcPr>
          <w:p>
            <w:pPr>
              <w:pStyle w:val="TableContents"/>
              <w:bidi w:val="0"/>
              <w:spacing w:before="0" w:after="283"/>
              <w:jc w:val="left"/>
              <w:rPr/>
            </w:pPr>
            <w:r>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1,329,123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1,305,880</w:t>
            </w:r>
          </w:p>
        </w:tc>
        <w:tc>
          <w:tcPr>
            <w:tcW w:w="113" w:type="dxa"/>
            <w:tcBorders/>
            <w:shd w:fill="FFFFFF" w:val="clear"/>
            <w:vAlign w:val="center"/>
          </w:tcPr>
          <w:p>
            <w:pPr>
              <w:pStyle w:val="TableContents"/>
              <w:bidi w:val="0"/>
              <w:spacing w:before="0" w:after="283"/>
              <w:jc w:val="left"/>
              <w:rPr/>
            </w:pPr>
            <w:r>
              <w:rPr/>
              <w:t> </w:t>
            </w:r>
            <w:bookmarkStart w:id="69" w:name="xdx_402_eus-gaap--ContractWithCustomerLi"/>
            <w:bookmarkEnd w:id="69"/>
          </w:p>
        </w:tc>
      </w:tr>
      <w:tr>
        <w:trPr/>
        <w:tc>
          <w:tcPr>
            <w:tcW w:w="7051" w:type="dxa"/>
            <w:tcBorders/>
            <w:shd w:fill="CCEEFF" w:val="clear"/>
            <w:vAlign w:val="center"/>
          </w:tcPr>
          <w:p>
            <w:pPr>
              <w:pStyle w:val="TableContents"/>
              <w:bidi w:val="0"/>
              <w:spacing w:before="0" w:after="283"/>
              <w:jc w:val="left"/>
              <w:rPr/>
            </w:pPr>
            <w:r>
              <w:rPr/>
              <w:t>Current portion of deferred revenue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14,533,507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14,799,840</w:t>
            </w:r>
          </w:p>
        </w:tc>
        <w:tc>
          <w:tcPr>
            <w:tcW w:w="113" w:type="dxa"/>
            <w:tcBorders/>
            <w:shd w:fill="CCEEFF" w:val="clear"/>
            <w:vAlign w:val="center"/>
          </w:tcPr>
          <w:p>
            <w:pPr>
              <w:pStyle w:val="TableContents"/>
              <w:bidi w:val="0"/>
              <w:spacing w:before="0" w:after="283"/>
              <w:jc w:val="left"/>
              <w:rPr/>
            </w:pPr>
            <w:r>
              <w:rPr/>
              <w:t> </w:t>
            </w:r>
            <w:bookmarkStart w:id="70" w:name="xdx_400_eus-gaap--OperatingLeaseLiabilit"/>
            <w:bookmarkEnd w:id="70"/>
          </w:p>
        </w:tc>
      </w:tr>
      <w:tr>
        <w:trPr/>
        <w:tc>
          <w:tcPr>
            <w:tcW w:w="7051" w:type="dxa"/>
            <w:tcBorders/>
            <w:shd w:fill="FFFFFF" w:val="clear"/>
            <w:vAlign w:val="center"/>
          </w:tcPr>
          <w:p>
            <w:pPr>
              <w:pStyle w:val="TableContents"/>
              <w:bidi w:val="0"/>
              <w:spacing w:before="0" w:after="283"/>
              <w:jc w:val="left"/>
              <w:rPr/>
            </w:pPr>
            <w:r>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pPr>
            <w:r>
              <w:rPr/>
              <w:t>441,316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shd w:fill="FFFFFF" w:val="clear"/>
            <w:tcMar>
              <w:bottom w:w="28" w:type="dxa"/>
            </w:tcMar>
            <w:vAlign w:val="center"/>
          </w:tcPr>
          <w:p>
            <w:pPr>
              <w:pStyle w:val="TableContents"/>
              <w:bidi w:val="0"/>
              <w:spacing w:before="0" w:after="283"/>
              <w:jc w:val="right"/>
              <w:rPr/>
            </w:pPr>
            <w:r>
              <w:rPr/>
              <w:t>393,448</w:t>
            </w:r>
          </w:p>
        </w:tc>
        <w:tc>
          <w:tcPr>
            <w:tcW w:w="113" w:type="dxa"/>
            <w:tcBorders/>
            <w:shd w:fill="FFFFFF" w:val="clear"/>
            <w:vAlign w:val="center"/>
          </w:tcPr>
          <w:p>
            <w:pPr>
              <w:pStyle w:val="TableContents"/>
              <w:bidi w:val="0"/>
              <w:spacing w:before="0" w:after="283"/>
              <w:jc w:val="left"/>
              <w:rPr/>
            </w:pPr>
            <w:r>
              <w:rPr/>
              <w:t> </w:t>
            </w:r>
            <w:bookmarkStart w:id="71" w:name="xdx_404_eus-gaap--LiabilitiesCurrent_i02"/>
            <w:bookmarkEnd w:id="71"/>
          </w:p>
        </w:tc>
      </w:tr>
      <w:tr>
        <w:trPr/>
        <w:tc>
          <w:tcPr>
            <w:tcW w:w="7051"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48,038,103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49,806,622</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2" w:name="xdx_409_eus-gaap--AccountsPayableAndAccr"/>
            <w:bookmarkEnd w:id="72"/>
          </w:p>
        </w:tc>
      </w:tr>
      <w:tr>
        <w:trPr/>
        <w:tc>
          <w:tcPr>
            <w:tcW w:w="7051"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625,354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468,106</w:t>
            </w:r>
          </w:p>
        </w:tc>
        <w:tc>
          <w:tcPr>
            <w:tcW w:w="113" w:type="dxa"/>
            <w:tcBorders/>
            <w:shd w:fill="CCEEFF" w:val="clear"/>
            <w:vAlign w:val="center"/>
          </w:tcPr>
          <w:p>
            <w:pPr>
              <w:pStyle w:val="TableContents"/>
              <w:bidi w:val="0"/>
              <w:spacing w:before="0" w:after="283"/>
              <w:jc w:val="left"/>
              <w:rPr/>
            </w:pPr>
            <w:r>
              <w:rPr/>
              <w:t> </w:t>
            </w:r>
            <w:bookmarkStart w:id="73" w:name="xdx_400_ecustom--RevolvingLoanPayableNon"/>
            <w:bookmarkEnd w:id="73"/>
          </w:p>
        </w:tc>
      </w:tr>
      <w:tr>
        <w:trPr/>
        <w:tc>
          <w:tcPr>
            <w:tcW w:w="7051" w:type="dxa"/>
            <w:tcBorders/>
            <w:shd w:fill="FFFFFF" w:val="clear"/>
            <w:vAlign w:val="center"/>
          </w:tcPr>
          <w:p>
            <w:pPr>
              <w:pStyle w:val="TableContents"/>
              <w:bidi w:val="0"/>
              <w:spacing w:before="0" w:after="283"/>
              <w:jc w:val="left"/>
              <w:rPr/>
            </w:pPr>
            <w:r>
              <w:rPr/>
              <w:t>Revolving loan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2,500,000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5,000,000</w:t>
            </w:r>
          </w:p>
        </w:tc>
        <w:tc>
          <w:tcPr>
            <w:tcW w:w="113" w:type="dxa"/>
            <w:tcBorders/>
            <w:shd w:fill="FFFFFF" w:val="clear"/>
            <w:vAlign w:val="center"/>
          </w:tcPr>
          <w:p>
            <w:pPr>
              <w:pStyle w:val="TableContents"/>
              <w:bidi w:val="0"/>
              <w:spacing w:before="0" w:after="283"/>
              <w:jc w:val="left"/>
              <w:rPr/>
            </w:pPr>
            <w:r>
              <w:rPr/>
              <w:t> </w:t>
            </w:r>
            <w:bookmarkStart w:id="74" w:name="xdx_408_eus-gaap--LongTermDebtNoncurrent"/>
            <w:bookmarkEnd w:id="74"/>
          </w:p>
        </w:tc>
      </w:tr>
      <w:tr>
        <w:trPr/>
        <w:tc>
          <w:tcPr>
            <w:tcW w:w="7051" w:type="dxa"/>
            <w:tcBorders/>
            <w:shd w:fill="CCEEFF" w:val="clear"/>
            <w:vAlign w:val="center"/>
          </w:tcPr>
          <w:p>
            <w:pPr>
              <w:pStyle w:val="TableContents"/>
              <w:bidi w:val="0"/>
              <w:spacing w:before="0" w:after="283"/>
              <w:jc w:val="left"/>
              <w:rPr/>
            </w:pPr>
            <w:r>
              <w:rPr/>
              <w:t>Long-term debt, net of current portion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3,974,176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4,292,538</w:t>
            </w:r>
          </w:p>
        </w:tc>
        <w:tc>
          <w:tcPr>
            <w:tcW w:w="113" w:type="dxa"/>
            <w:tcBorders/>
            <w:shd w:fill="CCEEFF" w:val="clear"/>
            <w:vAlign w:val="center"/>
          </w:tcPr>
          <w:p>
            <w:pPr>
              <w:pStyle w:val="TableContents"/>
              <w:bidi w:val="0"/>
              <w:spacing w:before="0" w:after="283"/>
              <w:jc w:val="left"/>
              <w:rPr/>
            </w:pPr>
            <w:r>
              <w:rPr/>
              <w:t> </w:t>
            </w:r>
            <w:bookmarkStart w:id="75" w:name="xdx_40C_eus-gaap--ContractWithCustomerLi"/>
            <w:bookmarkEnd w:id="75"/>
          </w:p>
        </w:tc>
      </w:tr>
      <w:tr>
        <w:trPr/>
        <w:tc>
          <w:tcPr>
            <w:tcW w:w="7051" w:type="dxa"/>
            <w:tcBorders/>
            <w:shd w:fill="FFFFFF" w:val="clear"/>
            <w:vAlign w:val="center"/>
          </w:tcPr>
          <w:p>
            <w:pPr>
              <w:pStyle w:val="TableContents"/>
              <w:bidi w:val="0"/>
              <w:spacing w:before="0" w:after="283"/>
              <w:jc w:val="left"/>
              <w:rPr/>
            </w:pPr>
            <w:r>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17,190,514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17,282,685</w:t>
            </w:r>
          </w:p>
        </w:tc>
        <w:tc>
          <w:tcPr>
            <w:tcW w:w="113" w:type="dxa"/>
            <w:tcBorders/>
            <w:shd w:fill="FFFFFF" w:val="clear"/>
            <w:vAlign w:val="center"/>
          </w:tcPr>
          <w:p>
            <w:pPr>
              <w:pStyle w:val="TableContents"/>
              <w:bidi w:val="0"/>
              <w:spacing w:before="0" w:after="283"/>
              <w:jc w:val="left"/>
              <w:rPr/>
            </w:pPr>
            <w:r>
              <w:rPr/>
              <w:t> </w:t>
            </w:r>
            <w:bookmarkStart w:id="76" w:name="xdx_405_eus-gaap--OperatingLeaseLiabilit"/>
            <w:bookmarkEnd w:id="76"/>
          </w:p>
        </w:tc>
      </w:tr>
      <w:tr>
        <w:trPr/>
        <w:tc>
          <w:tcPr>
            <w:tcW w:w="7051"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4,234,747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shd w:fill="CCEEFF" w:val="clear"/>
            <w:tcMar>
              <w:bottom w:w="28" w:type="dxa"/>
            </w:tcMar>
            <w:vAlign w:val="center"/>
          </w:tcPr>
          <w:p>
            <w:pPr>
              <w:pStyle w:val="TableContents"/>
              <w:bidi w:val="0"/>
              <w:spacing w:before="0" w:after="283"/>
              <w:jc w:val="right"/>
              <w:rPr/>
            </w:pPr>
            <w:r>
              <w:rPr/>
              <w:t>4,336,240</w:t>
            </w:r>
          </w:p>
        </w:tc>
        <w:tc>
          <w:tcPr>
            <w:tcW w:w="113" w:type="dxa"/>
            <w:tcBorders/>
            <w:shd w:fill="CCEEFF" w:val="clear"/>
            <w:vAlign w:val="center"/>
          </w:tcPr>
          <w:p>
            <w:pPr>
              <w:pStyle w:val="TableContents"/>
              <w:bidi w:val="0"/>
              <w:spacing w:before="0" w:after="283"/>
              <w:jc w:val="left"/>
              <w:rPr/>
            </w:pPr>
            <w:r>
              <w:rPr/>
              <w:t> </w:t>
            </w:r>
            <w:bookmarkStart w:id="77" w:name="xdx_40C_eus-gaap--Liabilities_i01TI_mtLz"/>
            <w:bookmarkEnd w:id="77"/>
          </w:p>
        </w:tc>
      </w:tr>
      <w:tr>
        <w:trPr/>
        <w:tc>
          <w:tcPr>
            <w:tcW w:w="7051"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pPr>
            <w:r>
              <w:rPr/>
              <w:t>76,562,894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shd w:fill="FFFFFF" w:val="clear"/>
            <w:tcMar>
              <w:bottom w:w="28" w:type="dxa"/>
            </w:tcMar>
            <w:vAlign w:val="center"/>
          </w:tcPr>
          <w:p>
            <w:pPr>
              <w:pStyle w:val="TableContents"/>
              <w:bidi w:val="0"/>
              <w:spacing w:before="0" w:after="283"/>
              <w:jc w:val="right"/>
              <w:rPr/>
            </w:pPr>
            <w:r>
              <w:rPr/>
              <w:t>81,186,191</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8" w:name="xdx_40B_eus-gaap--CommitmentsAndContinge"/>
            <w:bookmarkEnd w:id="78"/>
          </w:p>
        </w:tc>
      </w:tr>
      <w:tr>
        <w:trPr/>
        <w:tc>
          <w:tcPr>
            <w:tcW w:w="7051"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FFFF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9" w:name="xdx_40A_eus-gaap--StockholdersEquityIncl"/>
            <w:bookmarkEnd w:id="79"/>
          </w:p>
        </w:tc>
      </w:tr>
      <w:tr>
        <w:trPr/>
        <w:tc>
          <w:tcPr>
            <w:tcW w:w="7051" w:type="dxa"/>
            <w:tcBorders/>
            <w:shd w:fill="FFFFFF" w:val="clear"/>
            <w:vAlign w:val="center"/>
          </w:tcPr>
          <w:p>
            <w:pPr>
              <w:pStyle w:val="TableContents"/>
              <w:bidi w:val="0"/>
              <w:spacing w:before="0" w:after="283"/>
              <w:jc w:val="left"/>
              <w:rPr>
                <w:b/>
              </w:rPr>
            </w:pPr>
            <w:r>
              <w:rPr>
                <w:b/>
              </w:rPr>
              <w:t>Stockholders’ Deficit: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80" w:name="xdx_407_eus-gaap--CommonStockValue_i02I_"/>
            <w:bookmarkEnd w:id="80"/>
          </w:p>
        </w:tc>
      </w:tr>
      <w:tr>
        <w:trPr/>
        <w:tc>
          <w:tcPr>
            <w:tcW w:w="7051" w:type="dxa"/>
            <w:tcBorders/>
            <w:shd w:fill="CCEEFF" w:val="clear"/>
            <w:vAlign w:val="center"/>
          </w:tcPr>
          <w:p>
            <w:pPr>
              <w:pStyle w:val="TableContents"/>
              <w:bidi w:val="0"/>
              <w:spacing w:before="0" w:after="283"/>
              <w:jc w:val="left"/>
              <w:rPr/>
            </w:pPr>
            <w:r>
              <w:rPr/>
              <w:t>Class A common stock, $</w:t>
            </w:r>
            <w:bookmarkStart w:id="81" w:name="xdx_908_eus-gaap--CommonStockParOrStated"/>
            <w:bookmarkStart w:id="82" w:name="xdx_906_eus-gaap--CommonStockParOrStated"/>
            <w:bookmarkEnd w:id="81"/>
            <w:bookmarkEnd w:id="82"/>
            <w:r>
              <w:rPr/>
              <w:t xml:space="preserve">0.0001 par value, </w:t>
            </w:r>
            <w:bookmarkStart w:id="83" w:name="xdx_905_eus-gaap--CommonStockSharesAutho"/>
            <w:bookmarkStart w:id="84" w:name="xdx_90F_eus-gaap--CommonStockSharesAutho"/>
            <w:bookmarkEnd w:id="83"/>
            <w:bookmarkEnd w:id="84"/>
            <w:r>
              <w:rPr/>
              <w:t xml:space="preserve">500,000,000 shares authorized; </w:t>
            </w:r>
            <w:bookmarkStart w:id="85" w:name="xdx_90B_eus-gaap--CommonStockSharesIssue"/>
            <w:bookmarkEnd w:id="85"/>
            <w:r>
              <w:rPr/>
              <w:t xml:space="preserve">10,415,669 shares issued and </w:t>
            </w:r>
            <w:bookmarkStart w:id="86" w:name="xdx_90F_eus-gaap--CommonStockSharesOutst"/>
            <w:bookmarkEnd w:id="86"/>
            <w:r>
              <w:rPr/>
              <w:t xml:space="preserve">9,065,394 shares outstanding as of March 31, 2026, and </w:t>
            </w:r>
            <w:bookmarkStart w:id="87" w:name="xdx_90B_eus-gaap--CommonStockSharesIssue"/>
            <w:bookmarkEnd w:id="87"/>
            <w:r>
              <w:rPr/>
              <w:t xml:space="preserve">10,382,336 shares issued and </w:t>
            </w:r>
            <w:bookmarkStart w:id="88" w:name="xdx_902_eus-gaap--CommonStockSharesOutst"/>
            <w:bookmarkEnd w:id="88"/>
            <w:r>
              <w:rPr/>
              <w:t>9,032,061 shares outstanding as of December 31, 2025</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1,038</w:t>
            </w:r>
          </w:p>
        </w:tc>
        <w:tc>
          <w:tcPr>
            <w:tcW w:w="113" w:type="dxa"/>
            <w:tcBorders/>
            <w:shd w:fill="CCEEFF" w:val="clear"/>
            <w:vAlign w:val="center"/>
          </w:tcPr>
          <w:p>
            <w:pPr>
              <w:pStyle w:val="TableContents"/>
              <w:bidi w:val="0"/>
              <w:spacing w:before="0" w:after="283"/>
              <w:jc w:val="left"/>
              <w:rPr/>
            </w:pPr>
            <w:r>
              <w:rPr/>
              <w:t> </w:t>
            </w:r>
            <w:bookmarkStart w:id="89" w:name="xdx_404_eus-gaap--CommonStockValue_i02I_"/>
            <w:bookmarkEnd w:id="89"/>
          </w:p>
        </w:tc>
      </w:tr>
      <w:tr>
        <w:trPr/>
        <w:tc>
          <w:tcPr>
            <w:tcW w:w="7051" w:type="dxa"/>
            <w:tcBorders/>
            <w:shd w:fill="FFFFFF" w:val="clear"/>
            <w:vAlign w:val="center"/>
          </w:tcPr>
          <w:p>
            <w:pPr>
              <w:pStyle w:val="TableContents"/>
              <w:bidi w:val="0"/>
              <w:spacing w:before="0" w:after="283"/>
              <w:jc w:val="left"/>
              <w:rPr/>
            </w:pPr>
            <w:r>
              <w:rPr/>
              <w:t>Class B common stock, $</w:t>
            </w:r>
            <w:bookmarkStart w:id="90" w:name="xdx_908_eus-gaap--CommonStockParOrStated"/>
            <w:bookmarkStart w:id="91" w:name="xdx_907_eus-gaap--CommonStockParOrStated"/>
            <w:bookmarkEnd w:id="90"/>
            <w:bookmarkEnd w:id="91"/>
            <w:r>
              <w:rPr/>
              <w:t xml:space="preserve">0.0001 par value, </w:t>
            </w:r>
            <w:bookmarkStart w:id="92" w:name="xdx_905_eus-gaap--CommonStockSharesAutho"/>
            <w:bookmarkStart w:id="93" w:name="xdx_901_eus-gaap--CommonStockSharesAutho"/>
            <w:bookmarkEnd w:id="92"/>
            <w:bookmarkEnd w:id="93"/>
            <w:r>
              <w:rPr/>
              <w:t xml:space="preserve">100,000,000 shares authorized; </w:t>
            </w:r>
            <w:bookmarkStart w:id="94" w:name="xdx_906_eus-gaap--CommonStockSharesOutst"/>
            <w:bookmarkStart w:id="95" w:name="xdx_901_eus-gaap--CommonStockSharesIssue"/>
            <w:bookmarkStart w:id="96" w:name="xdx_906_eus-gaap--CommonStockSharesOutst"/>
            <w:bookmarkStart w:id="97" w:name="xdx_90E_eus-gaap--CommonStockSharesIssue"/>
            <w:bookmarkEnd w:id="94"/>
            <w:bookmarkEnd w:id="95"/>
            <w:bookmarkEnd w:id="96"/>
            <w:bookmarkEnd w:id="97"/>
            <w:r>
              <w:rPr/>
              <w:t>28,748,580 shares issued and outstanding as of March 31, 2026 and December 31, 2025</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2,875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2,875</w:t>
            </w:r>
          </w:p>
        </w:tc>
        <w:tc>
          <w:tcPr>
            <w:tcW w:w="113" w:type="dxa"/>
            <w:tcBorders/>
            <w:shd w:fill="FFFFFF" w:val="clear"/>
            <w:vAlign w:val="center"/>
          </w:tcPr>
          <w:p>
            <w:pPr>
              <w:pStyle w:val="TableContents"/>
              <w:bidi w:val="0"/>
              <w:spacing w:before="0" w:after="283"/>
              <w:jc w:val="left"/>
              <w:rPr/>
            </w:pPr>
            <w:r>
              <w:rPr/>
              <w:t> </w:t>
            </w:r>
            <w:bookmarkStart w:id="98" w:name="xdx_409_eus-gaap--CommonStockValue_i02I_"/>
            <w:bookmarkEnd w:id="98"/>
          </w:p>
        </w:tc>
      </w:tr>
      <w:tr>
        <w:trPr/>
        <w:tc>
          <w:tcPr>
            <w:tcW w:w="7051" w:type="dxa"/>
            <w:tcBorders/>
            <w:shd w:fill="CCEEFF" w:val="clear"/>
            <w:vAlign w:val="center"/>
          </w:tcPr>
          <w:p>
            <w:pPr>
              <w:pStyle w:val="TableContents"/>
              <w:bidi w:val="0"/>
              <w:spacing w:before="0" w:after="283"/>
              <w:jc w:val="left"/>
              <w:rPr/>
            </w:pPr>
            <w:r>
              <w:rPr/>
              <w:t>Common stock, value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2,875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2,875</w:t>
            </w:r>
          </w:p>
        </w:tc>
        <w:tc>
          <w:tcPr>
            <w:tcW w:w="113" w:type="dxa"/>
            <w:tcBorders/>
            <w:shd w:fill="CCEEFF" w:val="clear"/>
            <w:vAlign w:val="center"/>
          </w:tcPr>
          <w:p>
            <w:pPr>
              <w:pStyle w:val="TableContents"/>
              <w:bidi w:val="0"/>
              <w:spacing w:before="0" w:after="283"/>
              <w:jc w:val="left"/>
              <w:rPr/>
            </w:pPr>
            <w:r>
              <w:rPr/>
              <w:t> </w:t>
            </w:r>
          </w:p>
        </w:tc>
      </w:tr>
      <w:tr>
        <w:trPr/>
        <w:tc>
          <w:tcPr>
            <w:tcW w:w="70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99" w:name="xdx_403_eus-gaap--AdditionalPaidInCapita"/>
            <w:bookmarkEnd w:id="99"/>
          </w:p>
        </w:tc>
      </w:tr>
      <w:tr>
        <w:trPr/>
        <w:tc>
          <w:tcPr>
            <w:tcW w:w="7051"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26,967,992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26,923,115</w:t>
            </w:r>
          </w:p>
        </w:tc>
        <w:tc>
          <w:tcPr>
            <w:tcW w:w="113" w:type="dxa"/>
            <w:tcBorders/>
            <w:shd w:fill="FFFFFF" w:val="clear"/>
            <w:vAlign w:val="center"/>
          </w:tcPr>
          <w:p>
            <w:pPr>
              <w:pStyle w:val="TableContents"/>
              <w:bidi w:val="0"/>
              <w:spacing w:before="0" w:after="283"/>
              <w:jc w:val="left"/>
              <w:rPr/>
            </w:pPr>
            <w:r>
              <w:rPr/>
              <w:t> </w:t>
            </w:r>
            <w:bookmarkStart w:id="100" w:name="xdx_400_eus-gaap--AccumulatedOtherCompre"/>
            <w:bookmarkEnd w:id="100"/>
          </w:p>
        </w:tc>
      </w:tr>
      <w:tr>
        <w:trPr/>
        <w:tc>
          <w:tcPr>
            <w:tcW w:w="7051"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(296,562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(275,049</w:t>
            </w:r>
          </w:p>
        </w:tc>
        <w:tc>
          <w:tcPr>
            <w:tcW w:w="113" w:type="dxa"/>
            <w:tcBorders/>
            <w:shd w:fill="CCEEFF" w:val="clear"/>
            <w:vAlign w:val="center"/>
          </w:tcPr>
          <w:p>
            <w:pPr>
              <w:pStyle w:val="TableContents"/>
              <w:bidi w:val="0"/>
              <w:spacing w:before="0" w:after="283"/>
              <w:jc w:val="left"/>
              <w:rPr/>
            </w:pPr>
            <w:r>
              <w:rPr/>
              <w:t>)</w:t>
            </w:r>
            <w:bookmarkStart w:id="101" w:name="xdx_40B_eus-gaap--RetainedEarningsAccumu"/>
            <w:bookmarkEnd w:id="101"/>
          </w:p>
        </w:tc>
      </w:tr>
      <w:tr>
        <w:trPr/>
        <w:tc>
          <w:tcPr>
            <w:tcW w:w="7051"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(37,217,804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(39,352,510</w:t>
            </w:r>
          </w:p>
        </w:tc>
        <w:tc>
          <w:tcPr>
            <w:tcW w:w="113" w:type="dxa"/>
            <w:tcBorders/>
            <w:shd w:fill="FFFFFF" w:val="clear"/>
            <w:vAlign w:val="center"/>
          </w:tcPr>
          <w:p>
            <w:pPr>
              <w:pStyle w:val="TableContents"/>
              <w:bidi w:val="0"/>
              <w:spacing w:before="0" w:after="283"/>
              <w:jc w:val="left"/>
              <w:rPr/>
            </w:pPr>
            <w:r>
              <w:rPr/>
              <w:t>)</w:t>
            </w:r>
            <w:bookmarkStart w:id="102" w:name="xdx_40E_eus-gaap--TreasuryStockCommonVal"/>
            <w:bookmarkEnd w:id="102"/>
          </w:p>
        </w:tc>
      </w:tr>
      <w:tr>
        <w:trPr/>
        <w:tc>
          <w:tcPr>
            <w:tcW w:w="7051" w:type="dxa"/>
            <w:tcBorders/>
            <w:shd w:fill="CCEEFF" w:val="clear"/>
            <w:vAlign w:val="center"/>
          </w:tcPr>
          <w:p>
            <w:pPr>
              <w:pStyle w:val="TableContents"/>
              <w:bidi w:val="0"/>
              <w:spacing w:before="0" w:after="283"/>
              <w:jc w:val="left"/>
              <w:rPr/>
            </w:pPr>
            <w:r>
              <w:rPr/>
              <w:t>Treasury stock at cost (</w:t>
            </w:r>
            <w:bookmarkStart w:id="103" w:name="xdx_901_eus-gaap--TreasuryStockCommonSha"/>
            <w:bookmarkStart w:id="104" w:name="xdx_905_eus-gaap--TreasuryStockCommonSha"/>
            <w:bookmarkEnd w:id="103"/>
            <w:bookmarkEnd w:id="104"/>
            <w:r>
              <w:rPr/>
              <w:t>1,350,275 shares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(3,671,806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shd w:fill="CCEEFF" w:val="clear"/>
            <w:tcMar>
              <w:bottom w:w="28" w:type="dxa"/>
            </w:tcMar>
            <w:vAlign w:val="center"/>
          </w:tcPr>
          <w:p>
            <w:pPr>
              <w:pStyle w:val="TableContents"/>
              <w:bidi w:val="0"/>
              <w:spacing w:before="0" w:after="283"/>
              <w:jc w:val="right"/>
              <w:rPr/>
            </w:pPr>
            <w:r>
              <w:rPr/>
              <w:t>(3,671,806</w:t>
            </w:r>
          </w:p>
        </w:tc>
        <w:tc>
          <w:tcPr>
            <w:tcW w:w="113" w:type="dxa"/>
            <w:tcBorders/>
            <w:shd w:fill="CCEEFF" w:val="clear"/>
            <w:vAlign w:val="center"/>
          </w:tcPr>
          <w:p>
            <w:pPr>
              <w:pStyle w:val="TableContents"/>
              <w:bidi w:val="0"/>
              <w:spacing w:before="0" w:after="283"/>
              <w:jc w:val="left"/>
              <w:rPr/>
            </w:pPr>
            <w:r>
              <w:rPr/>
              <w:t>)</w:t>
            </w:r>
            <w:bookmarkStart w:id="105" w:name="xdx_408_eus-gaap--StockholdersEquity_i02"/>
            <w:bookmarkEnd w:id="105"/>
          </w:p>
        </w:tc>
      </w:tr>
      <w:tr>
        <w:trPr/>
        <w:tc>
          <w:tcPr>
            <w:tcW w:w="7051" w:type="dxa"/>
            <w:tcBorders/>
            <w:shd w:fill="FFFFFF" w:val="clear"/>
            <w:vAlign w:val="center"/>
          </w:tcPr>
          <w:p>
            <w:pPr>
              <w:pStyle w:val="TableContents"/>
              <w:bidi w:val="0"/>
              <w:spacing w:before="0" w:after="283"/>
              <w:jc w:val="left"/>
              <w:rPr/>
            </w:pPr>
            <w:r>
              <w:rPr/>
              <w:t>Total Snail, Inc. deficit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(14,214,264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(16,372,337</w:t>
            </w:r>
          </w:p>
        </w:tc>
        <w:tc>
          <w:tcPr>
            <w:tcW w:w="113" w:type="dxa"/>
            <w:tcBorders/>
            <w:shd w:fill="FFFFFF" w:val="clear"/>
            <w:vAlign w:val="center"/>
          </w:tcPr>
          <w:p>
            <w:pPr>
              <w:pStyle w:val="TableContents"/>
              <w:bidi w:val="0"/>
              <w:spacing w:before="0" w:after="283"/>
              <w:jc w:val="left"/>
              <w:rPr/>
            </w:pPr>
            <w:r>
              <w:rPr/>
              <w:t>)</w:t>
            </w:r>
            <w:bookmarkStart w:id="106" w:name="xdx_40E_eus-gaap--MinorityInterest_i02I_"/>
            <w:bookmarkEnd w:id="106"/>
          </w:p>
        </w:tc>
      </w:tr>
      <w:tr>
        <w:trPr/>
        <w:tc>
          <w:tcPr>
            <w:tcW w:w="7051"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(5,506,866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shd w:fill="CCEEFF" w:val="clear"/>
            <w:tcMar>
              <w:bottom w:w="28" w:type="dxa"/>
            </w:tcMar>
            <w:vAlign w:val="center"/>
          </w:tcPr>
          <w:p>
            <w:pPr>
              <w:pStyle w:val="TableContents"/>
              <w:bidi w:val="0"/>
              <w:spacing w:before="0" w:after="283"/>
              <w:jc w:val="right"/>
              <w:rPr/>
            </w:pPr>
            <w:r>
              <w:rPr/>
              <w:t>(5,506,716</w:t>
            </w:r>
          </w:p>
        </w:tc>
        <w:tc>
          <w:tcPr>
            <w:tcW w:w="113" w:type="dxa"/>
            <w:tcBorders/>
            <w:shd w:fill="CCEEFF" w:val="clear"/>
            <w:vAlign w:val="center"/>
          </w:tcPr>
          <w:p>
            <w:pPr>
              <w:pStyle w:val="TableContents"/>
              <w:bidi w:val="0"/>
              <w:spacing w:before="0" w:after="283"/>
              <w:jc w:val="left"/>
              <w:rPr/>
            </w:pPr>
            <w:r>
              <w:rPr/>
              <w:t>)</w:t>
            </w:r>
            <w:bookmarkStart w:id="107" w:name="xdx_408_eus-gaap--StockholdersEquityIncl"/>
            <w:bookmarkEnd w:id="107"/>
          </w:p>
        </w:tc>
      </w:tr>
      <w:tr>
        <w:trPr/>
        <w:tc>
          <w:tcPr>
            <w:tcW w:w="7051" w:type="dxa"/>
            <w:tcBorders/>
            <w:shd w:fill="FFFFFF" w:val="clear"/>
            <w:vAlign w:val="center"/>
          </w:tcPr>
          <w:p>
            <w:pPr>
              <w:pStyle w:val="TableContents"/>
              <w:bidi w:val="0"/>
              <w:spacing w:before="0" w:after="283"/>
              <w:jc w:val="left"/>
              <w:rPr/>
            </w:pPr>
            <w:r>
              <w:rPr/>
              <w:t>Total stockholders’ deficit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pPr>
            <w:r>
              <w:rPr/>
              <w:t>(19,721,130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shd w:fill="FFFFFF" w:val="clear"/>
            <w:tcMar>
              <w:bottom w:w="28" w:type="dxa"/>
            </w:tcMar>
            <w:vAlign w:val="center"/>
          </w:tcPr>
          <w:p>
            <w:pPr>
              <w:pStyle w:val="TableContents"/>
              <w:bidi w:val="0"/>
              <w:spacing w:before="0" w:after="283"/>
              <w:jc w:val="right"/>
              <w:rPr/>
            </w:pPr>
            <w:r>
              <w:rPr/>
              <w:t>(21,879,053</w:t>
            </w:r>
          </w:p>
        </w:tc>
        <w:tc>
          <w:tcPr>
            <w:tcW w:w="113" w:type="dxa"/>
            <w:tcBorders/>
            <w:shd w:fill="FFFFFF" w:val="clear"/>
            <w:vAlign w:val="center"/>
          </w:tcPr>
          <w:p>
            <w:pPr>
              <w:pStyle w:val="TableContents"/>
              <w:bidi w:val="0"/>
              <w:spacing w:before="0" w:after="283"/>
              <w:jc w:val="left"/>
              <w:rPr/>
            </w:pPr>
            <w:r>
              <w:rPr/>
              <w:t>)</w:t>
            </w:r>
            <w:bookmarkStart w:id="108" w:name="xdx_40D_eus-gaap--LiabilitiesAndStockhol"/>
            <w:bookmarkEnd w:id="108"/>
          </w:p>
        </w:tc>
      </w:tr>
      <w:tr>
        <w:trPr/>
        <w:tc>
          <w:tcPr>
            <w:tcW w:w="7051" w:type="dxa"/>
            <w:tcBorders/>
            <w:shd w:fill="CCEEFF" w:val="clear"/>
            <w:vAlign w:val="center"/>
          </w:tcPr>
          <w:p>
            <w:pPr>
              <w:pStyle w:val="TableContents"/>
              <w:bidi w:val="0"/>
              <w:spacing w:before="0" w:after="283"/>
              <w:jc w:val="left"/>
              <w:rPr/>
            </w:pPr>
            <w:r>
              <w:rPr/>
              <w:t>Total liabilities, noncontrolling interests and stockholders’ deficit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jc w:val="right"/>
              <w:rPr/>
            </w:pPr>
            <w:r>
              <w:rPr/>
              <w:t>56,841,764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7" w:type="dxa"/>
            <w:tcBorders>
              <w:bottom w:val="double" w:sz="6" w:space="0" w:color="000000"/>
            </w:tcBorders>
            <w:shd w:fill="CCEEFF" w:val="clear"/>
            <w:tcMar>
              <w:bottom w:w="28" w:type="dxa"/>
            </w:tcMar>
            <w:vAlign w:val="center"/>
          </w:tcPr>
          <w:p>
            <w:pPr>
              <w:pStyle w:val="TableContents"/>
              <w:bidi w:val="0"/>
              <w:spacing w:before="0" w:after="283"/>
              <w:jc w:val="right"/>
              <w:rPr/>
            </w:pPr>
            <w:r>
              <w:rPr/>
              <w:t>59,307,138</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9" w:name="vr_005"/>
      <w:bookmarkEnd w:id="109"/>
      <w:r>
        <w:rPr>
          <w:rFonts w:ascii="Times New Roman;Times;Serif" w:hAnsi="Times New Roman;Times;Serif"/>
          <w:b/>
          <w:i w:val="false"/>
          <w:caps w:val="false"/>
          <w:smallCaps w:val="false"/>
          <w:sz w:val="20"/>
        </w:rPr>
        <w:t>Condensed Consolidated Statements of Operations and Comprehensive Income (Loss) for the Three months Ended March 31, 2026 and 2025</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0" w:name="xdx_30D_113_zPoxKWpt7u66"/>
      <w:bookmarkStart w:id="111" w:name="xdx_30D_113_zPoxKWpt7u66"/>
      <w:bookmarkEnd w:id="111"/>
    </w:p>
    <w:tbl>
      <w:tblPr>
        <w:tblW w:w="10205" w:type="dxa"/>
        <w:jc w:val="left"/>
        <w:tblInd w:w="0" w:type="dxa"/>
        <w:tblLayout w:type="fixed"/>
        <w:tblCellMar>
          <w:top w:w="0" w:type="dxa"/>
          <w:left w:w="0" w:type="dxa"/>
          <w:bottom w:w="0" w:type="dxa"/>
          <w:right w:w="0" w:type="dxa"/>
        </w:tblCellMar>
      </w:tblPr>
      <w:tblGrid>
        <w:gridCol w:w="7079"/>
        <w:gridCol w:w="60"/>
        <w:gridCol w:w="156"/>
        <w:gridCol w:w="1234"/>
        <w:gridCol w:w="106"/>
        <w:gridCol w:w="67"/>
        <w:gridCol w:w="156"/>
        <w:gridCol w:w="1234"/>
        <w:gridCol w:w="113"/>
      </w:tblGrid>
      <w:tr>
        <w:trPr/>
        <w:tc>
          <w:tcPr>
            <w:tcW w:w="70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12" w:name="xdx_497_20260101__20260331_zGpimW3nNM1h"/>
            <w:bookmarkEnd w:id="112"/>
          </w:p>
        </w:tc>
        <w:tc>
          <w:tcPr>
            <w:tcW w:w="139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bookmarkStart w:id="113" w:name="xdx_49C_20250101__20250331_zaujtw5DvJua"/>
            <w:bookmarkEnd w:id="113"/>
          </w:p>
        </w:tc>
        <w:tc>
          <w:tcPr>
            <w:tcW w:w="139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3" w:type="dxa"/>
            <w:tcBorders/>
            <w:vAlign w:val="center"/>
          </w:tcPr>
          <w:p>
            <w:pPr>
              <w:pStyle w:val="TableContents"/>
              <w:bidi w:val="0"/>
              <w:spacing w:before="0" w:after="283"/>
              <w:jc w:val="left"/>
              <w:rPr/>
            </w:pPr>
            <w:r>
              <w:rPr/>
              <w:t> </w:t>
            </w:r>
          </w:p>
        </w:tc>
      </w:tr>
      <w:tr>
        <w:trPr/>
        <w:tc>
          <w:tcPr>
            <w:tcW w:w="70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5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3" w:type="dxa"/>
            <w:tcBorders/>
            <w:vAlign w:val="center"/>
          </w:tcPr>
          <w:p>
            <w:pPr>
              <w:pStyle w:val="TableContents"/>
              <w:bidi w:val="0"/>
              <w:spacing w:before="0" w:after="283"/>
              <w:jc w:val="left"/>
              <w:rPr/>
            </w:pPr>
            <w:r>
              <w:rPr/>
              <w:t> </w:t>
            </w:r>
          </w:p>
        </w:tc>
      </w:tr>
      <w:tr>
        <w:trPr/>
        <w:tc>
          <w:tcPr>
            <w:tcW w:w="70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3" w:type="dxa"/>
            <w:tcBorders/>
            <w:vAlign w:val="center"/>
          </w:tcPr>
          <w:p>
            <w:pPr>
              <w:pStyle w:val="TableContents"/>
              <w:bidi w:val="0"/>
              <w:spacing w:before="0" w:after="283"/>
              <w:jc w:val="left"/>
              <w:rPr/>
            </w:pPr>
            <w:r>
              <w:rPr/>
              <w:t> </w:t>
            </w:r>
          </w:p>
        </w:tc>
      </w:tr>
      <w:tr>
        <w:trPr/>
        <w:tc>
          <w:tcPr>
            <w:tcW w:w="70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right"/>
              <w:rPr/>
            </w:pPr>
            <w:r>
              <w:rPr/>
              <w:t> </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bookmarkStart w:id="114" w:name="xdx_409_eus-gaap--RevenueFromContractWit"/>
            <w:bookmarkEnd w:id="114"/>
          </w:p>
        </w:tc>
      </w:tr>
      <w:tr>
        <w:trPr/>
        <w:tc>
          <w:tcPr>
            <w:tcW w:w="7079"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jc w:val="right"/>
              <w:rPr/>
            </w:pPr>
            <w:r>
              <w:rPr/>
              <w:t>27,294,654</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jc w:val="right"/>
              <w:rPr/>
            </w:pPr>
            <w:r>
              <w:rPr/>
              <w:t>20,110,872</w:t>
            </w:r>
          </w:p>
        </w:tc>
        <w:tc>
          <w:tcPr>
            <w:tcW w:w="113" w:type="dxa"/>
            <w:tcBorders/>
            <w:shd w:fill="CCEEFF" w:val="clear"/>
            <w:vAlign w:val="center"/>
          </w:tcPr>
          <w:p>
            <w:pPr>
              <w:pStyle w:val="TableContents"/>
              <w:bidi w:val="0"/>
              <w:spacing w:before="0" w:after="283"/>
              <w:jc w:val="left"/>
              <w:rPr/>
            </w:pPr>
            <w:r>
              <w:rPr/>
              <w:t> </w:t>
            </w:r>
            <w:bookmarkStart w:id="115" w:name="xdx_401_eus-gaap--CostOfGoodsAndServices"/>
            <w:bookmarkEnd w:id="115"/>
          </w:p>
        </w:tc>
      </w:tr>
      <w:tr>
        <w:trPr/>
        <w:tc>
          <w:tcPr>
            <w:tcW w:w="7079"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15,638,213</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14,263,345</w:t>
            </w:r>
          </w:p>
        </w:tc>
        <w:tc>
          <w:tcPr>
            <w:tcW w:w="113" w:type="dxa"/>
            <w:tcBorders/>
            <w:shd w:fill="FFFFFF" w:val="clear"/>
            <w:vAlign w:val="center"/>
          </w:tcPr>
          <w:p>
            <w:pPr>
              <w:pStyle w:val="TableContents"/>
              <w:bidi w:val="0"/>
              <w:spacing w:before="0" w:after="283"/>
              <w:jc w:val="left"/>
              <w:rPr/>
            </w:pPr>
            <w:r>
              <w:rPr/>
              <w:t> </w:t>
            </w:r>
          </w:p>
        </w:tc>
      </w:tr>
      <w:tr>
        <w:trPr/>
        <w:tc>
          <w:tcPr>
            <w:tcW w:w="70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16" w:name="xdx_40E_eus-gaap--GrossProfit_iT_mtGPzTO"/>
            <w:bookmarkEnd w:id="116"/>
          </w:p>
        </w:tc>
      </w:tr>
      <w:tr>
        <w:trPr/>
        <w:tc>
          <w:tcPr>
            <w:tcW w:w="7079"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11,656,441</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5,847,527</w:t>
            </w:r>
          </w:p>
        </w:tc>
        <w:tc>
          <w:tcPr>
            <w:tcW w:w="113" w:type="dxa"/>
            <w:tcBorders/>
            <w:shd w:fill="FFFFFF" w:val="clear"/>
            <w:vAlign w:val="center"/>
          </w:tcPr>
          <w:p>
            <w:pPr>
              <w:pStyle w:val="TableContents"/>
              <w:bidi w:val="0"/>
              <w:spacing w:before="0" w:after="283"/>
              <w:jc w:val="left"/>
              <w:rPr/>
            </w:pPr>
            <w:r>
              <w:rPr/>
              <w:t> </w:t>
            </w:r>
          </w:p>
        </w:tc>
      </w:tr>
      <w:tr>
        <w:trPr/>
        <w:tc>
          <w:tcPr>
            <w:tcW w:w="70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17" w:name="xdx_407_eus-gaap--OperatingExpensesAbstr"/>
            <w:bookmarkEnd w:id="117"/>
          </w:p>
        </w:tc>
      </w:tr>
      <w:tr>
        <w:trPr/>
        <w:tc>
          <w:tcPr>
            <w:tcW w:w="7079"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18" w:name="xdx_40C_eus-gaap--GeneralAndAdministrati"/>
            <w:bookmarkEnd w:id="118"/>
          </w:p>
        </w:tc>
      </w:tr>
      <w:tr>
        <w:trPr/>
        <w:tc>
          <w:tcPr>
            <w:tcW w:w="7079"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4,650,757</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4,964,351</w:t>
            </w:r>
          </w:p>
        </w:tc>
        <w:tc>
          <w:tcPr>
            <w:tcW w:w="113" w:type="dxa"/>
            <w:tcBorders/>
            <w:shd w:fill="CCEEFF" w:val="clear"/>
            <w:vAlign w:val="center"/>
          </w:tcPr>
          <w:p>
            <w:pPr>
              <w:pStyle w:val="TableContents"/>
              <w:bidi w:val="0"/>
              <w:spacing w:before="0" w:after="283"/>
              <w:jc w:val="left"/>
              <w:rPr/>
            </w:pPr>
            <w:r>
              <w:rPr/>
              <w:t> </w:t>
            </w:r>
            <w:bookmarkStart w:id="119" w:name="xdx_405_eus-gaap--ResearchAndDevelopment"/>
            <w:bookmarkEnd w:id="119"/>
          </w:p>
        </w:tc>
      </w:tr>
      <w:tr>
        <w:trPr/>
        <w:tc>
          <w:tcPr>
            <w:tcW w:w="7079"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4,014,669</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3,609,745</w:t>
            </w:r>
          </w:p>
        </w:tc>
        <w:tc>
          <w:tcPr>
            <w:tcW w:w="113" w:type="dxa"/>
            <w:tcBorders/>
            <w:shd w:fill="FFFFFF" w:val="clear"/>
            <w:vAlign w:val="center"/>
          </w:tcPr>
          <w:p>
            <w:pPr>
              <w:pStyle w:val="TableContents"/>
              <w:bidi w:val="0"/>
              <w:spacing w:before="0" w:after="283"/>
              <w:jc w:val="left"/>
              <w:rPr/>
            </w:pPr>
            <w:r>
              <w:rPr/>
              <w:t> </w:t>
            </w:r>
            <w:bookmarkStart w:id="120" w:name="xdx_40E_eus-gaap--MarketingAndAdvertisin"/>
            <w:bookmarkEnd w:id="120"/>
          </w:p>
        </w:tc>
      </w:tr>
      <w:tr>
        <w:trPr/>
        <w:tc>
          <w:tcPr>
            <w:tcW w:w="7079"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868,789</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1,306,365</w:t>
            </w:r>
          </w:p>
        </w:tc>
        <w:tc>
          <w:tcPr>
            <w:tcW w:w="113" w:type="dxa"/>
            <w:tcBorders/>
            <w:shd w:fill="CCEEFF" w:val="clear"/>
            <w:vAlign w:val="center"/>
          </w:tcPr>
          <w:p>
            <w:pPr>
              <w:pStyle w:val="TableContents"/>
              <w:bidi w:val="0"/>
              <w:spacing w:before="0" w:after="283"/>
              <w:jc w:val="left"/>
              <w:rPr/>
            </w:pPr>
            <w:r>
              <w:rPr/>
              <w:t> </w:t>
            </w:r>
            <w:bookmarkStart w:id="121" w:name="xdx_406_eus-gaap--Depreciation_i01_maOEz"/>
            <w:bookmarkEnd w:id="121"/>
          </w:p>
        </w:tc>
      </w:tr>
      <w:tr>
        <w:trPr/>
        <w:tc>
          <w:tcPr>
            <w:tcW w:w="7079"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12,734</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67,904</w:t>
            </w:r>
          </w:p>
        </w:tc>
        <w:tc>
          <w:tcPr>
            <w:tcW w:w="113" w:type="dxa"/>
            <w:tcBorders/>
            <w:shd w:fill="FFFFFF" w:val="clear"/>
            <w:vAlign w:val="center"/>
          </w:tcPr>
          <w:p>
            <w:pPr>
              <w:pStyle w:val="TableContents"/>
              <w:bidi w:val="0"/>
              <w:spacing w:before="0" w:after="283"/>
              <w:jc w:val="left"/>
              <w:rPr/>
            </w:pPr>
            <w:r>
              <w:rPr/>
              <w:t> </w:t>
            </w:r>
            <w:bookmarkStart w:id="122" w:name="xdx_404_eus-gaap--AssetImpairmentCharges"/>
            <w:bookmarkEnd w:id="122"/>
          </w:p>
        </w:tc>
      </w:tr>
      <w:tr>
        <w:trPr/>
        <w:tc>
          <w:tcPr>
            <w:tcW w:w="7079" w:type="dxa"/>
            <w:tcBorders/>
            <w:shd w:fill="CCEEFF" w:val="clear"/>
            <w:vAlign w:val="center"/>
          </w:tcPr>
          <w:p>
            <w:pPr>
              <w:pStyle w:val="TableContents"/>
              <w:bidi w:val="0"/>
              <w:spacing w:before="0" w:after="283"/>
              <w:jc w:val="left"/>
              <w:rPr/>
            </w:pPr>
            <w:r>
              <w:rPr/>
              <w:t>Impairment expenses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pPr>
            <w:r>
              <w:rPr/>
              <w:t>69,149</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23" w:name="xdx_401_eus-gaap--OperatingExpenses_i01T"/>
            <w:bookmarkEnd w:id="123"/>
          </w:p>
        </w:tc>
      </w:tr>
      <w:tr>
        <w:trPr/>
        <w:tc>
          <w:tcPr>
            <w:tcW w:w="7079"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9,616,098</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9,948,365</w:t>
            </w:r>
          </w:p>
        </w:tc>
        <w:tc>
          <w:tcPr>
            <w:tcW w:w="113" w:type="dxa"/>
            <w:tcBorders/>
            <w:shd w:fill="FFFFFF" w:val="clear"/>
            <w:vAlign w:val="center"/>
          </w:tcPr>
          <w:p>
            <w:pPr>
              <w:pStyle w:val="TableContents"/>
              <w:bidi w:val="0"/>
              <w:spacing w:before="0" w:after="283"/>
              <w:jc w:val="left"/>
              <w:rPr/>
            </w:pPr>
            <w:r>
              <w:rPr/>
              <w:t> </w:t>
            </w:r>
          </w:p>
        </w:tc>
      </w:tr>
      <w:tr>
        <w:trPr/>
        <w:tc>
          <w:tcPr>
            <w:tcW w:w="70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24" w:name="xdx_40E_eus-gaap--OperatingIncomeLoss_iT"/>
            <w:bookmarkEnd w:id="124"/>
          </w:p>
        </w:tc>
      </w:tr>
      <w:tr>
        <w:trPr/>
        <w:tc>
          <w:tcPr>
            <w:tcW w:w="7079"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2,040,343</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(4,100,838</w:t>
            </w:r>
          </w:p>
        </w:tc>
        <w:tc>
          <w:tcPr>
            <w:tcW w:w="113" w:type="dxa"/>
            <w:tcBorders/>
            <w:shd w:fill="FFFFFF" w:val="clear"/>
            <w:vAlign w:val="center"/>
          </w:tcPr>
          <w:p>
            <w:pPr>
              <w:pStyle w:val="TableContents"/>
              <w:bidi w:val="0"/>
              <w:spacing w:before="0" w:after="283"/>
              <w:jc w:val="left"/>
              <w:rPr/>
            </w:pPr>
            <w:r>
              <w:rPr/>
              <w:t>)</w:t>
            </w:r>
          </w:p>
        </w:tc>
      </w:tr>
      <w:tr>
        <w:trPr/>
        <w:tc>
          <w:tcPr>
            <w:tcW w:w="70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25" w:name="xdx_404_eus-gaap--NonoperatingIncomeExpe"/>
            <w:bookmarkEnd w:id="125"/>
          </w:p>
        </w:tc>
      </w:tr>
      <w:tr>
        <w:trPr/>
        <w:tc>
          <w:tcPr>
            <w:tcW w:w="7079"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26" w:name="xdx_40C_eus-gaap--InterestIncomeOther_i0"/>
            <w:bookmarkEnd w:id="126"/>
          </w:p>
        </w:tc>
      </w:tr>
      <w:tr>
        <w:trPr/>
        <w:tc>
          <w:tcPr>
            <w:tcW w:w="7079"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41,847</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29,906</w:t>
            </w:r>
          </w:p>
        </w:tc>
        <w:tc>
          <w:tcPr>
            <w:tcW w:w="113" w:type="dxa"/>
            <w:tcBorders/>
            <w:shd w:fill="CCEEFF" w:val="clear"/>
            <w:vAlign w:val="center"/>
          </w:tcPr>
          <w:p>
            <w:pPr>
              <w:pStyle w:val="TableContents"/>
              <w:bidi w:val="0"/>
              <w:spacing w:before="0" w:after="283"/>
              <w:jc w:val="left"/>
              <w:rPr/>
            </w:pPr>
            <w:r>
              <w:rPr/>
              <w:t> </w:t>
            </w:r>
            <w:bookmarkStart w:id="127" w:name="xdx_404_eus-gaap--InterestIncomeOther_i0"/>
            <w:bookmarkEnd w:id="127"/>
          </w:p>
        </w:tc>
      </w:tr>
      <w:tr>
        <w:trPr/>
        <w:tc>
          <w:tcPr>
            <w:tcW w:w="7079" w:type="dxa"/>
            <w:tcBorders/>
            <w:shd w:fill="FFFFFF" w:val="clear"/>
            <w:vAlign w:val="center"/>
          </w:tcPr>
          <w:p>
            <w:pPr>
              <w:pStyle w:val="TableContents"/>
              <w:bidi w:val="0"/>
              <w:spacing w:before="0" w:after="283"/>
              <w:jc w:val="left"/>
              <w:rPr/>
            </w:pPr>
            <w:r>
              <w:rPr/>
              <w:t>Interest income – related parties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493</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493</w:t>
            </w:r>
          </w:p>
        </w:tc>
        <w:tc>
          <w:tcPr>
            <w:tcW w:w="113" w:type="dxa"/>
            <w:tcBorders/>
            <w:shd w:fill="FFFFFF" w:val="clear"/>
            <w:vAlign w:val="center"/>
          </w:tcPr>
          <w:p>
            <w:pPr>
              <w:pStyle w:val="TableContents"/>
              <w:bidi w:val="0"/>
              <w:spacing w:before="0" w:after="283"/>
              <w:jc w:val="left"/>
              <w:rPr/>
            </w:pPr>
            <w:r>
              <w:rPr/>
              <w:t> </w:t>
            </w:r>
            <w:bookmarkStart w:id="128" w:name="xdx_402_eus-gaap--InterestIncomeOther_i0"/>
            <w:bookmarkEnd w:id="128"/>
          </w:p>
        </w:tc>
      </w:tr>
      <w:tr>
        <w:trPr/>
        <w:tc>
          <w:tcPr>
            <w:tcW w:w="7079"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493</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493</w:t>
            </w:r>
          </w:p>
        </w:tc>
        <w:tc>
          <w:tcPr>
            <w:tcW w:w="113" w:type="dxa"/>
            <w:tcBorders/>
            <w:shd w:fill="FFFFFF" w:val="clear"/>
            <w:vAlign w:val="center"/>
          </w:tcPr>
          <w:p>
            <w:pPr>
              <w:pStyle w:val="TableContents"/>
              <w:bidi w:val="0"/>
              <w:spacing w:before="0" w:after="283"/>
              <w:jc w:val="left"/>
              <w:rPr/>
            </w:pPr>
            <w:r>
              <w:rPr/>
              <w:t> </w:t>
            </w:r>
            <w:bookmarkStart w:id="129" w:name="xdx_40C_eus-gaap--InterestExpenseNonoper"/>
            <w:bookmarkEnd w:id="129"/>
          </w:p>
        </w:tc>
      </w:tr>
      <w:tr>
        <w:trPr/>
        <w:tc>
          <w:tcPr>
            <w:tcW w:w="7079"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(206,046</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(80,828</w:t>
            </w:r>
          </w:p>
        </w:tc>
        <w:tc>
          <w:tcPr>
            <w:tcW w:w="113" w:type="dxa"/>
            <w:tcBorders/>
            <w:shd w:fill="CCEEFF" w:val="clear"/>
            <w:vAlign w:val="center"/>
          </w:tcPr>
          <w:p>
            <w:pPr>
              <w:pStyle w:val="TableContents"/>
              <w:bidi w:val="0"/>
              <w:spacing w:before="0" w:after="283"/>
              <w:jc w:val="left"/>
              <w:rPr/>
            </w:pPr>
            <w:r>
              <w:rPr/>
              <w:t>)</w:t>
            </w:r>
            <w:bookmarkStart w:id="130" w:name="xdx_40C_eus-gaap--OtherNonoperatingIncom"/>
            <w:bookmarkEnd w:id="130"/>
          </w:p>
        </w:tc>
      </w:tr>
      <w:tr>
        <w:trPr/>
        <w:tc>
          <w:tcPr>
            <w:tcW w:w="7079"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355,051</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769,762</w:t>
            </w:r>
          </w:p>
        </w:tc>
        <w:tc>
          <w:tcPr>
            <w:tcW w:w="113" w:type="dxa"/>
            <w:tcBorders/>
            <w:shd w:fill="FFFFFF" w:val="clear"/>
            <w:vAlign w:val="center"/>
          </w:tcPr>
          <w:p>
            <w:pPr>
              <w:pStyle w:val="TableContents"/>
              <w:bidi w:val="0"/>
              <w:spacing w:before="0" w:after="283"/>
              <w:jc w:val="left"/>
              <w:rPr/>
            </w:pPr>
            <w:r>
              <w:rPr/>
              <w:t> </w:t>
            </w:r>
            <w:bookmarkStart w:id="131" w:name="xdx_40C_eus-gaap--ForeignCurrencyTransac"/>
            <w:bookmarkEnd w:id="131"/>
          </w:p>
        </w:tc>
      </w:tr>
      <w:tr>
        <w:trPr/>
        <w:tc>
          <w:tcPr>
            <w:tcW w:w="7079" w:type="dxa"/>
            <w:tcBorders/>
            <w:shd w:fill="CCEEFF" w:val="clear"/>
            <w:vAlign w:val="center"/>
          </w:tcPr>
          <w:p>
            <w:pPr>
              <w:pStyle w:val="TableContents"/>
              <w:bidi w:val="0"/>
              <w:spacing w:before="0" w:after="283"/>
              <w:jc w:val="left"/>
              <w:rPr/>
            </w:pPr>
            <w:r>
              <w:rPr/>
              <w:t>Foreign currency transaction gain (loss)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pPr>
            <w:r>
              <w:rPr/>
              <w:t>9,692</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pPr>
            <w:r>
              <w:rPr/>
              <w:t>(36,288</w:t>
            </w:r>
          </w:p>
        </w:tc>
        <w:tc>
          <w:tcPr>
            <w:tcW w:w="113" w:type="dxa"/>
            <w:tcBorders/>
            <w:shd w:fill="CCEEFF" w:val="clear"/>
            <w:vAlign w:val="center"/>
          </w:tcPr>
          <w:p>
            <w:pPr>
              <w:pStyle w:val="TableContents"/>
              <w:bidi w:val="0"/>
              <w:spacing w:before="0" w:after="283"/>
              <w:jc w:val="left"/>
              <w:rPr/>
            </w:pPr>
            <w:r>
              <w:rPr/>
              <w:t>)</w:t>
            </w:r>
            <w:bookmarkStart w:id="132" w:name="xdx_408_eus-gaap--NonoperatingIncomeExpe"/>
            <w:bookmarkEnd w:id="132"/>
          </w:p>
        </w:tc>
      </w:tr>
      <w:tr>
        <w:trPr/>
        <w:tc>
          <w:tcPr>
            <w:tcW w:w="7079"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201,037</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683,045</w:t>
            </w:r>
          </w:p>
        </w:tc>
        <w:tc>
          <w:tcPr>
            <w:tcW w:w="113" w:type="dxa"/>
            <w:tcBorders/>
            <w:shd w:fill="FFFFFF" w:val="clear"/>
            <w:vAlign w:val="center"/>
          </w:tcPr>
          <w:p>
            <w:pPr>
              <w:pStyle w:val="TableContents"/>
              <w:bidi w:val="0"/>
              <w:spacing w:before="0" w:after="283"/>
              <w:jc w:val="left"/>
              <w:rPr/>
            </w:pPr>
            <w:r>
              <w:rPr/>
              <w:t> </w:t>
            </w:r>
          </w:p>
        </w:tc>
      </w:tr>
      <w:tr>
        <w:trPr/>
        <w:tc>
          <w:tcPr>
            <w:tcW w:w="70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33" w:name="xdx_406_eus-gaap--IncomeLossFromContinui"/>
            <w:bookmarkEnd w:id="133"/>
          </w:p>
        </w:tc>
      </w:tr>
      <w:tr>
        <w:trPr/>
        <w:tc>
          <w:tcPr>
            <w:tcW w:w="7079" w:type="dxa"/>
            <w:tcBorders/>
            <w:shd w:fill="FFFFFF" w:val="clear"/>
            <w:vAlign w:val="center"/>
          </w:tcPr>
          <w:p>
            <w:pPr>
              <w:pStyle w:val="TableContents"/>
              <w:bidi w:val="0"/>
              <w:spacing w:before="0" w:after="283"/>
              <w:jc w:val="left"/>
              <w:rPr/>
            </w:pPr>
            <w:r>
              <w:rPr/>
              <w:t>Income (loss) before 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2,241,380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(3,417,793</w:t>
            </w:r>
          </w:p>
        </w:tc>
        <w:tc>
          <w:tcPr>
            <w:tcW w:w="113" w:type="dxa"/>
            <w:tcBorders/>
            <w:shd w:fill="FFFFFF" w:val="clear"/>
            <w:vAlign w:val="center"/>
          </w:tcPr>
          <w:p>
            <w:pPr>
              <w:pStyle w:val="TableContents"/>
              <w:bidi w:val="0"/>
              <w:spacing w:before="0" w:after="283"/>
              <w:jc w:val="left"/>
              <w:rPr/>
            </w:pPr>
            <w:r>
              <w:rPr/>
              <w:t>)</w:t>
            </w:r>
          </w:p>
        </w:tc>
      </w:tr>
      <w:tr>
        <w:trPr/>
        <w:tc>
          <w:tcPr>
            <w:tcW w:w="70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34" w:name="xdx_40C_eus-gaap--IncomeTaxExpenseBenefi"/>
            <w:bookmarkEnd w:id="134"/>
          </w:p>
        </w:tc>
      </w:tr>
      <w:tr>
        <w:trPr/>
        <w:tc>
          <w:tcPr>
            <w:tcW w:w="7079" w:type="dxa"/>
            <w:tcBorders/>
            <w:shd w:fill="FFFFFF" w:val="clear"/>
            <w:vAlign w:val="center"/>
          </w:tcPr>
          <w:p>
            <w:pPr>
              <w:pStyle w:val="TableContents"/>
              <w:bidi w:val="0"/>
              <w:spacing w:before="0" w:after="283"/>
              <w:jc w:val="left"/>
              <w:rPr/>
            </w:pPr>
            <w:r>
              <w:rPr/>
              <w:t>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106,824</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(1,470,830</w:t>
            </w:r>
          </w:p>
        </w:tc>
        <w:tc>
          <w:tcPr>
            <w:tcW w:w="113" w:type="dxa"/>
            <w:tcBorders/>
            <w:shd w:fill="FFFFFF" w:val="clear"/>
            <w:vAlign w:val="center"/>
          </w:tcPr>
          <w:p>
            <w:pPr>
              <w:pStyle w:val="TableContents"/>
              <w:bidi w:val="0"/>
              <w:spacing w:before="0" w:after="283"/>
              <w:jc w:val="left"/>
              <w:rPr/>
            </w:pPr>
            <w:r>
              <w:rPr/>
              <w:t>)</w:t>
            </w:r>
          </w:p>
        </w:tc>
      </w:tr>
      <w:tr>
        <w:trPr/>
        <w:tc>
          <w:tcPr>
            <w:tcW w:w="70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35" w:name="xdx_401_eus-gaap--ProfitLoss_iT_mtPLzztP"/>
            <w:bookmarkEnd w:id="135"/>
          </w:p>
        </w:tc>
      </w:tr>
      <w:tr>
        <w:trPr/>
        <w:tc>
          <w:tcPr>
            <w:tcW w:w="7079"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2,134,556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(1,946,963</w:t>
            </w:r>
          </w:p>
        </w:tc>
        <w:tc>
          <w:tcPr>
            <w:tcW w:w="113" w:type="dxa"/>
            <w:tcBorders/>
            <w:shd w:fill="FFFFFF" w:val="clear"/>
            <w:vAlign w:val="center"/>
          </w:tcPr>
          <w:p>
            <w:pPr>
              <w:pStyle w:val="TableContents"/>
              <w:bidi w:val="0"/>
              <w:spacing w:before="0" w:after="283"/>
              <w:jc w:val="left"/>
              <w:rPr/>
            </w:pPr>
            <w:r>
              <w:rPr/>
              <w:t>)</w:t>
            </w:r>
          </w:p>
        </w:tc>
      </w:tr>
      <w:tr>
        <w:trPr/>
        <w:tc>
          <w:tcPr>
            <w:tcW w:w="70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36" w:name="xdx_408_eus-gaap--NetIncomeLossAttributa"/>
            <w:bookmarkEnd w:id="136"/>
          </w:p>
        </w:tc>
      </w:tr>
      <w:tr>
        <w:trPr/>
        <w:tc>
          <w:tcPr>
            <w:tcW w:w="7079" w:type="dxa"/>
            <w:tcBorders/>
            <w:shd w:fill="FFFFFF" w:val="clear"/>
            <w:vAlign w:val="center"/>
          </w:tcPr>
          <w:p>
            <w:pPr>
              <w:pStyle w:val="TableContents"/>
              <w:bidi w:val="0"/>
              <w:spacing w:before="0" w:after="283"/>
              <w:jc w:val="left"/>
              <w:rPr/>
            </w:pPr>
            <w:r>
              <w:rPr/>
              <w:t>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(150</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(956</w:t>
            </w:r>
          </w:p>
        </w:tc>
        <w:tc>
          <w:tcPr>
            <w:tcW w:w="113" w:type="dxa"/>
            <w:tcBorders/>
            <w:shd w:fill="FFFFFF" w:val="clear"/>
            <w:vAlign w:val="center"/>
          </w:tcPr>
          <w:p>
            <w:pPr>
              <w:pStyle w:val="TableContents"/>
              <w:bidi w:val="0"/>
              <w:spacing w:before="0" w:after="283"/>
              <w:jc w:val="left"/>
              <w:rPr/>
            </w:pPr>
            <w:r>
              <w:rPr/>
              <w:t>)</w:t>
            </w:r>
          </w:p>
        </w:tc>
      </w:tr>
      <w:tr>
        <w:trPr/>
        <w:tc>
          <w:tcPr>
            <w:tcW w:w="70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37" w:name="xdx_40F_eus-gaap--NetIncomeLoss_iT_mtNIL"/>
            <w:bookmarkEnd w:id="137"/>
          </w:p>
        </w:tc>
      </w:tr>
      <w:tr>
        <w:trPr/>
        <w:tc>
          <w:tcPr>
            <w:tcW w:w="7079" w:type="dxa"/>
            <w:tcBorders/>
            <w:shd w:fill="FFFFFF" w:val="clear"/>
            <w:vAlign w:val="center"/>
          </w:tcPr>
          <w:p>
            <w:pPr>
              <w:pStyle w:val="TableContents"/>
              <w:bidi w:val="0"/>
              <w:spacing w:before="0" w:after="283"/>
              <w:jc w:val="left"/>
              <w:rPr/>
            </w:pPr>
            <w:r>
              <w:rPr/>
              <w:t>Net income (loss) attributable to Snail, Inc.</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pPr>
            <w:r>
              <w:rPr/>
              <w:t>2,134,706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pPr>
            <w:r>
              <w:rPr/>
              <w:t>(1,946,007</w:t>
            </w:r>
          </w:p>
        </w:tc>
        <w:tc>
          <w:tcPr>
            <w:tcW w:w="113" w:type="dxa"/>
            <w:tcBorders/>
            <w:shd w:fill="FFFFFF" w:val="clear"/>
            <w:vAlign w:val="center"/>
          </w:tcPr>
          <w:p>
            <w:pPr>
              <w:pStyle w:val="TableContents"/>
              <w:bidi w:val="0"/>
              <w:spacing w:before="0" w:after="283"/>
              <w:jc w:val="left"/>
              <w:rPr/>
            </w:pPr>
            <w:r>
              <w:rPr/>
              <w:t>)</w:t>
            </w:r>
          </w:p>
        </w:tc>
      </w:tr>
      <w:tr>
        <w:trPr/>
        <w:tc>
          <w:tcPr>
            <w:tcW w:w="70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38" w:name="xdx_403_eus-gaap--ComprehensiveIncomeNet"/>
            <w:bookmarkEnd w:id="138"/>
          </w:p>
        </w:tc>
      </w:tr>
      <w:tr>
        <w:trPr/>
        <w:tc>
          <w:tcPr>
            <w:tcW w:w="7079" w:type="dxa"/>
            <w:tcBorders/>
            <w:shd w:fill="FFFFFF" w:val="clear"/>
            <w:vAlign w:val="center"/>
          </w:tcPr>
          <w:p>
            <w:pPr>
              <w:pStyle w:val="TableContents"/>
              <w:bidi w:val="0"/>
              <w:spacing w:before="0" w:after="283"/>
              <w:jc w:val="left"/>
              <w:rPr>
                <w:b/>
              </w:rPr>
            </w:pPr>
            <w:r>
              <w:rPr>
                <w:b/>
              </w:rPr>
              <w:t>Comprehensive income (loss) statement: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39" w:name="xdx_40B_eus-gaap--ProfitLoss_i01_maCINOT"/>
            <w:bookmarkEnd w:id="139"/>
          </w:p>
        </w:tc>
      </w:tr>
      <w:tr>
        <w:trPr/>
        <w:tc>
          <w:tcPr>
            <w:tcW w:w="7079"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1234" w:type="dxa"/>
            <w:tcBorders/>
            <w:shd w:fill="FFFFFF" w:val="clear"/>
            <w:vAlign w:val="center"/>
          </w:tcPr>
          <w:p>
            <w:pPr>
              <w:pStyle w:val="TableContents"/>
              <w:bidi w:val="0"/>
              <w:spacing w:before="0" w:after="283"/>
              <w:jc w:val="right"/>
              <w:rPr/>
            </w:pPr>
            <w:r>
              <w:rPr/>
              <w:t>2,134,556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1234" w:type="dxa"/>
            <w:tcBorders/>
            <w:shd w:fill="FFFFFF" w:val="clear"/>
            <w:vAlign w:val="center"/>
          </w:tcPr>
          <w:p>
            <w:pPr>
              <w:pStyle w:val="TableContents"/>
              <w:bidi w:val="0"/>
              <w:spacing w:before="0" w:after="283"/>
              <w:jc w:val="right"/>
              <w:rPr/>
            </w:pPr>
            <w:r>
              <w:rPr/>
              <w:t>(1,946,963</w:t>
            </w:r>
          </w:p>
        </w:tc>
        <w:tc>
          <w:tcPr>
            <w:tcW w:w="113" w:type="dxa"/>
            <w:tcBorders/>
            <w:shd w:fill="FFFFFF" w:val="clear"/>
            <w:vAlign w:val="center"/>
          </w:tcPr>
          <w:p>
            <w:pPr>
              <w:pStyle w:val="TableContents"/>
              <w:bidi w:val="0"/>
              <w:spacing w:before="0" w:after="283"/>
              <w:jc w:val="left"/>
              <w:rPr/>
            </w:pPr>
            <w:r>
              <w:rPr/>
              <w:t>)</w:t>
            </w:r>
          </w:p>
        </w:tc>
      </w:tr>
      <w:tr>
        <w:trPr/>
        <w:tc>
          <w:tcPr>
            <w:tcW w:w="70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40" w:name="xdx_40D_eus-gaap--OtherComprehensiveInco"/>
            <w:bookmarkEnd w:id="140"/>
          </w:p>
        </w:tc>
      </w:tr>
      <w:tr>
        <w:trPr/>
        <w:tc>
          <w:tcPr>
            <w:tcW w:w="7079" w:type="dxa"/>
            <w:tcBorders/>
            <w:shd w:fill="FFFFFF" w:val="clear"/>
            <w:vAlign w:val="center"/>
          </w:tcPr>
          <w:p>
            <w:pPr>
              <w:pStyle w:val="TableContents"/>
              <w:bidi w:val="0"/>
              <w:spacing w:before="0" w:after="283"/>
              <w:jc w:val="left"/>
              <w:rPr/>
            </w:pPr>
            <w:r>
              <w:rPr/>
              <w:t>Other comprehensive income (loss) related to foreign currency translation adjustments, net of tax</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(26,823</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33,232</w:t>
            </w:r>
          </w:p>
        </w:tc>
        <w:tc>
          <w:tcPr>
            <w:tcW w:w="113" w:type="dxa"/>
            <w:tcBorders/>
            <w:shd w:fill="FFFFFF" w:val="clear"/>
            <w:vAlign w:val="center"/>
          </w:tcPr>
          <w:p>
            <w:pPr>
              <w:pStyle w:val="TableContents"/>
              <w:bidi w:val="0"/>
              <w:spacing w:before="0" w:after="283"/>
              <w:jc w:val="left"/>
              <w:rPr/>
            </w:pPr>
            <w:r>
              <w:rPr/>
              <w:t> </w:t>
            </w:r>
            <w:bookmarkStart w:id="141" w:name="xdx_40C_ecustom--OtherComprehensiveIncom"/>
            <w:bookmarkEnd w:id="141"/>
          </w:p>
        </w:tc>
      </w:tr>
      <w:tr>
        <w:trPr/>
        <w:tc>
          <w:tcPr>
            <w:tcW w:w="7079" w:type="dxa"/>
            <w:tcBorders/>
            <w:shd w:fill="CCEEFF" w:val="clear"/>
            <w:vAlign w:val="center"/>
          </w:tcPr>
          <w:p>
            <w:pPr>
              <w:pStyle w:val="TableContents"/>
              <w:bidi w:val="0"/>
              <w:spacing w:before="0" w:after="283"/>
              <w:jc w:val="left"/>
              <w:rPr/>
            </w:pPr>
            <w:r>
              <w:rPr/>
              <w:t>Other comprehensive income related to credit adjustments, net of tax</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pPr>
            <w:r>
              <w:rPr/>
              <w:t>5,310</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pPr>
            <w:r>
              <w:rPr/>
              <w:t>22,023</w:t>
            </w:r>
          </w:p>
        </w:tc>
        <w:tc>
          <w:tcPr>
            <w:tcW w:w="113" w:type="dxa"/>
            <w:tcBorders/>
            <w:shd w:fill="CCEEFF" w:val="clear"/>
            <w:vAlign w:val="center"/>
          </w:tcPr>
          <w:p>
            <w:pPr>
              <w:pStyle w:val="TableContents"/>
              <w:bidi w:val="0"/>
              <w:spacing w:before="0" w:after="283"/>
              <w:jc w:val="left"/>
              <w:rPr/>
            </w:pPr>
            <w:r>
              <w:rPr/>
              <w:t> </w:t>
            </w:r>
          </w:p>
        </w:tc>
      </w:tr>
      <w:tr>
        <w:trPr/>
        <w:tc>
          <w:tcPr>
            <w:tcW w:w="70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2" w:name="xdx_409_eus-gaap--ComprehensiveIncomeNet"/>
            <w:bookmarkEnd w:id="142"/>
          </w:p>
        </w:tc>
      </w:tr>
      <w:tr>
        <w:trPr/>
        <w:tc>
          <w:tcPr>
            <w:tcW w:w="7079" w:type="dxa"/>
            <w:tcBorders/>
            <w:shd w:fill="CCEEFF" w:val="clear"/>
            <w:vAlign w:val="center"/>
          </w:tcPr>
          <w:p>
            <w:pPr>
              <w:pStyle w:val="TableContents"/>
              <w:bidi w:val="0"/>
              <w:spacing w:before="0" w:after="283"/>
              <w:jc w:val="left"/>
              <w:rPr/>
            </w:pPr>
            <w:r>
              <w:rPr/>
              <w:t>Total comprehensive income (loss)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pPr>
            <w:r>
              <w:rPr/>
              <w:t>2,113,043</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pPr>
            <w:r>
              <w:rPr/>
              <w:t>(1,891,708</w:t>
            </w:r>
          </w:p>
        </w:tc>
        <w:tc>
          <w:tcPr>
            <w:tcW w:w="113" w:type="dxa"/>
            <w:tcBorders/>
            <w:shd w:fill="CCEEFF" w:val="clear"/>
            <w:vAlign w:val="center"/>
          </w:tcPr>
          <w:p>
            <w:pPr>
              <w:pStyle w:val="TableContents"/>
              <w:bidi w:val="0"/>
              <w:spacing w:before="0" w:after="283"/>
              <w:jc w:val="left"/>
              <w:rPr/>
            </w:pPr>
            <w:r>
              <w:rPr/>
              <w:t>)</w:t>
            </w:r>
          </w:p>
        </w:tc>
      </w:tr>
      <w:tr>
        <w:trPr/>
        <w:tc>
          <w:tcPr>
            <w:tcW w:w="70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3" w:name="xdx_402_eus-gaap--NetIncomeLossAvailable"/>
            <w:bookmarkEnd w:id="143"/>
          </w:p>
        </w:tc>
      </w:tr>
      <w:tr>
        <w:trPr/>
        <w:tc>
          <w:tcPr>
            <w:tcW w:w="7079" w:type="dxa"/>
            <w:tcBorders/>
            <w:shd w:fill="CCEEFF" w:val="clear"/>
            <w:vAlign w:val="center"/>
          </w:tcPr>
          <w:p>
            <w:pPr>
              <w:pStyle w:val="TableContents"/>
              <w:bidi w:val="0"/>
              <w:spacing w:before="0" w:after="283"/>
              <w:jc w:val="left"/>
              <w:rPr>
                <w:b/>
              </w:rPr>
            </w:pPr>
            <w:r>
              <w:rPr>
                <w:b/>
              </w:rPr>
              <w:t>Net income (loss) attributable to Class A common stockholders: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44" w:name="xdx_40A_eus-gaap--NetIncomeLossAvailable"/>
            <w:bookmarkEnd w:id="144"/>
          </w:p>
        </w:tc>
      </w:tr>
      <w:tr>
        <w:trPr/>
        <w:tc>
          <w:tcPr>
            <w:tcW w:w="7079"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510,510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(441,731</w:t>
            </w:r>
          </w:p>
        </w:tc>
        <w:tc>
          <w:tcPr>
            <w:tcW w:w="113" w:type="dxa"/>
            <w:tcBorders/>
            <w:shd w:fill="FFFFFF" w:val="clear"/>
            <w:vAlign w:val="center"/>
          </w:tcPr>
          <w:p>
            <w:pPr>
              <w:pStyle w:val="TableContents"/>
              <w:bidi w:val="0"/>
              <w:spacing w:before="0" w:after="283"/>
              <w:jc w:val="left"/>
              <w:rPr>
                <w:b/>
              </w:rPr>
            </w:pPr>
            <w:r>
              <w:rPr>
                <w:b/>
              </w:rPr>
              <w:t>)</w:t>
            </w:r>
            <w:bookmarkStart w:id="145" w:name="xdx_408_eus-gaap--NetIncomeLossAvailable"/>
            <w:bookmarkEnd w:id="145"/>
          </w:p>
        </w:tc>
      </w:tr>
      <w:tr>
        <w:trPr/>
        <w:tc>
          <w:tcPr>
            <w:tcW w:w="7079"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510,843</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(521,393</w:t>
            </w:r>
          </w:p>
        </w:tc>
        <w:tc>
          <w:tcPr>
            <w:tcW w:w="113" w:type="dxa"/>
            <w:tcBorders/>
            <w:shd w:fill="CCEEFF" w:val="clear"/>
            <w:vAlign w:val="center"/>
          </w:tcPr>
          <w:p>
            <w:pPr>
              <w:pStyle w:val="TableContents"/>
              <w:bidi w:val="0"/>
              <w:spacing w:before="0" w:after="283"/>
              <w:jc w:val="left"/>
              <w:rPr>
                <w:b/>
              </w:rPr>
            </w:pPr>
            <w:r>
              <w:rPr>
                <w:b/>
              </w:rPr>
              <w:t>)</w:t>
            </w:r>
          </w:p>
        </w:tc>
      </w:tr>
      <w:tr>
        <w:trPr/>
        <w:tc>
          <w:tcPr>
            <w:tcW w:w="70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6" w:name="xdx_40C_eus-gaap--NetIncomeLossAvailable"/>
            <w:bookmarkEnd w:id="146"/>
          </w:p>
        </w:tc>
      </w:tr>
      <w:tr>
        <w:trPr/>
        <w:tc>
          <w:tcPr>
            <w:tcW w:w="7079" w:type="dxa"/>
            <w:tcBorders/>
            <w:shd w:fill="CCEEFF" w:val="clear"/>
            <w:vAlign w:val="center"/>
          </w:tcPr>
          <w:p>
            <w:pPr>
              <w:pStyle w:val="TableContents"/>
              <w:bidi w:val="0"/>
              <w:spacing w:before="0" w:after="283"/>
              <w:jc w:val="left"/>
              <w:rPr>
                <w:b/>
              </w:rPr>
            </w:pPr>
            <w:r>
              <w:rPr>
                <w:b/>
              </w:rPr>
              <w:t>Net income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47" w:name="xdx_404_eus-gaap--NetIncomeLossAvailable"/>
            <w:bookmarkEnd w:id="147"/>
          </w:p>
        </w:tc>
      </w:tr>
      <w:tr>
        <w:trPr/>
        <w:tc>
          <w:tcPr>
            <w:tcW w:w="7079" w:type="dxa"/>
            <w:tcBorders/>
            <w:shd w:fill="CCEEFF" w:val="clear"/>
            <w:vAlign w:val="center"/>
          </w:tcPr>
          <w:p>
            <w:pPr>
              <w:pStyle w:val="TableContents"/>
              <w:bidi w:val="0"/>
              <w:spacing w:before="0" w:after="283"/>
              <w:jc w:val="left"/>
              <w:rPr>
                <w:b/>
              </w:rPr>
            </w:pPr>
            <w:r>
              <w:rPr>
                <w:b/>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48" w:name="xdx_408_eus-gaap--NetIncomeLossAvailable"/>
            <w:bookmarkEnd w:id="148"/>
          </w:p>
        </w:tc>
      </w:tr>
      <w:tr>
        <w:trPr/>
        <w:tc>
          <w:tcPr>
            <w:tcW w:w="7079"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1,624,196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(1,504,276</w:t>
            </w:r>
          </w:p>
        </w:tc>
        <w:tc>
          <w:tcPr>
            <w:tcW w:w="113" w:type="dxa"/>
            <w:tcBorders/>
            <w:shd w:fill="FFFFFF" w:val="clear"/>
            <w:vAlign w:val="center"/>
          </w:tcPr>
          <w:p>
            <w:pPr>
              <w:pStyle w:val="TableContents"/>
              <w:bidi w:val="0"/>
              <w:spacing w:before="0" w:after="283"/>
              <w:jc w:val="left"/>
              <w:rPr>
                <w:b/>
              </w:rPr>
            </w:pPr>
            <w:r>
              <w:rPr>
                <w:b/>
              </w:rPr>
              <w:t>)</w:t>
            </w:r>
            <w:bookmarkStart w:id="149" w:name="xdx_404_eus-gaap--NetIncomeLossAvailable"/>
            <w:bookmarkEnd w:id="149"/>
          </w:p>
        </w:tc>
      </w:tr>
      <w:tr>
        <w:trPr/>
        <w:tc>
          <w:tcPr>
            <w:tcW w:w="7079"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1,624,196</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(1,775,558</w:t>
            </w:r>
          </w:p>
        </w:tc>
        <w:tc>
          <w:tcPr>
            <w:tcW w:w="113" w:type="dxa"/>
            <w:tcBorders/>
            <w:shd w:fill="CCEEFF" w:val="clear"/>
            <w:vAlign w:val="center"/>
          </w:tcPr>
          <w:p>
            <w:pPr>
              <w:pStyle w:val="TableContents"/>
              <w:bidi w:val="0"/>
              <w:spacing w:before="0" w:after="283"/>
              <w:jc w:val="left"/>
              <w:rPr>
                <w:b/>
              </w:rPr>
            </w:pPr>
            <w:r>
              <w:rPr>
                <w:b/>
              </w:rPr>
              <w:t>)</w:t>
            </w:r>
          </w:p>
        </w:tc>
      </w:tr>
      <w:tr>
        <w:trPr/>
        <w:tc>
          <w:tcPr>
            <w:tcW w:w="70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50" w:name="xdx_40F_eus-gaap--EarningsPerShareReconc"/>
            <w:bookmarkEnd w:id="150"/>
          </w:p>
        </w:tc>
      </w:tr>
      <w:tr>
        <w:trPr/>
        <w:tc>
          <w:tcPr>
            <w:tcW w:w="7079" w:type="dxa"/>
            <w:tcBorders/>
            <w:shd w:fill="CCEEFF" w:val="clear"/>
            <w:vAlign w:val="center"/>
          </w:tcPr>
          <w:p>
            <w:pPr>
              <w:pStyle w:val="TableContents"/>
              <w:bidi w:val="0"/>
              <w:spacing w:before="0" w:after="283"/>
              <w:jc w:val="left"/>
              <w:rPr>
                <w:b/>
              </w:rPr>
            </w:pPr>
            <w:r>
              <w:rPr>
                <w:b/>
              </w:rPr>
              <w:t>Income (loss) per share attributable to Class A common stockholders: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51" w:name="xdx_40B_eus-gaap--EarningsPerShareBasic_"/>
            <w:bookmarkEnd w:id="151"/>
          </w:p>
        </w:tc>
      </w:tr>
      <w:tr>
        <w:trPr/>
        <w:tc>
          <w:tcPr>
            <w:tcW w:w="7079"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(0.05</w:t>
            </w:r>
          </w:p>
        </w:tc>
        <w:tc>
          <w:tcPr>
            <w:tcW w:w="113" w:type="dxa"/>
            <w:tcBorders/>
            <w:shd w:fill="FFFFFF" w:val="clear"/>
            <w:vAlign w:val="center"/>
          </w:tcPr>
          <w:p>
            <w:pPr>
              <w:pStyle w:val="TableContents"/>
              <w:bidi w:val="0"/>
              <w:spacing w:before="0" w:after="283"/>
              <w:jc w:val="left"/>
              <w:rPr>
                <w:b/>
              </w:rPr>
            </w:pPr>
            <w:r>
              <w:rPr>
                <w:b/>
              </w:rPr>
              <w:t>)</w:t>
            </w:r>
            <w:bookmarkStart w:id="152" w:name="xdx_405_eus-gaap--EarningsPerShareDilute"/>
            <w:bookmarkEnd w:id="152"/>
          </w:p>
        </w:tc>
      </w:tr>
      <w:tr>
        <w:trPr/>
        <w:tc>
          <w:tcPr>
            <w:tcW w:w="7079"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0.05</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(0.06</w:t>
            </w:r>
          </w:p>
        </w:tc>
        <w:tc>
          <w:tcPr>
            <w:tcW w:w="113" w:type="dxa"/>
            <w:tcBorders/>
            <w:shd w:fill="CCEEFF" w:val="clear"/>
            <w:vAlign w:val="center"/>
          </w:tcPr>
          <w:p>
            <w:pPr>
              <w:pStyle w:val="TableContents"/>
              <w:bidi w:val="0"/>
              <w:spacing w:before="0" w:after="283"/>
              <w:jc w:val="left"/>
              <w:rPr>
                <w:b/>
              </w:rPr>
            </w:pPr>
            <w:r>
              <w:rPr>
                <w:b/>
              </w:rPr>
              <w:t>)</w:t>
            </w:r>
          </w:p>
        </w:tc>
      </w:tr>
      <w:tr>
        <w:trPr/>
        <w:tc>
          <w:tcPr>
            <w:tcW w:w="70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53" w:name="xdx_402_eus-gaap--EarningsPerShareReconc"/>
            <w:bookmarkEnd w:id="153"/>
          </w:p>
        </w:tc>
      </w:tr>
      <w:tr>
        <w:trPr/>
        <w:tc>
          <w:tcPr>
            <w:tcW w:w="7079" w:type="dxa"/>
            <w:tcBorders/>
            <w:shd w:fill="CCEEFF" w:val="clear"/>
            <w:vAlign w:val="center"/>
          </w:tcPr>
          <w:p>
            <w:pPr>
              <w:pStyle w:val="TableContents"/>
              <w:bidi w:val="0"/>
              <w:spacing w:before="0" w:after="283"/>
              <w:jc w:val="left"/>
              <w:rPr>
                <w:b/>
              </w:rPr>
            </w:pPr>
            <w:r>
              <w:rPr>
                <w:b/>
              </w:rPr>
              <w:t>Income (loss) per share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54" w:name="xdx_40F_eus-gaap--EarningsPerShareReconc"/>
            <w:bookmarkEnd w:id="154"/>
          </w:p>
        </w:tc>
      </w:tr>
      <w:tr>
        <w:trPr/>
        <w:tc>
          <w:tcPr>
            <w:tcW w:w="7079" w:type="dxa"/>
            <w:tcBorders/>
            <w:shd w:fill="FFFFFF" w:val="clear"/>
            <w:vAlign w:val="center"/>
          </w:tcPr>
          <w:p>
            <w:pPr>
              <w:pStyle w:val="TableContents"/>
              <w:bidi w:val="0"/>
              <w:spacing w:before="0" w:after="283"/>
              <w:jc w:val="left"/>
              <w:rPr/>
            </w:pPr>
            <w:r>
              <w:rPr/>
              <w:t>Income (loss) per share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55" w:name="xdx_408_eus-gaap--EarningsPerShareBasic_"/>
            <w:bookmarkEnd w:id="155"/>
          </w:p>
        </w:tc>
      </w:tr>
      <w:tr>
        <w:trPr/>
        <w:tc>
          <w:tcPr>
            <w:tcW w:w="7079"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(0.05</w:t>
            </w:r>
          </w:p>
        </w:tc>
        <w:tc>
          <w:tcPr>
            <w:tcW w:w="113" w:type="dxa"/>
            <w:tcBorders/>
            <w:shd w:fill="FFFFFF" w:val="clear"/>
            <w:vAlign w:val="center"/>
          </w:tcPr>
          <w:p>
            <w:pPr>
              <w:pStyle w:val="TableContents"/>
              <w:bidi w:val="0"/>
              <w:spacing w:before="0" w:after="283"/>
              <w:jc w:val="left"/>
              <w:rPr>
                <w:b/>
              </w:rPr>
            </w:pPr>
            <w:r>
              <w:rPr>
                <w:b/>
              </w:rPr>
              <w:t>)</w:t>
            </w:r>
            <w:bookmarkStart w:id="156" w:name="xdx_407_eus-gaap--EarningsPerShareDilute"/>
            <w:bookmarkEnd w:id="156"/>
          </w:p>
        </w:tc>
      </w:tr>
      <w:tr>
        <w:trPr/>
        <w:tc>
          <w:tcPr>
            <w:tcW w:w="7079"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0.06</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(0.06</w:t>
            </w:r>
          </w:p>
        </w:tc>
        <w:tc>
          <w:tcPr>
            <w:tcW w:w="113" w:type="dxa"/>
            <w:tcBorders/>
            <w:shd w:fill="CCEEFF" w:val="clear"/>
            <w:vAlign w:val="center"/>
          </w:tcPr>
          <w:p>
            <w:pPr>
              <w:pStyle w:val="TableContents"/>
              <w:bidi w:val="0"/>
              <w:spacing w:before="0" w:after="283"/>
              <w:jc w:val="left"/>
              <w:rPr>
                <w:b/>
              </w:rPr>
            </w:pPr>
            <w:r>
              <w:rPr>
                <w:b/>
              </w:rPr>
              <w:t>)</w:t>
            </w:r>
          </w:p>
        </w:tc>
      </w:tr>
      <w:tr>
        <w:trPr/>
        <w:tc>
          <w:tcPr>
            <w:tcW w:w="70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57" w:name="xdx_40A_eus-gaap--WeightedAverageNumberO"/>
            <w:bookmarkEnd w:id="157"/>
          </w:p>
        </w:tc>
      </w:tr>
      <w:tr>
        <w:trPr/>
        <w:tc>
          <w:tcPr>
            <w:tcW w:w="7079" w:type="dxa"/>
            <w:tcBorders/>
            <w:shd w:fill="CCEEFF" w:val="clear"/>
            <w:vAlign w:val="center"/>
          </w:tcPr>
          <w:p>
            <w:pPr>
              <w:pStyle w:val="TableContents"/>
              <w:bidi w:val="0"/>
              <w:spacing w:before="0" w:after="283"/>
              <w:jc w:val="left"/>
              <w:rPr>
                <w:b/>
              </w:rPr>
            </w:pPr>
            <w:r>
              <w:rPr>
                <w:b/>
              </w:rPr>
              <w:t>Weighted-average shares used to compute income or loss per share attributable to Class A common stockholders: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58" w:name="xdx_400_eus-gaap--WeightedAverageNumberO"/>
            <w:bookmarkEnd w:id="158"/>
          </w:p>
        </w:tc>
      </w:tr>
      <w:tr>
        <w:trPr/>
        <w:tc>
          <w:tcPr>
            <w:tcW w:w="7079"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9,036,135</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8,442,025</w:t>
            </w:r>
          </w:p>
        </w:tc>
        <w:tc>
          <w:tcPr>
            <w:tcW w:w="113" w:type="dxa"/>
            <w:tcBorders/>
            <w:shd w:fill="FFFFFF" w:val="clear"/>
            <w:vAlign w:val="center"/>
          </w:tcPr>
          <w:p>
            <w:pPr>
              <w:pStyle w:val="TableContents"/>
              <w:bidi w:val="0"/>
              <w:spacing w:before="0" w:after="283"/>
              <w:jc w:val="left"/>
              <w:rPr/>
            </w:pPr>
            <w:r>
              <w:rPr/>
              <w:t> </w:t>
            </w:r>
            <w:bookmarkStart w:id="159" w:name="xdx_405_eus-gaap--WeightedAverageNumberO"/>
            <w:bookmarkEnd w:id="159"/>
          </w:p>
        </w:tc>
      </w:tr>
      <w:tr>
        <w:trPr/>
        <w:tc>
          <w:tcPr>
            <w:tcW w:w="7079"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9,529,396</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9,241,822</w:t>
            </w:r>
          </w:p>
        </w:tc>
        <w:tc>
          <w:tcPr>
            <w:tcW w:w="113" w:type="dxa"/>
            <w:tcBorders/>
            <w:shd w:fill="CCEEFF" w:val="clear"/>
            <w:vAlign w:val="center"/>
          </w:tcPr>
          <w:p>
            <w:pPr>
              <w:pStyle w:val="TableContents"/>
              <w:bidi w:val="0"/>
              <w:spacing w:before="0" w:after="283"/>
              <w:jc w:val="left"/>
              <w:rPr/>
            </w:pPr>
            <w:r>
              <w:rPr/>
              <w:t> </w:t>
            </w:r>
          </w:p>
        </w:tc>
      </w:tr>
      <w:tr>
        <w:trPr/>
        <w:tc>
          <w:tcPr>
            <w:tcW w:w="70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60" w:name="xdx_40C_eus-gaap--WeightedAverageNumberO"/>
            <w:bookmarkEnd w:id="160"/>
          </w:p>
        </w:tc>
      </w:tr>
      <w:tr>
        <w:trPr/>
        <w:tc>
          <w:tcPr>
            <w:tcW w:w="7079" w:type="dxa"/>
            <w:tcBorders/>
            <w:shd w:fill="CCEEFF" w:val="clear"/>
            <w:vAlign w:val="center"/>
          </w:tcPr>
          <w:p>
            <w:pPr>
              <w:pStyle w:val="TableContents"/>
              <w:bidi w:val="0"/>
              <w:spacing w:before="0" w:after="283"/>
              <w:jc w:val="left"/>
              <w:rPr>
                <w:b/>
              </w:rPr>
            </w:pPr>
            <w:r>
              <w:rPr>
                <w:b/>
              </w:rPr>
              <w:t>Weighted-average shares used to compute income or loss per share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61" w:name="xdx_40B_eus-gaap--WeightedAverageNumberO"/>
            <w:bookmarkEnd w:id="161"/>
          </w:p>
        </w:tc>
      </w:tr>
      <w:tr>
        <w:trPr/>
        <w:tc>
          <w:tcPr>
            <w:tcW w:w="7079" w:type="dxa"/>
            <w:tcBorders/>
            <w:shd w:fill="FFFFFF" w:val="clear"/>
            <w:vAlign w:val="center"/>
          </w:tcPr>
          <w:p>
            <w:pPr>
              <w:pStyle w:val="TableContents"/>
              <w:bidi w:val="0"/>
              <w:spacing w:before="0" w:after="283"/>
              <w:jc w:val="left"/>
              <w:rPr>
                <w:b/>
              </w:rPr>
            </w:pPr>
            <w:r>
              <w:rPr>
                <w:b/>
              </w:rPr>
              <w:t>Weighted-average shares used to compute loss per share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62" w:name="xdx_407_eus-gaap--WeightedAverageNumberO"/>
            <w:bookmarkEnd w:id="162"/>
          </w:p>
        </w:tc>
      </w:tr>
      <w:tr>
        <w:trPr/>
        <w:tc>
          <w:tcPr>
            <w:tcW w:w="7079"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113" w:type="dxa"/>
            <w:tcBorders/>
            <w:shd w:fill="CCEEFF" w:val="clear"/>
            <w:vAlign w:val="center"/>
          </w:tcPr>
          <w:p>
            <w:pPr>
              <w:pStyle w:val="TableContents"/>
              <w:bidi w:val="0"/>
              <w:spacing w:before="0" w:after="283"/>
              <w:jc w:val="left"/>
              <w:rPr/>
            </w:pPr>
            <w:r>
              <w:rPr/>
              <w:t> </w:t>
            </w:r>
            <w:bookmarkStart w:id="163" w:name="xdx_405_eus-gaap--WeightedAverageNumberO"/>
            <w:bookmarkEnd w:id="163"/>
          </w:p>
        </w:tc>
      </w:tr>
      <w:tr>
        <w:trPr/>
        <w:tc>
          <w:tcPr>
            <w:tcW w:w="7079"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28,748,580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28,748,580</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4" w:name="vr_006"/>
      <w:bookmarkEnd w:id="164"/>
      <w:r>
        <w:rPr>
          <w:rFonts w:ascii="Times New Roman;Times;Serif" w:hAnsi="Times New Roman;Times;Serif"/>
          <w:b/>
          <w:i w:val="false"/>
          <w:caps w:val="false"/>
          <w:smallCaps w:val="false"/>
          <w:sz w:val="20"/>
        </w:rPr>
        <w:t>Condensed Consolidated Statements of Equity (Deficit) for the Three Months Ended March 31, 2026 and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5" w:name="xdx_306_114_za8eGrTjj3Mk"/>
      <w:bookmarkStart w:id="166" w:name="xdx_306_114_za8eGrTjj3Mk"/>
      <w:bookmarkEnd w:id="166"/>
    </w:p>
    <w:tbl>
      <w:tblPr>
        <w:tblW w:w="13350" w:type="dxa"/>
        <w:jc w:val="left"/>
        <w:tblInd w:w="0" w:type="dxa"/>
        <w:tblLayout w:type="fixed"/>
        <w:tblCellMar>
          <w:top w:w="0" w:type="dxa"/>
          <w:left w:w="0" w:type="dxa"/>
          <w:bottom w:w="0" w:type="dxa"/>
          <w:right w:w="0" w:type="dxa"/>
        </w:tblCellMar>
      </w:tblPr>
      <w:tblGrid>
        <w:gridCol w:w="995"/>
        <w:gridCol w:w="60"/>
        <w:gridCol w:w="60"/>
        <w:gridCol w:w="830"/>
        <w:gridCol w:w="60"/>
        <w:gridCol w:w="60"/>
        <w:gridCol w:w="124"/>
        <w:gridCol w:w="481"/>
        <w:gridCol w:w="60"/>
        <w:gridCol w:w="60"/>
        <w:gridCol w:w="60"/>
        <w:gridCol w:w="830"/>
        <w:gridCol w:w="60"/>
        <w:gridCol w:w="60"/>
        <w:gridCol w:w="124"/>
        <w:gridCol w:w="481"/>
        <w:gridCol w:w="60"/>
        <w:gridCol w:w="60"/>
        <w:gridCol w:w="110"/>
        <w:gridCol w:w="830"/>
        <w:gridCol w:w="80"/>
        <w:gridCol w:w="60"/>
        <w:gridCol w:w="160"/>
        <w:gridCol w:w="970"/>
        <w:gridCol w:w="80"/>
        <w:gridCol w:w="60"/>
        <w:gridCol w:w="110"/>
        <w:gridCol w:w="890"/>
        <w:gridCol w:w="80"/>
        <w:gridCol w:w="60"/>
        <w:gridCol w:w="60"/>
        <w:gridCol w:w="800"/>
        <w:gridCol w:w="80"/>
        <w:gridCol w:w="60"/>
        <w:gridCol w:w="110"/>
        <w:gridCol w:w="800"/>
        <w:gridCol w:w="80"/>
        <w:gridCol w:w="60"/>
        <w:gridCol w:w="110"/>
        <w:gridCol w:w="890"/>
        <w:gridCol w:w="80"/>
        <w:gridCol w:w="60"/>
        <w:gridCol w:w="110"/>
        <w:gridCol w:w="800"/>
        <w:gridCol w:w="80"/>
        <w:gridCol w:w="60"/>
        <w:gridCol w:w="110"/>
        <w:gridCol w:w="890"/>
        <w:gridCol w:w="95"/>
      </w:tblGrid>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7" w:name="xdx_4B4_us-gaap--StatementEquityComponen"/>
            <w:bookmarkEnd w:id="167"/>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8" w:name="xdx_4BB_us-gaap--StatementEquityComponen"/>
            <w:bookmarkEnd w:id="168"/>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9" w:name="xdx_4B1_us-gaap--StatementEquityComponen"/>
            <w:bookmarkEnd w:id="169"/>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0" w:name="xdx_4B9_us-gaap--StatementEquityComponen"/>
            <w:bookmarkEnd w:id="170"/>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1" w:name="xdx_4BF_us-gaap--StatementEquityComponen"/>
            <w:bookmarkEnd w:id="171"/>
          </w:p>
        </w:tc>
        <w:tc>
          <w:tcPr>
            <w:tcW w:w="10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2" w:name="xdx_4B0_us-gaap--StatementEquityComponen"/>
            <w:bookmarkEnd w:id="172"/>
          </w:p>
        </w:tc>
        <w:tc>
          <w:tcPr>
            <w:tcW w:w="9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3" w:name="xdx_4BA_us-gaap--StatementEquityComponen"/>
            <w:bookmarkEnd w:id="173"/>
          </w:p>
        </w:tc>
        <w:tc>
          <w:tcPr>
            <w:tcW w:w="10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4" w:name="xdx_4BE_us-gaap--StatementEquityComponen"/>
            <w:bookmarkEnd w:id="174"/>
          </w:p>
        </w:tc>
        <w:tc>
          <w:tcPr>
            <w:tcW w:w="9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5" w:name="xdx_4B5_zF8YIV0dos76"/>
            <w:bookmarkEnd w:id="175"/>
          </w:p>
        </w:tc>
        <w:tc>
          <w:tcPr>
            <w:tcW w:w="10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9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1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A</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B</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 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Other</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6"/>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Treasury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Snail, Inc.</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9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9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bookmarkStart w:id="176" w:name="xdx_43D_c20260101__20260331_eus-gaap--St"/>
            <w:bookmarkEnd w:id="176"/>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7" w:name="xdx_986_eus-gaap--SharesOutstanding_iS_p"/>
            <w:bookmarkEnd w:id="177"/>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10,382,336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1"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 w:name="xdx_98A_eus-gaap--SharesOutstanding_iS_p"/>
            <w:bookmarkEnd w:id="178"/>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1"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26,923,115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(275,049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(39,352,510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 w:name="xdx_986_eus-gaap--TreasuryStockCommonSha"/>
            <w:bookmarkEnd w:id="179"/>
          </w:p>
        </w:tc>
        <w:tc>
          <w:tcPr>
            <w:tcW w:w="80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(1,350,275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(3,671,806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(16,372,337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(5,506,716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(21,879,053</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r>
      <w:tr>
        <w:trPr/>
        <w:tc>
          <w:tcPr>
            <w:tcW w:w="9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80" w:name="xdx_408_eus-gaap--StockIssuedDuringPerio"/>
            <w:bookmarkEnd w:id="180"/>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Common stock issued for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1" w:name="xdx_989_eus-gaap--StockIssuedDuringPerio"/>
            <w:bookmarkEnd w:id="181"/>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82" w:name="xdx_407_eus-gaap--StockIssuedDuringPerio"/>
            <w:bookmarkEnd w:id="182"/>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83" w:name="xdx_407_eus-gaap--StockIssuedDuringPerio"/>
            <w:bookmarkEnd w:id="183"/>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Exercise of warrants,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84" w:name="xdx_404_eus-gaap--AdjustmentsToAdditiona"/>
            <w:bookmarkEnd w:id="184"/>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44,880</w:t>
            </w:r>
          </w:p>
        </w:tc>
        <w:tc>
          <w:tcPr>
            <w:tcW w:w="9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85" w:name="xdx_409_eus-gaap--OtherComprehensiveInco"/>
            <w:bookmarkEnd w:id="185"/>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(26,823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(26,823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(26,823</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86" w:name="xdx_40C_ecustom--OtherComprehensiveIncom"/>
            <w:bookmarkEnd w:id="186"/>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Fair value change of 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5,310</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5,310</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5,310</w:t>
            </w:r>
          </w:p>
        </w:tc>
        <w:tc>
          <w:tcPr>
            <w:tcW w:w="95" w:type="dxa"/>
            <w:tcBorders/>
            <w:shd w:fill="CCEEFF" w:val="clear"/>
            <w:vAlign w:val="center"/>
          </w:tcPr>
          <w:p>
            <w:pPr>
              <w:pStyle w:val="TableContents"/>
              <w:bidi w:val="0"/>
              <w:spacing w:before="0" w:after="283"/>
              <w:jc w:val="left"/>
              <w:rPr>
                <w:sz w:val="4"/>
                <w:szCs w:val="4"/>
              </w:rPr>
            </w:pPr>
            <w:r>
              <w:rPr>
                <w:sz w:val="4"/>
                <w:szCs w:val="4"/>
              </w:rPr>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87" w:name="xdx_40A_eus-gaap--ProfitLoss_zp6gxKGuEee"/>
            <w:bookmarkEnd w:id="187"/>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2,134,706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2,134,706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2,134,556</w:t>
            </w:r>
          </w:p>
        </w:tc>
        <w:tc>
          <w:tcPr>
            <w:tcW w:w="9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88" w:name="xdx_43C_c20260101__20260331_eus-gaap--St"/>
            <w:bookmarkEnd w:id="188"/>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89" w:name="xdx_98D_eus-gaap--SharesOutstanding_iE_p"/>
            <w:bookmarkEnd w:id="189"/>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10,415,669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0" w:name="xdx_980_eus-gaap--SharesOutstanding_iE_p"/>
            <w:bookmarkEnd w:id="190"/>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26,967,992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(296,562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(37,217,804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1" w:name="xdx_98B_eus-gaap--TreasuryStockCommonSha"/>
            <w:bookmarkEnd w:id="191"/>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(1,350,275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(3,671,806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(14,214,264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(5,506,866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(19,721,130</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r>
    </w:tbl>
    <w:p>
      <w:pPr>
        <w:pStyle w:val="TextBody"/>
        <w:bidi w:val="0"/>
        <w:spacing w:before="0" w:after="0"/>
        <w:ind w:left="0" w:right="0" w:hanging="0"/>
        <w:jc w:val="center"/>
        <w:rPr>
          <w:caps w:val="false"/>
          <w:smallCaps w:val="false"/>
        </w:rPr>
      </w:pPr>
      <w:r>
        <w:rPr>
          <w:caps w:val="false"/>
          <w:smallCaps w:val="false"/>
        </w:rPr>
        <w:t> </w:t>
      </w:r>
    </w:p>
    <w:tbl>
      <w:tblPr>
        <w:tblW w:w="13060" w:type="dxa"/>
        <w:jc w:val="left"/>
        <w:tblInd w:w="0" w:type="dxa"/>
        <w:tblLayout w:type="fixed"/>
        <w:tblCellMar>
          <w:top w:w="0" w:type="dxa"/>
          <w:left w:w="0" w:type="dxa"/>
          <w:bottom w:w="0" w:type="dxa"/>
          <w:right w:w="0" w:type="dxa"/>
        </w:tblCellMar>
      </w:tblPr>
      <w:tblGrid>
        <w:gridCol w:w="995"/>
        <w:gridCol w:w="60"/>
        <w:gridCol w:w="60"/>
        <w:gridCol w:w="740"/>
        <w:gridCol w:w="60"/>
        <w:gridCol w:w="60"/>
        <w:gridCol w:w="166"/>
        <w:gridCol w:w="439"/>
        <w:gridCol w:w="60"/>
        <w:gridCol w:w="60"/>
        <w:gridCol w:w="60"/>
        <w:gridCol w:w="830"/>
        <w:gridCol w:w="60"/>
        <w:gridCol w:w="60"/>
        <w:gridCol w:w="124"/>
        <w:gridCol w:w="481"/>
        <w:gridCol w:w="60"/>
        <w:gridCol w:w="60"/>
        <w:gridCol w:w="110"/>
        <w:gridCol w:w="830"/>
        <w:gridCol w:w="60"/>
        <w:gridCol w:w="60"/>
        <w:gridCol w:w="160"/>
        <w:gridCol w:w="970"/>
        <w:gridCol w:w="80"/>
        <w:gridCol w:w="60"/>
        <w:gridCol w:w="110"/>
        <w:gridCol w:w="890"/>
        <w:gridCol w:w="80"/>
        <w:gridCol w:w="60"/>
        <w:gridCol w:w="60"/>
        <w:gridCol w:w="800"/>
        <w:gridCol w:w="80"/>
        <w:gridCol w:w="60"/>
        <w:gridCol w:w="110"/>
        <w:gridCol w:w="800"/>
        <w:gridCol w:w="80"/>
        <w:gridCol w:w="60"/>
        <w:gridCol w:w="110"/>
        <w:gridCol w:w="800"/>
        <w:gridCol w:w="80"/>
        <w:gridCol w:w="60"/>
        <w:gridCol w:w="110"/>
        <w:gridCol w:w="800"/>
        <w:gridCol w:w="80"/>
        <w:gridCol w:w="60"/>
        <w:gridCol w:w="110"/>
        <w:gridCol w:w="800"/>
        <w:gridCol w:w="95"/>
      </w:tblGrid>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A</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B</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Other</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6"/>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Treasury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Snail, Inc.</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9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r>
          </w:p>
        </w:tc>
        <w:tc>
          <w:tcPr>
            <w:tcW w:w="9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bookmarkStart w:id="192" w:name="xdx_439_c20250101__20250331_eus-gaap--St"/>
            <w:bookmarkEnd w:id="192"/>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3" w:name="xdx_98D_eus-gaap--SharesOutstanding_iS_p"/>
            <w:bookmarkEnd w:id="193"/>
          </w:p>
        </w:tc>
        <w:tc>
          <w:tcPr>
            <w:tcW w:w="74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9,626,070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39"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4" w:name="xdx_989_eus-gaap--SharesOutstanding_iS_p"/>
            <w:bookmarkEnd w:id="194"/>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1"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25,738,082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(279,457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(12,117,385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5" w:name="xdx_98F_eus-gaap--TreasuryStockCommonSha"/>
            <w:bookmarkEnd w:id="195"/>
          </w:p>
        </w:tc>
        <w:tc>
          <w:tcPr>
            <w:tcW w:w="80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(1,350,275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(3,671,806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9,673,271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(5,504,109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4,169,162</w:t>
            </w:r>
          </w:p>
        </w:tc>
        <w:tc>
          <w:tcPr>
            <w:tcW w:w="95" w:type="dxa"/>
            <w:tcBorders/>
            <w:shd w:fill="CCEEFF" w:val="clear"/>
            <w:vAlign w:val="center"/>
          </w:tcPr>
          <w:p>
            <w:pPr>
              <w:pStyle w:val="TableContents"/>
              <w:bidi w:val="0"/>
              <w:spacing w:before="0" w:after="283"/>
              <w:jc w:val="left"/>
              <w:rPr/>
            </w:pPr>
            <w:r>
              <w:rPr/>
              <w:t> </w:t>
            </w:r>
            <w:bookmarkStart w:id="196" w:name="xdx_437_c20250101__20250331_eus-gaap--St"/>
            <w:bookmarkEnd w:id="196"/>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7" w:name="xdx_988_eus-gaap--SharesOutstanding_iS_p"/>
            <w:bookmarkEnd w:id="197"/>
          </w:p>
        </w:tc>
        <w:tc>
          <w:tcPr>
            <w:tcW w:w="74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9,626,070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39"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8" w:name="xdx_980_eus-gaap--SharesOutstanding_iS_p"/>
            <w:bookmarkEnd w:id="198"/>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1"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25,738,082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(279,457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(12,117,385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(1,350,275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(3,671,806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9,673,271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(5,504,109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4,169,162</w:t>
            </w:r>
          </w:p>
        </w:tc>
        <w:tc>
          <w:tcPr>
            <w:tcW w:w="9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99" w:name="xdx_407_eus-gaap--StockIssuedDuringPerio"/>
            <w:bookmarkEnd w:id="199"/>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0" w:name="xdx_986_eus-gaap--StockIssuedDuringPerio"/>
            <w:bookmarkEnd w:id="200"/>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189,285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482,094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482,113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482,113</w:t>
            </w:r>
          </w:p>
        </w:tc>
        <w:tc>
          <w:tcPr>
            <w:tcW w:w="9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01" w:name="xdx_401_eus-gaap--AdjustmentsToAdditiona"/>
            <w:bookmarkEnd w:id="201"/>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843,619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843,619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843,619</w:t>
            </w:r>
          </w:p>
        </w:tc>
        <w:tc>
          <w:tcPr>
            <w:tcW w:w="9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02" w:name="xdx_40F_eus-gaap--OtherComprehensiveInco"/>
            <w:bookmarkEnd w:id="202"/>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33,232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33,232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33,232</w:t>
            </w:r>
          </w:p>
        </w:tc>
        <w:tc>
          <w:tcPr>
            <w:tcW w:w="9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03" w:name="xdx_40E_ecustom--OtherComprehensiveIncom"/>
            <w:bookmarkEnd w:id="203"/>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Fair value change of 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22,023</w:t>
            </w:r>
          </w:p>
        </w:tc>
        <w:tc>
          <w:tcPr>
            <w:tcW w:w="9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04" w:name="xdx_40A_eus-gaap--ProfitLoss_zdngU4f3PtK"/>
            <w:bookmarkEnd w:id="204"/>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(1,946,007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(1,946,007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(956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(1,946,963</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05" w:name="xdx_43A_c20250101__20250331_eus-gaap--St"/>
            <w:bookmarkEnd w:id="205"/>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6" w:name="xdx_988_eus-gaap--SharesOutstanding_iE_p"/>
            <w:bookmarkEnd w:id="206"/>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9,815,355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7" w:name="xdx_989_eus-gaap--SharesOutstanding_iE_p"/>
            <w:bookmarkEnd w:id="207"/>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27,063,795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(224,202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(14,063,392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8" w:name="xdx_986_eus-gaap--TreasuryStockCommonSha"/>
            <w:bookmarkEnd w:id="208"/>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(1,350,275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(3,671,806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9,108,251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(5,505,065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3,603,186</w:t>
            </w:r>
          </w:p>
        </w:tc>
        <w:tc>
          <w:tcPr>
            <w:tcW w:w="95" w:type="dxa"/>
            <w:tcBorders/>
            <w:shd w:fill="CCEEFF" w:val="clear"/>
            <w:vAlign w:val="center"/>
          </w:tcPr>
          <w:p>
            <w:pPr>
              <w:pStyle w:val="TableContents"/>
              <w:bidi w:val="0"/>
              <w:spacing w:before="0" w:after="283"/>
              <w:jc w:val="left"/>
              <w:rPr/>
            </w:pPr>
            <w:r>
              <w:rPr/>
              <w:t> </w:t>
            </w:r>
            <w:bookmarkStart w:id="209" w:name="xdx_435_c20250101__20250331_eus-gaap--St"/>
            <w:bookmarkEnd w:id="209"/>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0" w:name="xdx_986_eus-gaap--SharesOutstanding_iE_p"/>
            <w:bookmarkEnd w:id="210"/>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9,815,355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1" w:name="xdx_98A_eus-gaap--SharesOutstanding_iE_p"/>
            <w:bookmarkEnd w:id="211"/>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27,063,795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(224,202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(14,063,392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(1,350,275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(3,671,806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9,108,251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(5,505,065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3,603,186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2" w:name="vr_007"/>
      <w:bookmarkEnd w:id="212"/>
      <w:r>
        <w:rPr>
          <w:rFonts w:ascii="Times New Roman;Times;Serif" w:hAnsi="Times New Roman;Times;Serif"/>
          <w:b/>
          <w:i w:val="false"/>
          <w:caps w:val="false"/>
          <w:smallCaps w:val="false"/>
          <w:sz w:val="20"/>
        </w:rPr>
        <w:t>Condensed Consolidated Statements of Cash Flows for the Three Months Ended March 31, 2026 and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3" w:name="xdx_300_112_zQKoTXD8TkLj"/>
      <w:bookmarkStart w:id="214" w:name="xdx_300_112_zQKoTXD8TkLj"/>
      <w:bookmarkEnd w:id="214"/>
    </w:p>
    <w:tbl>
      <w:tblPr>
        <w:tblW w:w="10205" w:type="dxa"/>
        <w:jc w:val="left"/>
        <w:tblInd w:w="0" w:type="dxa"/>
        <w:tblLayout w:type="fixed"/>
        <w:tblCellMar>
          <w:top w:w="0" w:type="dxa"/>
          <w:left w:w="0" w:type="dxa"/>
          <w:bottom w:w="0" w:type="dxa"/>
          <w:right w:w="0" w:type="dxa"/>
        </w:tblCellMar>
      </w:tblPr>
      <w:tblGrid>
        <w:gridCol w:w="7400"/>
        <w:gridCol w:w="60"/>
        <w:gridCol w:w="140"/>
        <w:gridCol w:w="1100"/>
        <w:gridCol w:w="95"/>
        <w:gridCol w:w="60"/>
        <w:gridCol w:w="140"/>
        <w:gridCol w:w="1100"/>
        <w:gridCol w:w="110"/>
      </w:tblGrid>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5" w:name="xdx_498_20260101__20260331_zrx7ayFuqaH7"/>
            <w:bookmarkEnd w:id="215"/>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6" w:name="xdx_49C_20250101__20250331_zBX6YM7MBOr"/>
            <w:bookmarkEnd w:id="216"/>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217" w:name="xdx_40B_eus-gaap--NetCashProvidedByUsedI"/>
            <w:bookmarkEnd w:id="217"/>
          </w:p>
        </w:tc>
      </w:tr>
      <w:tr>
        <w:trPr/>
        <w:tc>
          <w:tcPr>
            <w:tcW w:w="740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8" w:name="xdx_400_eus-gaap--ProfitLoss_i01_maNCPBU"/>
            <w:bookmarkEnd w:id="218"/>
          </w:p>
        </w:tc>
      </w:tr>
      <w:tr>
        <w:trPr/>
        <w:tc>
          <w:tcPr>
            <w:tcW w:w="740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2,134,556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(1,946,963</w:t>
            </w:r>
          </w:p>
        </w:tc>
        <w:tc>
          <w:tcPr>
            <w:tcW w:w="110" w:type="dxa"/>
            <w:tcBorders/>
            <w:shd w:fill="FFFFFF" w:val="clear"/>
            <w:vAlign w:val="center"/>
          </w:tcPr>
          <w:p>
            <w:pPr>
              <w:pStyle w:val="TableContents"/>
              <w:bidi w:val="0"/>
              <w:spacing w:before="0" w:after="283"/>
              <w:jc w:val="left"/>
              <w:rPr/>
            </w:pPr>
            <w:r>
              <w:rPr/>
              <w:t>)</w:t>
            </w:r>
            <w:bookmarkStart w:id="219" w:name="xdx_405_eus-gaap--AdjustmentsToReconcile"/>
            <w:bookmarkEnd w:id="219"/>
          </w:p>
        </w:tc>
      </w:tr>
      <w:tr>
        <w:trPr/>
        <w:tc>
          <w:tcPr>
            <w:tcW w:w="7400" w:type="dxa"/>
            <w:tcBorders/>
            <w:shd w:fill="CCEEFF" w:val="clear"/>
            <w:vAlign w:val="center"/>
          </w:tcPr>
          <w:p>
            <w:pPr>
              <w:pStyle w:val="TableContents"/>
              <w:bidi w:val="0"/>
              <w:spacing w:before="0" w:after="283"/>
              <w:jc w:val="left"/>
              <w:rPr/>
            </w:pPr>
            <w:r>
              <w:rPr/>
              <w:t>Adjustments to reconcile net income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0" w:name="xdx_409_eus-gaap--AmortizationOfIntangib"/>
            <w:bookmarkEnd w:id="220"/>
          </w:p>
        </w:tc>
      </w:tr>
      <w:tr>
        <w:trPr/>
        <w:tc>
          <w:tcPr>
            <w:tcW w:w="7400" w:type="dxa"/>
            <w:tcBorders/>
            <w:shd w:fill="FFFFFF" w:val="clear"/>
            <w:vAlign w:val="center"/>
          </w:tcPr>
          <w:p>
            <w:pPr>
              <w:pStyle w:val="TableContents"/>
              <w:bidi w:val="0"/>
              <w:spacing w:before="0" w:after="283"/>
              <w:jc w:val="left"/>
              <w:rPr/>
            </w:pPr>
            <w:r>
              <w:rPr/>
              <w:t>Amortization – 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150,442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35,516</w:t>
            </w:r>
          </w:p>
        </w:tc>
        <w:tc>
          <w:tcPr>
            <w:tcW w:w="110" w:type="dxa"/>
            <w:tcBorders/>
            <w:shd w:fill="FFFFFF" w:val="clear"/>
            <w:vAlign w:val="center"/>
          </w:tcPr>
          <w:p>
            <w:pPr>
              <w:pStyle w:val="TableContents"/>
              <w:bidi w:val="0"/>
              <w:spacing w:before="0" w:after="283"/>
              <w:jc w:val="left"/>
              <w:rPr/>
            </w:pPr>
            <w:r>
              <w:rPr/>
              <w:t> </w:t>
            </w:r>
            <w:bookmarkStart w:id="221" w:name="xdx_40F_eus-gaap--AmortizationOfIntangib"/>
            <w:bookmarkEnd w:id="221"/>
          </w:p>
        </w:tc>
      </w:tr>
      <w:tr>
        <w:trPr/>
        <w:tc>
          <w:tcPr>
            <w:tcW w:w="7400" w:type="dxa"/>
            <w:tcBorders/>
            <w:shd w:fill="CCEEFF" w:val="clear"/>
            <w:vAlign w:val="center"/>
          </w:tcPr>
          <w:p>
            <w:pPr>
              <w:pStyle w:val="TableContents"/>
              <w:bidi w:val="0"/>
              <w:spacing w:before="0" w:after="283"/>
              <w:jc w:val="left"/>
              <w:rPr/>
            </w:pPr>
            <w:r>
              <w:rPr/>
              <w:t>Amortization – intangible assets, net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CCEEFF" w:val="clear"/>
            <w:vAlign w:val="center"/>
          </w:tcPr>
          <w:p>
            <w:pPr>
              <w:pStyle w:val="TableContents"/>
              <w:bidi w:val="0"/>
              <w:spacing w:before="0" w:after="283"/>
              <w:jc w:val="left"/>
              <w:rPr/>
            </w:pPr>
            <w:r>
              <w:rPr/>
              <w:t> </w:t>
            </w:r>
            <w:bookmarkStart w:id="222" w:name="xdx_406_eus-gaap--AmortizationOfIntangib"/>
            <w:bookmarkEnd w:id="222"/>
          </w:p>
        </w:tc>
      </w:tr>
      <w:tr>
        <w:trPr/>
        <w:tc>
          <w:tcPr>
            <w:tcW w:w="7400" w:type="dxa"/>
            <w:tcBorders/>
            <w:shd w:fill="CCEEFF" w:val="clear"/>
            <w:vAlign w:val="center"/>
          </w:tcPr>
          <w:p>
            <w:pPr>
              <w:pStyle w:val="TableContents"/>
              <w:bidi w:val="0"/>
              <w:spacing w:before="0" w:after="283"/>
              <w:jc w:val="left"/>
              <w:rPr/>
            </w:pPr>
            <w:r>
              <w:rPr/>
              <w:t>Amortization – 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23" w:name="xdx_408_eus-gaap--AmortizationOfRegulato"/>
            <w:bookmarkEnd w:id="223"/>
          </w:p>
        </w:tc>
      </w:tr>
      <w:tr>
        <w:trPr/>
        <w:tc>
          <w:tcPr>
            <w:tcW w:w="7400" w:type="dxa"/>
            <w:tcBorders/>
            <w:shd w:fill="FFFFFF" w:val="clear"/>
            <w:vAlign w:val="center"/>
          </w:tcPr>
          <w:p>
            <w:pPr>
              <w:pStyle w:val="TableContents"/>
              <w:bidi w:val="0"/>
              <w:spacing w:before="0" w:after="283"/>
              <w:jc w:val="left"/>
              <w:rPr/>
            </w:pPr>
            <w:r>
              <w:rPr/>
              <w:t>Amortization – film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140,709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212,709</w:t>
            </w:r>
          </w:p>
        </w:tc>
        <w:tc>
          <w:tcPr>
            <w:tcW w:w="110" w:type="dxa"/>
            <w:tcBorders/>
            <w:shd w:fill="FFFFFF" w:val="clear"/>
            <w:vAlign w:val="center"/>
          </w:tcPr>
          <w:p>
            <w:pPr>
              <w:pStyle w:val="TableContents"/>
              <w:bidi w:val="0"/>
              <w:spacing w:before="0" w:after="283"/>
              <w:jc w:val="left"/>
              <w:rPr/>
            </w:pPr>
            <w:r>
              <w:rPr/>
              <w:t> </w:t>
            </w:r>
            <w:bookmarkStart w:id="224" w:name="xdx_407_ecustom--AmortizationLoanOrigina"/>
            <w:bookmarkEnd w:id="224"/>
          </w:p>
        </w:tc>
      </w:tr>
      <w:tr>
        <w:trPr/>
        <w:tc>
          <w:tcPr>
            <w:tcW w:w="7400" w:type="dxa"/>
            <w:tcBorders/>
            <w:shd w:fill="CCEEFF" w:val="clear"/>
            <w:vAlign w:val="center"/>
          </w:tcPr>
          <w:p>
            <w:pPr>
              <w:pStyle w:val="TableContents"/>
              <w:bidi w:val="0"/>
              <w:spacing w:before="0" w:after="283"/>
              <w:jc w:val="left"/>
              <w:rPr/>
            </w:pPr>
            <w:r>
              <w:rPr/>
              <w:t>Amortization – loan origination fees and debt discounts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(1,889</w:t>
            </w:r>
          </w:p>
        </w:tc>
        <w:tc>
          <w:tcPr>
            <w:tcW w:w="110" w:type="dxa"/>
            <w:tcBorders/>
            <w:shd w:fill="CCEEFF" w:val="clear"/>
            <w:vAlign w:val="center"/>
          </w:tcPr>
          <w:p>
            <w:pPr>
              <w:pStyle w:val="TableContents"/>
              <w:bidi w:val="0"/>
              <w:spacing w:before="0" w:after="283"/>
              <w:jc w:val="left"/>
              <w:rPr/>
            </w:pPr>
            <w:r>
              <w:rPr/>
              <w:t>)</w:t>
            </w:r>
            <w:bookmarkStart w:id="225" w:name="xdx_40A_ecustom--GainOnChangeInFairValue"/>
            <w:bookmarkEnd w:id="225"/>
          </w:p>
        </w:tc>
      </w:tr>
      <w:tr>
        <w:trPr/>
        <w:tc>
          <w:tcPr>
            <w:tcW w:w="7400" w:type="dxa"/>
            <w:tcBorders/>
            <w:shd w:fill="FFFFFF" w:val="clear"/>
            <w:vAlign w:val="center"/>
          </w:tcPr>
          <w:p>
            <w:pPr>
              <w:pStyle w:val="TableContents"/>
              <w:bidi w:val="0"/>
              <w:spacing w:before="0" w:after="283"/>
              <w:jc w:val="left"/>
              <w:rPr/>
            </w:pPr>
            <w:r>
              <w:rPr/>
              <w:t>Loss (gain) on 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(117,105</w:t>
            </w:r>
          </w:p>
        </w:tc>
        <w:tc>
          <w:tcPr>
            <w:tcW w:w="110" w:type="dxa"/>
            <w:tcBorders/>
            <w:shd w:fill="FFFFFF" w:val="clear"/>
            <w:vAlign w:val="center"/>
          </w:tcPr>
          <w:p>
            <w:pPr>
              <w:pStyle w:val="TableContents"/>
              <w:bidi w:val="0"/>
              <w:spacing w:before="0" w:after="283"/>
              <w:jc w:val="left"/>
              <w:rPr/>
            </w:pPr>
            <w:r>
              <w:rPr/>
              <w:t>)</w:t>
            </w:r>
            <w:bookmarkStart w:id="226" w:name="xdx_40F_eus-gaap--FairValueAdjustmentOfW"/>
            <w:bookmarkEnd w:id="226"/>
          </w:p>
        </w:tc>
      </w:tr>
      <w:tr>
        <w:trPr/>
        <w:tc>
          <w:tcPr>
            <w:tcW w:w="7400" w:type="dxa"/>
            <w:tcBorders/>
            <w:shd w:fill="CCEEFF" w:val="clear"/>
            <w:vAlign w:val="center"/>
          </w:tcPr>
          <w:p>
            <w:pPr>
              <w:pStyle w:val="TableContents"/>
              <w:bidi w:val="0"/>
              <w:spacing w:before="0" w:after="283"/>
              <w:jc w:val="left"/>
              <w:rPr/>
            </w:pPr>
            <w:r>
              <w:rPr/>
              <w:t>Gain on 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(410,658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(639,518</w:t>
            </w:r>
          </w:p>
        </w:tc>
        <w:tc>
          <w:tcPr>
            <w:tcW w:w="110" w:type="dxa"/>
            <w:tcBorders/>
            <w:shd w:fill="CCEEFF" w:val="clear"/>
            <w:vAlign w:val="center"/>
          </w:tcPr>
          <w:p>
            <w:pPr>
              <w:pStyle w:val="TableContents"/>
              <w:bidi w:val="0"/>
              <w:spacing w:before="0" w:after="283"/>
              <w:jc w:val="left"/>
              <w:rPr/>
            </w:pPr>
            <w:r>
              <w:rPr/>
              <w:t>)</w:t>
            </w:r>
            <w:bookmarkStart w:id="227" w:name="xdx_405_eus-gaap--Depreciation_i02_maNCP"/>
            <w:bookmarkEnd w:id="227"/>
          </w:p>
        </w:tc>
      </w:tr>
      <w:tr>
        <w:trPr/>
        <w:tc>
          <w:tcPr>
            <w:tcW w:w="7400" w:type="dxa"/>
            <w:tcBorders/>
            <w:shd w:fill="FFFFFF" w:val="clear"/>
            <w:vAlign w:val="center"/>
          </w:tcPr>
          <w:p>
            <w:pPr>
              <w:pStyle w:val="TableContents"/>
              <w:bidi w:val="0"/>
              <w:spacing w:before="0" w:after="283"/>
              <w:jc w:val="left"/>
              <w:rPr/>
            </w:pPr>
            <w:r>
              <w:rPr/>
              <w:t>Depreciation –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12,734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67,904</w:t>
            </w:r>
          </w:p>
        </w:tc>
        <w:tc>
          <w:tcPr>
            <w:tcW w:w="110" w:type="dxa"/>
            <w:tcBorders/>
            <w:shd w:fill="FFFFFF" w:val="clear"/>
            <w:vAlign w:val="center"/>
          </w:tcPr>
          <w:p>
            <w:pPr>
              <w:pStyle w:val="TableContents"/>
              <w:bidi w:val="0"/>
              <w:spacing w:before="0" w:after="283"/>
              <w:jc w:val="left"/>
              <w:rPr/>
            </w:pPr>
            <w:r>
              <w:rPr/>
              <w:t> </w:t>
            </w:r>
            <w:bookmarkStart w:id="228" w:name="xdx_400_eus-gaap--OtherAssetImpairmentCh"/>
            <w:bookmarkEnd w:id="228"/>
          </w:p>
        </w:tc>
      </w:tr>
      <w:tr>
        <w:trPr/>
        <w:tc>
          <w:tcPr>
            <w:tcW w:w="7400" w:type="dxa"/>
            <w:tcBorders/>
            <w:shd w:fill="CCEEFF" w:val="clear"/>
            <w:vAlign w:val="center"/>
          </w:tcPr>
          <w:p>
            <w:pPr>
              <w:pStyle w:val="TableContents"/>
              <w:bidi w:val="0"/>
              <w:spacing w:before="0" w:after="283"/>
              <w:jc w:val="left"/>
              <w:rPr/>
            </w:pPr>
            <w:r>
              <w:rPr/>
              <w:t>Impairment of film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29" w:name="xdx_40C_eus-gaap--ShareBasedCompensation"/>
            <w:bookmarkEnd w:id="229"/>
          </w:p>
        </w:tc>
      </w:tr>
      <w:tr>
        <w:trPr/>
        <w:tc>
          <w:tcPr>
            <w:tcW w:w="7400" w:type="dxa"/>
            <w:tcBorders/>
            <w:shd w:fill="FFFFFF" w:val="clear"/>
            <w:vAlign w:val="center"/>
          </w:tcPr>
          <w:p>
            <w:pPr>
              <w:pStyle w:val="TableContents"/>
              <w:bidi w:val="0"/>
              <w:spacing w:before="0" w:after="283"/>
              <w:jc w:val="left"/>
              <w:rPr/>
            </w:pPr>
            <w:r>
              <w:rPr/>
              <w:t>Stock-based compensation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843,619</w:t>
            </w:r>
          </w:p>
        </w:tc>
        <w:tc>
          <w:tcPr>
            <w:tcW w:w="110" w:type="dxa"/>
            <w:tcBorders/>
            <w:shd w:fill="FFFFFF" w:val="clear"/>
            <w:vAlign w:val="center"/>
          </w:tcPr>
          <w:p>
            <w:pPr>
              <w:pStyle w:val="TableContents"/>
              <w:bidi w:val="0"/>
              <w:spacing w:before="0" w:after="283"/>
              <w:jc w:val="left"/>
              <w:rPr/>
            </w:pPr>
            <w:r>
              <w:rPr/>
              <w:t> </w:t>
            </w:r>
            <w:bookmarkStart w:id="230" w:name="xdx_40C_ecustom--DeferredIncomeTaxExpens"/>
            <w:bookmarkEnd w:id="230"/>
          </w:p>
        </w:tc>
      </w:tr>
      <w:tr>
        <w:trPr/>
        <w:tc>
          <w:tcPr>
            <w:tcW w:w="7400" w:type="dxa"/>
            <w:tcBorders/>
            <w:shd w:fill="CCEEFF" w:val="clear"/>
            <w:vAlign w:val="center"/>
          </w:tcPr>
          <w:p>
            <w:pPr>
              <w:pStyle w:val="TableContents"/>
              <w:bidi w:val="0"/>
              <w:spacing w:before="0" w:after="283"/>
              <w:jc w:val="left"/>
              <w:rPr/>
            </w:pPr>
            <w:r>
              <w:rPr/>
              <w:t>Deferred taxes,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(2,041,515</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1" w:name="xdx_403_eus-gaap--IncreaseDecreaseInOper"/>
            <w:bookmarkEnd w:id="231"/>
          </w:p>
        </w:tc>
      </w:tr>
      <w:tr>
        <w:trPr/>
        <w:tc>
          <w:tcPr>
            <w:tcW w:w="7400"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2" w:name="xdx_408_eus-gaap--IncreaseDecreaseInAcco"/>
            <w:bookmarkEnd w:id="232"/>
          </w:p>
        </w:tc>
      </w:tr>
      <w:tr>
        <w:trPr/>
        <w:tc>
          <w:tcPr>
            <w:tcW w:w="740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3,321,990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696,553</w:t>
            </w:r>
          </w:p>
        </w:tc>
        <w:tc>
          <w:tcPr>
            <w:tcW w:w="110" w:type="dxa"/>
            <w:tcBorders/>
            <w:shd w:fill="FFFFFF" w:val="clear"/>
            <w:vAlign w:val="center"/>
          </w:tcPr>
          <w:p>
            <w:pPr>
              <w:pStyle w:val="TableContents"/>
              <w:bidi w:val="0"/>
              <w:spacing w:before="0" w:after="283"/>
              <w:jc w:val="left"/>
              <w:rPr/>
            </w:pPr>
            <w:r>
              <w:rPr/>
              <w:t> </w:t>
            </w:r>
            <w:bookmarkStart w:id="233" w:name="xdx_401_eus-gaap--IncreaseDecreaseInAcco"/>
            <w:bookmarkEnd w:id="233"/>
          </w:p>
        </w:tc>
      </w:tr>
      <w:tr>
        <w:trPr/>
        <w:tc>
          <w:tcPr>
            <w:tcW w:w="7400" w:type="dxa"/>
            <w:tcBorders/>
            <w:shd w:fill="CCEEFF" w:val="clear"/>
            <w:vAlign w:val="center"/>
          </w:tcPr>
          <w:p>
            <w:pPr>
              <w:pStyle w:val="TableContents"/>
              <w:bidi w:val="0"/>
              <w:spacing w:before="0" w:after="283"/>
              <w:jc w:val="left"/>
              <w:rPr/>
            </w:pPr>
            <w:r>
              <w:rPr/>
              <w:t>Accounts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2,503,407</w:t>
            </w:r>
          </w:p>
        </w:tc>
        <w:tc>
          <w:tcPr>
            <w:tcW w:w="110" w:type="dxa"/>
            <w:tcBorders/>
            <w:shd w:fill="CCEEFF" w:val="clear"/>
            <w:vAlign w:val="center"/>
          </w:tcPr>
          <w:p>
            <w:pPr>
              <w:pStyle w:val="TableContents"/>
              <w:bidi w:val="0"/>
              <w:spacing w:before="0" w:after="283"/>
              <w:jc w:val="left"/>
              <w:rPr/>
            </w:pPr>
            <w:r>
              <w:rPr/>
              <w:t> </w:t>
            </w:r>
            <w:bookmarkStart w:id="234" w:name="xdx_40F_ecustom--IncreaseDecreaseInPrepa"/>
            <w:bookmarkEnd w:id="234"/>
          </w:p>
        </w:tc>
      </w:tr>
      <w:tr>
        <w:trPr/>
        <w:tc>
          <w:tcPr>
            <w:tcW w:w="7400" w:type="dxa"/>
            <w:tcBorders/>
            <w:shd w:fill="FFFFFF" w:val="clear"/>
            <w:vAlign w:val="center"/>
          </w:tcPr>
          <w:p>
            <w:pPr>
              <w:pStyle w:val="TableContents"/>
              <w:bidi w:val="0"/>
              <w:spacing w:before="0" w:after="283"/>
              <w:jc w:val="left"/>
              <w:rPr/>
            </w:pPr>
            <w:r>
              <w:rPr/>
              <w:t>Prepaid expenses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106,414</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(544,532</w:t>
            </w:r>
          </w:p>
        </w:tc>
        <w:tc>
          <w:tcPr>
            <w:tcW w:w="110" w:type="dxa"/>
            <w:tcBorders/>
            <w:shd w:fill="FFFFFF" w:val="clear"/>
            <w:vAlign w:val="center"/>
          </w:tcPr>
          <w:p>
            <w:pPr>
              <w:pStyle w:val="TableContents"/>
              <w:bidi w:val="0"/>
              <w:spacing w:before="0" w:after="283"/>
              <w:jc w:val="left"/>
              <w:rPr/>
            </w:pPr>
            <w:r>
              <w:rPr/>
              <w:t>)</w:t>
            </w:r>
            <w:bookmarkStart w:id="235" w:name="xdx_408_eus-gaap--IncreaseDecreaseInPrep"/>
            <w:bookmarkEnd w:id="235"/>
          </w:p>
        </w:tc>
      </w:tr>
      <w:tr>
        <w:trPr/>
        <w:tc>
          <w:tcPr>
            <w:tcW w:w="740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746,830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377,962</w:t>
            </w:r>
          </w:p>
        </w:tc>
        <w:tc>
          <w:tcPr>
            <w:tcW w:w="110" w:type="dxa"/>
            <w:tcBorders/>
            <w:shd w:fill="CCEEFF" w:val="clear"/>
            <w:vAlign w:val="center"/>
          </w:tcPr>
          <w:p>
            <w:pPr>
              <w:pStyle w:val="TableContents"/>
              <w:bidi w:val="0"/>
              <w:spacing w:before="0" w:after="283"/>
              <w:jc w:val="left"/>
              <w:rPr/>
            </w:pPr>
            <w:r>
              <w:rPr/>
              <w:t> </w:t>
            </w:r>
            <w:bookmarkStart w:id="236" w:name="xdx_407_eus-gaap--IncreaseDecreaseInPrep"/>
            <w:bookmarkEnd w:id="236"/>
          </w:p>
        </w:tc>
      </w:tr>
      <w:tr>
        <w:trPr/>
        <w:tc>
          <w:tcPr>
            <w:tcW w:w="7400" w:type="dxa"/>
            <w:tcBorders/>
            <w:shd w:fill="FFFFFF" w:val="clear"/>
            <w:vAlign w:val="center"/>
          </w:tcPr>
          <w:p>
            <w:pPr>
              <w:pStyle w:val="TableContents"/>
              <w:bidi w:val="0"/>
              <w:spacing w:before="0" w:after="283"/>
              <w:jc w:val="left"/>
              <w:rPr/>
            </w:pPr>
            <w:r>
              <w:rPr/>
              <w:t>Prepaid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3,829,908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143,451</w:t>
            </w:r>
          </w:p>
        </w:tc>
        <w:tc>
          <w:tcPr>
            <w:tcW w:w="110" w:type="dxa"/>
            <w:tcBorders/>
            <w:shd w:fill="FFFFFF" w:val="clear"/>
            <w:vAlign w:val="center"/>
          </w:tcPr>
          <w:p>
            <w:pPr>
              <w:pStyle w:val="TableContents"/>
              <w:bidi w:val="0"/>
              <w:spacing w:before="0" w:after="283"/>
              <w:jc w:val="left"/>
              <w:rPr/>
            </w:pPr>
            <w:r>
              <w:rPr/>
              <w:t> </w:t>
            </w:r>
            <w:bookmarkStart w:id="237" w:name="xdx_409_eus-gaap--IncreaseDecreaseInOthe"/>
            <w:bookmarkEnd w:id="237"/>
          </w:p>
        </w:tc>
      </w:tr>
      <w:tr>
        <w:trPr/>
        <w:tc>
          <w:tcPr>
            <w:tcW w:w="7400"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(422,573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(656,562</w:t>
            </w:r>
          </w:p>
        </w:tc>
        <w:tc>
          <w:tcPr>
            <w:tcW w:w="110" w:type="dxa"/>
            <w:tcBorders/>
            <w:shd w:fill="CCEEFF" w:val="clear"/>
            <w:vAlign w:val="center"/>
          </w:tcPr>
          <w:p>
            <w:pPr>
              <w:pStyle w:val="TableContents"/>
              <w:bidi w:val="0"/>
              <w:spacing w:before="0" w:after="283"/>
              <w:jc w:val="left"/>
              <w:rPr/>
            </w:pPr>
            <w:r>
              <w:rPr/>
              <w:t>)</w:t>
            </w:r>
            <w:bookmarkStart w:id="238" w:name="xdx_407_eus-gaap--IncreaseDecreaseInAcco"/>
            <w:bookmarkEnd w:id="238"/>
          </w:p>
        </w:tc>
      </w:tr>
      <w:tr>
        <w:trPr/>
        <w:tc>
          <w:tcPr>
            <w:tcW w:w="740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(1,621,431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(198,705</w:t>
            </w:r>
          </w:p>
        </w:tc>
        <w:tc>
          <w:tcPr>
            <w:tcW w:w="110" w:type="dxa"/>
            <w:tcBorders/>
            <w:shd w:fill="FFFFFF" w:val="clear"/>
            <w:vAlign w:val="center"/>
          </w:tcPr>
          <w:p>
            <w:pPr>
              <w:pStyle w:val="TableContents"/>
              <w:bidi w:val="0"/>
              <w:spacing w:before="0" w:after="283"/>
              <w:jc w:val="left"/>
              <w:rPr/>
            </w:pPr>
            <w:r>
              <w:rPr/>
              <w:t>)</w:t>
            </w:r>
            <w:bookmarkStart w:id="239" w:name="xdx_409_eus-gaap--IncreaseDecreaseInAcco"/>
            <w:bookmarkEnd w:id="239"/>
          </w:p>
        </w:tc>
      </w:tr>
      <w:tr>
        <w:trPr/>
        <w:tc>
          <w:tcPr>
            <w:tcW w:w="7400" w:type="dxa"/>
            <w:tcBorders/>
            <w:shd w:fill="CCEEFF" w:val="clear"/>
            <w:vAlign w:val="center"/>
          </w:tcPr>
          <w:p>
            <w:pPr>
              <w:pStyle w:val="TableContents"/>
              <w:bidi w:val="0"/>
              <w:spacing w:before="0" w:after="283"/>
              <w:jc w:val="left"/>
              <w:rPr/>
            </w:pPr>
            <w:r>
              <w:rPr/>
              <w:t>Accounts payable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1,581,936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623,430</w:t>
            </w:r>
          </w:p>
        </w:tc>
        <w:tc>
          <w:tcPr>
            <w:tcW w:w="110" w:type="dxa"/>
            <w:tcBorders/>
            <w:shd w:fill="CCEEFF" w:val="clear"/>
            <w:vAlign w:val="center"/>
          </w:tcPr>
          <w:p>
            <w:pPr>
              <w:pStyle w:val="TableContents"/>
              <w:bidi w:val="0"/>
              <w:spacing w:before="0" w:after="283"/>
              <w:jc w:val="left"/>
              <w:rPr>
                <w:sz w:val="4"/>
                <w:szCs w:val="4"/>
              </w:rPr>
            </w:pPr>
            <w:r>
              <w:rPr>
                <w:sz w:val="4"/>
                <w:szCs w:val="4"/>
              </w:rPr>
            </w:r>
            <w:bookmarkStart w:id="240" w:name="xdx_407_eus-gaap--IncreaseDecreaseInAccr"/>
            <w:bookmarkStart w:id="241" w:name="xdx_407_eus-gaap--IncreaseDecreaseInAccr"/>
            <w:bookmarkEnd w:id="241"/>
          </w:p>
        </w:tc>
      </w:tr>
      <w:tr>
        <w:trPr/>
        <w:tc>
          <w:tcPr>
            <w:tcW w:w="7400"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471,399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(650,236</w:t>
            </w:r>
          </w:p>
        </w:tc>
        <w:tc>
          <w:tcPr>
            <w:tcW w:w="110" w:type="dxa"/>
            <w:tcBorders/>
            <w:shd w:fill="FFFFFF" w:val="clear"/>
            <w:vAlign w:val="center"/>
          </w:tcPr>
          <w:p>
            <w:pPr>
              <w:pStyle w:val="TableContents"/>
              <w:bidi w:val="0"/>
              <w:spacing w:before="0" w:after="283"/>
              <w:jc w:val="left"/>
              <w:rPr/>
            </w:pPr>
            <w:r>
              <w:rPr/>
              <w:t>)</w:t>
            </w:r>
            <w:bookmarkStart w:id="242" w:name="xdx_40E_ecustom--IncreaseDecreaseInLoanA"/>
            <w:bookmarkEnd w:id="242"/>
          </w:p>
        </w:tc>
      </w:tr>
      <w:tr>
        <w:trPr/>
        <w:tc>
          <w:tcPr>
            <w:tcW w:w="7400" w:type="dxa"/>
            <w:tcBorders/>
            <w:shd w:fill="CCEEFF" w:val="clear"/>
            <w:vAlign w:val="center"/>
          </w:tcPr>
          <w:p>
            <w:pPr>
              <w:pStyle w:val="TableContents"/>
              <w:bidi w:val="0"/>
              <w:spacing w:before="0" w:after="283"/>
              <w:jc w:val="left"/>
              <w:rPr/>
            </w:pPr>
            <w:r>
              <w:rPr/>
              <w:t>Loan and interest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(493</w:t>
            </w:r>
          </w:p>
        </w:tc>
        <w:tc>
          <w:tcPr>
            <w:tcW w:w="110" w:type="dxa"/>
            <w:tcBorders/>
            <w:shd w:fill="CCEEFF" w:val="clear"/>
            <w:vAlign w:val="center"/>
          </w:tcPr>
          <w:p>
            <w:pPr>
              <w:pStyle w:val="TableContents"/>
              <w:bidi w:val="0"/>
              <w:spacing w:before="0" w:after="283"/>
              <w:jc w:val="left"/>
              <w:rPr/>
            </w:pPr>
            <w:r>
              <w:rPr/>
              <w:t>)</w:t>
            </w:r>
            <w:bookmarkStart w:id="243" w:name="xdx_409_eus-gaap--IncreaseDecreaseInOper"/>
            <w:bookmarkEnd w:id="243"/>
          </w:p>
        </w:tc>
      </w:tr>
      <w:tr>
        <w:trPr/>
        <w:tc>
          <w:tcPr>
            <w:tcW w:w="740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86,834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(80,510</w:t>
            </w:r>
          </w:p>
        </w:tc>
        <w:tc>
          <w:tcPr>
            <w:tcW w:w="110" w:type="dxa"/>
            <w:tcBorders/>
            <w:shd w:fill="FFFFFF" w:val="clear"/>
            <w:vAlign w:val="center"/>
          </w:tcPr>
          <w:p>
            <w:pPr>
              <w:pStyle w:val="TableContents"/>
              <w:bidi w:val="0"/>
              <w:spacing w:before="0" w:after="283"/>
              <w:jc w:val="left"/>
              <w:rPr/>
            </w:pPr>
            <w:r>
              <w:rPr/>
              <w:t>)</w:t>
            </w:r>
            <w:bookmarkStart w:id="244" w:name="xdx_40F_eus-gaap--IncreaseDecreaseInDefe"/>
            <w:bookmarkEnd w:id="244"/>
          </w:p>
        </w:tc>
      </w:tr>
      <w:tr>
        <w:trPr/>
        <w:tc>
          <w:tcPr>
            <w:tcW w:w="740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(358,504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2,138,026</w:t>
            </w:r>
          </w:p>
        </w:tc>
        <w:tc>
          <w:tcPr>
            <w:tcW w:w="110" w:type="dxa"/>
            <w:tcBorders/>
            <w:shd w:fill="CCEEFF" w:val="clear"/>
            <w:vAlign w:val="center"/>
          </w:tcPr>
          <w:p>
            <w:pPr>
              <w:pStyle w:val="TableContents"/>
              <w:bidi w:val="0"/>
              <w:spacing w:before="0" w:after="283"/>
              <w:jc w:val="left"/>
              <w:rPr/>
            </w:pPr>
            <w:r>
              <w:rPr/>
              <w:t> </w:t>
            </w:r>
            <w:bookmarkStart w:id="245" w:name="xdx_405_eus-gaap--NetCashProvidedByUsedI"/>
            <w:bookmarkEnd w:id="245"/>
          </w:p>
        </w:tc>
      </w:tr>
      <w:tr>
        <w:trPr/>
        <w:tc>
          <w:tcPr>
            <w:tcW w:w="7400" w:type="dxa"/>
            <w:tcBorders/>
            <w:shd w:fill="FFFFFF" w:val="clear"/>
            <w:vAlign w:val="center"/>
          </w:tcPr>
          <w:p>
            <w:pPr>
              <w:pStyle w:val="TableContents"/>
              <w:bidi w:val="0"/>
              <w:spacing w:before="0" w:after="283"/>
              <w:jc w:val="left"/>
              <w:rPr/>
            </w:pPr>
            <w:r>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10,207,831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764,549</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6" w:name="xdx_400_eus-gaap--NetCashProvidedByUsedI"/>
            <w:bookmarkEnd w:id="246"/>
          </w:p>
        </w:tc>
      </w:tr>
      <w:tr>
        <w:trPr/>
        <w:tc>
          <w:tcPr>
            <w:tcW w:w="740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7" w:name="xdx_402_eus-gaap--PaymentsToAcquireSoftw"/>
            <w:bookmarkEnd w:id="247"/>
          </w:p>
        </w:tc>
      </w:tr>
      <w:tr>
        <w:trPr/>
        <w:tc>
          <w:tcPr>
            <w:tcW w:w="7400" w:type="dxa"/>
            <w:tcBorders/>
            <w:shd w:fill="CCEEFF" w:val="clear"/>
            <w:vAlign w:val="center"/>
          </w:tcPr>
          <w:p>
            <w:pPr>
              <w:pStyle w:val="TableContents"/>
              <w:bidi w:val="0"/>
              <w:spacing w:before="0" w:after="283"/>
              <w:jc w:val="left"/>
              <w:rPr/>
            </w:pPr>
            <w:r>
              <w:rPr/>
              <w:t>Acquisition of 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(290,000</w:t>
            </w:r>
          </w:p>
        </w:tc>
        <w:tc>
          <w:tcPr>
            <w:tcW w:w="110" w:type="dxa"/>
            <w:tcBorders/>
            <w:shd w:fill="CCEEFF" w:val="clear"/>
            <w:vAlign w:val="center"/>
          </w:tcPr>
          <w:p>
            <w:pPr>
              <w:pStyle w:val="TableContents"/>
              <w:bidi w:val="0"/>
              <w:spacing w:before="0" w:after="283"/>
              <w:jc w:val="left"/>
              <w:rPr/>
            </w:pPr>
            <w:r>
              <w:rPr/>
              <w:t>)</w:t>
            </w:r>
            <w:bookmarkStart w:id="248" w:name="xdx_409_eus-gaap--PaymentsToAcquireIntan"/>
            <w:bookmarkEnd w:id="248"/>
          </w:p>
        </w:tc>
      </w:tr>
      <w:tr>
        <w:trPr/>
        <w:tc>
          <w:tcPr>
            <w:tcW w:w="7400" w:type="dxa"/>
            <w:tcBorders/>
            <w:shd w:fill="FFFFFF" w:val="clear"/>
            <w:vAlign w:val="center"/>
          </w:tcPr>
          <w:p>
            <w:pPr>
              <w:pStyle w:val="TableContents"/>
              <w:bidi w:val="0"/>
              <w:spacing w:before="0" w:after="283"/>
              <w:jc w:val="left"/>
              <w:rPr/>
            </w:pPr>
            <w:r>
              <w:rPr/>
              <w:t>Acquisition of software licenses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(1,412,000</w:t>
            </w:r>
          </w:p>
        </w:tc>
        <w:tc>
          <w:tcPr>
            <w:tcW w:w="110" w:type="dxa"/>
            <w:tcBorders/>
            <w:shd w:fill="FFFFFF" w:val="clear"/>
            <w:vAlign w:val="center"/>
          </w:tcPr>
          <w:p>
            <w:pPr>
              <w:pStyle w:val="TableContents"/>
              <w:bidi w:val="0"/>
              <w:spacing w:before="0" w:after="283"/>
              <w:jc w:val="left"/>
              <w:rPr/>
            </w:pPr>
            <w:r>
              <w:rPr/>
              <w:t>)</w:t>
            </w:r>
            <w:bookmarkStart w:id="249" w:name="xdx_40D_eus-gaap--PaymentsToAcquireInves"/>
            <w:bookmarkEnd w:id="249"/>
          </w:p>
        </w:tc>
      </w:tr>
      <w:tr>
        <w:trPr/>
        <w:tc>
          <w:tcPr>
            <w:tcW w:w="7400" w:type="dxa"/>
            <w:tcBorders/>
            <w:shd w:fill="CCEEFF" w:val="clear"/>
            <w:vAlign w:val="center"/>
          </w:tcPr>
          <w:p>
            <w:pPr>
              <w:pStyle w:val="TableContents"/>
              <w:bidi w:val="0"/>
              <w:spacing w:before="0" w:after="283"/>
              <w:jc w:val="left"/>
              <w:rPr/>
            </w:pPr>
            <w:r>
              <w:rPr/>
              <w:t>Investments in software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(177,002</w:t>
            </w:r>
          </w:p>
        </w:tc>
        <w:tc>
          <w:tcPr>
            <w:tcW w:w="110" w:type="dxa"/>
            <w:tcBorders/>
            <w:shd w:fill="CCEEFF" w:val="clear"/>
            <w:vAlign w:val="center"/>
          </w:tcPr>
          <w:p>
            <w:pPr>
              <w:pStyle w:val="TableContents"/>
              <w:bidi w:val="0"/>
              <w:spacing w:before="0" w:after="283"/>
              <w:jc w:val="left"/>
              <w:rPr/>
            </w:pPr>
            <w:r>
              <w:rPr/>
              <w:t>)</w:t>
            </w:r>
            <w:bookmarkStart w:id="250" w:name="xdx_400_eus-gaap--NetCashProvidedByUsedI"/>
            <w:bookmarkEnd w:id="250"/>
          </w:p>
        </w:tc>
      </w:tr>
      <w:tr>
        <w:trPr/>
        <w:tc>
          <w:tcPr>
            <w:tcW w:w="740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(1,879,002</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1" w:name="xdx_405_eus-gaap--NetCashProvidedByUsedI"/>
            <w:bookmarkEnd w:id="251"/>
          </w:p>
        </w:tc>
      </w:tr>
      <w:tr>
        <w:trPr/>
        <w:tc>
          <w:tcPr>
            <w:tcW w:w="7400" w:type="dxa"/>
            <w:tcBorders/>
            <w:shd w:fill="FFFFFF" w:val="clear"/>
            <w:vAlign w:val="center"/>
          </w:tcPr>
          <w:p>
            <w:pPr>
              <w:pStyle w:val="TableContents"/>
              <w:bidi w:val="0"/>
              <w:spacing w:before="0" w:after="283"/>
              <w:jc w:val="both"/>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2" w:name="xdx_406_ecustom--RepaymentsOnPromissoryN"/>
            <w:bookmarkEnd w:id="252"/>
          </w:p>
        </w:tc>
      </w:tr>
      <w:tr>
        <w:trPr/>
        <w:tc>
          <w:tcPr>
            <w:tcW w:w="7400" w:type="dxa"/>
            <w:tcBorders/>
            <w:shd w:fill="CCEEFF" w:val="clear"/>
            <w:vAlign w:val="center"/>
          </w:tcPr>
          <w:p>
            <w:pPr>
              <w:pStyle w:val="TableContents"/>
              <w:bidi w:val="0"/>
              <w:spacing w:before="0" w:after="283"/>
              <w:jc w:val="left"/>
              <w:rPr/>
            </w:pPr>
            <w:r>
              <w:rPr/>
              <w:t>Repayments on promissory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(21,546</w:t>
            </w:r>
          </w:p>
        </w:tc>
        <w:tc>
          <w:tcPr>
            <w:tcW w:w="110" w:type="dxa"/>
            <w:tcBorders/>
            <w:shd w:fill="CCEEFF" w:val="clear"/>
            <w:vAlign w:val="center"/>
          </w:tcPr>
          <w:p>
            <w:pPr>
              <w:pStyle w:val="TableContents"/>
              <w:bidi w:val="0"/>
              <w:spacing w:before="0" w:after="283"/>
              <w:jc w:val="left"/>
              <w:rPr/>
            </w:pPr>
            <w:r>
              <w:rPr/>
              <w:t>)</w:t>
            </w:r>
            <w:bookmarkStart w:id="253" w:name="xdx_400_eus-gaap--RepaymentsOfNotesPayab"/>
            <w:bookmarkEnd w:id="253"/>
          </w:p>
        </w:tc>
      </w:tr>
      <w:tr>
        <w:trPr/>
        <w:tc>
          <w:tcPr>
            <w:tcW w:w="7400" w:type="dxa"/>
            <w:tcBorders/>
            <w:shd w:fill="FFFFFF" w:val="clear"/>
            <w:vAlign w:val="center"/>
          </w:tcPr>
          <w:p>
            <w:pPr>
              <w:pStyle w:val="TableContents"/>
              <w:bidi w:val="0"/>
              <w:spacing w:before="0" w:after="283"/>
              <w:jc w:val="left"/>
              <w:rPr/>
            </w:pPr>
            <w:r>
              <w:rPr/>
              <w:t>Repayments on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(295,119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54" w:name="xdx_40A_eus-gaap--RepaymentsOfConvertibl"/>
            <w:bookmarkEnd w:id="254"/>
          </w:p>
        </w:tc>
      </w:tr>
      <w:tr>
        <w:trPr/>
        <w:tc>
          <w:tcPr>
            <w:tcW w:w="7400" w:type="dxa"/>
            <w:tcBorders/>
            <w:shd w:fill="CCEEFF" w:val="clear"/>
            <w:vAlign w:val="center"/>
          </w:tcPr>
          <w:p>
            <w:pPr>
              <w:pStyle w:val="TableContents"/>
              <w:bidi w:val="0"/>
              <w:spacing w:before="0" w:after="283"/>
              <w:jc w:val="left"/>
              <w:rPr/>
            </w:pPr>
            <w:r>
              <w:rPr/>
              <w:t>Repayments on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(1,525,384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55" w:name="xdx_40D_eus-gaap--RepaymentsOfLinesOfCre"/>
            <w:bookmarkEnd w:id="255"/>
          </w:p>
        </w:tc>
      </w:tr>
      <w:tr>
        <w:trPr/>
        <w:tc>
          <w:tcPr>
            <w:tcW w:w="7400" w:type="dxa"/>
            <w:tcBorders/>
            <w:shd w:fill="FFFFFF" w:val="clear"/>
            <w:vAlign w:val="center"/>
          </w:tcPr>
          <w:p>
            <w:pPr>
              <w:pStyle w:val="TableContents"/>
              <w:bidi w:val="0"/>
              <w:spacing w:before="0" w:after="283"/>
              <w:jc w:val="left"/>
              <w:rPr/>
            </w:pPr>
            <w:r>
              <w:rPr/>
              <w:t>Repayments on revolving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56" w:name="xdx_408_eus-gaap--ProceedsFromWarrantExe"/>
            <w:bookmarkEnd w:id="256"/>
          </w:p>
        </w:tc>
      </w:tr>
      <w:tr>
        <w:trPr/>
        <w:tc>
          <w:tcPr>
            <w:tcW w:w="7400" w:type="dxa"/>
            <w:tcBorders/>
            <w:shd w:fill="CCEEFF" w:val="clear"/>
            <w:vAlign w:val="center"/>
          </w:tcPr>
          <w:p>
            <w:pPr>
              <w:pStyle w:val="TableContents"/>
              <w:bidi w:val="0"/>
              <w:spacing w:before="0" w:after="283"/>
              <w:jc w:val="left"/>
              <w:rPr/>
            </w:pPr>
            <w:r>
              <w:rPr/>
              <w:t>Cash proceeds from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159,000</w:t>
            </w:r>
          </w:p>
        </w:tc>
        <w:tc>
          <w:tcPr>
            <w:tcW w:w="110" w:type="dxa"/>
            <w:tcBorders/>
            <w:shd w:fill="CCEEFF" w:val="clear"/>
            <w:vAlign w:val="center"/>
          </w:tcPr>
          <w:p>
            <w:pPr>
              <w:pStyle w:val="TableContents"/>
              <w:bidi w:val="0"/>
              <w:spacing w:before="0" w:after="283"/>
              <w:jc w:val="left"/>
              <w:rPr/>
            </w:pPr>
            <w:r>
              <w:rPr/>
              <w:t> </w:t>
            </w:r>
            <w:bookmarkStart w:id="257" w:name="xdx_405_eus-gaap--ProceedsFromIssuanceOf"/>
            <w:bookmarkEnd w:id="257"/>
          </w:p>
        </w:tc>
      </w:tr>
      <w:tr>
        <w:trPr/>
        <w:tc>
          <w:tcPr>
            <w:tcW w:w="7400" w:type="dxa"/>
            <w:tcBorders/>
            <w:shd w:fill="FFFFFF" w:val="clear"/>
            <w:vAlign w:val="center"/>
          </w:tcPr>
          <w:p>
            <w:pPr>
              <w:pStyle w:val="TableContents"/>
              <w:bidi w:val="0"/>
              <w:spacing w:before="0" w:after="283"/>
              <w:jc w:val="left"/>
              <w:rPr/>
            </w:pPr>
            <w:r>
              <w:rPr/>
              <w:t>Proceeds from issuance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3,000,000</w:t>
            </w:r>
          </w:p>
        </w:tc>
        <w:tc>
          <w:tcPr>
            <w:tcW w:w="110" w:type="dxa"/>
            <w:tcBorders/>
            <w:shd w:fill="FFFFFF" w:val="clear"/>
            <w:vAlign w:val="center"/>
          </w:tcPr>
          <w:p>
            <w:pPr>
              <w:pStyle w:val="TableContents"/>
              <w:bidi w:val="0"/>
              <w:spacing w:before="0" w:after="283"/>
              <w:jc w:val="left"/>
              <w:rPr/>
            </w:pPr>
            <w:r>
              <w:rPr/>
              <w:t> </w:t>
            </w:r>
            <w:bookmarkStart w:id="258" w:name="xdx_400_eus-gaap--PaymentsOfLoanCosts_i0"/>
            <w:bookmarkEnd w:id="258"/>
          </w:p>
        </w:tc>
      </w:tr>
      <w:tr>
        <w:trPr/>
        <w:tc>
          <w:tcPr>
            <w:tcW w:w="7400" w:type="dxa"/>
            <w:tcBorders/>
            <w:shd w:fill="CCEEFF" w:val="clear"/>
            <w:vAlign w:val="center"/>
          </w:tcPr>
          <w:p>
            <w:pPr>
              <w:pStyle w:val="TableContents"/>
              <w:bidi w:val="0"/>
              <w:spacing w:before="0" w:after="283"/>
              <w:jc w:val="left"/>
              <w:rPr/>
            </w:pPr>
            <w:r>
              <w:rPr/>
              <w:t>Payments of loan origination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59" w:name="xdx_40D_eus-gaap--NetCashProvidedByUsedI"/>
            <w:bookmarkEnd w:id="259"/>
          </w:p>
        </w:tc>
      </w:tr>
      <w:tr>
        <w:trPr/>
        <w:tc>
          <w:tcPr>
            <w:tcW w:w="7400" w:type="dxa"/>
            <w:tcBorders/>
            <w:shd w:fill="FFFFFF" w:val="clear"/>
            <w:vAlign w:val="center"/>
          </w:tcPr>
          <w:p>
            <w:pPr>
              <w:pStyle w:val="TableContents"/>
              <w:bidi w:val="0"/>
              <w:spacing w:before="0" w:after="283"/>
              <w:jc w:val="left"/>
              <w:rPr/>
            </w:pPr>
            <w:r>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(4,328,003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3,137,454</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0" w:name="xdx_40F_eus-gaap--EffectOfExchangeRateOn"/>
            <w:bookmarkEnd w:id="260"/>
          </w:p>
        </w:tc>
      </w:tr>
      <w:tr>
        <w:trPr/>
        <w:tc>
          <w:tcPr>
            <w:tcW w:w="7400" w:type="dxa"/>
            <w:tcBorders/>
            <w:shd w:fill="FFFFFF" w:val="clear"/>
            <w:vAlign w:val="center"/>
          </w:tcPr>
          <w:p>
            <w:pPr>
              <w:pStyle w:val="TableContents"/>
              <w:bidi w:val="0"/>
              <w:spacing w:before="0" w:after="283"/>
              <w:jc w:val="left"/>
              <w:rPr/>
            </w:pPr>
            <w:r>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(26,824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32,171</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1" w:name="xdx_402_eus-gaap--CashCashEquivalentsRes"/>
            <w:bookmarkEnd w:id="261"/>
          </w:p>
        </w:tc>
      </w:tr>
      <w:tr>
        <w:trPr/>
        <w:tc>
          <w:tcPr>
            <w:tcW w:w="7400" w:type="dxa"/>
            <w:tcBorders/>
            <w:shd w:fill="FFFFFF" w:val="clear"/>
            <w:vAlign w:val="center"/>
          </w:tcPr>
          <w:p>
            <w:pPr>
              <w:pStyle w:val="TableContents"/>
              <w:bidi w:val="0"/>
              <w:spacing w:before="0" w:after="283"/>
              <w:jc w:val="left"/>
              <w:rPr/>
            </w:pPr>
            <w:r>
              <w:rPr/>
              <w:t>Net increase in cash and cash equivalents, and restricted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5,691,004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2,055,172</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2" w:name="xdx_40E_eus-gaap--CashCashEquivalentsRes"/>
            <w:bookmarkEnd w:id="262"/>
          </w:p>
        </w:tc>
      </w:tr>
      <w:tr>
        <w:trPr/>
        <w:tc>
          <w:tcPr>
            <w:tcW w:w="7400" w:type="dxa"/>
            <w:tcBorders/>
            <w:shd w:fill="FFFFFF" w:val="clear"/>
            <w:vAlign w:val="center"/>
          </w:tcPr>
          <w:p>
            <w:pPr>
              <w:pStyle w:val="TableContents"/>
              <w:bidi w:val="0"/>
              <w:spacing w:before="0" w:after="283"/>
              <w:jc w:val="left"/>
              <w:rPr/>
            </w:pPr>
            <w:r>
              <w:rPr/>
              <w:t>Cash and cash equivalents, and restricted cash and cash equivalents –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10,503,164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8,238,944</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3" w:name="xdx_404_eus-gaap--CashCashEquivalentsRes"/>
            <w:bookmarkEnd w:id="263"/>
          </w:p>
        </w:tc>
      </w:tr>
      <w:tr>
        <w:trPr/>
        <w:tc>
          <w:tcPr>
            <w:tcW w:w="7400" w:type="dxa"/>
            <w:tcBorders/>
            <w:shd w:fill="FFFFFF" w:val="clear"/>
            <w:vAlign w:val="center"/>
          </w:tcPr>
          <w:p>
            <w:pPr>
              <w:pStyle w:val="TableContents"/>
              <w:bidi w:val="0"/>
              <w:spacing w:before="0" w:after="283"/>
              <w:jc w:val="left"/>
              <w:rPr>
                <w:b/>
              </w:rPr>
            </w:pPr>
            <w:r>
              <w:rPr>
                <w:b/>
              </w:rPr>
              <w:t>Cash and cash equivalents, and restricted cash and cash equivalents – end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16,194,168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10,294,116</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4" w:name="xdx_408_eus-gaap--SupplementalCashFlowIn"/>
            <w:bookmarkEnd w:id="264"/>
          </w:p>
        </w:tc>
      </w:tr>
      <w:tr>
        <w:trPr/>
        <w:tc>
          <w:tcPr>
            <w:tcW w:w="7400"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5" w:name="xdx_405_ecustom--CashPaidDuringPeriodFor"/>
            <w:bookmarkEnd w:id="265"/>
          </w:p>
        </w:tc>
      </w:tr>
      <w:tr>
        <w:trPr/>
        <w:tc>
          <w:tcPr>
            <w:tcW w:w="7400" w:type="dxa"/>
            <w:tcBorders/>
            <w:shd w:fill="CCEEFF" w:val="clear"/>
            <w:vAlign w:val="center"/>
          </w:tcPr>
          <w:p>
            <w:pPr>
              <w:pStyle w:val="TableContents"/>
              <w:bidi w:val="0"/>
              <w:spacing w:before="0" w:after="283"/>
              <w:jc w:val="left"/>
              <w:rPr>
                <w:b/>
              </w:rPr>
            </w:pPr>
            <w:r>
              <w:rPr>
                <w:b/>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6" w:name="xdx_40A_eus-gaap--InterestPaidNet_i02_z1"/>
            <w:bookmarkEnd w:id="266"/>
          </w:p>
        </w:tc>
      </w:tr>
      <w:tr>
        <w:trPr/>
        <w:tc>
          <w:tcPr>
            <w:tcW w:w="740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228,053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97,260</w:t>
            </w:r>
          </w:p>
        </w:tc>
        <w:tc>
          <w:tcPr>
            <w:tcW w:w="110" w:type="dxa"/>
            <w:tcBorders/>
            <w:shd w:fill="FFFFFF" w:val="clear"/>
            <w:vAlign w:val="center"/>
          </w:tcPr>
          <w:p>
            <w:pPr>
              <w:pStyle w:val="TableContents"/>
              <w:bidi w:val="0"/>
              <w:spacing w:before="0" w:after="283"/>
              <w:jc w:val="left"/>
              <w:rPr/>
            </w:pPr>
            <w:r>
              <w:rPr/>
              <w:t> </w:t>
            </w:r>
            <w:bookmarkStart w:id="267" w:name="xdx_408_eus-gaap--IncomeTaxesPaidNet_i02"/>
            <w:bookmarkEnd w:id="267"/>
          </w:p>
        </w:tc>
      </w:tr>
      <w:tr>
        <w:trPr/>
        <w:tc>
          <w:tcPr>
            <w:tcW w:w="7400" w:type="dxa"/>
            <w:tcBorders/>
            <w:shd w:fill="CCEEFF" w:val="clear"/>
            <w:vAlign w:val="center"/>
          </w:tcPr>
          <w:p>
            <w:pPr>
              <w:pStyle w:val="TableContents"/>
              <w:bidi w:val="0"/>
              <w:spacing w:before="0" w:after="283"/>
              <w:jc w:val="left"/>
              <w:rPr/>
            </w:pPr>
            <w:r>
              <w:rPr/>
              <w:t>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184,707</w:t>
            </w:r>
          </w:p>
        </w:tc>
        <w:tc>
          <w:tcPr>
            <w:tcW w:w="110" w:type="dxa"/>
            <w:tcBorders/>
            <w:shd w:fill="CCEEFF" w:val="clear"/>
            <w:vAlign w:val="center"/>
          </w:tcPr>
          <w:p>
            <w:pPr>
              <w:pStyle w:val="TableContents"/>
              <w:bidi w:val="0"/>
              <w:spacing w:before="0" w:after="283"/>
              <w:jc w:val="left"/>
              <w:rPr/>
            </w:pPr>
            <w:r>
              <w:rPr/>
              <w:t> </w:t>
            </w:r>
            <w:bookmarkStart w:id="268" w:name="xdx_40B_ecustom--CashFlowTransactionsDur"/>
            <w:bookmarkEnd w:id="268"/>
          </w:p>
        </w:tc>
      </w:tr>
      <w:tr>
        <w:trPr/>
        <w:tc>
          <w:tcPr>
            <w:tcW w:w="7400" w:type="dxa"/>
            <w:tcBorders/>
            <w:shd w:fill="FFFFFF" w:val="clear"/>
            <w:vAlign w:val="center"/>
          </w:tcPr>
          <w:p>
            <w:pPr>
              <w:pStyle w:val="TableContents"/>
              <w:bidi w:val="0"/>
              <w:spacing w:before="0" w:after="283"/>
              <w:jc w:val="left"/>
              <w:rPr>
                <w:b/>
              </w:rPr>
            </w:pPr>
            <w:r>
              <w:rPr>
                <w:b/>
              </w:rPr>
              <w:t>Noncash transactions during the period for: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9" w:name="xdx_402_ecustom--LiabilitiesConvertedToE"/>
            <w:bookmarkEnd w:id="269"/>
          </w:p>
        </w:tc>
      </w:tr>
      <w:tr>
        <w:trPr/>
        <w:tc>
          <w:tcPr>
            <w:tcW w:w="7400" w:type="dxa"/>
            <w:tcBorders/>
            <w:shd w:fill="CCEEFF" w:val="clear"/>
            <w:vAlign w:val="center"/>
          </w:tcPr>
          <w:p>
            <w:pPr>
              <w:pStyle w:val="TableContents"/>
              <w:bidi w:val="0"/>
              <w:spacing w:before="0" w:after="283"/>
              <w:jc w:val="left"/>
              <w:rPr/>
            </w:pPr>
            <w:r>
              <w:rPr/>
              <w:t>Liabilities converted to equity upon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323,113</w:t>
            </w:r>
          </w:p>
        </w:tc>
        <w:tc>
          <w:tcPr>
            <w:tcW w:w="110" w:type="dxa"/>
            <w:tcBorders/>
            <w:shd w:fill="CCEEFF" w:val="clear"/>
            <w:vAlign w:val="center"/>
          </w:tcPr>
          <w:p>
            <w:pPr>
              <w:pStyle w:val="TableContents"/>
              <w:bidi w:val="0"/>
              <w:spacing w:before="0" w:after="283"/>
              <w:jc w:val="left"/>
              <w:rPr/>
            </w:pPr>
            <w:r>
              <w:rPr/>
              <w:t> </w:t>
            </w:r>
            <w:bookmarkStart w:id="270" w:name="xdx_407_ecustom--AcquisitionOfFilmLicens"/>
            <w:bookmarkEnd w:id="270"/>
          </w:p>
        </w:tc>
      </w:tr>
      <w:tr>
        <w:trPr/>
        <w:tc>
          <w:tcPr>
            <w:tcW w:w="7400" w:type="dxa"/>
            <w:tcBorders/>
            <w:shd w:fill="FFFFFF" w:val="clear"/>
            <w:vAlign w:val="center"/>
          </w:tcPr>
          <w:p>
            <w:pPr>
              <w:pStyle w:val="TableContents"/>
              <w:bidi w:val="0"/>
              <w:spacing w:before="0" w:after="283"/>
              <w:jc w:val="left"/>
              <w:rPr/>
            </w:pPr>
            <w:r>
              <w:rPr/>
              <w:t>Acquisition of film licenses in 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152,000</w:t>
            </w:r>
          </w:p>
        </w:tc>
        <w:tc>
          <w:tcPr>
            <w:tcW w:w="110" w:type="dxa"/>
            <w:tcBorders/>
            <w:shd w:fill="FFFFFF" w:val="clear"/>
            <w:vAlign w:val="center"/>
          </w:tcPr>
          <w:p>
            <w:pPr>
              <w:pStyle w:val="TableContents"/>
              <w:bidi w:val="0"/>
              <w:spacing w:before="0" w:after="283"/>
              <w:jc w:val="left"/>
              <w:rPr/>
            </w:pPr>
            <w:r>
              <w:rPr/>
              <w:t> </w:t>
            </w:r>
            <w:bookmarkStart w:id="271" w:name="xdx_40D_ecustom--AcquisitionOfSoftwareAn"/>
            <w:bookmarkEnd w:id="271"/>
          </w:p>
        </w:tc>
      </w:tr>
      <w:tr>
        <w:trPr/>
        <w:tc>
          <w:tcPr>
            <w:tcW w:w="7400" w:type="dxa"/>
            <w:tcBorders/>
            <w:shd w:fill="CCEEFF" w:val="clear"/>
            <w:vAlign w:val="center"/>
          </w:tcPr>
          <w:p>
            <w:pPr>
              <w:pStyle w:val="TableContents"/>
              <w:bidi w:val="0"/>
              <w:spacing w:before="0" w:after="283"/>
              <w:jc w:val="left"/>
              <w:rPr/>
            </w:pPr>
            <w:r>
              <w:rPr/>
              <w:t>Acquisition of software and software licenses in 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(8,639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51,741</w:t>
            </w:r>
          </w:p>
        </w:tc>
        <w:tc>
          <w:tcPr>
            <w:tcW w:w="110" w:type="dxa"/>
            <w:tcBorders/>
            <w:shd w:fill="CCEEFF" w:val="clear"/>
            <w:vAlign w:val="center"/>
          </w:tcPr>
          <w:p>
            <w:pPr>
              <w:pStyle w:val="TableContents"/>
              <w:bidi w:val="0"/>
              <w:spacing w:before="0" w:after="283"/>
              <w:jc w:val="left"/>
              <w:rPr/>
            </w:pPr>
            <w:r>
              <w:rPr/>
              <w:t> </w:t>
            </w:r>
            <w:bookmarkStart w:id="272" w:name="xdx_401_ecustom--ChangeInFairValueOfNote"/>
            <w:bookmarkEnd w:id="272"/>
          </w:p>
        </w:tc>
      </w:tr>
      <w:tr>
        <w:trPr/>
        <w:tc>
          <w:tcPr>
            <w:tcW w:w="7400" w:type="dxa"/>
            <w:tcBorders/>
            <w:shd w:fill="FFFFFF" w:val="clear"/>
            <w:vAlign w:val="center"/>
          </w:tcPr>
          <w:p>
            <w:pPr>
              <w:pStyle w:val="TableContents"/>
              <w:bidi w:val="0"/>
              <w:spacing w:before="0" w:after="283"/>
              <w:jc w:val="left"/>
              <w:rPr/>
            </w:pPr>
            <w:r>
              <w:rPr/>
              <w:t>Change in fair value of notes recorded in 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22,023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3" w:name="vr_008"/>
      <w:bookmarkEnd w:id="273"/>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4" w:name="xdx_805_eus-gaap--OrganizationConsolidat"/>
      <w:bookmarkEnd w:id="274"/>
      <w:r>
        <w:rPr>
          <w:rFonts w:ascii="Times New Roman;Times;Serif" w:hAnsi="Times New Roman;Times;Serif"/>
          <w:b/>
          <w:i w:val="false"/>
          <w:caps w:val="false"/>
          <w:smallCaps w:val="false"/>
          <w:sz w:val="20"/>
        </w:rPr>
        <w:t xml:space="preserve">NOTE 1 – </w:t>
      </w:r>
      <w:bookmarkStart w:id="275" w:name="xdx_828_ztlkbQoSmA81"/>
      <w:bookmarkEnd w:id="275"/>
      <w:r>
        <w:rPr>
          <w:rFonts w:ascii="Times New Roman;Times;Serif" w:hAnsi="Times New Roman;Times;Serif"/>
          <w:b/>
          <w:i w:val="false"/>
          <w:caps w:val="false"/>
          <w:smallCaps w:val="false"/>
          <w:sz w:val="20"/>
        </w:rPr>
        <w:t>PRESENTATION AND NATURE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Inc. was incorporated under the laws of Delaware in January 2022. The terms “Snail, Inc,” “Snail Games,” “our” and the “Company” are used to refer collectively to Snail, Inc. and its subsidiaries. The Company’s fiscal year end is December 31. The Company was formed for the purpose of completing an initial public offering (“IPO”) and related transactions to carry on the business of Snail Games USA Inc. and its subsidiaries. Snail Games USA Inc. was founded in 2009 as a wholly owned subsidiary of Suzhou Snail Digital Technology Co., Ltd. (“Suzhou Snail”) located in Suzhou, China and is the operating entity that continues post IPO. Snail Games USA Inc. is devoted to researching, developing, marketing, publishing, and distributing games, content and support that can be played on a variety of platforms including game consoles, PCs, mobile phones and tablets.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in accordance with the rules and regulations of the Securities and Exchange Commission (the “SEC”) and generally accepted accounting principles as promulgated in the United States of America (“U.S. GAAP”) for interim reporting. Accordingly, certain notes or other information that are normally required by U.S. GAAP have been condensed or omitted if they substantially duplicate disclosures contained in our annual audited consolidated financial statements. Additionally, the year-end condensed consolidated balance sheet data was derived from audited consolidated financial statements but does not include all disclosures required by U.S. GAAP. Accordingly, the unaudited condensed consolidated financial statements should be read in conjunction with the audited consolidated financial statements and notes thereto for the year ended December 31, 2025 included in the Company’s Annual Report on Form 10-K for the fiscal year ended December 31, 2025, filed with the SEC on March 19, 2026. The condensed consolidated results of operations for any interim period are not necessarily indicative of the results to be expected for the full year or for any other future annual or interim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adjustments considered necessary for the fair presentation of the Company’s financial position and its results of operations in accordance with U.S. GAAP (consisting of normal recurring adjustments) have been included in the accompanying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6" w:name="xdx_89F_ecustom--ScheduleOfEquityInteres"/>
      <w:bookmarkEnd w:id="276"/>
      <w:r>
        <w:rPr>
          <w:rFonts w:ascii="Times New Roman;Times;Serif" w:hAnsi="Times New Roman;Times;Serif"/>
          <w:b w:val="false"/>
          <w:i w:val="false"/>
          <w:caps w:val="false"/>
          <w:smallCaps w:val="false"/>
          <w:sz w:val="20"/>
        </w:rPr>
        <w:t>The condensed consolidated financial statements include the accounts of Snail, Inc. and the following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bookmarkStart w:id="277" w:name="xdx_8BE_zJgXo8gYZb62"/>
      <w:bookmarkEnd w:id="277"/>
      <w:r>
        <w:rPr>
          <w:rFonts w:ascii="Times New Roman;Times;Serif" w:hAnsi="Times New Roman;Times;Serif"/>
          <w:b w:val="false"/>
          <w:i w:val="false"/>
          <w:caps w:val="false"/>
          <w:smallCaps w:val="false"/>
          <w:sz w:val="20"/>
        </w:rPr>
        <w:t>SCHEDULE OF SUBSIDIARIES INCLUDED IN THE CONSOLIDATED FINANCIAL STATEMENTS</w:t>
      </w:r>
      <w:r>
        <w:rPr>
          <w:rFonts w:ascii="Times New Roman;Times;Serif" w:hAnsi="Times New Roman;Times;Serif"/>
          <w:b w:val="false"/>
          <w:i w:val="false"/>
          <w:caps w:val="false"/>
          <w:smallCaps w:val="false"/>
          <w:sz w:val="24"/>
        </w:rPr>
        <w:t> </w:t>
      </w:r>
    </w:p>
    <w:tbl>
      <w:tblPr>
        <w:tblW w:w="4409" w:type="dxa"/>
        <w:jc w:val="left"/>
        <w:tblInd w:w="0" w:type="dxa"/>
        <w:tblLayout w:type="fixed"/>
        <w:tblCellMar>
          <w:top w:w="0" w:type="dxa"/>
          <w:left w:w="0" w:type="dxa"/>
          <w:bottom w:w="0" w:type="dxa"/>
          <w:right w:w="0" w:type="dxa"/>
        </w:tblCellMar>
      </w:tblPr>
      <w:tblGrid>
        <w:gridCol w:w="3110"/>
        <w:gridCol w:w="60"/>
        <w:gridCol w:w="136"/>
        <w:gridCol w:w="873"/>
        <w:gridCol w:w="230"/>
      </w:tblGrid>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rPr>
            </w:pPr>
            <w:r>
              <w:rPr>
                <w:b/>
              </w:rPr>
              <w:t>Equity %</w:t>
            </w:r>
          </w:p>
        </w:tc>
        <w:tc>
          <w:tcPr>
            <w:tcW w:w="230" w:type="dxa"/>
            <w:tcBorders/>
            <w:vAlign w:val="center"/>
          </w:tcPr>
          <w:p>
            <w:pPr>
              <w:pStyle w:val="TableContents"/>
              <w:bidi w:val="0"/>
              <w:spacing w:before="0" w:after="283"/>
              <w:jc w:val="left"/>
              <w:rPr/>
            </w:pPr>
            <w:r>
              <w:rPr/>
              <w:t> </w:t>
            </w:r>
          </w:p>
        </w:tc>
      </w:tr>
      <w:tr>
        <w:trPr/>
        <w:tc>
          <w:tcPr>
            <w:tcW w:w="3110" w:type="dxa"/>
            <w:tcBorders>
              <w:bottom w:val="single" w:sz="8" w:space="0" w:color="000000"/>
            </w:tcBorders>
            <w:tcMar>
              <w:bottom w:w="28" w:type="dxa"/>
            </w:tcMar>
            <w:vAlign w:val="center"/>
          </w:tcPr>
          <w:p>
            <w:pPr>
              <w:pStyle w:val="TableContents"/>
              <w:bidi w:val="0"/>
              <w:spacing w:before="0" w:after="283"/>
              <w:jc w:val="center"/>
              <w:rPr>
                <w:b/>
              </w:rPr>
            </w:pPr>
            <w:r>
              <w:rPr>
                <w:b/>
              </w:rPr>
              <w:t>Subsidiary Name</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Owned</w:t>
            </w:r>
          </w:p>
        </w:tc>
        <w:tc>
          <w:tcPr>
            <w:tcW w:w="23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Snail Games USA Inc.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78" w:name="xdx_98E_eus-gaap--EquityMethodInvestment"/>
            <w:bookmarkEnd w:id="278"/>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Snail Innovation Institute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279" w:name="xdx_98E_eus-gaap--EquityMethodInvestment"/>
            <w:bookmarkEnd w:id="279"/>
          </w:p>
        </w:tc>
        <w:tc>
          <w:tcPr>
            <w:tcW w:w="873" w:type="dxa"/>
            <w:tcBorders/>
            <w:shd w:fill="FFFFFF" w:val="clear"/>
            <w:vAlign w:val="center"/>
          </w:tcPr>
          <w:p>
            <w:pPr>
              <w:pStyle w:val="TableContents"/>
              <w:bidi w:val="0"/>
              <w:spacing w:before="0" w:after="283"/>
              <w:jc w:val="right"/>
              <w:rPr/>
            </w:pPr>
            <w:r>
              <w:rPr/>
              <w:t>70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Frostkeep Studios, Inc.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80" w:name="xdx_981_eus-gaap--EquityMethodInvestment"/>
            <w:bookmarkEnd w:id="280"/>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Eminence Corp</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281" w:name="xdx_982_eus-gaap--EquityMethodInvestment"/>
            <w:bookmarkEnd w:id="281"/>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Wandering Wizard,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82" w:name="xdx_98B_eus-gaap--EquityMethodInvestment"/>
            <w:bookmarkEnd w:id="282"/>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Donkey Crew,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283" w:name="xdx_985_eus-gaap--EquityMethodInvestment"/>
            <w:bookmarkEnd w:id="283"/>
          </w:p>
        </w:tc>
        <w:tc>
          <w:tcPr>
            <w:tcW w:w="873" w:type="dxa"/>
            <w:tcBorders/>
            <w:shd w:fill="FFFFFF" w:val="clear"/>
            <w:vAlign w:val="center"/>
          </w:tcPr>
          <w:p>
            <w:pPr>
              <w:pStyle w:val="TableContents"/>
              <w:bidi w:val="0"/>
              <w:spacing w:before="0" w:after="283"/>
              <w:jc w:val="right"/>
              <w:rPr/>
            </w:pPr>
            <w:r>
              <w:rPr/>
              <w:t>99</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Interactive Films,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84" w:name="xdx_98A_eus-gaap--EquityMethodInvestment"/>
            <w:bookmarkEnd w:id="284"/>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Project AWK Productions,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285" w:name="xdx_981_eus-gaap--EquityMethodInvestment"/>
            <w:bookmarkEnd w:id="285"/>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BTBX.IO,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86" w:name="xdx_982_eus-gaap--EquityMethodInvestment"/>
            <w:bookmarkEnd w:id="286"/>
          </w:p>
        </w:tc>
        <w:tc>
          <w:tcPr>
            <w:tcW w:w="873" w:type="dxa"/>
            <w:tcBorders/>
            <w:shd w:fill="CCEEFF" w:val="clear"/>
            <w:vAlign w:val="center"/>
          </w:tcPr>
          <w:p>
            <w:pPr>
              <w:pStyle w:val="TableContents"/>
              <w:bidi w:val="0"/>
              <w:spacing w:before="0" w:after="283"/>
              <w:jc w:val="right"/>
              <w:rPr/>
            </w:pPr>
            <w:r>
              <w:rPr/>
              <w:t>70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Matrioshka Games,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287" w:name="xdx_981_eus-gaap--EquityMethodInvestment"/>
            <w:bookmarkEnd w:id="287"/>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Snail Coins,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88" w:name="xdx_986_eus-gaap--EquityMethodInvestment"/>
            <w:bookmarkEnd w:id="288"/>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Snail Coins (BVI), Ltd</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289" w:name="xdx_980_eus-gaap--EquityMethodInvestment"/>
            <w:bookmarkEnd w:id="289"/>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Egofold,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90" w:name="xdx_981_eus-gaap--EquityMethodInvestment"/>
            <w:bookmarkEnd w:id="290"/>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Rustic Roost,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291" w:name="xdx_983_eus-gaap--EquityMethodInvestment"/>
            <w:bookmarkEnd w:id="291"/>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292" w:name="xdx_8A9_zPaTUa3FJBX7"/>
      <w:bookmarkEnd w:id="29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incorporated wholly owned subsidiaries to facilitate future business operations and strategic initiatives. All intercompany accounts, transactions, and profits have been eliminated upon consolidation.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preparation of condensed consolidated financial statements in conformity with U.S. GAAP requires the Company to make estimates and assumptions that affect the amounts reported in our consolidated financial statements and the accompanying notes. Such estimates include revenue recognition, see Note 2 – </w:t>
      </w:r>
      <w:r>
        <w:rPr>
          <w:rFonts w:ascii="Times New Roman;Times;Serif" w:hAnsi="Times New Roman;Times;Serif"/>
          <w:b w:val="false"/>
          <w:i/>
          <w:caps w:val="false"/>
          <w:smallCaps w:val="false"/>
          <w:sz w:val="20"/>
        </w:rPr>
        <w:t>Revenue Recognition</w:t>
      </w:r>
      <w:r>
        <w:rPr>
          <w:rFonts w:ascii="Times New Roman;Times;Serif" w:hAnsi="Times New Roman;Times;Serif"/>
          <w:b w:val="false"/>
          <w:i w:val="false"/>
          <w:caps w:val="false"/>
          <w:smallCaps w:val="false"/>
          <w:sz w:val="20"/>
        </w:rPr>
        <w:t>, provisions for credit losses, deferred income tax assets and associated valuation allowances, deferred revenue, stock-based compensation, the fair value of warrants and convertible debt. These estimates generally involve complex issues and require management to make judgments, involve analysis of historical and future trends that can require extended periods of time to resolve, and are subject to change from period to period. In all cases, actual results could differ materially from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293" w:name="xdx_909_eus-gaap--NumberOfReportableSegm"/>
      <w:bookmarkStart w:id="294" w:name="xdx_900_eus-gaap--NumberOfOperatingSegme"/>
      <w:bookmarkEnd w:id="293"/>
      <w:bookmarkEnd w:id="294"/>
      <w:r>
        <w:rPr>
          <w:rFonts w:ascii="Times New Roman;Times;Serif" w:hAnsi="Times New Roman;Times;Serif"/>
          <w:b w:val="false"/>
          <w:i w:val="false"/>
          <w:caps w:val="false"/>
          <w:smallCaps w:val="false"/>
          <w:sz w:val="20"/>
        </w:rPr>
        <w:t xml:space="preserve">one operating and reportable segment. Our operations involve similar products and customers worldwide. Revenue earned is primarily derived from the sale of software titles, which are developed internally or licensed from related and third parties. No internally developed software costs were capitalized during the three months ended March 31, 2026. Financial information about our geographic regions is included in Note 3 –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 xml:space="preserve">and information about our reportable operating segment is included in Note 18 – </w:t>
      </w:r>
      <w:r>
        <w:rPr>
          <w:rFonts w:ascii="Times New Roman;Times;Serif" w:hAnsi="Times New Roman;Times;Serif"/>
          <w:b w:val="false"/>
          <w:i/>
          <w:caps w:val="false"/>
          <w:smallCaps w:val="false"/>
          <w:sz w:val="20"/>
        </w:rPr>
        <w:t>Operating Segments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5" w:name="xdx_807_eus-gaap--SignificantAccountingP"/>
      <w:bookmarkEnd w:id="295"/>
      <w:r>
        <w:rPr>
          <w:rFonts w:ascii="Times New Roman;Times;Serif" w:hAnsi="Times New Roman;Times;Serif"/>
          <w:b/>
          <w:i w:val="false"/>
          <w:caps w:val="false"/>
          <w:smallCaps w:val="false"/>
          <w:sz w:val="20"/>
        </w:rPr>
        <w:t xml:space="preserve">NOTE 2 – </w:t>
      </w:r>
      <w:bookmarkStart w:id="296" w:name="xdx_821_z0nXkONzL3V7"/>
      <w:bookmarkEnd w:id="296"/>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7" w:name="xdx_868_zADI6STmVVIl"/>
      <w:bookmarkStart w:id="298" w:name="xdx_849_eus-gaap--RevenueRecognitionPoli"/>
      <w:bookmarkEnd w:id="297"/>
      <w:bookmarkEnd w:id="298"/>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publishing of software games sold digitally and through physical discs (e.g., packaged goods), the publishing of separate downloadable content that are new feature releases to existing digital full-game downloads that are sold digitally, and in-app purchases of virtual goods used by players of its free-to-play mobile games. When control of the promised products and services is transferred to the end users, the Company recognizes revenue in the amount that reflects the consideration it expects to receive in exchange for these products and services. Revenue from delivery of products is recognized at a point in time when the intellectual property is made available to the third-party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the standalone selling price for its technical support performance obligation using the cost-plus-margin approach in accordance with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determines the proportion of total technical support activity attributable to its games based on historical data. The Company then uses a per-unit cost determination to allocate technical support costs over an estimated service period of five years, the expected life of the user. The resulting per-unit cost is increased by a reasonable margin percentage to arrive at the per unit price of the Company’s technical support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whether it acts as principal or agent in each transaction, considering factors such as contractual terms, primary responsibility for fulfilling the promise to deliver the product, and discretion in pricing. The Company is a publisher of games, developed by SDE Inc. (“SDE”), a related party, and sells to its customers including Microsoft’s Xbox Live, Sony’s PlayStation Network, Valve’s Steam, Epic Games Store, My Nintendo Store and retail distributors. Under this arrangement, the Company licenses intellectual property rights from SDE. The Company serves as the principal for the publisher of games in its arrangement with SDE, recognizing revenue on a gross basis. The Company’s mobile games are developed by Suzhou Snail, a related party. For these mobile games sales sold via Apple’s App Store and the Google Play Store, the Company has discretion in establishing the price for the specified good or service and it has determined that the Company is the principal to the end user and thus reports revenue on a gross basis. The Company serves as the principal of games in its arrangement with Suzhou Snail.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virtual goods that the Company sells to players of its free-to-play mobile-games, include virtual currency or in-game purchases of additional game play functionality. For virtual goods, the satisfaction of the Company’s performance obligation is dependent on the nature of the virtual good purchased and as a result, the Company categorizes its virtual goods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Consumable: consumable virtual items represent items that can be consumed by a specific player action. Consumable virtual items do not result in a direct benefit that the player keeps or provide the player any continuing benefit following consumption, and they often enable a player to perform an in-game action immediately. For the sale of consumable virtual items, the Company recognizes revenue ratably over the estimated service period, or as items are consumed, as applicable to the game (i.e., over time).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Durable: durable virtual items represent items that are accessible to the player over an extended period of time. The Company recognizes revenue from the sale of durable virtual items ratably over the estimated service period for the applicable game (i.e., over time), which represents the Company’s best estimate of the average life of the durable virtual item or the life of the user.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games that were sold in a bundle with downloadable content (“DLC”) that have not yet been launched and been reported in deferred revenue in the consolidated balance sheets, the Company has used the adjusted market assessment approach per Accounting Standards Codification (“ASC”) 606-10-32-34 to assign a value for the Company’s remaining performance obligations. The Company uses the following reasonably available information in developing the standalone selling prices of the performance obligations: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Reasonably available data points, including third party or industry pricing, and contractually stated prices.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conditions such as market demand, competition, market constraints, awareness of the product and market trends.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Entity-specific factors including pricing strategies and objectives, market share and pricing practices for bundled arrangements.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using the following five steps as provided by ASC Topic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1) identify the contract(s) with the customer; 2) identify the performance obligations in each contract; 3) determine the transaction price; 4) allocate the transaction price to the performance obligations; and 5) recognize revenue when, or as, the entity satisfies a performance obligation. The Company’s terms and conditions vary by customers and typically provide payment terms of net </w:t>
      </w:r>
      <w:bookmarkStart w:id="299" w:name="xdx_908_ecustom--CustomerTerms_dtD_c2026"/>
      <w:bookmarkEnd w:id="299"/>
      <w:r>
        <w:rPr>
          <w:rFonts w:ascii="Times New Roman;Times;Serif" w:hAnsi="Times New Roman;Times;Serif"/>
          <w:b w:val="false"/>
          <w:i w:val="false"/>
          <w:caps w:val="false"/>
          <w:smallCaps w:val="false"/>
          <w:sz w:val="20"/>
        </w:rPr>
        <w:t xml:space="preserve">30 to </w:t>
      </w:r>
      <w:bookmarkStart w:id="300" w:name="xdx_900_ecustom--CustomerTerms_dtD_c2026"/>
      <w:bookmarkEnd w:id="300"/>
      <w:r>
        <w:rPr>
          <w:rFonts w:ascii="Times New Roman;Times;Serif" w:hAnsi="Times New Roman;Times;Serif"/>
          <w:b w:val="false"/>
          <w:i w:val="false"/>
          <w:caps w:val="false"/>
          <w:smallCaps w:val="false"/>
          <w:sz w:val="20"/>
        </w:rPr>
        <w:t>75 days.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1" w:name="xdx_867_zaADWdnhVKpf"/>
      <w:bookmarkStart w:id="302" w:name="xdx_842_ecustom--ContractBalancePolicyTe"/>
      <w:bookmarkEnd w:id="301"/>
      <w:bookmarkEnd w:id="302"/>
      <w:r>
        <w:rPr>
          <w:rFonts w:ascii="Times New Roman;Times;Serif" w:hAnsi="Times New Roman;Times;Serif"/>
          <w:b/>
          <w:i/>
          <w:caps w:val="false"/>
          <w:smallCaps w:val="false"/>
          <w:sz w:val="20"/>
        </w:rPr>
        <w:t>Contract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when cash payments are received or due in advance of its performance, even if amounts are non-refundable.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is comprised of the transaction price allocable to the Company’s performance obligation on technical support and the sale of virtual goods available for in-app purchase, and payments received from customers prior to launching the games on the platforms. The Company recognizes revenues from the sale of virtual goods either ratably over their estimated service period or as virtual items are consumed, as applicable to the respective game. The Company’s estimated service period for players of the Company’s mobile games is generally 90 days from the date of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 long-term title license agreement with a platform which makes </w:t>
      </w:r>
      <w:r>
        <w:rPr>
          <w:rFonts w:ascii="Times New Roman;Times;Serif" w:hAnsi="Times New Roman;Times;Serif"/>
          <w:b w:val="false"/>
          <w:i/>
          <w:caps w:val="false"/>
          <w:smallCaps w:val="false"/>
          <w:sz w:val="20"/>
        </w:rPr>
        <w:t>ARK 1</w:t>
      </w:r>
      <w:r>
        <w:rPr>
          <w:rFonts w:ascii="Times New Roman;Times;Serif" w:hAnsi="Times New Roman;Times;Serif"/>
          <w:b w:val="false"/>
          <w:i w:val="false"/>
          <w:caps w:val="false"/>
          <w:smallCaps w:val="false"/>
          <w:sz w:val="20"/>
        </w:rPr>
        <w:t xml:space="preserve"> available on the platform in perpetuity, and puts </w:t>
      </w:r>
      <w:r>
        <w:rPr>
          <w:rFonts w:ascii="Times New Roman;Times;Serif" w:hAnsi="Times New Roman;Times;Serif"/>
          <w:b w:val="false"/>
          <w:i/>
          <w:caps w:val="false"/>
          <w:smallCaps w:val="false"/>
          <w:sz w:val="20"/>
        </w:rPr>
        <w:t>ARK II</w:t>
      </w:r>
      <w:r>
        <w:rPr>
          <w:rFonts w:ascii="Times New Roman;Times;Serif" w:hAnsi="Times New Roman;Times;Serif"/>
          <w:b w:val="false"/>
          <w:i w:val="false"/>
          <w:caps w:val="false"/>
          <w:smallCaps w:val="false"/>
          <w:sz w:val="20"/>
        </w:rPr>
        <w:t xml:space="preserve"> on the platform for three years upon release. The Company deferred $</w:t>
      </w:r>
      <w:bookmarkStart w:id="303" w:name="xdx_903_eus-gaap--ContractWithCustomerLi"/>
      <w:bookmarkEnd w:id="303"/>
      <w:r>
        <w:rPr>
          <w:rFonts w:ascii="Times New Roman;Times;Serif" w:hAnsi="Times New Roman;Times;Serif"/>
          <w:b w:val="false"/>
          <w:i w:val="false"/>
          <w:caps w:val="false"/>
          <w:smallCaps w:val="false"/>
          <w:sz w:val="20"/>
        </w:rPr>
        <w:t xml:space="preserve">2.3 million related to </w:t>
      </w:r>
      <w:r>
        <w:rPr>
          <w:rFonts w:ascii="Times New Roman;Times;Serif" w:hAnsi="Times New Roman;Times;Serif"/>
          <w:b w:val="false"/>
          <w:i/>
          <w:caps w:val="false"/>
          <w:smallCaps w:val="false"/>
          <w:sz w:val="20"/>
        </w:rPr>
        <w:t>ARK II</w:t>
      </w:r>
      <w:r>
        <w:rPr>
          <w:rFonts w:ascii="Times New Roman;Times;Serif" w:hAnsi="Times New Roman;Times;Serif"/>
          <w:b w:val="false"/>
          <w:i w:val="false"/>
          <w:caps w:val="false"/>
          <w:smallCaps w:val="false"/>
          <w:sz w:val="20"/>
        </w:rPr>
        <w:t xml:space="preserve"> that is included in the long-term portion of deferred revenue and will be recognized upon the release of </w:t>
      </w:r>
      <w:r>
        <w:rPr>
          <w:rFonts w:ascii="Times New Roman;Times;Serif" w:hAnsi="Times New Roman;Times;Serif"/>
          <w:b w:val="false"/>
          <w:i/>
          <w:caps w:val="false"/>
          <w:smallCaps w:val="false"/>
          <w:sz w:val="20"/>
        </w:rPr>
        <w:t xml:space="preserve">ARK II </w:t>
      </w:r>
      <w:r>
        <w:rPr>
          <w:rFonts w:ascii="Times New Roman;Times;Serif" w:hAnsi="Times New Roman;Times;Serif"/>
          <w:b w:val="false"/>
          <w:i w:val="false"/>
          <w:caps w:val="false"/>
          <w:smallCaps w:val="false"/>
          <w:sz w:val="20"/>
        </w:rPr>
        <w:t>on the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2023, the Company entered into a distribution agreement with its retail distribution partner for the distribution of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ARK II. </w:t>
      </w:r>
      <w:r>
        <w:rPr>
          <w:rFonts w:ascii="Times New Roman;Times;Serif" w:hAnsi="Times New Roman;Times;Serif"/>
          <w:b w:val="false"/>
          <w:i w:val="false"/>
          <w:caps w:val="false"/>
          <w:smallCaps w:val="false"/>
          <w:sz w:val="20"/>
        </w:rPr>
        <w:t>The initial term is two years and will renew each subsequent year unless it is cancelled. As of March 31, 2026, the Company has deferred $</w:t>
      </w:r>
      <w:bookmarkStart w:id="304" w:name="xdx_90E_eus-gaap--ContractWithCustomerLi"/>
      <w:bookmarkEnd w:id="304"/>
      <w:r>
        <w:rPr>
          <w:rFonts w:ascii="Times New Roman;Times;Serif" w:hAnsi="Times New Roman;Times;Serif"/>
          <w:b w:val="false"/>
          <w:i w:val="false"/>
          <w:caps w:val="false"/>
          <w:smallCaps w:val="false"/>
          <w:sz w:val="20"/>
        </w:rPr>
        <w:t xml:space="preserve">1.1 million related to </w:t>
      </w:r>
      <w:r>
        <w:rPr>
          <w:rFonts w:ascii="Times New Roman;Times;Serif" w:hAnsi="Times New Roman;Times;Serif"/>
          <w:b w:val="false"/>
          <w:i/>
          <w:caps w:val="false"/>
          <w:smallCaps w:val="false"/>
          <w:sz w:val="20"/>
        </w:rPr>
        <w:t xml:space="preserve">ARK II </w:t>
      </w:r>
      <w:r>
        <w:rPr>
          <w:rFonts w:ascii="Times New Roman;Times;Serif" w:hAnsi="Times New Roman;Times;Serif"/>
          <w:b w:val="false"/>
          <w:i w:val="false"/>
          <w:caps w:val="false"/>
          <w:smallCaps w:val="false"/>
          <w:sz w:val="20"/>
        </w:rPr>
        <w:t>as long-term deferred revenue until the disc releases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5" w:name="xdx_860_zKoWW0L2WQYj"/>
      <w:bookmarkStart w:id="306" w:name="xdx_849_eus-gaap--RevenueRemainingPerfor"/>
      <w:bookmarkEnd w:id="305"/>
      <w:bookmarkEnd w:id="306"/>
      <w:r>
        <w:rPr>
          <w:rFonts w:ascii="Times New Roman;Times;Serif" w:hAnsi="Times New Roman;Times;Serif"/>
          <w:b/>
          <w:i/>
          <w:caps w:val="false"/>
          <w:smallCaps w:val="false"/>
          <w:sz w:val="20"/>
        </w:rPr>
        <w:t>Estimated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certain performance obligations satisfied over time, the Company has determined that the estimated service period is the time period in which an average user plays the Company’s software games (“user life”) which most faithfully depicts the timing of satisfying its performance obligation. The Company considers a variety of data points when determining and subsequently reassessing the estimated service period for players of our software games. The Company also considers publicly available online trends. The estimated service period for </w:t>
      </w:r>
      <w:r>
        <w:rPr>
          <w:rFonts w:ascii="Times New Roman;Times;Serif" w:hAnsi="Times New Roman;Times;Serif"/>
          <w:b w:val="false"/>
          <w:i/>
          <w:caps w:val="false"/>
          <w:smallCaps w:val="false"/>
          <w:sz w:val="20"/>
        </w:rPr>
        <w:t>ARK: Ultimate Mobile Edition</w:t>
      </w:r>
      <w:r>
        <w:rPr>
          <w:rFonts w:ascii="Times New Roman;Times;Serif" w:hAnsi="Times New Roman;Times;Serif"/>
          <w:b w:val="false"/>
          <w:i w:val="false"/>
          <w:caps w:val="false"/>
          <w:smallCaps w:val="false"/>
          <w:sz w:val="20"/>
        </w:rPr>
        <w:t xml:space="preserve"> is approximately three months. This estimate is based on observed gamer behavior, including low 90-day retention rates and keys purchase and consumption trends analyzed using a stratified sampling methodology, which indicates that most gamer activity occurs within two to three months of initial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this provides a reasonable depiction of the transfer of our game related services to our players, as it is the best representation of the period during which our players play our software games. Future usage patterns may differ from historical usage patterns, and therefore the estimated service period may change in the future. The estimated service periods for players of the Company’s current software games are generally 90 days depending on the software games.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7" w:name="xdx_860_zfEYg6gZCoSd"/>
      <w:bookmarkStart w:id="308" w:name="xdx_841_ecustom--ShippingHandlingAndValu"/>
      <w:bookmarkEnd w:id="307"/>
      <w:bookmarkEnd w:id="308"/>
      <w:r>
        <w:rPr>
          <w:rFonts w:ascii="Times New Roman;Times;Serif" w:hAnsi="Times New Roman;Times;Serif"/>
          <w:b/>
          <w:i/>
          <w:caps w:val="false"/>
          <w:smallCaps w:val="false"/>
          <w:sz w:val="20"/>
        </w:rPr>
        <w:t>Shipping, Handling and Value Added Taxes (“VAT”)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distributor is responsible for the shipping of the game discs to retail stores and incurring the shipping and VAT costs. The Company is paid the net sales amount after deducting shipping costs, VAT and other related expenses by the distributor.</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9" w:name="xdx_86B_zhcguOkItuJb"/>
      <w:bookmarkStart w:id="310" w:name="xdx_841_eus-gaap--CostOfSalesPolicyTextB"/>
      <w:bookmarkEnd w:id="309"/>
      <w:bookmarkEnd w:id="310"/>
      <w:r>
        <w:rPr>
          <w:rFonts w:ascii="Times New Roman;Times;Serif" w:hAnsi="Times New Roman;Times;Serif"/>
          <w:b/>
          <w:i/>
          <w:caps w:val="false"/>
          <w:smallCaps w:val="false"/>
          <w:sz w:val="20"/>
        </w:rPr>
        <w:t>Cost of Revenues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include software license royalty fees, merchant fees, server and database center costs, game licenses, engine fees and amortization costs. Cost of revenues for the three months ended March 31, 2026 and 2025 were comprised of the following: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1" w:name="xdx_8B3_z9HtYoQOI2g7"/>
      <w:bookmarkStart w:id="312" w:name="xdx_89C_ecustom--CostOfGoodsAndServicesS"/>
      <w:bookmarkEnd w:id="311"/>
      <w:bookmarkEnd w:id="312"/>
      <w:r>
        <w:rPr>
          <w:rFonts w:ascii="Times New Roman;Times;Serif" w:hAnsi="Times New Roman;Times;Serif"/>
          <w:b w:val="false"/>
          <w:i w:val="false"/>
          <w:caps w:val="false"/>
          <w:smallCaps w:val="false"/>
          <w:sz w:val="20"/>
        </w:rPr>
        <w:t>SCHEDULE OF COST OF REVENUES </w:t>
      </w:r>
    </w:p>
    <w:tbl>
      <w:tblPr>
        <w:tblW w:w="6730" w:type="dxa"/>
        <w:jc w:val="left"/>
        <w:tblInd w:w="0" w:type="dxa"/>
        <w:tblLayout w:type="fixed"/>
        <w:tblCellMar>
          <w:top w:w="0" w:type="dxa"/>
          <w:left w:w="0" w:type="dxa"/>
          <w:bottom w:w="0" w:type="dxa"/>
          <w:right w:w="0" w:type="dxa"/>
        </w:tblCellMar>
      </w:tblPr>
      <w:tblGrid>
        <w:gridCol w:w="3995"/>
        <w:gridCol w:w="60"/>
        <w:gridCol w:w="140"/>
        <w:gridCol w:w="1100"/>
        <w:gridCol w:w="60"/>
        <w:gridCol w:w="60"/>
        <w:gridCol w:w="140"/>
        <w:gridCol w:w="1100"/>
        <w:gridCol w:w="75"/>
      </w:tblGrid>
      <w:tr>
        <w:trPr/>
        <w:tc>
          <w:tcPr>
            <w:tcW w:w="39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bookmarkStart w:id="313" w:name="xdx_498_20260101__20260331_zJ9kTMnpT8yh"/>
            <w:bookmarkEnd w:id="313"/>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4" w:name="xdx_492_20250101__20250331_zSfGFH5ocnW"/>
            <w:bookmarkEnd w:id="314"/>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315" w:name="xdx_407_ecustom--CostSoftwareLicenseRoya"/>
            <w:bookmarkEnd w:id="315"/>
          </w:p>
        </w:tc>
      </w:tr>
      <w:tr>
        <w:trPr/>
        <w:tc>
          <w:tcPr>
            <w:tcW w:w="3995" w:type="dxa"/>
            <w:tcBorders/>
            <w:shd w:fill="CCEEFF" w:val="clear"/>
            <w:vAlign w:val="center"/>
          </w:tcPr>
          <w:p>
            <w:pPr>
              <w:pStyle w:val="TableContents"/>
              <w:bidi w:val="0"/>
              <w:spacing w:before="0" w:after="283"/>
              <w:jc w:val="left"/>
              <w:rPr/>
            </w:pPr>
            <w:r>
              <w:rPr/>
              <w:t>Software license royalties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6,333,981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5,273,727</w:t>
            </w:r>
          </w:p>
        </w:tc>
        <w:tc>
          <w:tcPr>
            <w:tcW w:w="75" w:type="dxa"/>
            <w:tcBorders/>
            <w:shd w:fill="CCEEFF" w:val="clear"/>
            <w:vAlign w:val="center"/>
          </w:tcPr>
          <w:p>
            <w:pPr>
              <w:pStyle w:val="TableContents"/>
              <w:bidi w:val="0"/>
              <w:spacing w:before="0" w:after="283"/>
              <w:jc w:val="left"/>
              <w:rPr/>
            </w:pPr>
            <w:r>
              <w:rPr/>
              <w:t> </w:t>
            </w:r>
            <w:bookmarkStart w:id="316" w:name="xdx_403_ecustom--CostSoftwareLicenseRoya"/>
            <w:bookmarkEnd w:id="316"/>
          </w:p>
        </w:tc>
      </w:tr>
      <w:tr>
        <w:trPr/>
        <w:tc>
          <w:tcPr>
            <w:tcW w:w="3995" w:type="dxa"/>
            <w:tcBorders/>
            <w:shd w:fill="FFFFFF" w:val="clear"/>
            <w:vAlign w:val="center"/>
          </w:tcPr>
          <w:p>
            <w:pPr>
              <w:pStyle w:val="TableContents"/>
              <w:bidi w:val="0"/>
              <w:spacing w:before="0" w:after="283"/>
              <w:jc w:val="left"/>
              <w:rPr/>
            </w:pPr>
            <w:r>
              <w:rPr/>
              <w:t>Software license royalties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75,189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53,830</w:t>
            </w:r>
          </w:p>
        </w:tc>
        <w:tc>
          <w:tcPr>
            <w:tcW w:w="75" w:type="dxa"/>
            <w:tcBorders/>
            <w:shd w:fill="FFFFFF" w:val="clear"/>
            <w:vAlign w:val="center"/>
          </w:tcPr>
          <w:p>
            <w:pPr>
              <w:pStyle w:val="TableContents"/>
              <w:bidi w:val="0"/>
              <w:spacing w:before="0" w:after="283"/>
              <w:jc w:val="left"/>
              <w:rPr/>
            </w:pPr>
            <w:r>
              <w:rPr/>
              <w:t> </w:t>
            </w:r>
            <w:bookmarkStart w:id="317" w:name="xdx_401_ecustom--CostLicenseAndAmortizat"/>
            <w:bookmarkEnd w:id="317"/>
          </w:p>
        </w:tc>
      </w:tr>
      <w:tr>
        <w:trPr/>
        <w:tc>
          <w:tcPr>
            <w:tcW w:w="3995" w:type="dxa"/>
            <w:tcBorders/>
            <w:shd w:fill="CCEEFF" w:val="clear"/>
            <w:vAlign w:val="center"/>
          </w:tcPr>
          <w:p>
            <w:pPr>
              <w:pStyle w:val="TableContents"/>
              <w:bidi w:val="0"/>
              <w:spacing w:before="0" w:after="283"/>
              <w:jc w:val="left"/>
              <w:rPr/>
            </w:pPr>
            <w:r>
              <w:rPr/>
              <w:t>License and amortization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75" w:type="dxa"/>
            <w:tcBorders/>
            <w:shd w:fill="CCEEFF" w:val="clear"/>
            <w:vAlign w:val="center"/>
          </w:tcPr>
          <w:p>
            <w:pPr>
              <w:pStyle w:val="TableContents"/>
              <w:bidi w:val="0"/>
              <w:spacing w:before="0" w:after="283"/>
              <w:jc w:val="left"/>
              <w:rPr/>
            </w:pPr>
            <w:r>
              <w:rPr/>
              <w:t> </w:t>
            </w:r>
            <w:bookmarkStart w:id="318" w:name="xdx_40E_ecustom--CostLicenseFeesAndAmort"/>
            <w:bookmarkEnd w:id="318"/>
          </w:p>
        </w:tc>
      </w:tr>
      <w:tr>
        <w:trPr/>
        <w:tc>
          <w:tcPr>
            <w:tcW w:w="3995" w:type="dxa"/>
            <w:tcBorders/>
            <w:shd w:fill="FFFFFF" w:val="clear"/>
            <w:vAlign w:val="center"/>
          </w:tcPr>
          <w:p>
            <w:pPr>
              <w:pStyle w:val="TableContents"/>
              <w:bidi w:val="0"/>
              <w:spacing w:before="0" w:after="283"/>
              <w:jc w:val="left"/>
              <w:rPr/>
            </w:pPr>
            <w:r>
              <w:rPr/>
              <w:t>License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335,852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263,725</w:t>
            </w:r>
          </w:p>
        </w:tc>
        <w:tc>
          <w:tcPr>
            <w:tcW w:w="75" w:type="dxa"/>
            <w:tcBorders/>
            <w:shd w:fill="FFFFFF" w:val="clear"/>
            <w:vAlign w:val="center"/>
          </w:tcPr>
          <w:p>
            <w:pPr>
              <w:pStyle w:val="TableContents"/>
              <w:bidi w:val="0"/>
              <w:spacing w:before="0" w:after="283"/>
              <w:jc w:val="left"/>
              <w:rPr/>
            </w:pPr>
            <w:r>
              <w:rPr/>
              <w:t> </w:t>
            </w:r>
            <w:bookmarkStart w:id="319" w:name="xdx_40E_ecustom--CostMerchantFees_maCOGA"/>
            <w:bookmarkEnd w:id="319"/>
          </w:p>
        </w:tc>
      </w:tr>
      <w:tr>
        <w:trPr/>
        <w:tc>
          <w:tcPr>
            <w:tcW w:w="3995" w:type="dxa"/>
            <w:tcBorders/>
            <w:shd w:fill="CCEEFF" w:val="clear"/>
            <w:vAlign w:val="center"/>
          </w:tcPr>
          <w:p>
            <w:pPr>
              <w:pStyle w:val="TableContents"/>
              <w:bidi w:val="0"/>
              <w:spacing w:before="0" w:after="283"/>
              <w:jc w:val="left"/>
              <w:rPr/>
            </w:pPr>
            <w:r>
              <w:rPr/>
              <w:t>Merchant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328,659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554,695</w:t>
            </w:r>
          </w:p>
        </w:tc>
        <w:tc>
          <w:tcPr>
            <w:tcW w:w="75" w:type="dxa"/>
            <w:tcBorders/>
            <w:shd w:fill="CCEEFF" w:val="clear"/>
            <w:vAlign w:val="center"/>
          </w:tcPr>
          <w:p>
            <w:pPr>
              <w:pStyle w:val="TableContents"/>
              <w:bidi w:val="0"/>
              <w:spacing w:before="0" w:after="283"/>
              <w:jc w:val="left"/>
              <w:rPr/>
            </w:pPr>
            <w:r>
              <w:rPr/>
              <w:t> </w:t>
            </w:r>
            <w:bookmarkStart w:id="320" w:name="xdx_40A_ecustom--CostEngineFees_maCOGASz"/>
            <w:bookmarkEnd w:id="320"/>
          </w:p>
        </w:tc>
      </w:tr>
      <w:tr>
        <w:trPr/>
        <w:tc>
          <w:tcPr>
            <w:tcW w:w="3995" w:type="dxa"/>
            <w:tcBorders/>
            <w:shd w:fill="FFFFFF" w:val="clear"/>
            <w:vAlign w:val="center"/>
          </w:tcPr>
          <w:p>
            <w:pPr>
              <w:pStyle w:val="TableContents"/>
              <w:bidi w:val="0"/>
              <w:spacing w:before="0" w:after="283"/>
              <w:jc w:val="left"/>
              <w:rPr/>
            </w:pPr>
            <w:r>
              <w:rPr/>
              <w:t>Engine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1,010,765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812,948</w:t>
            </w:r>
          </w:p>
        </w:tc>
        <w:tc>
          <w:tcPr>
            <w:tcW w:w="75" w:type="dxa"/>
            <w:tcBorders/>
            <w:shd w:fill="FFFFFF" w:val="clear"/>
            <w:vAlign w:val="center"/>
          </w:tcPr>
          <w:p>
            <w:pPr>
              <w:pStyle w:val="TableContents"/>
              <w:bidi w:val="0"/>
              <w:spacing w:before="0" w:after="283"/>
              <w:jc w:val="left"/>
              <w:rPr/>
            </w:pPr>
            <w:r>
              <w:rPr/>
              <w:t> </w:t>
            </w:r>
            <w:bookmarkStart w:id="321" w:name="xdx_40C_ecustom--CostInternetExpense_maC"/>
            <w:bookmarkEnd w:id="321"/>
          </w:p>
        </w:tc>
      </w:tr>
      <w:tr>
        <w:trPr/>
        <w:tc>
          <w:tcPr>
            <w:tcW w:w="3995" w:type="dxa"/>
            <w:tcBorders/>
            <w:shd w:fill="CCEEFF" w:val="clear"/>
            <w:vAlign w:val="center"/>
          </w:tcPr>
          <w:p>
            <w:pPr>
              <w:pStyle w:val="TableContents"/>
              <w:bidi w:val="0"/>
              <w:spacing w:before="0" w:after="283"/>
              <w:jc w:val="left"/>
              <w:rPr/>
            </w:pPr>
            <w:r>
              <w:rPr/>
              <w:t>Internet, server and data center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1,290,757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1,295,938</w:t>
            </w:r>
          </w:p>
        </w:tc>
        <w:tc>
          <w:tcPr>
            <w:tcW w:w="75" w:type="dxa"/>
            <w:tcBorders/>
            <w:shd w:fill="CCEEFF" w:val="clear"/>
            <w:vAlign w:val="center"/>
          </w:tcPr>
          <w:p>
            <w:pPr>
              <w:pStyle w:val="TableContents"/>
              <w:bidi w:val="0"/>
              <w:spacing w:before="0" w:after="283"/>
              <w:jc w:val="left"/>
              <w:rPr/>
            </w:pPr>
            <w:r>
              <w:rPr/>
              <w:t> </w:t>
            </w:r>
            <w:bookmarkStart w:id="322" w:name="xdx_403_ecustom--CostsRelatedToOtherReve"/>
            <w:bookmarkEnd w:id="322"/>
          </w:p>
        </w:tc>
      </w:tr>
      <w:tr>
        <w:trPr/>
        <w:tc>
          <w:tcPr>
            <w:tcW w:w="3995" w:type="dxa"/>
            <w:tcBorders/>
            <w:shd w:fill="FFFFFF" w:val="clear"/>
            <w:vAlign w:val="center"/>
          </w:tcPr>
          <w:p>
            <w:pPr>
              <w:pStyle w:val="TableContents"/>
              <w:bidi w:val="0"/>
              <w:spacing w:before="0" w:after="283"/>
              <w:jc w:val="left"/>
              <w:rPr/>
            </w:pPr>
            <w:r>
              <w:rPr/>
              <w:t>Costs related to other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8,482</w:t>
            </w:r>
          </w:p>
        </w:tc>
        <w:tc>
          <w:tcPr>
            <w:tcW w:w="75" w:type="dxa"/>
            <w:tcBorders/>
            <w:shd w:fill="FFFFFF" w:val="clear"/>
            <w:vAlign w:val="center"/>
          </w:tcPr>
          <w:p>
            <w:pPr>
              <w:pStyle w:val="TableContents"/>
              <w:bidi w:val="0"/>
              <w:spacing w:before="0" w:after="283"/>
              <w:jc w:val="left"/>
              <w:rPr/>
            </w:pPr>
            <w:r>
              <w:rPr/>
              <w:t> </w:t>
            </w:r>
            <w:bookmarkStart w:id="323" w:name="xdx_404_eus-gaap--CostOfGoodsAndServices"/>
            <w:bookmarkEnd w:id="323"/>
          </w:p>
        </w:tc>
      </w:tr>
      <w:tr>
        <w:trPr/>
        <w:tc>
          <w:tcPr>
            <w:tcW w:w="39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15,638,213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14,263,345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24" w:name="xdx_8AE_zGzcP48Gtuha"/>
      <w:bookmarkEnd w:id="32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5" w:name="xdx_86A_zfE5CajIQgni"/>
      <w:bookmarkStart w:id="326" w:name="xdx_84E_eus-gaap--SellingGeneralAndAdmin"/>
      <w:bookmarkEnd w:id="325"/>
      <w:bookmarkEnd w:id="326"/>
      <w:r>
        <w:rPr>
          <w:rFonts w:ascii="Times New Roman;Times;Serif" w:hAnsi="Times New Roman;Times;Serif"/>
          <w:b/>
          <w:i/>
          <w:caps w:val="false"/>
          <w:smallCaps w:val="false"/>
          <w:sz w:val="20"/>
        </w:rPr>
        <w:t>General and Administrative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rent, salaries, stock-based compensation, legal and professional expenses, expenses related to being a publicly traded company, administrative internet and server, contractor costs, insurance expense, licenses and permits, other taxes and travel expenses. These costs are expensed as they are incurred. Stock based compensation expense, included in general and administrative costs, of $</w:t>
      </w:r>
      <w:bookmarkStart w:id="327" w:name="xdx_901_eus-gaap--AllocatedShareBasedCom"/>
      <w:bookmarkEnd w:id="327"/>
      <w:r>
        <w:rPr>
          <w:rFonts w:ascii="Times New Roman;Times;Serif" w:hAnsi="Times New Roman;Times;Serif"/>
          <w:b w:val="false"/>
          <w:i w:val="false"/>
          <w:caps w:val="false"/>
          <w:smallCaps w:val="false"/>
          <w:sz w:val="20"/>
        </w:rPr>
        <w:t>42,091 and $</w:t>
      </w:r>
      <w:bookmarkStart w:id="328" w:name="xdx_90F_eus-gaap--AllocatedShareBasedCom"/>
      <w:bookmarkEnd w:id="328"/>
      <w:r>
        <w:rPr>
          <w:rFonts w:ascii="Times New Roman;Times;Serif" w:hAnsi="Times New Roman;Times;Serif"/>
          <w:b w:val="false"/>
          <w:i w:val="false"/>
          <w:caps w:val="false"/>
          <w:smallCaps w:val="false"/>
          <w:sz w:val="20"/>
        </w:rPr>
        <w:t>788,177 was incurred during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9" w:name="xdx_86C_zl2J9umNvguh"/>
      <w:bookmarkStart w:id="330" w:name="xdx_84D_eus-gaap--ResearchAndDevelopment"/>
      <w:bookmarkEnd w:id="329"/>
      <w:bookmarkEnd w:id="330"/>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Research and development costs include travel, payroll, and other general expenses specific to research and development activities. Stock-based compensation expense, included in research and development costs, of $</w:t>
      </w:r>
      <w:bookmarkStart w:id="331" w:name="xdx_90F_eus-gaap--AllocatedShareBasedCom"/>
      <w:bookmarkEnd w:id="331"/>
      <w:r>
        <w:rPr>
          <w:rFonts w:ascii="Times New Roman;Times;Serif" w:hAnsi="Times New Roman;Times;Serif"/>
          <w:b w:val="false"/>
          <w:i w:val="false"/>
          <w:caps w:val="false"/>
          <w:smallCaps w:val="false"/>
          <w:sz w:val="20"/>
        </w:rPr>
        <w:t>2,789 and $</w:t>
      </w:r>
      <w:bookmarkStart w:id="332" w:name="xdx_90F_eus-gaap--AllocatedShareBasedCom"/>
      <w:bookmarkEnd w:id="332"/>
      <w:r>
        <w:rPr>
          <w:rFonts w:ascii="Times New Roman;Times;Serif" w:hAnsi="Times New Roman;Times;Serif"/>
          <w:b w:val="false"/>
          <w:i w:val="false"/>
          <w:caps w:val="false"/>
          <w:smallCaps w:val="false"/>
          <w:sz w:val="20"/>
        </w:rPr>
        <w:t>55,442 was incurred during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3" w:name="xdx_863_z4IN2o5wtMp9"/>
      <w:bookmarkStart w:id="334" w:name="xdx_841_eus-gaap--AdvertisingCostsPolicy"/>
      <w:bookmarkEnd w:id="333"/>
      <w:bookmarkEnd w:id="334"/>
      <w:r>
        <w:rPr>
          <w:rFonts w:ascii="Times New Roman;Times;Serif" w:hAnsi="Times New Roman;Times;Serif"/>
          <w:b/>
          <w:i/>
          <w:caps w:val="false"/>
          <w:smallCaps w:val="false"/>
          <w:sz w:val="20"/>
        </w:rPr>
        <w:t>Advertising and Marketing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and marketing costs as incurred. For the three months ended March 31, 2026 and 2025, advertising and marketing expenses totaled $</w:t>
      </w:r>
      <w:bookmarkStart w:id="335" w:name="xdx_90C_eus-gaap--MarketingAndAdvertisin"/>
      <w:bookmarkEnd w:id="335"/>
      <w:r>
        <w:rPr>
          <w:rFonts w:ascii="Times New Roman;Times;Serif" w:hAnsi="Times New Roman;Times;Serif"/>
          <w:b w:val="false"/>
          <w:i w:val="false"/>
          <w:caps w:val="false"/>
          <w:smallCaps w:val="false"/>
          <w:sz w:val="20"/>
        </w:rPr>
        <w:t>868,789 and $</w:t>
      </w:r>
      <w:bookmarkStart w:id="336" w:name="xdx_90A_eus-gaap--MarketingAndAdvertisin"/>
      <w:bookmarkEnd w:id="336"/>
      <w:r>
        <w:rPr>
          <w:rFonts w:ascii="Times New Roman;Times;Serif" w:hAnsi="Times New Roman;Times;Serif"/>
          <w:b w:val="false"/>
          <w:i w:val="false"/>
          <w:caps w:val="false"/>
          <w:smallCaps w:val="false"/>
          <w:sz w:val="20"/>
        </w:rPr>
        <w:t>1,306,365,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7" w:name="xdx_86B_z7GjZG0Qgij6"/>
      <w:bookmarkStart w:id="338" w:name="xdx_847_eus-gaap--PropertyPlantAndEquipm"/>
      <w:bookmarkEnd w:id="337"/>
      <w:bookmarkEnd w:id="338"/>
      <w:r>
        <w:rPr>
          <w:rFonts w:ascii="Times New Roman;Times;Serif" w:hAnsi="Times New Roman;Times;Serif"/>
          <w:b/>
          <w:i/>
          <w:caps w:val="false"/>
          <w:smallCaps w:val="false"/>
          <w:sz w:val="20"/>
        </w:rPr>
        <w:t>Impairment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intangible assets, including game licenses, software, and film assets, for impairment when events or circumstances indicate the carrying amount may not be recoverable, and recognizes an impairment loss for the amount by which the carrying value exceeds the asset's fair value. For the three months ended March 31, 2026 and 2025, impairment expenses were $</w:t>
      </w:r>
      <w:bookmarkStart w:id="339" w:name="xdx_90C_eus-gaap--AssetImpairmentCharges"/>
      <w:bookmarkEnd w:id="339"/>
      <w:r>
        <w:rPr>
          <w:rFonts w:ascii="Times New Roman;Times;Serif" w:hAnsi="Times New Roman;Times;Serif"/>
          <w:b w:val="false"/>
          <w:i w:val="false"/>
          <w:caps w:val="false"/>
          <w:smallCaps w:val="false"/>
          <w:sz w:val="20"/>
        </w:rPr>
        <w:t>69,149 and $</w:t>
      </w:r>
      <w:bookmarkStart w:id="340" w:name="xdx_900_eus-gaap--AssetImpairmentCharges"/>
      <w:bookmarkEnd w:id="340"/>
      <w:r>
        <w:rPr>
          <w:rFonts w:ascii="Times New Roman;Times;Serif" w:hAnsi="Times New Roman;Times;Serif"/>
          <w:b w:val="false"/>
          <w:i w:val="false"/>
          <w:caps w:val="false"/>
          <w:smallCaps w:val="false"/>
          <w:sz w:val="20"/>
        </w:rPr>
        <w:t>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1" w:name="xdx_86E_ze9P8KPPROsl"/>
      <w:bookmarkStart w:id="342" w:name="xdx_840_ecustom--NonControllingInterestP"/>
      <w:bookmarkEnd w:id="341"/>
      <w:bookmarkEnd w:id="342"/>
      <w:r>
        <w:rPr>
          <w:rFonts w:ascii="Times New Roman;Times;Serif" w:hAnsi="Times New Roman;Times;Serif"/>
          <w:b/>
          <w:i/>
          <w:caps w:val="false"/>
          <w:smallCaps w:val="false"/>
          <w:sz w:val="20"/>
        </w:rPr>
        <w:t>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on the condensed consolidated balance sheets and condensed consolidated statements of operations and comprehensive income (loss) include the equity allocated to non-controlling interest holders. As of March 31, 2026 and December 31, 2025, there were non-controlling interests with the following subsidiaries: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3" w:name="xdx_8B0_zPfnW5v5vVc5"/>
      <w:bookmarkStart w:id="344" w:name="xdx_891_ecustom--ScheduleOfEquityInteres"/>
      <w:bookmarkEnd w:id="343"/>
      <w:bookmarkEnd w:id="344"/>
      <w:r>
        <w:rPr>
          <w:rFonts w:ascii="Times New Roman;Times;Serif" w:hAnsi="Times New Roman;Times;Serif"/>
          <w:b w:val="false"/>
          <w:i w:val="false"/>
          <w:caps w:val="false"/>
          <w:smallCaps w:val="false"/>
          <w:sz w:val="20"/>
        </w:rPr>
        <w:t>SCHEDULE OF EQUITY INTEREST AND NON CONTROLLING INTEREST IN SUBSIDIARIES</w:t>
      </w:r>
    </w:p>
    <w:tbl>
      <w:tblPr>
        <w:tblW w:w="6773" w:type="dxa"/>
        <w:jc w:val="left"/>
        <w:tblInd w:w="0" w:type="dxa"/>
        <w:tblLayout w:type="fixed"/>
        <w:tblCellMar>
          <w:top w:w="0" w:type="dxa"/>
          <w:left w:w="0" w:type="dxa"/>
          <w:bottom w:w="28" w:type="dxa"/>
          <w:right w:w="0" w:type="dxa"/>
        </w:tblCellMar>
      </w:tblPr>
      <w:tblGrid>
        <w:gridCol w:w="2405"/>
        <w:gridCol w:w="60"/>
        <w:gridCol w:w="337"/>
        <w:gridCol w:w="1467"/>
        <w:gridCol w:w="215"/>
        <w:gridCol w:w="60"/>
        <w:gridCol w:w="161"/>
        <w:gridCol w:w="1838"/>
        <w:gridCol w:w="230"/>
      </w:tblGrid>
      <w:tr>
        <w:trPr/>
        <w:tc>
          <w:tcPr>
            <w:tcW w:w="2405" w:type="dxa"/>
            <w:tcBorders>
              <w:bottom w:val="single" w:sz="8" w:space="0" w:color="000000"/>
            </w:tcBorders>
            <w:vAlign w:val="center"/>
          </w:tcPr>
          <w:p>
            <w:pPr>
              <w:pStyle w:val="TableContents"/>
              <w:bidi w:val="0"/>
              <w:spacing w:before="0" w:after="283"/>
              <w:jc w:val="left"/>
              <w:rPr>
                <w:b/>
              </w:rPr>
            </w:pPr>
            <w:r>
              <w:rPr>
                <w:b/>
              </w:rPr>
              <w:t>Subsidiary Name</w:t>
            </w:r>
          </w:p>
        </w:tc>
        <w:tc>
          <w:tcPr>
            <w:tcW w:w="60" w:type="dxa"/>
            <w:tcBorders/>
            <w:tcMar>
              <w:bottom w:w="0" w:type="dxa"/>
            </w:tcMar>
            <w:vAlign w:val="center"/>
          </w:tcPr>
          <w:p>
            <w:pPr>
              <w:pStyle w:val="TableContents"/>
              <w:bidi w:val="0"/>
              <w:spacing w:before="0" w:after="283"/>
              <w:jc w:val="left"/>
              <w:rPr/>
            </w:pPr>
            <w:r>
              <w:rPr/>
              <w:t> </w:t>
            </w:r>
          </w:p>
        </w:tc>
        <w:tc>
          <w:tcPr>
            <w:tcW w:w="1804" w:type="dxa"/>
            <w:gridSpan w:val="2"/>
            <w:tcBorders>
              <w:bottom w:val="single" w:sz="8" w:space="0" w:color="000000"/>
            </w:tcBorders>
            <w:vAlign w:val="center"/>
          </w:tcPr>
          <w:p>
            <w:pPr>
              <w:pStyle w:val="TableContents"/>
              <w:bidi w:val="0"/>
              <w:spacing w:before="0" w:after="283"/>
              <w:jc w:val="center"/>
              <w:rPr>
                <w:b/>
              </w:rPr>
            </w:pPr>
            <w:r>
              <w:rPr>
                <w:b/>
              </w:rPr>
              <w:t>Equity % Owned</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9" w:type="dxa"/>
            <w:gridSpan w:val="2"/>
            <w:tcBorders>
              <w:bottom w:val="single" w:sz="8" w:space="0" w:color="000000"/>
            </w:tcBorders>
            <w:vAlign w:val="center"/>
          </w:tcPr>
          <w:p>
            <w:pPr>
              <w:pStyle w:val="TableContents"/>
              <w:bidi w:val="0"/>
              <w:spacing w:before="0" w:after="283"/>
              <w:jc w:val="center"/>
              <w:rPr>
                <w:b/>
              </w:rPr>
            </w:pPr>
            <w:r>
              <w:rPr>
                <w:b/>
              </w:rPr>
              <w:t>Non-Controlling %</w:t>
            </w:r>
          </w:p>
        </w:tc>
        <w:tc>
          <w:tcPr>
            <w:tcW w:w="230" w:type="dxa"/>
            <w:tcBorders/>
            <w:tcMar>
              <w:bottom w:w="0" w:type="dxa"/>
            </w:tcMar>
            <w:vAlign w:val="center"/>
          </w:tcPr>
          <w:p>
            <w:pPr>
              <w:pStyle w:val="TableContents"/>
              <w:bidi w:val="0"/>
              <w:spacing w:before="0" w:after="283"/>
              <w:jc w:val="left"/>
              <w:rPr/>
            </w:pPr>
            <w:r>
              <w:rPr/>
              <w:t> </w:t>
            </w:r>
          </w:p>
        </w:tc>
      </w:tr>
      <w:tr>
        <w:trPr/>
        <w:tc>
          <w:tcPr>
            <w:tcW w:w="2405" w:type="dxa"/>
            <w:tcBorders/>
            <w:shd w:fill="CCEEFF" w:val="clear"/>
            <w:tcMar>
              <w:bottom w:w="0" w:type="dxa"/>
            </w:tcMar>
            <w:vAlign w:val="center"/>
          </w:tcPr>
          <w:p>
            <w:pPr>
              <w:pStyle w:val="TableContents"/>
              <w:bidi w:val="0"/>
              <w:spacing w:before="0" w:after="283"/>
              <w:jc w:val="left"/>
              <w:rPr/>
            </w:pPr>
            <w:r>
              <w:rPr/>
              <w:t>Snail Innovation Institute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467" w:type="dxa"/>
            <w:tcBorders/>
            <w:shd w:fill="CCEEFF" w:val="clear"/>
            <w:tcMar>
              <w:bottom w:w="0" w:type="dxa"/>
            </w:tcMar>
            <w:vAlign w:val="center"/>
          </w:tcPr>
          <w:p>
            <w:pPr>
              <w:pStyle w:val="TableContents"/>
              <w:bidi w:val="0"/>
              <w:spacing w:before="0" w:after="283"/>
              <w:jc w:val="right"/>
              <w:rPr/>
            </w:pPr>
            <w:bookmarkStart w:id="345" w:name="xdx_905_eus-gaap--MinorityInterestOwners"/>
            <w:bookmarkStart w:id="346" w:name="xdx_904_eus-gaap--MinorityInterestOwners"/>
            <w:bookmarkEnd w:id="345"/>
            <w:bookmarkEnd w:id="346"/>
            <w:r>
              <w:rPr/>
              <w:t>70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838" w:type="dxa"/>
            <w:tcBorders/>
            <w:shd w:fill="CCEEFF" w:val="clear"/>
            <w:tcMar>
              <w:bottom w:w="0" w:type="dxa"/>
            </w:tcMar>
            <w:vAlign w:val="center"/>
          </w:tcPr>
          <w:p>
            <w:pPr>
              <w:pStyle w:val="TableContents"/>
              <w:bidi w:val="0"/>
              <w:spacing w:before="0" w:after="283"/>
              <w:jc w:val="right"/>
              <w:rPr/>
            </w:pPr>
            <w:bookmarkStart w:id="347" w:name="xdx_909_eus-gaap--MinorityInterestOwners"/>
            <w:bookmarkStart w:id="348" w:name="xdx_906_eus-gaap--MinorityInterestOwners"/>
            <w:bookmarkEnd w:id="347"/>
            <w:bookmarkEnd w:id="348"/>
            <w:r>
              <w:rPr/>
              <w:t>30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405" w:type="dxa"/>
            <w:tcBorders/>
            <w:shd w:fill="FFFFFF" w:val="clear"/>
            <w:tcMar>
              <w:bottom w:w="0" w:type="dxa"/>
            </w:tcMar>
            <w:vAlign w:val="center"/>
          </w:tcPr>
          <w:p>
            <w:pPr>
              <w:pStyle w:val="TableContents"/>
              <w:bidi w:val="0"/>
              <w:spacing w:before="0" w:after="283"/>
              <w:jc w:val="left"/>
              <w:rPr/>
            </w:pPr>
            <w:r>
              <w:rPr/>
              <w:t>BTBX.IO,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7" w:type="dxa"/>
            <w:tcBorders/>
            <w:shd w:fill="FFFFFF" w:val="clear"/>
            <w:tcMar>
              <w:bottom w:w="0" w:type="dxa"/>
            </w:tcMar>
            <w:vAlign w:val="center"/>
          </w:tcPr>
          <w:p>
            <w:pPr>
              <w:pStyle w:val="TableContents"/>
              <w:bidi w:val="0"/>
              <w:spacing w:before="0" w:after="283"/>
              <w:jc w:val="left"/>
              <w:rPr/>
            </w:pPr>
            <w:r>
              <w:rPr/>
              <w:t> </w:t>
            </w:r>
          </w:p>
        </w:tc>
        <w:tc>
          <w:tcPr>
            <w:tcW w:w="1467" w:type="dxa"/>
            <w:tcBorders/>
            <w:shd w:fill="FFFFFF" w:val="clear"/>
            <w:tcMar>
              <w:bottom w:w="0" w:type="dxa"/>
            </w:tcMar>
            <w:vAlign w:val="center"/>
          </w:tcPr>
          <w:p>
            <w:pPr>
              <w:pStyle w:val="TableContents"/>
              <w:bidi w:val="0"/>
              <w:spacing w:before="0" w:after="283"/>
              <w:jc w:val="right"/>
              <w:rPr/>
            </w:pPr>
            <w:bookmarkStart w:id="349" w:name="xdx_903_eus-gaap--MinorityInterestOwners"/>
            <w:bookmarkStart w:id="350" w:name="xdx_908_eus-gaap--MinorityInterestOwners"/>
            <w:bookmarkEnd w:id="349"/>
            <w:bookmarkEnd w:id="350"/>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838" w:type="dxa"/>
            <w:tcBorders/>
            <w:shd w:fill="FFFFFF" w:val="clear"/>
            <w:tcMar>
              <w:bottom w:w="0" w:type="dxa"/>
            </w:tcMar>
            <w:vAlign w:val="center"/>
          </w:tcPr>
          <w:p>
            <w:pPr>
              <w:pStyle w:val="TableContents"/>
              <w:bidi w:val="0"/>
              <w:spacing w:before="0" w:after="283"/>
              <w:jc w:val="right"/>
              <w:rPr/>
            </w:pPr>
            <w:r>
              <w:rPr/>
              <w:t>       </w:t>
            </w:r>
            <w:bookmarkStart w:id="351" w:name="xdx_909_eus-gaap--MinorityInterestOwners"/>
            <w:bookmarkStart w:id="352" w:name="xdx_907_eus-gaap--MinorityInterestOwners"/>
            <w:bookmarkEnd w:id="351"/>
            <w:bookmarkEnd w:id="352"/>
            <w:r>
              <w:rPr/>
              <w:t>30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2405" w:type="dxa"/>
            <w:tcBorders/>
            <w:shd w:fill="CCEEFF" w:val="clear"/>
            <w:tcMar>
              <w:bottom w:w="0" w:type="dxa"/>
            </w:tcMar>
            <w:vAlign w:val="center"/>
          </w:tcPr>
          <w:p>
            <w:pPr>
              <w:pStyle w:val="TableContents"/>
              <w:bidi w:val="0"/>
              <w:spacing w:before="0" w:after="283"/>
              <w:jc w:val="left"/>
              <w:rPr/>
            </w:pPr>
            <w:r>
              <w:rPr/>
              <w:t>Donkey Crew,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467" w:type="dxa"/>
            <w:tcBorders/>
            <w:shd w:fill="CCEEFF" w:val="clear"/>
            <w:tcMar>
              <w:bottom w:w="0" w:type="dxa"/>
            </w:tcMar>
            <w:vAlign w:val="center"/>
          </w:tcPr>
          <w:p>
            <w:pPr>
              <w:pStyle w:val="TableContents"/>
              <w:bidi w:val="0"/>
              <w:spacing w:before="0" w:after="283"/>
              <w:jc w:val="right"/>
              <w:rPr/>
            </w:pPr>
            <w:bookmarkStart w:id="353" w:name="xdx_904_eus-gaap--MinorityInterestOwners"/>
            <w:bookmarkStart w:id="354" w:name="xdx_90B_eus-gaap--MinorityInterestOwners"/>
            <w:bookmarkEnd w:id="353"/>
            <w:bookmarkEnd w:id="354"/>
            <w:r>
              <w:rPr/>
              <w:t>99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838" w:type="dxa"/>
            <w:tcBorders/>
            <w:shd w:fill="CCEEFF" w:val="clear"/>
            <w:tcMar>
              <w:bottom w:w="0" w:type="dxa"/>
            </w:tcMar>
            <w:vAlign w:val="center"/>
          </w:tcPr>
          <w:p>
            <w:pPr>
              <w:pStyle w:val="TableContents"/>
              <w:bidi w:val="0"/>
              <w:spacing w:before="0" w:after="283"/>
              <w:jc w:val="right"/>
              <w:rPr/>
            </w:pPr>
            <w:bookmarkStart w:id="355" w:name="xdx_907_eus-gaap--MinorityInterestOwners"/>
            <w:bookmarkStart w:id="356" w:name="xdx_903_eus-gaap--MinorityInterestOwners"/>
            <w:bookmarkEnd w:id="355"/>
            <w:bookmarkEnd w:id="356"/>
            <w:r>
              <w:rPr/>
              <w:t>1</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57" w:name="xdx_8A9_zZFBoofBSjj8"/>
      <w:bookmarkEnd w:id="357"/>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8" w:name="xdx_868_ztjN6xwIGs97"/>
      <w:bookmarkStart w:id="359" w:name="xdx_845_eus-gaap--CashAndCashEquivalents"/>
      <w:bookmarkEnd w:id="358"/>
      <w:bookmarkEnd w:id="359"/>
      <w:r>
        <w:rPr>
          <w:rFonts w:ascii="Times New Roman;Times;Serif" w:hAnsi="Times New Roman;Times;Serif"/>
          <w:b/>
          <w:i/>
          <w:caps w:val="false"/>
          <w:smallCaps w:val="false"/>
          <w:sz w:val="20"/>
        </w:rPr>
        <w:t>Cash and Cash Equivalents and Restricted Cash and Cash Equivalents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 available for use in current operations or other activities such as capital expenditures and business combinations. Restricted cash and cash equivalents are time deposits, that are currently provided as a standby letter of credit to landlords and collateral held in reserve related to the Company’s revolving line of credit. The Company’s policy for determining whether an item is treated as cash, or a cash equivalent, is based on its original maturity, liquidity, and risk profile. Investments with maturities of three months or less, are highly liquid and have insignificant risk are considered to be cash equivalents.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0" w:name="xdx_86A_zYyfK9prQPl5"/>
      <w:bookmarkStart w:id="361" w:name="xdx_84D_eus-gaap--TradeAndOtherAccountsR"/>
      <w:bookmarkEnd w:id="360"/>
      <w:bookmarkEnd w:id="361"/>
      <w:r>
        <w:rPr>
          <w:rFonts w:ascii="Times New Roman;Times;Serif" w:hAnsi="Times New Roman;Times;Serif"/>
          <w:b/>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records a receivable related to revenue when it has an unconditional right to invoice and receive payment. Accounts receivable are carried at original invoice amount less an allowance made for credit losses. The Company uses a combination of quantitative and qualitative risk factors to estimate the allowance, including an analysis of the customers’ creditworthiness, historical experience, age of current accounts receivable balances, changes in financial condition or payment terms of our customers, and reasonable forecasts of the collectability of the accounts receivable. The Company evaluates the allowance for credit losses on a periodic basis and adjusts it as necessary based on the risk factors mentioned above. Any increase in the provision for credit losses is recorded as a charge to general and administrative expense in the current period. Any amounts deemed uncollectible are written off against the allowance for credit losses. Management judgment is required to estimate our allowance for credit losses in any accounting period. The amount and timing of our credit losses and cash collection could change significantly because of a change in any of the risk factors mentioned above. There were no credit losses recognized during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bookmarkStart w:id="362" w:name="xdx_863_zPlgijA2Grml"/>
      <w:bookmarkStart w:id="363" w:name="xdx_846_ecustom--LicenseUsageRightsPolic"/>
      <w:bookmarkEnd w:id="362"/>
      <w:bookmarkEnd w:id="363"/>
      <w:r>
        <w:rPr>
          <w:rFonts w:ascii="Times New Roman;Times;Serif" w:hAnsi="Times New Roman;Times;Serif"/>
          <w:b/>
          <w:i/>
          <w:caps w:val="false"/>
          <w:smallCaps w:val="false"/>
          <w:sz w:val="20"/>
        </w:rPr>
        <w:t>Intangible Assets – License Usage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license agreements with third-party developers and related party developers that require the Company to make payments for license usage rights and game development and production services. These license agreements grant the Company the exclusive publishing and distribution rights to game titles as well as, in some cases, the underlying intellectual property rights. These license agreements also specify the payment schedules, royalty rates and the relevant licensing period. The Company capitalizes the cost of license usage rights as intangible assets and amortizes them over the terms of the respective licensing rights. During the three months ended March 31, 2026 and 2025, the Company capitalized $</w:t>
      </w:r>
      <w:bookmarkStart w:id="364" w:name="xdx_90B_eus-gaap--OtherIntangibleAssetsN"/>
      <w:bookmarkEnd w:id="364"/>
      <w:r>
        <w:rPr>
          <w:rFonts w:ascii="Times New Roman;Times;Serif" w:hAnsi="Times New Roman;Times;Serif"/>
          <w:b w:val="false"/>
          <w:i w:val="false"/>
          <w:caps w:val="false"/>
          <w:smallCaps w:val="false"/>
          <w:sz w:val="20"/>
        </w:rPr>
        <w:t>170,639 and $</w:t>
      </w:r>
      <w:bookmarkStart w:id="365" w:name="xdx_904_eus-gaap--OtherIntangibleAssetsN"/>
      <w:bookmarkEnd w:id="365"/>
      <w:r>
        <w:rPr>
          <w:rFonts w:ascii="Times New Roman;Times;Serif" w:hAnsi="Times New Roman;Times;Serif"/>
          <w:b w:val="false"/>
          <w:i w:val="false"/>
          <w:caps w:val="false"/>
          <w:smallCaps w:val="false"/>
          <w:sz w:val="20"/>
        </w:rPr>
        <w:t>996,566 of license usage costs within intangible assets, net,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6" w:name="xdx_867_z30LCegok2E3"/>
      <w:bookmarkStart w:id="367" w:name="xdx_844_eus-gaap--FilmCostsPolicyPolicyT"/>
      <w:bookmarkEnd w:id="366"/>
      <w:bookmarkEnd w:id="367"/>
      <w:r>
        <w:rPr>
          <w:rFonts w:ascii="Times New Roman;Times;Serif" w:hAnsi="Times New Roman;Times;Serif"/>
          <w:b/>
          <w:i/>
          <w:caps w:val="false"/>
          <w:smallCaps w:val="false"/>
          <w:sz w:val="20"/>
        </w:rPr>
        <w:t>Film Costs,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costs to produce short videos in accordance with Financial Accounting Standards Board (“FASB”) ASC Topic 926, including direct production costs, production overhead, interest, acquisition costs and development costs. The Company will account for each episodic series as a unit for which capitalized film costs will be amortized by the Company using the individual-film forecast-computation method. Each reporting period the Company will reassess its estimate of ultimate revenues used to determine the amortization rate for each episodic series. If the estimate is revised, the Company will account for the change prospectively. The Company will then remeasure the amortization based on the portion of ultimate revenues that have been recognized and that are yet to be recognized. Unamortized film costs shall be tested for impairment whenever events or changes in circumstances indicate that fair value of the film may be less than its unamortized film costs. If the fair value of an episodic series is less than its unamortized film costs, the Company will write off the excess amount. The Company groups its film and content rights by monetization strategy. As of March 31, 2026 and December 31, 2025, $</w:t>
      </w:r>
      <w:bookmarkStart w:id="368" w:name="xdx_90B_eus-gaap--IncreaseDecreaseInFilm"/>
      <w:bookmarkEnd w:id="368"/>
      <w:r>
        <w:rPr>
          <w:rFonts w:ascii="Times New Roman;Times;Serif" w:hAnsi="Times New Roman;Times;Serif"/>
          <w:b w:val="false"/>
          <w:i w:val="false"/>
          <w:caps w:val="false"/>
          <w:smallCaps w:val="false"/>
          <w:sz w:val="20"/>
        </w:rPr>
        <w:t>45,500 and $</w:t>
      </w:r>
      <w:bookmarkStart w:id="369" w:name="xdx_903_eus-gaap--IncreaseDecreaseInFilm"/>
      <w:bookmarkEnd w:id="369"/>
      <w:r>
        <w:rPr>
          <w:rFonts w:ascii="Times New Roman;Times;Serif" w:hAnsi="Times New Roman;Times;Serif"/>
          <w:b w:val="false"/>
          <w:i w:val="false"/>
          <w:caps w:val="false"/>
          <w:smallCaps w:val="false"/>
          <w:sz w:val="20"/>
        </w:rPr>
        <w:t>244,450, respectively, of film costs are capitalized and included in other noncurrent assets, net in the accompanying condensed consolidated balance sheets. During the three months ended March 31, 2026 and 2025, $</w:t>
      </w:r>
      <w:bookmarkStart w:id="370" w:name="xdx_901_ecustom--PaymentsForAmortizedFil"/>
      <w:bookmarkEnd w:id="370"/>
      <w:r>
        <w:rPr>
          <w:rFonts w:ascii="Times New Roman;Times;Serif" w:hAnsi="Times New Roman;Times;Serif"/>
          <w:b w:val="false"/>
          <w:i w:val="false"/>
          <w:caps w:val="false"/>
          <w:smallCaps w:val="false"/>
          <w:sz w:val="20"/>
        </w:rPr>
        <w:t>140,709 and $</w:t>
      </w:r>
      <w:bookmarkStart w:id="371" w:name="xdx_90A_ecustom--PaymentsForAmortizedFil"/>
      <w:bookmarkEnd w:id="371"/>
      <w:r>
        <w:rPr>
          <w:rFonts w:ascii="Times New Roman;Times;Serif" w:hAnsi="Times New Roman;Times;Serif"/>
          <w:b w:val="false"/>
          <w:i w:val="false"/>
          <w:caps w:val="false"/>
          <w:smallCaps w:val="false"/>
          <w:sz w:val="20"/>
        </w:rPr>
        <w:t>212,709 of film costs were amortized respectively, and reported in the cost of revenues in the Company’s condensed consolidated statement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impairment of $</w:t>
      </w:r>
      <w:bookmarkStart w:id="372" w:name="xdx_90D_eus-gaap--OtherAssetImpairmentCh"/>
      <w:bookmarkEnd w:id="372"/>
      <w:r>
        <w:rPr>
          <w:rFonts w:ascii="Times New Roman;Times;Serif" w:hAnsi="Times New Roman;Times;Serif"/>
          <w:b w:val="false"/>
          <w:i w:val="false"/>
          <w:caps w:val="false"/>
          <w:smallCaps w:val="false"/>
          <w:sz w:val="20"/>
        </w:rPr>
        <w:t>69,149 and $</w:t>
      </w:r>
      <w:bookmarkStart w:id="373" w:name="xdx_90C_eus-gaap--OtherAssetImpairmentCh"/>
      <w:bookmarkEnd w:id="373"/>
      <w:r>
        <w:rPr>
          <w:rFonts w:ascii="Times New Roman;Times;Serif" w:hAnsi="Times New Roman;Times;Serif"/>
          <w:b w:val="false"/>
          <w:i w:val="false"/>
          <w:caps w:val="false"/>
          <w:smallCaps w:val="false"/>
          <w:sz w:val="20"/>
        </w:rPr>
        <w:t>0 for the three months ended March 31, 2026 and 2025, respectively. The impairment is primarily related to the underperforming titles released during the period and the elimination of marketing plans for these titles. The impairment charges are included in the impairment of film assets on the condensed consolidated statement of operations and comprehensive income (loss). The Company continues to monitor the performance of its film assets and may record additional impairments in future periods if conditions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4" w:name="xdx_86B_zTrakGpyjRai"/>
      <w:bookmarkStart w:id="375" w:name="xdx_844_ecustom--SoftwareDevelopmentCost"/>
      <w:bookmarkEnd w:id="374"/>
      <w:bookmarkEnd w:id="375"/>
      <w:r>
        <w:rPr>
          <w:rFonts w:ascii="Times New Roman;Times;Serif" w:hAnsi="Times New Roman;Times;Serif"/>
          <w:b/>
          <w:i/>
          <w:caps w:val="false"/>
          <w:smallCaps w:val="false"/>
          <w:sz w:val="20"/>
        </w:rPr>
        <w:t>Software Development Costs and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software products intended to be sold, leased or otherwise marketed in accordance with ASC 985. Accordingly, we capitalize costs incurred for internally developed titles and payments made to third-party software developers under development agreements as software. These software development costs may include payroll, materials, and other costs directly related to development activities subsequent to establishing technological feasibility of the software. Significant management judgments are made in the assessment of when technological feasibility is established. Technological feasibility is evaluated on a product-by-product basis. Prior to establishing technological feasibility of a product, we record any costs incurred by their-party developers as 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the Company capitalized $</w:t>
      </w:r>
      <w:bookmarkStart w:id="376" w:name="xdx_906_eus-gaap--ResearchAndDevelopment"/>
      <w:bookmarkEnd w:id="376"/>
      <w:r>
        <w:rPr>
          <w:rFonts w:ascii="Times New Roman;Times;Serif" w:hAnsi="Times New Roman;Times;Serif"/>
          <w:b w:val="false"/>
          <w:i w:val="false"/>
          <w:caps w:val="false"/>
          <w:smallCaps w:val="false"/>
          <w:sz w:val="20"/>
        </w:rPr>
        <w:t>170,639 and $</w:t>
      </w:r>
      <w:bookmarkStart w:id="377" w:name="xdx_90B_eus-gaap--ResearchAndDevelopment"/>
      <w:bookmarkEnd w:id="377"/>
      <w:r>
        <w:rPr>
          <w:rFonts w:ascii="Times New Roman;Times;Serif" w:hAnsi="Times New Roman;Times;Serif"/>
          <w:b w:val="false"/>
          <w:i w:val="false"/>
          <w:caps w:val="false"/>
          <w:smallCaps w:val="false"/>
          <w:sz w:val="20"/>
        </w:rPr>
        <w:t>1,220,743, respectively, of software development costs under ASC 985 for various titles, which are included in intangible assets, net, in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8" w:name="xdx_868_zzktRlUP5Ie4"/>
      <w:bookmarkStart w:id="379" w:name="xdx_843_eus-gaap--FairValueMeasurementPo"/>
      <w:bookmarkEnd w:id="378"/>
      <w:bookmarkEnd w:id="379"/>
      <w:r>
        <w:rPr>
          <w:rFonts w:ascii="Times New Roman;Times;Serif" w:hAnsi="Times New Roman;Times;Serif"/>
          <w:b/>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ASC Topic 820, Fair Value Measurements. ASC 820 defines fair value, establishes a framework for measuring fair value under generally accepted accounting principles and enhances disclosures about fair value measurements. Fair value is defined under ASC 820 as the exchange price that would be received for an asset or paid to transfer a liability in the principal or most advantageous market for the asset or liability in an orderly transaction between market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establishes a hierarchy of valuation inputs based on the extent to which the inputs are observable in the marketplace. Observable inputs reflect market data obtained from sources independent of the reporting entity and unobservable inputs reflect the entity’s own assumptions about how market participants would value an asset or liability based on the best information available.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the hierarchy of inputs used to measure fair value and the primary valuation methodologies used by the Company for financial instruments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levels of inputs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Level 1</w:t>
            </w:r>
            <w:r>
              <w:rPr>
                <w:rFonts w:ascii="Times New Roman;Times;Serif" w:hAnsi="Times New Roman;Times;Serif"/>
                <w:sz w:val="20"/>
              </w:rPr>
              <w:t>: Quoted prices in active markets for identical assets or liabilities that the Company has an ability to access as of the measurement date.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Level 2</w:t>
            </w:r>
            <w:r>
              <w:rPr>
                <w:rFonts w:ascii="Times New Roman;Times;Serif" w:hAnsi="Times New Roman;Times;Serif"/>
                <w:sz w:val="20"/>
              </w:rPr>
              <w:t>: Inputs that are observable, either directly or indirectly, such as quoted prices for similar assets or liabilities, quoted prices in markets that are not active, or other inputs that are observable or can be corroborated by observable market data for substantially the same term of the assets or liabilities.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Level 3</w:t>
            </w:r>
            <w:r>
              <w:rPr>
                <w:rFonts w:ascii="Times New Roman;Times;Serif" w:hAnsi="Times New Roman;Times;Serif"/>
                <w:sz w:val="20"/>
              </w:rPr>
              <w:t>: Unobservable inputs that are supported by little or no market activity and that are significant to the fair value of the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financial instrument’s categorization within the valuation hierarchy is based upon the lowest level of input that is significant to the fair value measurement. Our financial instruments include cash and cash equivalents, restricted cash and cash equivalents, short-term financial instruments, short-term loans, accounts receivable and accounts payable. The carrying values of receivables, payables, and other amounts arising out of the normal course of business approximate their fair value due to their short maturities or economic substance. The carrying amount of the Company’s short-term and long-term borrowings, which are considered level 2 liabilities, approximate their fair value based on current rates and terms available to the Company for similar debt. </w:t>
      </w:r>
      <w:bookmarkStart w:id="380" w:name="xdx_906_eus-gaap--DebtInstrumentDescript"/>
      <w:bookmarkEnd w:id="380"/>
      <w:r>
        <w:rPr>
          <w:rFonts w:ascii="Times New Roman;Times;Serif" w:hAnsi="Times New Roman;Times;Serif"/>
          <w:b w:val="false"/>
          <w:i w:val="false"/>
          <w:caps w:val="false"/>
          <w:smallCaps w:val="false"/>
          <w:sz w:val="20"/>
        </w:rPr>
        <w:t xml:space="preserve">The fair value of the Company’s promissory note has a fixed rate until June 2026, then a floating rate that approximates the Wall Street Journal Prime Rate plus 0.50%. The fair value of the Company’s term loan note has a floating rate that approximates the Wall Street Journal Prime Rate plus 0.50% or a floor rate of 6.50%, whichever is higher. The Company considers the carrying amount of the loans to approximate fair value as the discounted cost in comparison to market rates would not be materially different than the cost to acquire a loan with similar terms. The Company’s convertible notes are measured at fair value using a binomial lattice framework and a range of level 3 inputs as described in Note 12 – </w:t>
      </w:r>
      <w:r>
        <w:rPr>
          <w:rFonts w:ascii="Times New Roman;Times;Serif" w:hAnsi="Times New Roman;Times;Serif"/>
          <w:b w:val="false"/>
          <w:i/>
          <w:caps w:val="false"/>
          <w:smallCaps w:val="false"/>
          <w:sz w:val="20"/>
        </w:rPr>
        <w:t>Revolving Loan, Short Term Notes and Long-Term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has liability classified warrants measured at fair value on a recurring basis. See Note 17 – </w:t>
      </w:r>
      <w:r>
        <w:rPr>
          <w:rFonts w:ascii="Times New Roman;Times;Serif" w:hAnsi="Times New Roman;Times;Serif"/>
          <w:b w:val="false"/>
          <w:i/>
          <w:caps w:val="false"/>
          <w:smallCaps w:val="false"/>
          <w:sz w:val="20"/>
        </w:rPr>
        <w:t>Equity</w:t>
      </w:r>
      <w:r>
        <w:rPr>
          <w:rFonts w:ascii="Times New Roman;Times;Serif" w:hAnsi="Times New Roman;Times;Serif"/>
          <w:b w:val="false"/>
          <w:i w:val="false"/>
          <w:caps w:val="false"/>
          <w:smallCaps w:val="false"/>
          <w:sz w:val="20"/>
        </w:rPr>
        <w:t xml:space="preserve"> for the fair value disclosures related to the Company’s convertible notes, and the Company’s warrant liability and derivative instruments. The Company does not have any other assets or liabilities measured at fair value on a recurring or non-recurring basis as of March 31,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1" w:name="xdx_89D_eus-gaap--FairValueLiabilitiesMe"/>
      <w:bookmarkEnd w:id="381"/>
      <w:r>
        <w:rPr>
          <w:rFonts w:ascii="Times New Roman;Times;Serif" w:hAnsi="Times New Roman;Times;Serif"/>
          <w:b w:val="false"/>
          <w:i w:val="false"/>
          <w:caps w:val="false"/>
          <w:smallCaps w:val="false"/>
          <w:sz w:val="20"/>
        </w:rPr>
        <w:t>The following table presents the Company’s convertible notes, convertible notes warrants, and equity line of credit warrants measured at fair value and classified within the fair value hierarchy as of March 31, 2026 and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2" w:name="xdx_8B5_ziAEYXUbhOHl"/>
      <w:bookmarkEnd w:id="382"/>
      <w:r>
        <w:rPr>
          <w:rFonts w:ascii="Times New Roman;Times;Serif" w:hAnsi="Times New Roman;Times;Serif"/>
          <w:b w:val="false"/>
          <w:i w:val="false"/>
          <w:caps w:val="false"/>
          <w:smallCaps w:val="false"/>
          <w:sz w:val="20"/>
        </w:rPr>
        <w:t>SCHEDULE OF FAIR VALUE AND CLASSIFIED WITHIN THE FAIR VALUE HIERARCHY </w:t>
      </w:r>
    </w:p>
    <w:tbl>
      <w:tblPr>
        <w:tblW w:w="10205" w:type="dxa"/>
        <w:jc w:val="left"/>
        <w:tblInd w:w="0" w:type="dxa"/>
        <w:tblLayout w:type="fixed"/>
        <w:tblCellMar>
          <w:top w:w="0" w:type="dxa"/>
          <w:left w:w="0" w:type="dxa"/>
          <w:bottom w:w="0" w:type="dxa"/>
          <w:right w:w="0" w:type="dxa"/>
        </w:tblCellMar>
      </w:tblPr>
      <w:tblGrid>
        <w:gridCol w:w="2197"/>
        <w:gridCol w:w="60"/>
        <w:gridCol w:w="167"/>
        <w:gridCol w:w="1171"/>
        <w:gridCol w:w="66"/>
        <w:gridCol w:w="66"/>
        <w:gridCol w:w="780"/>
        <w:gridCol w:w="1451"/>
        <w:gridCol w:w="66"/>
        <w:gridCol w:w="66"/>
        <w:gridCol w:w="519"/>
        <w:gridCol w:w="964"/>
        <w:gridCol w:w="66"/>
        <w:gridCol w:w="66"/>
        <w:gridCol w:w="304"/>
        <w:gridCol w:w="2115"/>
        <w:gridCol w:w="81"/>
      </w:tblGrid>
      <w:tr>
        <w:trPr/>
        <w:tc>
          <w:tcPr>
            <w:tcW w:w="21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867" w:type="dxa"/>
            <w:gridSpan w:val="14"/>
            <w:tcBorders>
              <w:bottom w:val="single" w:sz="8" w:space="0" w:color="000000"/>
            </w:tcBorders>
            <w:tcMar>
              <w:bottom w:w="28" w:type="dxa"/>
            </w:tcMar>
            <w:vAlign w:val="center"/>
          </w:tcPr>
          <w:p>
            <w:pPr>
              <w:pStyle w:val="TableContents"/>
              <w:bidi w:val="0"/>
              <w:spacing w:before="0" w:after="283"/>
              <w:jc w:val="center"/>
              <w:rPr/>
            </w:pPr>
            <w:r>
              <w:rPr/>
              <w:t>Fair value measured as of March 31, 2026</w:t>
            </w:r>
          </w:p>
        </w:tc>
        <w:tc>
          <w:tcPr>
            <w:tcW w:w="81" w:type="dxa"/>
            <w:tcBorders/>
            <w:vAlign w:val="center"/>
          </w:tcPr>
          <w:p>
            <w:pPr>
              <w:pStyle w:val="TableContents"/>
              <w:bidi w:val="0"/>
              <w:spacing w:before="0" w:after="283"/>
              <w:jc w:val="left"/>
              <w:rPr/>
            </w:pPr>
            <w:r>
              <w:rPr/>
              <w:t> </w:t>
            </w:r>
          </w:p>
        </w:tc>
      </w:tr>
      <w:tr>
        <w:trPr/>
        <w:tc>
          <w:tcPr>
            <w:tcW w:w="21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38" w:type="dxa"/>
            <w:gridSpan w:val="2"/>
            <w:tcBorders>
              <w:bottom w:val="single" w:sz="8" w:space="0" w:color="000000"/>
            </w:tcBorders>
            <w:tcMar>
              <w:bottom w:w="28" w:type="dxa"/>
            </w:tcMar>
            <w:vAlign w:val="center"/>
          </w:tcPr>
          <w:p>
            <w:pPr>
              <w:pStyle w:val="TableContents"/>
              <w:bidi w:val="0"/>
              <w:spacing w:before="0" w:after="283"/>
              <w:jc w:val="center"/>
              <w:rPr/>
            </w:pPr>
            <w:r>
              <w:rPr/>
              <w:t>Total fair value</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2231"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Quoted prices in active markets </w:t>
              <w:br/>
              <w:t>(Level 1)</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Significant </w:t>
              <w:br/>
              <w:t xml:space="preserve">other </w:t>
              <w:br/>
              <w:t xml:space="preserve">observable inputs </w:t>
              <w:br/>
              <w:t>(Level 2)</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2419"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Significant unobservable inputs </w:t>
              <w:br/>
              <w:t>(Level 3)</w:t>
            </w:r>
          </w:p>
        </w:tc>
        <w:tc>
          <w:tcPr>
            <w:tcW w:w="81" w:type="dxa"/>
            <w:tcBorders/>
            <w:vAlign w:val="center"/>
          </w:tcPr>
          <w:p>
            <w:pPr>
              <w:pStyle w:val="TableContents"/>
              <w:bidi w:val="0"/>
              <w:spacing w:before="0" w:after="283"/>
              <w:jc w:val="left"/>
              <w:rPr/>
            </w:pPr>
            <w:r>
              <w:rPr/>
              <w:t> </w:t>
            </w:r>
          </w:p>
        </w:tc>
      </w:tr>
      <w:tr>
        <w:trPr/>
        <w:tc>
          <w:tcPr>
            <w:tcW w:w="2197"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bookmarkStart w:id="383" w:name="xdx_981_eus-gaap--ConvertibleDebtFairVal"/>
            <w:bookmarkEnd w:id="383"/>
          </w:p>
        </w:tc>
        <w:tc>
          <w:tcPr>
            <w:tcW w:w="1171" w:type="dxa"/>
            <w:tcBorders/>
            <w:shd w:fill="CCEEFF" w:val="clear"/>
            <w:vAlign w:val="center"/>
          </w:tcPr>
          <w:p>
            <w:pPr>
              <w:pStyle w:val="TableContents"/>
              <w:bidi w:val="0"/>
              <w:spacing w:before="0" w:after="283"/>
              <w:jc w:val="right"/>
              <w:rPr/>
            </w:pPr>
            <w:r>
              <w:rPr/>
              <w:t>2,382,255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left"/>
              <w:rPr/>
            </w:pPr>
            <w:r>
              <w:rPr/>
              <w:t>$</w:t>
            </w:r>
            <w:bookmarkStart w:id="384" w:name="xdx_98B_eus-gaap--ConvertibleDebtFairVal"/>
            <w:bookmarkEnd w:id="384"/>
          </w:p>
        </w:tc>
        <w:tc>
          <w:tcPr>
            <w:tcW w:w="1451"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w:t>
            </w:r>
            <w:bookmarkStart w:id="385" w:name="xdx_986_eus-gaap--ConvertibleDebtFairVal"/>
            <w:bookmarkEnd w:id="385"/>
          </w:p>
        </w:tc>
        <w:tc>
          <w:tcPr>
            <w:tcW w:w="964"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bookmarkStart w:id="386" w:name="xdx_981_eus-gaap--ConvertibleDebtFairVal"/>
            <w:bookmarkEnd w:id="386"/>
          </w:p>
        </w:tc>
        <w:tc>
          <w:tcPr>
            <w:tcW w:w="2115" w:type="dxa"/>
            <w:tcBorders/>
            <w:shd w:fill="CCEEFF" w:val="clear"/>
            <w:vAlign w:val="center"/>
          </w:tcPr>
          <w:p>
            <w:pPr>
              <w:pStyle w:val="TableContents"/>
              <w:bidi w:val="0"/>
              <w:spacing w:before="0" w:after="283"/>
              <w:jc w:val="right"/>
              <w:rPr/>
            </w:pPr>
            <w:r>
              <w:rPr/>
              <w:t>2,382,255</w:t>
            </w:r>
          </w:p>
        </w:tc>
        <w:tc>
          <w:tcPr>
            <w:tcW w:w="81" w:type="dxa"/>
            <w:tcBorders/>
            <w:shd w:fill="CCEEFF" w:val="clear"/>
            <w:vAlign w:val="center"/>
          </w:tcPr>
          <w:p>
            <w:pPr>
              <w:pStyle w:val="TableContents"/>
              <w:bidi w:val="0"/>
              <w:spacing w:before="0" w:after="283"/>
              <w:jc w:val="left"/>
              <w:rPr/>
            </w:pPr>
            <w:r>
              <w:rPr/>
              <w:t> </w:t>
            </w:r>
          </w:p>
        </w:tc>
      </w:tr>
      <w:tr>
        <w:trPr/>
        <w:tc>
          <w:tcPr>
            <w:tcW w:w="2197" w:type="dxa"/>
            <w:tcBorders/>
            <w:shd w:fill="FFFFFF" w:val="clear"/>
            <w:vAlign w:val="center"/>
          </w:tcPr>
          <w:p>
            <w:pPr>
              <w:pStyle w:val="TableContents"/>
              <w:bidi w:val="0"/>
              <w:spacing w:before="0" w:after="283"/>
              <w:jc w:val="left"/>
              <w:rPr/>
            </w:pPr>
            <w:r>
              <w:rPr/>
              <w:t>Convertible notes warrants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bookmarkStart w:id="387" w:name="xdx_98B_ecustom--ConvertibleDebtWarrants"/>
            <w:bookmarkEnd w:id="387"/>
          </w:p>
        </w:tc>
        <w:tc>
          <w:tcPr>
            <w:tcW w:w="1171" w:type="dxa"/>
            <w:tcBorders/>
            <w:shd w:fill="FFFFFF" w:val="clear"/>
            <w:vAlign w:val="center"/>
          </w:tcPr>
          <w:p>
            <w:pPr>
              <w:pStyle w:val="TableContents"/>
              <w:bidi w:val="0"/>
              <w:spacing w:before="0" w:after="283"/>
              <w:jc w:val="right"/>
              <w:rPr/>
            </w:pPr>
            <w:r>
              <w:rPr/>
              <w:t>301,679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bookmarkStart w:id="388" w:name="xdx_988_ecustom--ConvertibleDebtWarrants"/>
            <w:bookmarkEnd w:id="388"/>
          </w:p>
        </w:tc>
        <w:tc>
          <w:tcPr>
            <w:tcW w:w="1451"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bookmarkStart w:id="389" w:name="xdx_98F_ecustom--ConvertibleDebtWarrants"/>
            <w:bookmarkEnd w:id="389"/>
          </w:p>
        </w:tc>
        <w:tc>
          <w:tcPr>
            <w:tcW w:w="964"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bookmarkStart w:id="390" w:name="xdx_987_ecustom--ConvertibleDebtWarrants"/>
            <w:bookmarkEnd w:id="390"/>
          </w:p>
        </w:tc>
        <w:tc>
          <w:tcPr>
            <w:tcW w:w="2115" w:type="dxa"/>
            <w:tcBorders/>
            <w:shd w:fill="FFFFFF" w:val="clear"/>
            <w:vAlign w:val="center"/>
          </w:tcPr>
          <w:p>
            <w:pPr>
              <w:pStyle w:val="TableContents"/>
              <w:bidi w:val="0"/>
              <w:spacing w:before="0" w:after="283"/>
              <w:jc w:val="right"/>
              <w:rPr/>
            </w:pPr>
            <w:r>
              <w:rPr/>
              <w:t>301,679</w:t>
            </w:r>
          </w:p>
        </w:tc>
        <w:tc>
          <w:tcPr>
            <w:tcW w:w="81" w:type="dxa"/>
            <w:tcBorders/>
            <w:shd w:fill="FFFFFF" w:val="clear"/>
            <w:vAlign w:val="center"/>
          </w:tcPr>
          <w:p>
            <w:pPr>
              <w:pStyle w:val="TableContents"/>
              <w:bidi w:val="0"/>
              <w:spacing w:before="0" w:after="283"/>
              <w:jc w:val="left"/>
              <w:rPr/>
            </w:pPr>
            <w:r>
              <w:rPr/>
              <w:t> </w:t>
            </w:r>
          </w:p>
        </w:tc>
      </w:tr>
      <w:tr>
        <w:trPr/>
        <w:tc>
          <w:tcPr>
            <w:tcW w:w="2197" w:type="dxa"/>
            <w:tcBorders/>
            <w:shd w:fill="CCEEFF" w:val="clear"/>
            <w:vAlign w:val="center"/>
          </w:tcPr>
          <w:p>
            <w:pPr>
              <w:pStyle w:val="TableContents"/>
              <w:bidi w:val="0"/>
              <w:spacing w:before="0" w:after="283"/>
              <w:jc w:val="left"/>
              <w:rPr/>
            </w:pPr>
            <w:r>
              <w:rPr/>
              <w:t>Equity line of credit warrants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1" w:name="xdx_986_eus-gaap--LinesOfCreditFairValue"/>
            <w:bookmarkEnd w:id="391"/>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64,214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2" w:name="xdx_985_eus-gaap--LinesOfCreditFairValue"/>
            <w:bookmarkEnd w:id="392"/>
          </w:p>
        </w:tc>
        <w:tc>
          <w:tcPr>
            <w:tcW w:w="145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3" w:name="xdx_981_eus-gaap--LinesOfCreditFairValue"/>
            <w:bookmarkEnd w:id="393"/>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4" w:name="xdx_984_eus-gaap--LinesOfCreditFairValue"/>
            <w:bookmarkEnd w:id="394"/>
          </w:p>
        </w:tc>
        <w:tc>
          <w:tcPr>
            <w:tcW w:w="2115" w:type="dxa"/>
            <w:tcBorders>
              <w:bottom w:val="single" w:sz="8" w:space="0" w:color="000000"/>
            </w:tcBorders>
            <w:shd w:fill="CCEEFF" w:val="clear"/>
            <w:tcMar>
              <w:bottom w:w="28" w:type="dxa"/>
            </w:tcMar>
            <w:vAlign w:val="center"/>
          </w:tcPr>
          <w:p>
            <w:pPr>
              <w:pStyle w:val="TableContents"/>
              <w:bidi w:val="0"/>
              <w:spacing w:before="0" w:after="283"/>
              <w:jc w:val="right"/>
              <w:rPr/>
            </w:pPr>
            <w:r>
              <w:rPr/>
              <w:t>64,214</w:t>
            </w:r>
          </w:p>
        </w:tc>
        <w:tc>
          <w:tcPr>
            <w:tcW w:w="81" w:type="dxa"/>
            <w:tcBorders/>
            <w:shd w:fill="CCEEFF" w:val="clear"/>
            <w:vAlign w:val="center"/>
          </w:tcPr>
          <w:p>
            <w:pPr>
              <w:pStyle w:val="TableContents"/>
              <w:bidi w:val="0"/>
              <w:spacing w:before="0" w:after="283"/>
              <w:jc w:val="left"/>
              <w:rPr/>
            </w:pPr>
            <w:r>
              <w:rPr/>
              <w:t> </w:t>
            </w:r>
          </w:p>
        </w:tc>
      </w:tr>
      <w:tr>
        <w:trPr/>
        <w:tc>
          <w:tcPr>
            <w:tcW w:w="2197"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95" w:name="xdx_980_eus-gaap--FinancialLiabilitiesFa"/>
            <w:bookmarkEnd w:id="395"/>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2,748,148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96" w:name="xdx_98A_eus-gaap--FinancialLiabilitiesFa"/>
            <w:bookmarkEnd w:id="396"/>
          </w:p>
        </w:tc>
        <w:tc>
          <w:tcPr>
            <w:tcW w:w="145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97" w:name="xdx_989_eus-gaap--FinancialLiabilitiesFa"/>
            <w:bookmarkEnd w:id="397"/>
          </w:p>
        </w:tc>
        <w:tc>
          <w:tcPr>
            <w:tcW w:w="96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98" w:name="xdx_98E_eus-gaap--FinancialLiabilitiesFa"/>
            <w:bookmarkEnd w:id="398"/>
          </w:p>
        </w:tc>
        <w:tc>
          <w:tcPr>
            <w:tcW w:w="2115" w:type="dxa"/>
            <w:tcBorders>
              <w:bottom w:val="double" w:sz="6" w:space="0" w:color="000000"/>
            </w:tcBorders>
            <w:shd w:fill="FFFFFF" w:val="clear"/>
            <w:tcMar>
              <w:bottom w:w="28" w:type="dxa"/>
            </w:tcMar>
            <w:vAlign w:val="center"/>
          </w:tcPr>
          <w:p>
            <w:pPr>
              <w:pStyle w:val="TableContents"/>
              <w:bidi w:val="0"/>
              <w:spacing w:before="0" w:after="283"/>
              <w:jc w:val="right"/>
              <w:rPr/>
            </w:pPr>
            <w:r>
              <w:rPr/>
              <w:t>2,748,148</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1"/>
        <w:gridCol w:w="60"/>
        <w:gridCol w:w="166"/>
        <w:gridCol w:w="1170"/>
        <w:gridCol w:w="70"/>
        <w:gridCol w:w="70"/>
        <w:gridCol w:w="777"/>
        <w:gridCol w:w="1445"/>
        <w:gridCol w:w="70"/>
        <w:gridCol w:w="70"/>
        <w:gridCol w:w="518"/>
        <w:gridCol w:w="962"/>
        <w:gridCol w:w="70"/>
        <w:gridCol w:w="70"/>
        <w:gridCol w:w="307"/>
        <w:gridCol w:w="2105"/>
        <w:gridCol w:w="84"/>
      </w:tblGrid>
      <w:tr>
        <w:trPr/>
        <w:tc>
          <w:tcPr>
            <w:tcW w:w="21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870" w:type="dxa"/>
            <w:gridSpan w:val="14"/>
            <w:tcBorders>
              <w:bottom w:val="single" w:sz="8" w:space="0" w:color="000000"/>
            </w:tcBorders>
            <w:tcMar>
              <w:bottom w:w="28" w:type="dxa"/>
            </w:tcMar>
            <w:vAlign w:val="center"/>
          </w:tcPr>
          <w:p>
            <w:pPr>
              <w:pStyle w:val="TableContents"/>
              <w:bidi w:val="0"/>
              <w:spacing w:before="0" w:after="283"/>
              <w:jc w:val="center"/>
              <w:rPr/>
            </w:pPr>
            <w:r>
              <w:rPr/>
              <w:t>Fair value measured as of December 31, 2025</w:t>
            </w:r>
          </w:p>
        </w:tc>
        <w:tc>
          <w:tcPr>
            <w:tcW w:w="84" w:type="dxa"/>
            <w:tcBorders/>
            <w:vAlign w:val="center"/>
          </w:tcPr>
          <w:p>
            <w:pPr>
              <w:pStyle w:val="TableContents"/>
              <w:bidi w:val="0"/>
              <w:spacing w:before="0" w:after="283"/>
              <w:jc w:val="left"/>
              <w:rPr/>
            </w:pPr>
            <w:r>
              <w:rPr/>
              <w:t> </w:t>
            </w:r>
          </w:p>
        </w:tc>
      </w:tr>
      <w:tr>
        <w:trPr/>
        <w:tc>
          <w:tcPr>
            <w:tcW w:w="21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pPr>
            <w:r>
              <w:rPr/>
              <w:t>Total fair value</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222"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Quoted prices in active markets </w:t>
              <w:br/>
              <w:t>(Level 1)</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Significant </w:t>
              <w:br/>
              <w:t xml:space="preserve">other </w:t>
              <w:br/>
              <w:t xml:space="preserve">observable inputs </w:t>
              <w:br/>
              <w:t>(Level 2)</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412"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Significant unobservable inputs </w:t>
              <w:br/>
              <w:t>(Level 3)</w:t>
            </w:r>
          </w:p>
        </w:tc>
        <w:tc>
          <w:tcPr>
            <w:tcW w:w="84" w:type="dxa"/>
            <w:tcBorders/>
            <w:vAlign w:val="center"/>
          </w:tcPr>
          <w:p>
            <w:pPr>
              <w:pStyle w:val="TableContents"/>
              <w:bidi w:val="0"/>
              <w:spacing w:before="0" w:after="283"/>
              <w:jc w:val="left"/>
              <w:rPr/>
            </w:pPr>
            <w:r>
              <w:rPr/>
              <w:t> </w:t>
            </w:r>
          </w:p>
        </w:tc>
      </w:tr>
      <w:tr>
        <w:trPr/>
        <w:tc>
          <w:tcPr>
            <w:tcW w:w="2191"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399" w:name="xdx_980_eus-gaap--ConvertibleDebtFairVal"/>
            <w:bookmarkEnd w:id="399"/>
          </w:p>
        </w:tc>
        <w:tc>
          <w:tcPr>
            <w:tcW w:w="1170" w:type="dxa"/>
            <w:tcBorders/>
            <w:shd w:fill="CCEEFF" w:val="clear"/>
            <w:vAlign w:val="center"/>
          </w:tcPr>
          <w:p>
            <w:pPr>
              <w:pStyle w:val="TableContents"/>
              <w:bidi w:val="0"/>
              <w:spacing w:before="0" w:after="283"/>
              <w:jc w:val="right"/>
              <w:rPr/>
            </w:pPr>
            <w:r>
              <w:rPr/>
              <w:t>3,842,189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w:t>
            </w:r>
            <w:bookmarkStart w:id="400" w:name="xdx_98C_eus-gaap--ConvertibleDebtFairVal"/>
            <w:bookmarkEnd w:id="400"/>
          </w:p>
        </w:tc>
        <w:tc>
          <w:tcPr>
            <w:tcW w:w="1445"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w:t>
            </w:r>
            <w:bookmarkStart w:id="401" w:name="xdx_983_eus-gaap--ConvertibleDebtFairVal"/>
            <w:bookmarkEnd w:id="401"/>
          </w:p>
        </w:tc>
        <w:tc>
          <w:tcPr>
            <w:tcW w:w="962"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bookmarkStart w:id="402" w:name="xdx_981_eus-gaap--ConvertibleDebtFairVal"/>
            <w:bookmarkEnd w:id="402"/>
          </w:p>
        </w:tc>
        <w:tc>
          <w:tcPr>
            <w:tcW w:w="2105" w:type="dxa"/>
            <w:tcBorders/>
            <w:shd w:fill="CCEEFF" w:val="clear"/>
            <w:vAlign w:val="center"/>
          </w:tcPr>
          <w:p>
            <w:pPr>
              <w:pStyle w:val="TableContents"/>
              <w:bidi w:val="0"/>
              <w:spacing w:before="0" w:after="283"/>
              <w:jc w:val="right"/>
              <w:rPr/>
            </w:pPr>
            <w:r>
              <w:rPr/>
              <w:t>3,842,189</w:t>
            </w:r>
          </w:p>
        </w:tc>
        <w:tc>
          <w:tcPr>
            <w:tcW w:w="84" w:type="dxa"/>
            <w:tcBorders/>
            <w:shd w:fill="CCEEFF" w:val="clear"/>
            <w:vAlign w:val="center"/>
          </w:tcPr>
          <w:p>
            <w:pPr>
              <w:pStyle w:val="TableContents"/>
              <w:bidi w:val="0"/>
              <w:spacing w:before="0" w:after="283"/>
              <w:jc w:val="left"/>
              <w:rPr/>
            </w:pPr>
            <w:r>
              <w:rPr/>
              <w:t> </w:t>
            </w:r>
          </w:p>
        </w:tc>
      </w:tr>
      <w:tr>
        <w:trPr/>
        <w:tc>
          <w:tcPr>
            <w:tcW w:w="2191" w:type="dxa"/>
            <w:tcBorders/>
            <w:shd w:fill="FFFFFF" w:val="clear"/>
            <w:vAlign w:val="center"/>
          </w:tcPr>
          <w:p>
            <w:pPr>
              <w:pStyle w:val="TableContents"/>
              <w:bidi w:val="0"/>
              <w:spacing w:before="0" w:after="283"/>
              <w:jc w:val="left"/>
              <w:rPr/>
            </w:pPr>
            <w:r>
              <w:rPr/>
              <w:t>Convertible notes warrants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bookmarkStart w:id="403" w:name="xdx_982_ecustom--ConvertibleDebtWarrants"/>
            <w:bookmarkEnd w:id="403"/>
          </w:p>
        </w:tc>
        <w:tc>
          <w:tcPr>
            <w:tcW w:w="1170" w:type="dxa"/>
            <w:tcBorders/>
            <w:shd w:fill="FFFFFF" w:val="clear"/>
            <w:vAlign w:val="center"/>
          </w:tcPr>
          <w:p>
            <w:pPr>
              <w:pStyle w:val="TableContents"/>
              <w:bidi w:val="0"/>
              <w:spacing w:before="0" w:after="283"/>
              <w:jc w:val="right"/>
              <w:rPr/>
            </w:pPr>
            <w:r>
              <w:rPr/>
              <w:t>632,876</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left"/>
              <w:rPr/>
            </w:pPr>
            <w:r>
              <w:rPr/>
              <w:t> </w:t>
            </w:r>
            <w:bookmarkStart w:id="404" w:name="xdx_98F_ecustom--ConvertibleDebtWarrants"/>
            <w:bookmarkEnd w:id="404"/>
          </w:p>
        </w:tc>
        <w:tc>
          <w:tcPr>
            <w:tcW w:w="1445"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bookmarkStart w:id="405" w:name="xdx_988_ecustom--ConvertibleDebtWarrants"/>
            <w:bookmarkEnd w:id="405"/>
          </w:p>
        </w:tc>
        <w:tc>
          <w:tcPr>
            <w:tcW w:w="962"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bookmarkStart w:id="406" w:name="xdx_981_ecustom--ConvertibleDebtWarrants"/>
            <w:bookmarkEnd w:id="406"/>
          </w:p>
        </w:tc>
        <w:tc>
          <w:tcPr>
            <w:tcW w:w="2105" w:type="dxa"/>
            <w:tcBorders/>
            <w:shd w:fill="FFFFFF" w:val="clear"/>
            <w:vAlign w:val="center"/>
          </w:tcPr>
          <w:p>
            <w:pPr>
              <w:pStyle w:val="TableContents"/>
              <w:bidi w:val="0"/>
              <w:spacing w:before="0" w:after="283"/>
              <w:jc w:val="right"/>
              <w:rPr/>
            </w:pPr>
            <w:r>
              <w:rPr/>
              <w:t>632,876</w:t>
            </w:r>
          </w:p>
        </w:tc>
        <w:tc>
          <w:tcPr>
            <w:tcW w:w="84" w:type="dxa"/>
            <w:tcBorders/>
            <w:shd w:fill="FFFFFF" w:val="clear"/>
            <w:vAlign w:val="center"/>
          </w:tcPr>
          <w:p>
            <w:pPr>
              <w:pStyle w:val="TableContents"/>
              <w:bidi w:val="0"/>
              <w:spacing w:before="0" w:after="283"/>
              <w:jc w:val="left"/>
              <w:rPr/>
            </w:pPr>
            <w:r>
              <w:rPr/>
              <w:t> </w:t>
            </w:r>
          </w:p>
        </w:tc>
      </w:tr>
      <w:tr>
        <w:trPr/>
        <w:tc>
          <w:tcPr>
            <w:tcW w:w="2191" w:type="dxa"/>
            <w:tcBorders/>
            <w:shd w:fill="CCEEFF" w:val="clear"/>
            <w:vAlign w:val="center"/>
          </w:tcPr>
          <w:p>
            <w:pPr>
              <w:pStyle w:val="TableContents"/>
              <w:bidi w:val="0"/>
              <w:spacing w:before="0" w:after="283"/>
              <w:jc w:val="left"/>
              <w:rPr/>
            </w:pPr>
            <w:r>
              <w:rPr/>
              <w:t>Equity line of credit warrants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7" w:name="xdx_980_eus-gaap--LinesOfCreditFairValue"/>
            <w:bookmarkEnd w:id="407"/>
          </w:p>
        </w:tc>
        <w:tc>
          <w:tcPr>
            <w:tcW w:w="1170" w:type="dxa"/>
            <w:tcBorders>
              <w:bottom w:val="single" w:sz="8" w:space="0" w:color="000000"/>
            </w:tcBorders>
            <w:shd w:fill="CCEEFF" w:val="clear"/>
            <w:tcMar>
              <w:bottom w:w="28" w:type="dxa"/>
            </w:tcMar>
            <w:vAlign w:val="center"/>
          </w:tcPr>
          <w:p>
            <w:pPr>
              <w:pStyle w:val="TableContents"/>
              <w:bidi w:val="0"/>
              <w:spacing w:before="0" w:after="283"/>
              <w:jc w:val="right"/>
              <w:rPr/>
            </w:pPr>
            <w:r>
              <w:rPr/>
              <w:t>143,675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8" w:name="xdx_98E_eus-gaap--LinesOfCreditFairValue"/>
            <w:bookmarkEnd w:id="408"/>
          </w:p>
        </w:tc>
        <w:tc>
          <w:tcPr>
            <w:tcW w:w="14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9" w:name="xdx_982_eus-gaap--LinesOfCreditFairValue"/>
            <w:bookmarkEnd w:id="409"/>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10" w:name="xdx_98B_eus-gaap--LinesOfCreditFairValue"/>
            <w:bookmarkEnd w:id="410"/>
          </w:p>
        </w:tc>
        <w:tc>
          <w:tcPr>
            <w:tcW w:w="2105" w:type="dxa"/>
            <w:tcBorders>
              <w:bottom w:val="single" w:sz="8" w:space="0" w:color="000000"/>
            </w:tcBorders>
            <w:shd w:fill="CCEEFF" w:val="clear"/>
            <w:tcMar>
              <w:bottom w:w="28" w:type="dxa"/>
            </w:tcMar>
            <w:vAlign w:val="center"/>
          </w:tcPr>
          <w:p>
            <w:pPr>
              <w:pStyle w:val="TableContents"/>
              <w:bidi w:val="0"/>
              <w:spacing w:before="0" w:after="283"/>
              <w:jc w:val="right"/>
              <w:rPr/>
            </w:pPr>
            <w:r>
              <w:rPr/>
              <w:t>143,675</w:t>
            </w:r>
          </w:p>
        </w:tc>
        <w:tc>
          <w:tcPr>
            <w:tcW w:w="84" w:type="dxa"/>
            <w:tcBorders/>
            <w:shd w:fill="CCEEFF" w:val="clear"/>
            <w:vAlign w:val="center"/>
          </w:tcPr>
          <w:p>
            <w:pPr>
              <w:pStyle w:val="TableContents"/>
              <w:bidi w:val="0"/>
              <w:spacing w:before="0" w:after="283"/>
              <w:jc w:val="left"/>
              <w:rPr/>
            </w:pPr>
            <w:r>
              <w:rPr/>
              <w:t> </w:t>
            </w:r>
          </w:p>
        </w:tc>
      </w:tr>
      <w:tr>
        <w:trPr/>
        <w:tc>
          <w:tcPr>
            <w:tcW w:w="2191"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11" w:name="xdx_98E_eus-gaap--FinancialLiabilitiesFa"/>
            <w:bookmarkEnd w:id="411"/>
          </w:p>
        </w:tc>
        <w:tc>
          <w:tcPr>
            <w:tcW w:w="1170" w:type="dxa"/>
            <w:tcBorders>
              <w:bottom w:val="double" w:sz="6" w:space="0" w:color="000000"/>
            </w:tcBorders>
            <w:shd w:fill="FFFFFF" w:val="clear"/>
            <w:tcMar>
              <w:bottom w:w="28" w:type="dxa"/>
            </w:tcMar>
            <w:vAlign w:val="center"/>
          </w:tcPr>
          <w:p>
            <w:pPr>
              <w:pStyle w:val="TableContents"/>
              <w:bidi w:val="0"/>
              <w:spacing w:before="0" w:after="283"/>
              <w:jc w:val="right"/>
              <w:rPr/>
            </w:pPr>
            <w:r>
              <w:rPr/>
              <w:t>4,618,740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12" w:name="xdx_984_eus-gaap--FinancialLiabilitiesFa"/>
            <w:bookmarkEnd w:id="412"/>
          </w:p>
        </w:tc>
        <w:tc>
          <w:tcPr>
            <w:tcW w:w="144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13" w:name="xdx_98E_eus-gaap--FinancialLiabilitiesFa"/>
            <w:bookmarkEnd w:id="413"/>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14" w:name="xdx_981_eus-gaap--FinancialLiabilitiesFa"/>
            <w:bookmarkEnd w:id="414"/>
          </w:p>
        </w:tc>
        <w:tc>
          <w:tcPr>
            <w:tcW w:w="2105" w:type="dxa"/>
            <w:tcBorders>
              <w:bottom w:val="double" w:sz="6" w:space="0" w:color="000000"/>
            </w:tcBorders>
            <w:shd w:fill="FFFFFF" w:val="clear"/>
            <w:tcMar>
              <w:bottom w:w="28" w:type="dxa"/>
            </w:tcMar>
            <w:vAlign w:val="center"/>
          </w:tcPr>
          <w:p>
            <w:pPr>
              <w:pStyle w:val="TableContents"/>
              <w:bidi w:val="0"/>
              <w:spacing w:before="0" w:after="283"/>
              <w:jc w:val="right"/>
              <w:rPr/>
            </w:pPr>
            <w:r>
              <w:rPr/>
              <w:t>4,618,740</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5" w:name="xdx_8A2_z64uXDaZEDAg"/>
      <w:bookmarkEnd w:id="415"/>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16" w:name="xdx_864_zwkxORwVfvo"/>
      <w:bookmarkStart w:id="417" w:name="xdx_844_eus-gaap--ImpairmentOrDisposalOf"/>
      <w:bookmarkEnd w:id="416"/>
      <w:bookmarkEnd w:id="417"/>
      <w:r>
        <w:rPr>
          <w:rFonts w:ascii="Times New Roman;Times;Serif" w:hAnsi="Times New Roman;Times;Serif"/>
          <w:b/>
          <w:i/>
          <w:caps w:val="false"/>
          <w:smallCaps w:val="false"/>
          <w:sz w:val="20"/>
        </w:rPr>
        <w:t>Amortizable Intangibles and Other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assets and other assets consisting of property and equipment and purchased intangible assets, are reviewed for impairment in accordance with the guidance of FASB Topic ASC 360, Property and Equipment. Intangible assets subject to amortization are carried at cost less accumulated amortization and amortized over the estimated useful life in proportion to the economic benefits received. The Company evaluates the recoverability of definite-lived intangible assets and other long-lived assets in accordance with ASC Subtopic 360-10, which generally requires the assessment of these assets for recoverability when events or circumstances indicate a potential impairment exists. The Company considers certain events and circumstances in determining whether the carrying value of identifiable intangible assets and other long-lived assets, other than indefinite lived intangible assets, may not be recoverable including, but not limited to: significant changes in performance relative to expected operating results; significant changes in the use of the assets; significant negative industry or economic trends; and changes in the Company’s business strategy. If the Company determines that the carrying value may not be recoverable, the Company estimates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Fair value is determined through various valuation techniques including discounted cash flow models, quoted market values and third-party independent appraisals, as considered necessary. There can be no assurance, however, that market conditions will not change or demand for the Company’s products under development will continue. Either of these could result in future impairment of long-lived assets. Actual useful lives and cash flows could be different from those estimated by management which could have a material effect on our consolidated reporting results and financial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18" w:name="xdx_866_z2yYkOhWEfCb"/>
      <w:bookmarkStart w:id="419" w:name="xdx_842_eus-gaap--IncomeTaxPolicyTextBlo"/>
      <w:bookmarkEnd w:id="418"/>
      <w:bookmarkEnd w:id="419"/>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provided for the tax effects of transactions reported in the condensed consolidated financial statements and consisted of taxes currently due and deferred taxes. Deferred taxes are recognized for the differences between the basis of assets and liabilities for financial statement and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Topic ASC 740, Income Taxes, which requires the recognition of deferred tax assets and liabilities for the expected future tax consequences of events that have been included in the consolidated financial statements or tax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740-10-25 provides criteria for the recognition, measurement, presentation, and disclosure of uncertain tax positions. The Company must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resolution. The Company recognizes liabilities for uncertain tax positions pursuant to FASB ASC 740-10-25. At March 31, 2026, the Company has accrued uncertain tax position liability of $</w:t>
      </w:r>
      <w:bookmarkStart w:id="420" w:name="xdx_90D_eus-gaap--AccountsPayableAndAccr"/>
      <w:bookmarkEnd w:id="420"/>
      <w:r>
        <w:rPr>
          <w:rFonts w:ascii="Times New Roman;Times;Serif" w:hAnsi="Times New Roman;Times;Serif"/>
          <w:b w:val="false"/>
          <w:i w:val="false"/>
          <w:caps w:val="false"/>
          <w:smallCaps w:val="false"/>
          <w:sz w:val="20"/>
        </w:rPr>
        <w:t>625,354, which is included within accrued expenses on the accompanying condensed consolidated balance sheets. At December 31, 2025, $</w:t>
      </w:r>
      <w:bookmarkStart w:id="421" w:name="xdx_907_eus-gaap--AccruedLiabilitiesAndO"/>
      <w:bookmarkEnd w:id="421"/>
      <w:r>
        <w:rPr>
          <w:rFonts w:ascii="Times New Roman;Times;Serif" w:hAnsi="Times New Roman;Times;Serif"/>
          <w:b w:val="false"/>
          <w:i w:val="false"/>
          <w:caps w:val="false"/>
          <w:smallCaps w:val="false"/>
          <w:sz w:val="20"/>
        </w:rPr>
        <w:t>157,247 is included in accrued expenses and other liabilities, and $</w:t>
      </w:r>
      <w:bookmarkStart w:id="422" w:name="xdx_904_eus-gaap--AccountsPayableAndAccr"/>
      <w:bookmarkEnd w:id="422"/>
      <w:r>
        <w:rPr>
          <w:rFonts w:ascii="Times New Roman;Times;Serif" w:hAnsi="Times New Roman;Times;Serif"/>
          <w:b w:val="false"/>
          <w:i w:val="false"/>
          <w:caps w:val="false"/>
          <w:smallCaps w:val="false"/>
          <w:sz w:val="20"/>
        </w:rPr>
        <w:t>468,106 is included in the long-term accrued expenses. The Company accrues and recognizes interest and penalties related to unrecognized tax benefits in operating expenses.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3" w:name="xdx_86A_zyppQXJ2Chpi"/>
      <w:bookmarkStart w:id="424" w:name="xdx_848_eus-gaap--ConcentrationRiskCredi"/>
      <w:bookmarkEnd w:id="423"/>
      <w:bookmarkEnd w:id="424"/>
      <w:r>
        <w:rPr>
          <w:rFonts w:ascii="Times New Roman;Times;Serif" w:hAnsi="Times New Roman;Times;Serif"/>
          <w:b/>
          <w:i/>
          <w:caps w:val="false"/>
          <w:smallCaps w:val="false"/>
          <w:sz w:val="20"/>
        </w:rPr>
        <w:t>Concentration of Credit Risk, Significant Customers and Vendors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balances at several major financial institutions. While the Company attempts to limit credit exposure with any single institution, balances often exceed insurable amounts. As of March 31, 2026 and December 31, 2025, the Company had deposits of $</w:t>
      </w:r>
      <w:bookmarkStart w:id="425" w:name="xdx_906_eus-gaap--CashUninsuredAmount_iI"/>
      <w:bookmarkEnd w:id="425"/>
      <w:r>
        <w:rPr>
          <w:rFonts w:ascii="Times New Roman;Times;Serif" w:hAnsi="Times New Roman;Times;Serif"/>
          <w:b w:val="false"/>
          <w:i w:val="false"/>
          <w:caps w:val="false"/>
          <w:smallCaps w:val="false"/>
          <w:sz w:val="20"/>
        </w:rPr>
        <w:t>14,255,274 and $</w:t>
      </w:r>
      <w:bookmarkStart w:id="426" w:name="xdx_904_eus-gaap--CashUninsuredAmount_iI"/>
      <w:bookmarkEnd w:id="426"/>
      <w:r>
        <w:rPr>
          <w:rFonts w:ascii="Times New Roman;Times;Serif" w:hAnsi="Times New Roman;Times;Serif"/>
          <w:b w:val="false"/>
          <w:i w:val="false"/>
          <w:caps w:val="false"/>
          <w:smallCaps w:val="false"/>
          <w:sz w:val="20"/>
        </w:rPr>
        <w:t>8,619,889, respectively, that were not insured by the Federal Deposit Insurance Corporation and are included in the cash and cash equivalents, and restricted cash and cash equivalents, in the accompanying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extends credit to various digital resellers and partners. Collection of trade receivables may be affected by changes in economic or other industry conditions and may, accordingly, impact our overall credit risk. The Company does not require collateral or other security to support financial instruments subject to credit risk. The Company performs ongoing credit evaluations of customers and maintains reserves for potentially uncollectible accounts. The Company has two customers as of March 31, 2026 and December 31, 2025, who accounted for approximately </w:t>
      </w:r>
      <w:bookmarkStart w:id="427" w:name="xdx_90A_eus-gaap--ConcentrationRiskPerce"/>
      <w:bookmarkEnd w:id="427"/>
      <w:r>
        <w:rPr>
          <w:rFonts w:ascii="Times New Roman;Times;Serif" w:hAnsi="Times New Roman;Times;Serif"/>
          <w:b w:val="false"/>
          <w:i w:val="false"/>
          <w:caps w:val="false"/>
          <w:smallCaps w:val="false"/>
          <w:sz w:val="20"/>
        </w:rPr>
        <w:t xml:space="preserve">71% and </w:t>
      </w:r>
      <w:bookmarkStart w:id="428" w:name="xdx_903_eus-gaap--ConcentrationRiskPerce"/>
      <w:bookmarkEnd w:id="428"/>
      <w:r>
        <w:rPr>
          <w:rFonts w:ascii="Times New Roman;Times;Serif" w:hAnsi="Times New Roman;Times;Serif"/>
          <w:b w:val="false"/>
          <w:i w:val="false"/>
          <w:caps w:val="false"/>
          <w:smallCaps w:val="false"/>
          <w:sz w:val="20"/>
        </w:rPr>
        <w:t xml:space="preserve">73% of consolidated gross receivables, respectively. Among the two customers as of March 31, 2026, one accounted for </w:t>
      </w:r>
      <w:bookmarkStart w:id="429" w:name="xdx_904_eus-gaap--ConcentrationRiskPerce"/>
      <w:bookmarkEnd w:id="429"/>
      <w:r>
        <w:rPr>
          <w:rFonts w:ascii="Times New Roman;Times;Serif" w:hAnsi="Times New Roman;Times;Serif"/>
          <w:b w:val="false"/>
          <w:i w:val="false"/>
          <w:caps w:val="false"/>
          <w:smallCaps w:val="false"/>
          <w:sz w:val="20"/>
        </w:rPr>
        <w:t xml:space="preserve">53% and another accounted for </w:t>
      </w:r>
      <w:bookmarkStart w:id="430" w:name="xdx_902_eus-gaap--ConcentrationRiskPerce"/>
      <w:bookmarkEnd w:id="430"/>
      <w:r>
        <w:rPr>
          <w:rFonts w:ascii="Times New Roman;Times;Serif" w:hAnsi="Times New Roman;Times;Serif"/>
          <w:b w:val="false"/>
          <w:i w:val="false"/>
          <w:caps w:val="false"/>
          <w:smallCaps w:val="false"/>
          <w:sz w:val="20"/>
        </w:rPr>
        <w:t xml:space="preserve">18%, of the consolidated gross receivables. Among the two customers as of December 31, 2025, one accounted for </w:t>
      </w:r>
      <w:bookmarkStart w:id="431" w:name="xdx_90B_eus-gaap--ConcentrationRiskPerce"/>
      <w:bookmarkEnd w:id="431"/>
      <w:r>
        <w:rPr>
          <w:rFonts w:ascii="Times New Roman;Times;Serif" w:hAnsi="Times New Roman;Times;Serif"/>
          <w:b w:val="false"/>
          <w:i w:val="false"/>
          <w:caps w:val="false"/>
          <w:smallCaps w:val="false"/>
          <w:sz w:val="20"/>
        </w:rPr>
        <w:t xml:space="preserve">56% and another accounted for </w:t>
      </w:r>
      <w:bookmarkStart w:id="432" w:name="xdx_908_eus-gaap--ConcentrationRiskPerce"/>
      <w:bookmarkEnd w:id="432"/>
      <w:r>
        <w:rPr>
          <w:rFonts w:ascii="Times New Roman;Times;Serif" w:hAnsi="Times New Roman;Times;Serif"/>
          <w:b w:val="false"/>
          <w:i w:val="false"/>
          <w:caps w:val="false"/>
          <w:smallCaps w:val="false"/>
          <w:sz w:val="20"/>
        </w:rPr>
        <w:t xml:space="preserve">17%, of the consolidated gross receivables outstanding. The Company has two customers in the three months ended March 31, 2026 and four customers as of March 31, 2025, that accounted for </w:t>
      </w:r>
      <w:bookmarkStart w:id="433" w:name="xdx_90E_eus-gaap--ConcentrationRiskPerce"/>
      <w:bookmarkEnd w:id="433"/>
      <w:r>
        <w:rPr>
          <w:rFonts w:ascii="Times New Roman;Times;Serif" w:hAnsi="Times New Roman;Times;Serif"/>
          <w:b w:val="false"/>
          <w:i w:val="false"/>
          <w:caps w:val="false"/>
          <w:smallCaps w:val="false"/>
          <w:sz w:val="20"/>
        </w:rPr>
        <w:t xml:space="preserve">62% and </w:t>
      </w:r>
      <w:bookmarkStart w:id="434" w:name="xdx_90D_eus-gaap--ConcentrationRiskPerce"/>
      <w:bookmarkEnd w:id="434"/>
      <w:r>
        <w:rPr>
          <w:rFonts w:ascii="Times New Roman;Times;Serif" w:hAnsi="Times New Roman;Times;Serif"/>
          <w:b w:val="false"/>
          <w:i w:val="false"/>
          <w:caps w:val="false"/>
          <w:smallCaps w:val="false"/>
          <w:sz w:val="20"/>
        </w:rPr>
        <w:t xml:space="preserve">11% and </w:t>
      </w:r>
      <w:bookmarkStart w:id="435" w:name="xdx_90D_eus-gaap--ConcentrationRiskPerce"/>
      <w:bookmarkEnd w:id="435"/>
      <w:r>
        <w:rPr>
          <w:rFonts w:ascii="Times New Roman;Times;Serif" w:hAnsi="Times New Roman;Times;Serif"/>
          <w:b w:val="false"/>
          <w:i w:val="false"/>
          <w:caps w:val="false"/>
          <w:smallCaps w:val="false"/>
          <w:sz w:val="20"/>
        </w:rPr>
        <w:t xml:space="preserve">44%, </w:t>
      </w:r>
      <w:bookmarkStart w:id="436" w:name="xdx_90B_eus-gaap--ConcentrationRiskPerce"/>
      <w:bookmarkEnd w:id="436"/>
      <w:r>
        <w:rPr>
          <w:rFonts w:ascii="Times New Roman;Times;Serif" w:hAnsi="Times New Roman;Times;Serif"/>
          <w:b w:val="false"/>
          <w:i w:val="false"/>
          <w:caps w:val="false"/>
          <w:smallCaps w:val="false"/>
          <w:sz w:val="20"/>
        </w:rPr>
        <w:t xml:space="preserve">14%, </w:t>
      </w:r>
      <w:bookmarkStart w:id="437" w:name="xdx_906_eus-gaap--ConcentrationRiskPerce"/>
      <w:bookmarkEnd w:id="437"/>
      <w:r>
        <w:rPr>
          <w:rFonts w:ascii="Times New Roman;Times;Serif" w:hAnsi="Times New Roman;Times;Serif"/>
          <w:b w:val="false"/>
          <w:i w:val="false"/>
          <w:caps w:val="false"/>
          <w:smallCaps w:val="false"/>
          <w:sz w:val="20"/>
        </w:rPr>
        <w:t xml:space="preserve">14% and </w:t>
      </w:r>
      <w:bookmarkStart w:id="438" w:name="xdx_90D_eus-gaap--ConcentrationRiskPerce"/>
      <w:bookmarkEnd w:id="438"/>
      <w:r>
        <w:rPr>
          <w:rFonts w:ascii="Times New Roman;Times;Serif" w:hAnsi="Times New Roman;Times;Serif"/>
          <w:b w:val="false"/>
          <w:i w:val="false"/>
          <w:caps w:val="false"/>
          <w:smallCaps w:val="false"/>
          <w:sz w:val="20"/>
        </w:rPr>
        <w:t>12% of the Company’s net revenue, respectively. The loss of these customers or declines in the forecasts of their accounts receivable collectability would have a significant impact on the Company’s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December 31, 2025, the Company had one vendor who accounted for approximately </w:t>
      </w:r>
      <w:bookmarkStart w:id="439" w:name="xdx_906_eus-gaap--ConcentrationRiskPerce"/>
      <w:bookmarkEnd w:id="439"/>
      <w:r>
        <w:rPr>
          <w:rFonts w:ascii="Times New Roman;Times;Serif" w:hAnsi="Times New Roman;Times;Serif"/>
          <w:b w:val="false"/>
          <w:i w:val="false"/>
          <w:caps w:val="false"/>
          <w:smallCaps w:val="false"/>
          <w:sz w:val="20"/>
        </w:rPr>
        <w:t xml:space="preserve">33% and </w:t>
      </w:r>
      <w:bookmarkStart w:id="440" w:name="xdx_90E_eus-gaap--ConcentrationRiskPerce"/>
      <w:bookmarkEnd w:id="440"/>
      <w:r>
        <w:rPr>
          <w:rFonts w:ascii="Times New Roman;Times;Serif" w:hAnsi="Times New Roman;Times;Serif"/>
          <w:b w:val="false"/>
          <w:i w:val="false"/>
          <w:caps w:val="false"/>
          <w:smallCaps w:val="false"/>
          <w:sz w:val="20"/>
        </w:rPr>
        <w:t>41% of consolidated gross payables, respectively. The loss of this vendor could have a significant impact on the Company’s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one vendor, SDE, a related party, that accounted for </w:t>
      </w:r>
      <w:bookmarkStart w:id="441" w:name="xdx_900_eus-gaap--ConcentrationRiskPerce"/>
      <w:bookmarkEnd w:id="441"/>
      <w:r>
        <w:rPr>
          <w:rFonts w:ascii="Times New Roman;Times;Serif" w:hAnsi="Times New Roman;Times;Serif"/>
          <w:b w:val="false"/>
          <w:i w:val="false"/>
          <w:caps w:val="false"/>
          <w:smallCaps w:val="false"/>
          <w:sz w:val="20"/>
        </w:rPr>
        <w:t xml:space="preserve">49% and </w:t>
      </w:r>
      <w:bookmarkStart w:id="442" w:name="xdx_908_eus-gaap--ConcentrationRiskPerce"/>
      <w:bookmarkEnd w:id="442"/>
      <w:r>
        <w:rPr>
          <w:rFonts w:ascii="Times New Roman;Times;Serif" w:hAnsi="Times New Roman;Times;Serif"/>
          <w:b w:val="false"/>
          <w:i w:val="false"/>
          <w:caps w:val="false"/>
          <w:smallCaps w:val="false"/>
          <w:sz w:val="20"/>
        </w:rPr>
        <w:t>47% of the Company’s combined cost of revenues and operating expenses during the three months ended March 31, 2026 and 2025, respectively. Amounts payable to SDE are included in accounts payable – related party in the condensed consolidated balance sheets as of March 31, 2026 and December 31, 2025, respectively. The loss of SDE as a vendor would significantly and adversely affect the Company’s core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43" w:name="xdx_862_zmwXZHM8Ibd"/>
      <w:bookmarkStart w:id="444" w:name="xdx_844_ecustom--RecentlyIssuedAccountin"/>
      <w:bookmarkEnd w:id="443"/>
      <w:bookmarkEnd w:id="444"/>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 xml:space="preserve">Income Statement – Reporting Comprehensive Income – Expense Disaggregation Disclosures (Subtopic 220-40): Disaggregation of Income Statement Expenses, </w:t>
      </w:r>
      <w:r>
        <w:rPr>
          <w:rFonts w:ascii="Times New Roman;Times;Serif" w:hAnsi="Times New Roman;Times;Serif"/>
          <w:b w:val="false"/>
          <w:i w:val="false"/>
          <w:caps w:val="false"/>
          <w:smallCaps w:val="false"/>
          <w:sz w:val="20"/>
        </w:rPr>
        <w:t>to improve the disclosures about a public business entity’s expenses and address requests from investors for more detailed information about the types of expenses in commonly presented expense captions. The amendments in this update are effective for annual periods beginning after December 15, 2026, and interim reporting periods beginning after December 15, 2027, though early adoption is permitted. The Company is evaluating the impact of adopting the new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2024-04, </w:t>
      </w:r>
      <w:r>
        <w:rPr>
          <w:rFonts w:ascii="Times New Roman;Times;Serif" w:hAnsi="Times New Roman;Times;Serif"/>
          <w:b w:val="false"/>
          <w:i/>
          <w:caps w:val="false"/>
          <w:smallCaps w:val="false"/>
          <w:sz w:val="20"/>
        </w:rPr>
        <w:t xml:space="preserve">Debt – Debt with Conversion and Other Options (Subtopic 470-20): Induced Conversions of Convertible Debt Instruments, </w:t>
      </w:r>
      <w:r>
        <w:rPr>
          <w:rFonts w:ascii="Times New Roman;Times;Serif" w:hAnsi="Times New Roman;Times;Serif"/>
          <w:b w:val="false"/>
          <w:i w:val="false"/>
          <w:caps w:val="false"/>
          <w:smallCaps w:val="false"/>
          <w:sz w:val="20"/>
        </w:rPr>
        <w:t>to clarify the requirements for determining whether certain settlements of convertible debt instruments should be accounted for as an induced conversion. The amendments in this update are effective for annual periods beginning after December 15, 2025, and interim reporting periods within those annual periods. Early adoption is permitted for all entities that have adopted the amendments in update 2020-06. The Company adopted ASU 2024-04 on January 1, 2026. Adoption did not have a material impact on the Company’s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2025-06, </w:t>
      </w:r>
      <w:r>
        <w:rPr>
          <w:rFonts w:ascii="Times New Roman;Times;Serif" w:hAnsi="Times New Roman;Times;Serif"/>
          <w:b w:val="false"/>
          <w:i/>
          <w:caps w:val="false"/>
          <w:smallCaps w:val="false"/>
          <w:sz w:val="20"/>
        </w:rPr>
        <w:t xml:space="preserve">Intangibles – Goodwill and Other – Internal-Use Software (Subtopic 350-40): </w:t>
      </w:r>
      <w:r>
        <w:rPr>
          <w:rFonts w:ascii="Times New Roman;Times;Serif" w:hAnsi="Times New Roman;Times;Serif"/>
          <w:b w:val="false"/>
          <w:i w:val="false"/>
          <w:caps w:val="false"/>
          <w:smallCaps w:val="false"/>
          <w:sz w:val="20"/>
        </w:rPr>
        <w:t>streamlines guidance for internal-use software costs by removing development stage references, incorporating website development costs, and clarifying when capitalization should begin. The amendments in this update are effective for annual reporting periods beginning after December 15, 2027, and interim reporting periods within those annual reporting periods. The Company is evaluating the impact of adopting the new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2025-11, </w:t>
      </w:r>
      <w:r>
        <w:rPr>
          <w:rFonts w:ascii="Times New Roman;Times;Serif" w:hAnsi="Times New Roman;Times;Serif"/>
          <w:b w:val="false"/>
          <w:i/>
          <w:caps w:val="false"/>
          <w:smallCaps w:val="false"/>
          <w:sz w:val="20"/>
        </w:rPr>
        <w:t xml:space="preserve">Interim Reporting – Narrow-Scope Improvements (Topic 270): </w:t>
      </w:r>
      <w:r>
        <w:rPr>
          <w:rFonts w:ascii="Times New Roman;Times;Serif" w:hAnsi="Times New Roman;Times;Serif"/>
          <w:b w:val="false"/>
          <w:i w:val="false"/>
          <w:caps w:val="false"/>
          <w:smallCaps w:val="false"/>
          <w:sz w:val="20"/>
        </w:rPr>
        <w:t>improves and clarifies existing interim reporting guidance and requires disclosure of material subsequent events in interim periods. The amendments in this update are effective for interim periods with annual reporting periods beginning after December 15, 2027, with early adoption being permitted. The Company is evaluating the impact of adopting the new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2025-12, </w:t>
      </w:r>
      <w:r>
        <w:rPr>
          <w:rFonts w:ascii="Times New Roman;Times;Serif" w:hAnsi="Times New Roman;Times;Serif"/>
          <w:b w:val="false"/>
          <w:i/>
          <w:caps w:val="false"/>
          <w:smallCaps w:val="false"/>
          <w:sz w:val="20"/>
        </w:rPr>
        <w:t xml:space="preserve">Codification Improvements: </w:t>
      </w:r>
      <w:r>
        <w:rPr>
          <w:rFonts w:ascii="Times New Roman;Times;Serif" w:hAnsi="Times New Roman;Times;Serif"/>
          <w:b w:val="false"/>
          <w:i w:val="false"/>
          <w:caps w:val="false"/>
          <w:smallCaps w:val="false"/>
          <w:sz w:val="20"/>
        </w:rPr>
        <w:t>to improve technical corrections and clarifications to various topics in the Accounting Standards Codification. The amendments in this update are effective for annual reporting periods beginning after December 15, 2026, with early adoption being permitted. The Company is evaluating the impact of adopting the new standard.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45" w:name="xdx_86B_zOcAKsfjSXAc"/>
      <w:bookmarkStart w:id="446" w:name="xdx_841_ecustom--EmployeeSavingPlansPoli"/>
      <w:bookmarkEnd w:id="445"/>
      <w:bookmarkEnd w:id="446"/>
      <w:r>
        <w:rPr>
          <w:rFonts w:ascii="Times New Roman;Times;Serif" w:hAnsi="Times New Roman;Times;Serif"/>
          <w:b/>
          <w:i/>
          <w:caps w:val="false"/>
          <w:smallCaps w:val="false"/>
          <w:sz w:val="20"/>
        </w:rPr>
        <w:t>Employee Savings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401(k) for its United States based employees. The plan is offered to all eligible employees to make voluntary contributions. Employer contributions to the plan are reported under general and administrative costs in the amounts of $</w:t>
      </w:r>
      <w:bookmarkStart w:id="447" w:name="xdx_902_eus-gaap--DefinedBenefitPlanCont"/>
      <w:bookmarkEnd w:id="447"/>
      <w:r>
        <w:rPr>
          <w:rFonts w:ascii="Times New Roman;Times;Serif" w:hAnsi="Times New Roman;Times;Serif"/>
          <w:b w:val="false"/>
          <w:i w:val="false"/>
          <w:caps w:val="false"/>
          <w:smallCaps w:val="false"/>
          <w:sz w:val="20"/>
        </w:rPr>
        <w:t>35,254 and $</w:t>
      </w:r>
      <w:bookmarkStart w:id="448" w:name="xdx_902_eus-gaap--DefinedBenefitPlanCont"/>
      <w:bookmarkEnd w:id="448"/>
      <w:r>
        <w:rPr>
          <w:rFonts w:ascii="Times New Roman;Times;Serif" w:hAnsi="Times New Roman;Times;Serif"/>
          <w:b w:val="false"/>
          <w:i w:val="false"/>
          <w:caps w:val="false"/>
          <w:smallCaps w:val="false"/>
          <w:sz w:val="20"/>
        </w:rPr>
        <w:t>32,762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49" w:name="xdx_863_zIuq1nwZBy5l"/>
      <w:bookmarkStart w:id="450" w:name="xdx_84E_eus-gaap--CompensationRelatedCos"/>
      <w:bookmarkEnd w:id="449"/>
      <w:bookmarkEnd w:id="450"/>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compensation cost for stock-based awards to employees based on the awards’ estimated grant-date fair value using a straight-line approach over the service period for which such awards are expected to vest. The Company accounts for forfeitures as they occur. The Company granted zero restricted stock units (“Restricted Stock Units” or “restricted stock units”) during the three months March 31, 2026 to its non-employee directors and did not grant any restricted stock units during the three months ended March 31, 2025. The fair value of Restricted Stock Units is determined based on the quoted market price of our common stock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2022 Omnibus Incentive Plan (the “2022 Plan”) became effective upon the consummation of the IPO. The 2022 Omnibus Incentive allows us to grant options to purchase our common stock and to grant stock options, stock appreciation rights, restricted stock, restricted stock units and performance awards and other cash-based awards and other stock-based awards to our employees, officers, and directors, up to a maximum of </w:t>
      </w:r>
      <w:bookmarkStart w:id="451" w:name="xdx_902_eus-gaap--ShareBasedCompensation"/>
      <w:bookmarkEnd w:id="451"/>
      <w:r>
        <w:rPr>
          <w:rFonts w:ascii="Times New Roman;Times;Serif" w:hAnsi="Times New Roman;Times;Serif"/>
          <w:b w:val="false"/>
          <w:i w:val="false"/>
          <w:caps w:val="false"/>
          <w:smallCaps w:val="false"/>
          <w:sz w:val="20"/>
        </w:rPr>
        <w:t xml:space="preserve">5,718,000 shares. Stock options may be granted to employees and officers and non-qualified options may be granted to employees, officers, and directors, at not less than the fair market value on the date of grant. The number of shares of common stock available for issuance under the 2022 Plan will be increased annually on the first day of each fiscal year during the term of the 2022 Plan, beginning with the 2023 fiscal year, by an amount equal to the lesser of (a) </w:t>
      </w:r>
      <w:bookmarkStart w:id="452" w:name="xdx_905_eus-gaap--CommonStockCapitalShar"/>
      <w:bookmarkEnd w:id="452"/>
      <w:r>
        <w:rPr>
          <w:rFonts w:ascii="Times New Roman;Times;Serif" w:hAnsi="Times New Roman;Times;Serif"/>
          <w:b w:val="false"/>
          <w:i w:val="false"/>
          <w:caps w:val="false"/>
          <w:smallCaps w:val="false"/>
          <w:sz w:val="20"/>
        </w:rPr>
        <w:t xml:space="preserve">5,718,000 shares, (b) </w:t>
      </w:r>
      <w:bookmarkStart w:id="453" w:name="xdx_90E_ecustom--ShareBasedCompensationA"/>
      <w:bookmarkEnd w:id="453"/>
      <w:r>
        <w:rPr>
          <w:rFonts w:ascii="Times New Roman;Times;Serif" w:hAnsi="Times New Roman;Times;Serif"/>
          <w:b w:val="false"/>
          <w:i w:val="false"/>
          <w:caps w:val="false"/>
          <w:smallCaps w:val="false"/>
          <w:sz w:val="20"/>
        </w:rPr>
        <w:t>1% of the shares of the Company’s Class B common stock outstanding (on a fully diluted basis) on the final day of the immediately preceding calendar year or (c) such smaller number of shares as determined by the Company’s board of directors. As of March 31, 2026 and December 31, 2025, there were</w:t>
      </w:r>
      <w:bookmarkStart w:id="454" w:name="xdx_90A_eus-gaap--CommonStockCapitalShar"/>
      <w:bookmarkEnd w:id="454"/>
      <w:r>
        <w:rPr>
          <w:rFonts w:ascii="Times New Roman;Times;Serif" w:hAnsi="Times New Roman;Times;Serif"/>
          <w:b w:val="false"/>
          <w:i w:val="false"/>
          <w:caps w:val="false"/>
          <w:smallCaps w:val="false"/>
          <w:sz w:val="20"/>
        </w:rPr>
        <w:t xml:space="preserve"> </w:t>
      </w:r>
      <w:bookmarkStart w:id="455" w:name="xdx_90F_eus-gaap--CommonStockCapitalShar"/>
      <w:bookmarkEnd w:id="455"/>
      <w:r>
        <w:rPr>
          <w:rFonts w:ascii="Times New Roman;Times;Serif" w:hAnsi="Times New Roman;Times;Serif"/>
          <w:b w:val="false"/>
          <w:i w:val="false"/>
          <w:caps w:val="false"/>
          <w:smallCaps w:val="false"/>
          <w:sz w:val="20"/>
        </w:rPr>
        <w:t>4,185,390 shares reserved for issuance under the 2022 Plan,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56" w:name="xdx_868_zwSJwkcHVEC6"/>
      <w:bookmarkStart w:id="457" w:name="xdx_84A_ecustom--RestrictedStockUnitsPol"/>
      <w:bookmarkEnd w:id="456"/>
      <w:bookmarkEnd w:id="457"/>
      <w:r>
        <w:rPr>
          <w:rFonts w:ascii="Times New Roman;Times;Serif" w:hAnsi="Times New Roman;Times;Serif"/>
          <w:b/>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restricted stock units under our 2022 Omnibus Incentive Plan to employees during the initial public offering and grants restricted stock units under the plan to directors over certain periods. Restricted stock units are unfunded, unsecured rights to receive common stock upon the satisfaction of certain vesting criteria. Upon vesting, a number of shares of common stock equivalent to the number of restricted stock units is typically issued net of required tax withholding requirements, if any. Restricted stock units are subject to forfeiture and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58" w:name="xdx_86D_zi2jjMOogGZe"/>
      <w:bookmarkStart w:id="459" w:name="xdx_846_ecustom--WarrantsPolicyTextBlock"/>
      <w:bookmarkEnd w:id="458"/>
      <w:bookmarkEnd w:id="459"/>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Class A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Warrant liabilities are presented within accrued expenses and other liabilities on the condensed consolidated balance sheets. Changes in the estimated fair value of the Warrants are recognized as a non-cash gain or loss on the statements of operations. Each of the outstanding warrants is convertible on a one-for-one basis into the Company’s common stock and are fully exercisable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0" w:name="xdx_89B_ecustom--ScheduleOfOutstandingWa"/>
      <w:bookmarkEnd w:id="460"/>
      <w:r>
        <w:rPr>
          <w:rFonts w:ascii="Times New Roman;Times;Serif" w:hAnsi="Times New Roman;Times;Serif"/>
          <w:b w:val="false"/>
          <w:i w:val="false"/>
          <w:caps w:val="false"/>
          <w:smallCaps w:val="false"/>
          <w:sz w:val="20"/>
        </w:rPr>
        <w:t>A summary of our outstanding warrants as of March 31, 2026 and December 31, 2025 is included below: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1" w:name="xdx_8BF_zAsTQLOFfdli"/>
      <w:bookmarkEnd w:id="461"/>
      <w:r>
        <w:rPr>
          <w:rFonts w:ascii="Times New Roman;Times;Serif" w:hAnsi="Times New Roman;Times;Serif"/>
          <w:b w:val="false"/>
          <w:i w:val="false"/>
          <w:caps w:val="false"/>
          <w:smallCaps w:val="false"/>
          <w:sz w:val="20"/>
        </w:rPr>
        <w:t>SUMMARY OF OUTSTANDING WARRANTS </w:t>
      </w:r>
    </w:p>
    <w:tbl>
      <w:tblPr>
        <w:tblW w:w="9533" w:type="dxa"/>
        <w:jc w:val="left"/>
        <w:tblInd w:w="0" w:type="dxa"/>
        <w:tblLayout w:type="fixed"/>
        <w:tblCellMar>
          <w:top w:w="0" w:type="dxa"/>
          <w:left w:w="0" w:type="dxa"/>
          <w:bottom w:w="0" w:type="dxa"/>
          <w:right w:w="0" w:type="dxa"/>
        </w:tblCellMar>
      </w:tblPr>
      <w:tblGrid>
        <w:gridCol w:w="2780"/>
        <w:gridCol w:w="60"/>
        <w:gridCol w:w="125"/>
        <w:gridCol w:w="2069"/>
        <w:gridCol w:w="60"/>
        <w:gridCol w:w="60"/>
        <w:gridCol w:w="352"/>
        <w:gridCol w:w="1107"/>
        <w:gridCol w:w="60"/>
        <w:gridCol w:w="60"/>
        <w:gridCol w:w="740"/>
        <w:gridCol w:w="60"/>
        <w:gridCol w:w="60"/>
        <w:gridCol w:w="194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center"/>
              <w:rPr>
                <w:b/>
              </w:rPr>
            </w:pPr>
            <w:r>
              <w:rPr>
                <w:b/>
              </w:rPr>
              <w:t>Class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bottom w:val="single" w:sz="8" w:space="0" w:color="000000"/>
            </w:tcBorders>
            <w:tcMar>
              <w:bottom w:w="28" w:type="dxa"/>
            </w:tcMar>
            <w:vAlign w:val="center"/>
          </w:tcPr>
          <w:p>
            <w:pPr>
              <w:pStyle w:val="TableContents"/>
              <w:bidi w:val="0"/>
              <w:spacing w:before="0" w:after="283"/>
              <w:jc w:val="center"/>
              <w:rPr>
                <w:b/>
              </w:rPr>
            </w:pPr>
            <w:r>
              <w:rPr>
                <w:b/>
              </w:rPr>
              <w:t>Expiration Date</w:t>
            </w:r>
          </w:p>
        </w:tc>
      </w:tr>
      <w:tr>
        <w:trPr/>
        <w:tc>
          <w:tcPr>
            <w:tcW w:w="2780" w:type="dxa"/>
            <w:tcBorders/>
            <w:shd w:fill="CCEEFF" w:val="clear"/>
            <w:vAlign w:val="center"/>
          </w:tcPr>
          <w:p>
            <w:pPr>
              <w:pStyle w:val="TableContents"/>
              <w:bidi w:val="0"/>
              <w:spacing w:before="0" w:after="283"/>
              <w:jc w:val="left"/>
              <w:rPr/>
            </w:pPr>
            <w:r>
              <w:rPr/>
              <w:t>Equity line of credit warrants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69" w:type="dxa"/>
            <w:tcBorders/>
            <w:shd w:fill="CCEEFF" w:val="clear"/>
            <w:vAlign w:val="center"/>
          </w:tcPr>
          <w:p>
            <w:pPr>
              <w:pStyle w:val="TableContents"/>
              <w:bidi w:val="0"/>
              <w:spacing w:before="0" w:after="283"/>
              <w:jc w:val="right"/>
              <w:rPr/>
            </w:pPr>
            <w:bookmarkStart w:id="462" w:name="xdx_900_eus-gaap--ClassOfWarrantOrRightO"/>
            <w:bookmarkStart w:id="463" w:name="xdx_90C_eus-gaap--ClassOfWarrantOrRightO"/>
            <w:bookmarkEnd w:id="462"/>
            <w:bookmarkEnd w:id="463"/>
            <w:r>
              <w:rPr/>
              <w:t>334,314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bookmarkStart w:id="464" w:name="xdx_905_eus-gaap--ClassOfWarrantOrRightE"/>
            <w:bookmarkStart w:id="465" w:name="xdx_903_eus-gaap--ClassOfWarrantOrRightE"/>
            <w:bookmarkEnd w:id="464"/>
            <w:bookmarkEnd w:id="465"/>
            <w:r>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pPr>
            <w:bookmarkStart w:id="466" w:name="xdx_904_eus-gaap--WarrantsAndRightsOutst"/>
            <w:bookmarkStart w:id="467" w:name="xdx_904_eus-gaap--WarrantsAndRightsOutst"/>
            <w:bookmarkEnd w:id="466"/>
            <w:bookmarkEnd w:id="467"/>
            <w:r>
              <w:rPr/>
              <w:t>August 24, 2028</w:t>
            </w:r>
          </w:p>
        </w:tc>
      </w:tr>
      <w:tr>
        <w:trPr/>
        <w:tc>
          <w:tcPr>
            <w:tcW w:w="2780" w:type="dxa"/>
            <w:tcBorders/>
            <w:shd w:fill="FFFFFF" w:val="clear"/>
            <w:vAlign w:val="center"/>
          </w:tcPr>
          <w:p>
            <w:pPr>
              <w:pStyle w:val="TableContents"/>
              <w:bidi w:val="0"/>
              <w:spacing w:before="0" w:after="283"/>
              <w:jc w:val="left"/>
              <w:rPr/>
            </w:pPr>
            <w:r>
              <w:rPr/>
              <w:t>Convertible notes warrants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69"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68" w:name="xdx_906_eus-gaap--ClassOfWarrantOrRightO"/>
            <w:bookmarkStart w:id="469" w:name="xdx_908_eus-gaap--ClassOfWarrantOrRightO"/>
            <w:bookmarkEnd w:id="468"/>
            <w:bookmarkEnd w:id="469"/>
            <w:r>
              <w:rPr/>
              <w:t>1,216,185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bookmarkStart w:id="470" w:name="xdx_907_eus-gaap--ClassOfWarrantOrRightE"/>
            <w:bookmarkStart w:id="471" w:name="xdx_903_eus-gaap--ClassOfWarrantOrRightE"/>
            <w:bookmarkEnd w:id="470"/>
            <w:bookmarkEnd w:id="471"/>
            <w:r>
              <w:rPr/>
              <w:t>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right"/>
              <w:rPr/>
            </w:pPr>
            <w:bookmarkStart w:id="472" w:name="xdx_90C_eus-gaap--WarrantsAndRightsOutst"/>
            <w:bookmarkStart w:id="473" w:name="xdx_901_eus-gaap--WarrantsAndRightsOutst"/>
            <w:bookmarkEnd w:id="472"/>
            <w:bookmarkEnd w:id="473"/>
            <w:r>
              <w:rPr/>
              <w:t>November 24, 2028</w:t>
            </w:r>
          </w:p>
        </w:tc>
      </w:tr>
      <w:tr>
        <w:trPr/>
        <w:tc>
          <w:tcPr>
            <w:tcW w:w="2780" w:type="dxa"/>
            <w:tcBorders/>
            <w:shd w:fill="CCEEFF" w:val="clear"/>
            <w:vAlign w:val="center"/>
          </w:tcPr>
          <w:p>
            <w:pPr>
              <w:pStyle w:val="TableContents"/>
              <w:bidi w:val="0"/>
              <w:spacing w:before="0" w:after="283"/>
              <w:jc w:val="left"/>
              <w:rPr>
                <w:b/>
              </w:rPr>
            </w:pPr>
            <w:r>
              <w:rPr>
                <w:b/>
              </w:rPr>
              <w:t>Total warrants: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6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74" w:name="xdx_906_eus-gaap--ClassOfWarrantOrRightO"/>
            <w:bookmarkStart w:id="475" w:name="xdx_906_eus-gaap--ClassOfWarrantOrRightO"/>
            <w:bookmarkEnd w:id="474"/>
            <w:bookmarkEnd w:id="475"/>
            <w:r>
              <w:rPr/>
              <w:t>1,550,499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6" w:name="xdx_8A9_zADASGYfOzq2"/>
      <w:bookmarkEnd w:id="476"/>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7" w:name="xdx_86F_zqhaS05MYUOe"/>
      <w:bookmarkStart w:id="478" w:name="xdx_84F_eus-gaap--RepurchaseAgreementsCo"/>
      <w:bookmarkEnd w:id="477"/>
      <w:bookmarkEnd w:id="478"/>
      <w:r>
        <w:rPr>
          <w:rFonts w:ascii="Times New Roman;Times;Serif" w:hAnsi="Times New Roman;Times;Serif"/>
          <w:b/>
          <w:i/>
          <w:caps w:val="false"/>
          <w:smallCaps w:val="false"/>
          <w:sz w:val="20"/>
        </w:rPr>
        <w:t>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2022, the Company’s board of directors authorized a share repurchase program under which the Company may repurchase up to $</w:t>
      </w:r>
      <w:bookmarkStart w:id="479" w:name="xdx_901_esrt--StockRepurchaseProgramAuth"/>
      <w:bookmarkEnd w:id="479"/>
      <w:r>
        <w:rPr>
          <w:rFonts w:ascii="Times New Roman;Times;Serif" w:hAnsi="Times New Roman;Times;Serif"/>
          <w:b w:val="false"/>
          <w:i w:val="false"/>
          <w:caps w:val="false"/>
          <w:smallCaps w:val="false"/>
          <w:sz w:val="20"/>
        </w:rPr>
        <w:t xml:space="preserve">5 million of outstanding shares of Class A common stock of the Company, subject to ongoing compliance with the Nasdaq listing rules. The program does not have a fixed expiration date. Repurchased shares are accounted for at cost and reported as a reduction of equity in the condensed consolidated balance sheets under treasury stock. </w:t>
      </w:r>
      <w:bookmarkStart w:id="480" w:name="xdx_90D_eus-gaap--StockIssuedDuringPerio"/>
      <w:bookmarkStart w:id="481" w:name="xdx_906_eus-gaap--StockIssuedDuringPerio"/>
      <w:bookmarkEnd w:id="480"/>
      <w:bookmarkEnd w:id="481"/>
      <w:r>
        <w:rPr>
          <w:rFonts w:ascii="Times New Roman;Times;Serif" w:hAnsi="Times New Roman;Times;Serif"/>
          <w:b w:val="false"/>
          <w:i w:val="false"/>
          <w:caps w:val="false"/>
          <w:smallCaps w:val="false"/>
          <w:sz w:val="20"/>
        </w:rPr>
        <w:t xml:space="preserve">No treasury stock was sold during the three months ended March 31, 2026 and 2025. As of March 31, 2026 and December 31, 2025, </w:t>
      </w:r>
      <w:bookmarkStart w:id="482" w:name="xdx_90B_eus-gaap--TreasuryStockSharesAcq"/>
      <w:bookmarkStart w:id="483" w:name="xdx_903_eus-gaap--TreasuryStockSharesAcq"/>
      <w:bookmarkEnd w:id="482"/>
      <w:bookmarkEnd w:id="483"/>
      <w:r>
        <w:rPr>
          <w:rFonts w:ascii="Times New Roman;Times;Serif" w:hAnsi="Times New Roman;Times;Serif"/>
          <w:b w:val="false"/>
          <w:i w:val="false"/>
          <w:caps w:val="false"/>
          <w:smallCaps w:val="false"/>
          <w:sz w:val="20"/>
        </w:rPr>
        <w:t>1,350,275 shares of Class A common stock were repurchased pursuant to the Share Repurchase Program for an aggregate purchase price of approximately $</w:t>
      </w:r>
      <w:bookmarkStart w:id="484" w:name="xdx_90A_eus-gaap--TreasuryStockValueAcqu"/>
      <w:bookmarkEnd w:id="484"/>
      <w:r>
        <w:rPr>
          <w:rFonts w:ascii="Times New Roman;Times;Serif" w:hAnsi="Times New Roman;Times;Serif"/>
          <w:b w:val="false"/>
          <w:i w:val="false"/>
          <w:caps w:val="false"/>
          <w:smallCaps w:val="false"/>
          <w:sz w:val="20"/>
        </w:rPr>
        <w:t>3.7 million. The average price paid per share was $</w:t>
      </w:r>
      <w:bookmarkStart w:id="485" w:name="xdx_901_eus-gaap--TreasuryStockAcquiredA"/>
      <w:bookmarkStart w:id="486" w:name="xdx_900_eus-gaap--TreasuryStockAcquiredA"/>
      <w:bookmarkEnd w:id="485"/>
      <w:bookmarkEnd w:id="486"/>
      <w:r>
        <w:rPr>
          <w:rFonts w:ascii="Times New Roman;Times;Serif" w:hAnsi="Times New Roman;Times;Serif"/>
          <w:b w:val="false"/>
          <w:i w:val="false"/>
          <w:caps w:val="false"/>
          <w:smallCaps w:val="false"/>
          <w:sz w:val="20"/>
        </w:rPr>
        <w:t>2.72 and approximately $</w:t>
      </w:r>
      <w:bookmarkStart w:id="487" w:name="xdx_909_eus-gaap--StockRepurchaseProgram"/>
      <w:bookmarkStart w:id="488" w:name="xdx_90B_eus-gaap--StockRepurchaseProgram"/>
      <w:bookmarkEnd w:id="487"/>
      <w:bookmarkEnd w:id="488"/>
      <w:r>
        <w:rPr>
          <w:rFonts w:ascii="Times New Roman;Times;Serif" w:hAnsi="Times New Roman;Times;Serif"/>
          <w:b w:val="false"/>
          <w:i w:val="false"/>
          <w:caps w:val="false"/>
          <w:smallCaps w:val="false"/>
          <w:sz w:val="20"/>
        </w:rPr>
        <w:t>1.3 million aggregate amount of shares of Class A common stock remain available for repurchase under the Share Repurchase Program.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89" w:name="xdx_86D_zjoKJQtj7AJb"/>
      <w:bookmarkStart w:id="490" w:name="xdx_841_eus-gaap--EarningsPerSharePolicy"/>
      <w:bookmarkEnd w:id="489"/>
      <w:bookmarkEnd w:id="490"/>
      <w:r>
        <w:rPr>
          <w:rFonts w:ascii="Times New Roman;Times;Serif" w:hAnsi="Times New Roman;Times;Serif"/>
          <w:b/>
          <w:i/>
          <w:caps w:val="false"/>
          <w:smallCaps w:val="false"/>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per share (“EPS”) is calculated by dividing the net income (loss) that is applicable to the common stockholders for the period by the weighted average number of shares of common stock during that period. The computation of diluted EPS for the period assumes the potential dilutive effect of potential common shares, which includes common shares, consisting of (a) unvested restricted stock units and warrants using the treasury stock method, and (b) convertible debt using the if-converted method. The Company issues two classes of common stock with differing voting rights, and as such, reports EPS using the dual class method. For more information see Note 16 – Income (</w:t>
      </w:r>
      <w:r>
        <w:rPr>
          <w:rFonts w:ascii="Times New Roman;Times;Serif" w:hAnsi="Times New Roman;Times;Serif"/>
          <w:b w:val="false"/>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91" w:name="xdx_869_zrt2zpjo6Caj"/>
      <w:bookmarkStart w:id="492" w:name="xdx_84E_eus-gaap--PolicyholdersDividendP"/>
      <w:bookmarkEnd w:id="491"/>
      <w:bookmarkEnd w:id="492"/>
      <w:r>
        <w:rPr>
          <w:rFonts w:ascii="Times New Roman;Times;Serif" w:hAnsi="Times New Roman;Times;Serif"/>
          <w:b/>
          <w:i/>
          <w:caps w:val="false"/>
          <w:smallCaps w:val="false"/>
          <w:sz w:val="20"/>
        </w:rPr>
        <w:t>Dividend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pay cash dividends is currently restricted by the terms of our credit facilities.</w:t>
      </w:r>
    </w:p>
    <w:p>
      <w:pPr>
        <w:pStyle w:val="TextBody"/>
        <w:bidi w:val="0"/>
        <w:spacing w:before="0" w:after="0"/>
        <w:ind w:left="0" w:right="0" w:hanging="0"/>
        <w:jc w:val="both"/>
        <w:rPr>
          <w:caps w:val="false"/>
          <w:smallCaps w:val="false"/>
        </w:rPr>
      </w:pPr>
      <w:bookmarkStart w:id="493" w:name="xdx_85A_zsy3m1lbqgTf"/>
      <w:bookmarkEnd w:id="49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4" w:name="xdx_80E_eus-gaap--RevenueFromContractWit"/>
      <w:bookmarkEnd w:id="494"/>
      <w:r>
        <w:rPr>
          <w:rFonts w:ascii="Times New Roman;Times;Serif" w:hAnsi="Times New Roman;Times;Serif"/>
          <w:b/>
          <w:i w:val="false"/>
          <w:caps w:val="false"/>
          <w:smallCaps w:val="false"/>
          <w:sz w:val="20"/>
        </w:rPr>
        <w:t xml:space="preserve">NOTE 3 – </w:t>
      </w:r>
      <w:bookmarkStart w:id="495" w:name="xdx_826_z169oZSiVRc9"/>
      <w:bookmarkEnd w:id="495"/>
      <w:r>
        <w:rPr>
          <w:rFonts w:ascii="Times New Roman;Times;Serif" w:hAnsi="Times New Roman;Times;Serif"/>
          <w:b/>
          <w:i w:val="false"/>
          <w:caps w:val="false"/>
          <w:smallCaps w:val="false"/>
          <w:sz w:val="20"/>
        </w:rPr>
        <w:t>REVENUE FROM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Timing of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at a point in time for performance obligations that are met at the time of sale or at the time of a release. The Company recognizes revenue over a period based on the estimated service period of the product and additional performance obligations met over time for technical support. Net revenue by timing of recognition during the three months ended March 31, 2026 and 2025 were as follows:</w:t>
      </w:r>
    </w:p>
    <w:p>
      <w:pPr>
        <w:pStyle w:val="TextBody"/>
        <w:bidi w:val="0"/>
        <w:spacing w:before="0" w:after="0"/>
        <w:ind w:left="0" w:right="0" w:hanging="0"/>
        <w:jc w:val="both"/>
        <w:rPr>
          <w:caps w:val="false"/>
          <w:smallCaps w:val="false"/>
        </w:rPr>
      </w:pPr>
      <w:bookmarkStart w:id="496" w:name="xdx_897_eus-gaap--DisaggregationOfRevenu"/>
      <w:bookmarkEnd w:id="496"/>
      <w:r>
        <w:rPr>
          <w:caps w:val="false"/>
          <w:smallCaps w:val="false"/>
        </w:rPr>
        <w:t> </w:t>
      </w:r>
      <w:bookmarkStart w:id="497" w:name="xdx_8BF_zly4A2WiLWsf"/>
      <w:bookmarkEnd w:id="497"/>
      <w:r>
        <w:rPr>
          <w:rFonts w:ascii="Times New Roman;Times;Serif" w:hAnsi="Times New Roman;Times;Serif"/>
          <w:b w:val="false"/>
          <w:i w:val="false"/>
          <w:caps w:val="false"/>
          <w:smallCaps w:val="false"/>
          <w:sz w:val="20"/>
        </w:rPr>
        <w:t>SCHEDULE OF DISAGGREGATION OF REVENUE</w:t>
      </w:r>
    </w:p>
    <w:tbl>
      <w:tblPr>
        <w:tblW w:w="739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8" w:name="xdx_494_20260101__20260331_zfWrl45HINh1"/>
            <w:bookmarkEnd w:id="498"/>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9" w:name="xdx_497_20250101__20250331_zFDJNWqUn6w6"/>
            <w:bookmarkEnd w:id="49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500" w:name="xdx_40B_eus-gaap--RevenueFromContractWit"/>
            <w:bookmarkEnd w:id="500"/>
          </w:p>
        </w:tc>
      </w:tr>
      <w:tr>
        <w:trPr/>
        <w:tc>
          <w:tcPr>
            <w:tcW w:w="4655" w:type="dxa"/>
            <w:tcBorders/>
            <w:shd w:fill="CCEEFF" w:val="clear"/>
            <w:vAlign w:val="center"/>
          </w:tcPr>
          <w:p>
            <w:pPr>
              <w:pStyle w:val="TableContents"/>
              <w:bidi w:val="0"/>
              <w:spacing w:before="0" w:after="283"/>
              <w:jc w:val="left"/>
              <w:rPr/>
            </w:pPr>
            <w:r>
              <w:rPr/>
              <w:t>Over time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1,177,126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1,817,808</w:t>
            </w:r>
          </w:p>
        </w:tc>
        <w:tc>
          <w:tcPr>
            <w:tcW w:w="75" w:type="dxa"/>
            <w:tcBorders/>
            <w:shd w:fill="CCEEFF" w:val="clear"/>
            <w:vAlign w:val="center"/>
          </w:tcPr>
          <w:p>
            <w:pPr>
              <w:pStyle w:val="TableContents"/>
              <w:bidi w:val="0"/>
              <w:spacing w:before="0" w:after="283"/>
              <w:jc w:val="left"/>
              <w:rPr/>
            </w:pPr>
            <w:r>
              <w:rPr/>
              <w:t> </w:t>
            </w:r>
            <w:bookmarkStart w:id="501" w:name="xdx_40D_eus-gaap--RevenueFromContractWit"/>
            <w:bookmarkEnd w:id="501"/>
          </w:p>
        </w:tc>
      </w:tr>
      <w:tr>
        <w:trPr/>
        <w:tc>
          <w:tcPr>
            <w:tcW w:w="4655" w:type="dxa"/>
            <w:tcBorders/>
            <w:shd w:fill="FFFFFF" w:val="clear"/>
            <w:vAlign w:val="center"/>
          </w:tcPr>
          <w:p>
            <w:pPr>
              <w:pStyle w:val="TableContents"/>
              <w:bidi w:val="0"/>
              <w:spacing w:before="0" w:after="283"/>
              <w:jc w:val="left"/>
              <w:rPr/>
            </w:pPr>
            <w:r>
              <w:rPr/>
              <w:t>Point in time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26,117,528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18,293,064</w:t>
            </w:r>
          </w:p>
        </w:tc>
        <w:tc>
          <w:tcPr>
            <w:tcW w:w="75" w:type="dxa"/>
            <w:tcBorders/>
            <w:shd w:fill="FFFFFF" w:val="clear"/>
            <w:vAlign w:val="center"/>
          </w:tcPr>
          <w:p>
            <w:pPr>
              <w:pStyle w:val="TableContents"/>
              <w:bidi w:val="0"/>
              <w:spacing w:before="0" w:after="283"/>
              <w:jc w:val="left"/>
              <w:rPr/>
            </w:pPr>
            <w:r>
              <w:rPr/>
              <w:t> </w:t>
            </w:r>
            <w:bookmarkStart w:id="502" w:name="xdx_409_eus-gaap--RevenueFromContractWit"/>
            <w:bookmarkEnd w:id="502"/>
          </w:p>
        </w:tc>
      </w:tr>
      <w:tr>
        <w:trPr/>
        <w:tc>
          <w:tcPr>
            <w:tcW w:w="4655" w:type="dxa"/>
            <w:tcBorders/>
            <w:shd w:fill="CCEEFF" w:val="clear"/>
            <w:vAlign w:val="center"/>
          </w:tcPr>
          <w:p>
            <w:pPr>
              <w:pStyle w:val="TableContents"/>
              <w:bidi w:val="0"/>
              <w:spacing w:before="0" w:after="283"/>
              <w:jc w:val="left"/>
              <w:rPr>
                <w:b/>
              </w:rPr>
            </w:pPr>
            <w:r>
              <w:rPr>
                <w:b/>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27,294,654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20,110,872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Geography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attributes net revenue to geographic regions based on customer location. Net revenue by geographic region for the three months ended March 31, 2026 and 2025 were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3" w:name="xdx_49E_20260101__20260331_zMMwMWfpIcY1"/>
            <w:bookmarkEnd w:id="503"/>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4" w:name="xdx_499_20250101__20250331_zpazigYZkd5k"/>
            <w:bookmarkEnd w:id="504"/>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505" w:name="xdx_407_eus-gaap--RevenueFromContractWit"/>
            <w:bookmarkEnd w:id="505"/>
          </w:p>
        </w:tc>
      </w:tr>
      <w:tr>
        <w:trPr/>
        <w:tc>
          <w:tcPr>
            <w:tcW w:w="465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24,271,263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17,301,686</w:t>
            </w:r>
          </w:p>
        </w:tc>
        <w:tc>
          <w:tcPr>
            <w:tcW w:w="75" w:type="dxa"/>
            <w:tcBorders/>
            <w:shd w:fill="CCEEFF" w:val="clear"/>
            <w:vAlign w:val="center"/>
          </w:tcPr>
          <w:p>
            <w:pPr>
              <w:pStyle w:val="TableContents"/>
              <w:bidi w:val="0"/>
              <w:spacing w:before="0" w:after="283"/>
              <w:jc w:val="left"/>
              <w:rPr/>
            </w:pPr>
            <w:r>
              <w:rPr/>
              <w:t> </w:t>
            </w:r>
            <w:bookmarkStart w:id="506" w:name="xdx_40A_eus-gaap--RevenueFromContractWit"/>
            <w:bookmarkEnd w:id="506"/>
          </w:p>
        </w:tc>
      </w:tr>
      <w:tr>
        <w:trPr/>
        <w:tc>
          <w:tcPr>
            <w:tcW w:w="4655" w:type="dxa"/>
            <w:tcBorders/>
            <w:shd w:fill="FFFFFF" w:val="clear"/>
            <w:vAlign w:val="center"/>
          </w:tcPr>
          <w:p>
            <w:pPr>
              <w:pStyle w:val="TableContents"/>
              <w:bidi w:val="0"/>
              <w:spacing w:before="0" w:after="283"/>
              <w:jc w:val="left"/>
              <w:rPr/>
            </w:pPr>
            <w:r>
              <w:rPr/>
              <w:t>International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3,023,391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2,809,186</w:t>
            </w:r>
          </w:p>
        </w:tc>
        <w:tc>
          <w:tcPr>
            <w:tcW w:w="75" w:type="dxa"/>
            <w:tcBorders/>
            <w:shd w:fill="FFFFFF" w:val="clear"/>
            <w:vAlign w:val="center"/>
          </w:tcPr>
          <w:p>
            <w:pPr>
              <w:pStyle w:val="TableContents"/>
              <w:bidi w:val="0"/>
              <w:spacing w:before="0" w:after="283"/>
              <w:jc w:val="left"/>
              <w:rPr/>
            </w:pPr>
            <w:r>
              <w:rPr/>
              <w:t> </w:t>
            </w:r>
            <w:bookmarkStart w:id="507" w:name="xdx_401_eus-gaap--RevenueFromContractWit"/>
            <w:bookmarkEnd w:id="507"/>
          </w:p>
        </w:tc>
      </w:tr>
      <w:tr>
        <w:trPr/>
        <w:tc>
          <w:tcPr>
            <w:tcW w:w="4655" w:type="dxa"/>
            <w:tcBorders/>
            <w:shd w:fill="CCEEFF" w:val="clear"/>
            <w:vAlign w:val="center"/>
          </w:tcPr>
          <w:p>
            <w:pPr>
              <w:pStyle w:val="TableContents"/>
              <w:bidi w:val="0"/>
              <w:spacing w:before="0" w:after="283"/>
              <w:jc w:val="left"/>
              <w:rPr>
                <w:b/>
              </w:rPr>
            </w:pPr>
            <w:r>
              <w:rPr>
                <w:b/>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27,294,654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20,110,872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individual country accounted for more than 10% of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by platform for the three months ended March 31, 2026 and 2025 were as follows:</w:t>
      </w:r>
    </w:p>
    <w:p>
      <w:pPr>
        <w:pStyle w:val="TextBody"/>
        <w:bidi w:val="0"/>
        <w:spacing w:before="0" w:after="0"/>
        <w:ind w:left="0" w:right="0" w:hanging="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8" w:name="xdx_49B_20260101__20260331_zY6VHgS9PFD"/>
            <w:bookmarkEnd w:id="508"/>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9" w:name="xdx_495_20250101__20250331_zeWff0GjnUvd"/>
            <w:bookmarkEnd w:id="50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510" w:name="xdx_40B_eus-gaap--RevenueFromContractWit"/>
            <w:bookmarkEnd w:id="510"/>
          </w:p>
        </w:tc>
      </w:tr>
      <w:tr>
        <w:trPr/>
        <w:tc>
          <w:tcPr>
            <w:tcW w:w="4655" w:type="dxa"/>
            <w:tcBorders/>
            <w:shd w:fill="CCEEFF" w:val="clear"/>
            <w:vAlign w:val="center"/>
          </w:tcPr>
          <w:p>
            <w:pPr>
              <w:pStyle w:val="TableContents"/>
              <w:bidi w:val="0"/>
              <w:spacing w:before="0" w:after="283"/>
              <w:jc w:val="left"/>
              <w:rPr/>
            </w:pPr>
            <w:r>
              <w:rPr/>
              <w:t>Console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8,267,462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8,305,578</w:t>
            </w:r>
          </w:p>
        </w:tc>
        <w:tc>
          <w:tcPr>
            <w:tcW w:w="75" w:type="dxa"/>
            <w:tcBorders/>
            <w:shd w:fill="CCEEFF" w:val="clear"/>
            <w:vAlign w:val="center"/>
          </w:tcPr>
          <w:p>
            <w:pPr>
              <w:pStyle w:val="TableContents"/>
              <w:bidi w:val="0"/>
              <w:spacing w:before="0" w:after="283"/>
              <w:jc w:val="left"/>
              <w:rPr/>
            </w:pPr>
            <w:r>
              <w:rPr/>
              <w:t> </w:t>
            </w:r>
            <w:bookmarkStart w:id="511" w:name="xdx_40C_eus-gaap--RevenueFromContractWit"/>
            <w:bookmarkEnd w:id="511"/>
          </w:p>
        </w:tc>
      </w:tr>
      <w:tr>
        <w:trPr/>
        <w:tc>
          <w:tcPr>
            <w:tcW w:w="4655" w:type="dxa"/>
            <w:tcBorders/>
            <w:shd w:fill="FFFFFF" w:val="clear"/>
            <w:vAlign w:val="center"/>
          </w:tcPr>
          <w:p>
            <w:pPr>
              <w:pStyle w:val="TableContents"/>
              <w:bidi w:val="0"/>
              <w:spacing w:before="0" w:after="283"/>
              <w:jc w:val="left"/>
              <w:rPr/>
            </w:pPr>
            <w:r>
              <w:rPr/>
              <w:t>PC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17,163,718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9,008,138</w:t>
            </w:r>
          </w:p>
        </w:tc>
        <w:tc>
          <w:tcPr>
            <w:tcW w:w="75" w:type="dxa"/>
            <w:tcBorders/>
            <w:shd w:fill="FFFFFF" w:val="clear"/>
            <w:vAlign w:val="center"/>
          </w:tcPr>
          <w:p>
            <w:pPr>
              <w:pStyle w:val="TableContents"/>
              <w:bidi w:val="0"/>
              <w:spacing w:before="0" w:after="283"/>
              <w:jc w:val="left"/>
              <w:rPr/>
            </w:pPr>
            <w:r>
              <w:rPr/>
              <w:t> </w:t>
            </w:r>
            <w:bookmarkStart w:id="512" w:name="xdx_40E_eus-gaap--RevenueFromContractWit"/>
            <w:bookmarkEnd w:id="512"/>
          </w:p>
        </w:tc>
      </w:tr>
      <w:tr>
        <w:trPr/>
        <w:tc>
          <w:tcPr>
            <w:tcW w:w="4655" w:type="dxa"/>
            <w:tcBorders/>
            <w:shd w:fill="CCEEFF" w:val="clear"/>
            <w:vAlign w:val="center"/>
          </w:tcPr>
          <w:p>
            <w:pPr>
              <w:pStyle w:val="TableContents"/>
              <w:bidi w:val="0"/>
              <w:spacing w:before="0" w:after="283"/>
              <w:jc w:val="left"/>
              <w:rPr/>
            </w:pPr>
            <w:r>
              <w:rPr/>
              <w:t>Mobile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1,450,042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2,347,233</w:t>
            </w:r>
          </w:p>
        </w:tc>
        <w:tc>
          <w:tcPr>
            <w:tcW w:w="75" w:type="dxa"/>
            <w:tcBorders/>
            <w:shd w:fill="CCEEFF" w:val="clear"/>
            <w:vAlign w:val="center"/>
          </w:tcPr>
          <w:p>
            <w:pPr>
              <w:pStyle w:val="TableContents"/>
              <w:bidi w:val="0"/>
              <w:spacing w:before="0" w:after="283"/>
              <w:jc w:val="left"/>
              <w:rPr/>
            </w:pPr>
            <w:r>
              <w:rPr/>
              <w:t> </w:t>
            </w:r>
            <w:bookmarkStart w:id="513" w:name="xdx_406_eus-gaap--RevenueFromContractWit"/>
            <w:bookmarkEnd w:id="513"/>
          </w:p>
        </w:tc>
      </w:tr>
      <w:tr>
        <w:trPr/>
        <w:tc>
          <w:tcPr>
            <w:tcW w:w="465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413,432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449,923</w:t>
            </w:r>
          </w:p>
        </w:tc>
        <w:tc>
          <w:tcPr>
            <w:tcW w:w="75" w:type="dxa"/>
            <w:tcBorders/>
            <w:shd w:fill="FFFFFF" w:val="clear"/>
            <w:vAlign w:val="center"/>
          </w:tcPr>
          <w:p>
            <w:pPr>
              <w:pStyle w:val="TableContents"/>
              <w:bidi w:val="0"/>
              <w:spacing w:before="0" w:after="283"/>
              <w:jc w:val="left"/>
              <w:rPr/>
            </w:pPr>
            <w:r>
              <w:rPr/>
              <w:t> </w:t>
            </w:r>
            <w:bookmarkStart w:id="514" w:name="xdx_408_eus-gaap--RevenueFromContractWit"/>
            <w:bookmarkEnd w:id="514"/>
          </w:p>
        </w:tc>
      </w:tr>
      <w:tr>
        <w:trPr/>
        <w:tc>
          <w:tcPr>
            <w:tcW w:w="4655" w:type="dxa"/>
            <w:tcBorders/>
            <w:shd w:fill="CCEEFF" w:val="clear"/>
            <w:vAlign w:val="center"/>
          </w:tcPr>
          <w:p>
            <w:pPr>
              <w:pStyle w:val="TableContents"/>
              <w:bidi w:val="0"/>
              <w:spacing w:before="0" w:after="283"/>
              <w:jc w:val="left"/>
              <w:rPr>
                <w:b/>
              </w:rPr>
            </w:pPr>
            <w:r>
              <w:rPr>
                <w:b/>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27,294,654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20,110,872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revenues through our current period top four platform providers as a proportion of our total net revenue for the three months ended March 31, 2026 and 2025 were as follows:</w:t>
      </w:r>
    </w:p>
    <w:p>
      <w:pPr>
        <w:pStyle w:val="TextBody"/>
        <w:bidi w:val="0"/>
        <w:spacing w:before="0" w:after="0"/>
        <w:ind w:left="0" w:right="0" w:hanging="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5" w:name="xdx_49E_20260101__20260331_zpXl6Se255ii"/>
            <w:bookmarkEnd w:id="515"/>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6" w:name="xdx_490_20250101__20250331_zeWIkmHkZGg5"/>
            <w:bookmarkEnd w:id="516"/>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517" w:name="xdx_407_eus-gaap--RevenueFromContractWit"/>
            <w:bookmarkEnd w:id="517"/>
          </w:p>
        </w:tc>
      </w:tr>
      <w:tr>
        <w:trPr/>
        <w:tc>
          <w:tcPr>
            <w:tcW w:w="4655" w:type="dxa"/>
            <w:tcBorders/>
            <w:shd w:fill="CCEEFF" w:val="clear"/>
            <w:vAlign w:val="center"/>
          </w:tcPr>
          <w:p>
            <w:pPr>
              <w:pStyle w:val="TableContents"/>
              <w:bidi w:val="0"/>
              <w:spacing w:before="0" w:after="283"/>
              <w:jc w:val="left"/>
              <w:rPr/>
            </w:pPr>
            <w:r>
              <w:rPr/>
              <w:t>Platform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16,857,489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8,762,894</w:t>
            </w:r>
          </w:p>
        </w:tc>
        <w:tc>
          <w:tcPr>
            <w:tcW w:w="75" w:type="dxa"/>
            <w:tcBorders/>
            <w:shd w:fill="CCEEFF" w:val="clear"/>
            <w:vAlign w:val="center"/>
          </w:tcPr>
          <w:p>
            <w:pPr>
              <w:pStyle w:val="TableContents"/>
              <w:bidi w:val="0"/>
              <w:spacing w:before="0" w:after="283"/>
              <w:jc w:val="left"/>
              <w:rPr/>
            </w:pPr>
            <w:r>
              <w:rPr/>
              <w:t> </w:t>
            </w:r>
            <w:bookmarkStart w:id="518" w:name="xdx_40C_eus-gaap--RevenueFromContractWit"/>
            <w:bookmarkEnd w:id="518"/>
          </w:p>
        </w:tc>
      </w:tr>
      <w:tr>
        <w:trPr/>
        <w:tc>
          <w:tcPr>
            <w:tcW w:w="4655" w:type="dxa"/>
            <w:tcBorders/>
            <w:shd w:fill="FFFFFF" w:val="clear"/>
            <w:vAlign w:val="center"/>
          </w:tcPr>
          <w:p>
            <w:pPr>
              <w:pStyle w:val="TableContents"/>
              <w:bidi w:val="0"/>
              <w:spacing w:before="0" w:after="283"/>
              <w:jc w:val="left"/>
              <w:rPr/>
            </w:pPr>
            <w:r>
              <w:rPr/>
              <w:t>Platform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2,909,709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2,735,268</w:t>
            </w:r>
          </w:p>
        </w:tc>
        <w:tc>
          <w:tcPr>
            <w:tcW w:w="75" w:type="dxa"/>
            <w:tcBorders/>
            <w:shd w:fill="FFFFFF" w:val="clear"/>
            <w:vAlign w:val="center"/>
          </w:tcPr>
          <w:p>
            <w:pPr>
              <w:pStyle w:val="TableContents"/>
              <w:bidi w:val="0"/>
              <w:spacing w:before="0" w:after="283"/>
              <w:jc w:val="left"/>
              <w:rPr/>
            </w:pPr>
            <w:r>
              <w:rPr/>
              <w:t> </w:t>
            </w:r>
            <w:bookmarkStart w:id="519" w:name="xdx_405_eus-gaap--RevenueFromContractWit"/>
            <w:bookmarkEnd w:id="519"/>
          </w:p>
        </w:tc>
      </w:tr>
      <w:tr>
        <w:trPr/>
        <w:tc>
          <w:tcPr>
            <w:tcW w:w="4655" w:type="dxa"/>
            <w:tcBorders/>
            <w:shd w:fill="CCEEFF" w:val="clear"/>
            <w:vAlign w:val="center"/>
          </w:tcPr>
          <w:p>
            <w:pPr>
              <w:pStyle w:val="TableContents"/>
              <w:bidi w:val="0"/>
              <w:spacing w:before="0" w:after="283"/>
              <w:jc w:val="left"/>
              <w:rPr/>
            </w:pPr>
            <w:r>
              <w:rPr/>
              <w:t>Platform 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5,079,402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5,173,560</w:t>
            </w:r>
          </w:p>
        </w:tc>
        <w:tc>
          <w:tcPr>
            <w:tcW w:w="75" w:type="dxa"/>
            <w:tcBorders/>
            <w:shd w:fill="CCEEFF" w:val="clear"/>
            <w:vAlign w:val="center"/>
          </w:tcPr>
          <w:p>
            <w:pPr>
              <w:pStyle w:val="TableContents"/>
              <w:bidi w:val="0"/>
              <w:spacing w:before="0" w:after="283"/>
              <w:jc w:val="left"/>
              <w:rPr/>
            </w:pPr>
            <w:r>
              <w:rPr/>
              <w:t> </w:t>
            </w:r>
            <w:bookmarkStart w:id="520" w:name="xdx_403_eus-gaap--RevenueFromContractWit"/>
            <w:bookmarkEnd w:id="520"/>
          </w:p>
        </w:tc>
      </w:tr>
      <w:tr>
        <w:trPr/>
        <w:tc>
          <w:tcPr>
            <w:tcW w:w="4655" w:type="dxa"/>
            <w:tcBorders/>
            <w:shd w:fill="FFFFFF" w:val="clear"/>
            <w:vAlign w:val="center"/>
          </w:tcPr>
          <w:p>
            <w:pPr>
              <w:pStyle w:val="TableContents"/>
              <w:bidi w:val="0"/>
              <w:spacing w:before="0" w:after="283"/>
              <w:jc w:val="left"/>
              <w:rPr/>
            </w:pPr>
            <w:r>
              <w:rPr/>
              <w:t>Platform 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277,666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395,596</w:t>
            </w:r>
          </w:p>
        </w:tc>
        <w:tc>
          <w:tcPr>
            <w:tcW w:w="75" w:type="dxa"/>
            <w:tcBorders/>
            <w:shd w:fill="FFFFFF" w:val="clear"/>
            <w:vAlign w:val="center"/>
          </w:tcPr>
          <w:p>
            <w:pPr>
              <w:pStyle w:val="TableContents"/>
              <w:bidi w:val="0"/>
              <w:spacing w:before="0" w:after="283"/>
              <w:jc w:val="left"/>
              <w:rPr/>
            </w:pPr>
            <w:r>
              <w:rPr/>
              <w:t> </w:t>
            </w:r>
            <w:bookmarkStart w:id="521" w:name="xdx_40C_eus-gaap--RevenueFromContractWit"/>
            <w:bookmarkEnd w:id="521"/>
          </w:p>
        </w:tc>
      </w:tr>
      <w:tr>
        <w:trPr/>
        <w:tc>
          <w:tcPr>
            <w:tcW w:w="4655" w:type="dxa"/>
            <w:tcBorders/>
            <w:shd w:fill="CCEEFF" w:val="clear"/>
            <w:vAlign w:val="center"/>
          </w:tcPr>
          <w:p>
            <w:pPr>
              <w:pStyle w:val="TableContents"/>
              <w:bidi w:val="0"/>
              <w:spacing w:before="0" w:after="283"/>
              <w:jc w:val="left"/>
              <w:rPr/>
            </w:pPr>
            <w:r>
              <w:rPr/>
              <w:t>All Other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2,170,388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3,043,554</w:t>
            </w:r>
          </w:p>
        </w:tc>
        <w:tc>
          <w:tcPr>
            <w:tcW w:w="75" w:type="dxa"/>
            <w:tcBorders/>
            <w:shd w:fill="CCEEFF" w:val="clear"/>
            <w:vAlign w:val="center"/>
          </w:tcPr>
          <w:p>
            <w:pPr>
              <w:pStyle w:val="TableContents"/>
              <w:bidi w:val="0"/>
              <w:spacing w:before="0" w:after="283"/>
              <w:jc w:val="left"/>
              <w:rPr/>
            </w:pPr>
            <w:r>
              <w:rPr/>
              <w:t> </w:t>
            </w:r>
            <w:bookmarkStart w:id="522" w:name="xdx_401_eus-gaap--RevenueFromContractWit"/>
            <w:bookmarkEnd w:id="522"/>
          </w:p>
        </w:tc>
      </w:tr>
      <w:tr>
        <w:trPr/>
        <w:tc>
          <w:tcPr>
            <w:tcW w:w="4655" w:type="dxa"/>
            <w:tcBorders/>
            <w:shd w:fill="FFFFFF" w:val="clear"/>
            <w:vAlign w:val="center"/>
          </w:tcPr>
          <w:p>
            <w:pPr>
              <w:pStyle w:val="TableContents"/>
              <w:bidi w:val="0"/>
              <w:spacing w:before="0" w:after="283"/>
              <w:jc w:val="left"/>
              <w:rPr>
                <w:b/>
              </w:rPr>
            </w:pPr>
            <w:r>
              <w:rPr>
                <w:b/>
              </w:rPr>
              <w:t>Total revenue from contracts with customers: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27,294,654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20,110,872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channel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delivered through digital online services (digital download, online platforms, and cloud streaming), mobile, and retail distribution and other. Net revenue by distribution channel for the three months ended March 31, 2026 and 2025 was as follows:</w:t>
      </w:r>
    </w:p>
    <w:p>
      <w:pPr>
        <w:pStyle w:val="TextBody"/>
        <w:bidi w:val="0"/>
        <w:spacing w:before="0" w:after="0"/>
        <w:ind w:left="0" w:right="0" w:hanging="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3" w:name="xdx_49D_20260101__20260331_zmueYRdhbtb4"/>
            <w:bookmarkEnd w:id="523"/>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4" w:name="xdx_490_20250101__20250331_zSResJnIc351"/>
            <w:bookmarkEnd w:id="524"/>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525" w:name="xdx_409_eus-gaap--RevenueFromContractWit"/>
            <w:bookmarkEnd w:id="525"/>
          </w:p>
        </w:tc>
      </w:tr>
      <w:tr>
        <w:trPr/>
        <w:tc>
          <w:tcPr>
            <w:tcW w:w="4655" w:type="dxa"/>
            <w:tcBorders/>
            <w:shd w:fill="CCEEFF" w:val="clear"/>
            <w:vAlign w:val="center"/>
          </w:tcPr>
          <w:p>
            <w:pPr>
              <w:pStyle w:val="TableContents"/>
              <w:bidi w:val="0"/>
              <w:spacing w:before="0" w:after="283"/>
              <w:jc w:val="left"/>
              <w:rPr/>
            </w:pPr>
            <w:r>
              <w:rPr/>
              <w:t>Digital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25,431,180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17,313,716</w:t>
            </w:r>
          </w:p>
        </w:tc>
        <w:tc>
          <w:tcPr>
            <w:tcW w:w="75" w:type="dxa"/>
            <w:tcBorders/>
            <w:shd w:fill="CCEEFF" w:val="clear"/>
            <w:vAlign w:val="center"/>
          </w:tcPr>
          <w:p>
            <w:pPr>
              <w:pStyle w:val="TableContents"/>
              <w:bidi w:val="0"/>
              <w:spacing w:before="0" w:after="283"/>
              <w:jc w:val="left"/>
              <w:rPr/>
            </w:pPr>
            <w:r>
              <w:rPr/>
              <w:t> </w:t>
            </w:r>
            <w:bookmarkStart w:id="526" w:name="xdx_400_eus-gaap--RevenueFromContractWit"/>
            <w:bookmarkEnd w:id="526"/>
          </w:p>
        </w:tc>
      </w:tr>
      <w:tr>
        <w:trPr/>
        <w:tc>
          <w:tcPr>
            <w:tcW w:w="4655" w:type="dxa"/>
            <w:tcBorders/>
            <w:shd w:fill="FFFFFF" w:val="clear"/>
            <w:vAlign w:val="center"/>
          </w:tcPr>
          <w:p>
            <w:pPr>
              <w:pStyle w:val="TableContents"/>
              <w:bidi w:val="0"/>
              <w:spacing w:before="0" w:after="283"/>
              <w:jc w:val="left"/>
              <w:rPr/>
            </w:pPr>
            <w:r>
              <w:rPr/>
              <w:t>Mobile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1,450,042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2,347,233</w:t>
            </w:r>
          </w:p>
        </w:tc>
        <w:tc>
          <w:tcPr>
            <w:tcW w:w="75" w:type="dxa"/>
            <w:tcBorders/>
            <w:shd w:fill="FFFFFF" w:val="clear"/>
            <w:vAlign w:val="center"/>
          </w:tcPr>
          <w:p>
            <w:pPr>
              <w:pStyle w:val="TableContents"/>
              <w:bidi w:val="0"/>
              <w:spacing w:before="0" w:after="283"/>
              <w:jc w:val="left"/>
              <w:rPr/>
            </w:pPr>
            <w:r>
              <w:rPr/>
              <w:t> </w:t>
            </w:r>
            <w:bookmarkStart w:id="527" w:name="xdx_406_eus-gaap--RevenueFromContractWit"/>
            <w:bookmarkEnd w:id="527"/>
          </w:p>
        </w:tc>
      </w:tr>
      <w:tr>
        <w:trPr/>
        <w:tc>
          <w:tcPr>
            <w:tcW w:w="4655" w:type="dxa"/>
            <w:tcBorders/>
            <w:shd w:fill="CCEEFF" w:val="clear"/>
            <w:vAlign w:val="center"/>
          </w:tcPr>
          <w:p>
            <w:pPr>
              <w:pStyle w:val="TableContents"/>
              <w:bidi w:val="0"/>
              <w:spacing w:before="0" w:after="283"/>
              <w:jc w:val="left"/>
              <w:rPr/>
            </w:pPr>
            <w:r>
              <w:rPr/>
              <w:t>Physical retail and 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413,432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449,923</w:t>
            </w:r>
          </w:p>
        </w:tc>
        <w:tc>
          <w:tcPr>
            <w:tcW w:w="75" w:type="dxa"/>
            <w:tcBorders/>
            <w:shd w:fill="CCEEFF" w:val="clear"/>
            <w:vAlign w:val="center"/>
          </w:tcPr>
          <w:p>
            <w:pPr>
              <w:pStyle w:val="TableContents"/>
              <w:bidi w:val="0"/>
              <w:spacing w:before="0" w:after="283"/>
              <w:jc w:val="left"/>
              <w:rPr/>
            </w:pPr>
            <w:r>
              <w:rPr/>
              <w:t> </w:t>
            </w:r>
            <w:bookmarkStart w:id="528" w:name="xdx_400_eus-gaap--RevenueFromContractWit"/>
            <w:bookmarkEnd w:id="528"/>
          </w:p>
        </w:tc>
      </w:tr>
      <w:tr>
        <w:trPr/>
        <w:tc>
          <w:tcPr>
            <w:tcW w:w="4655" w:type="dxa"/>
            <w:tcBorders/>
            <w:shd w:fill="FFFFFF" w:val="clear"/>
            <w:vAlign w:val="center"/>
          </w:tcPr>
          <w:p>
            <w:pPr>
              <w:pStyle w:val="TableContents"/>
              <w:bidi w:val="0"/>
              <w:spacing w:before="0" w:after="283"/>
              <w:jc w:val="left"/>
              <w:rPr>
                <w:b/>
              </w:rPr>
            </w:pPr>
            <w:r>
              <w:rPr>
                <w:b/>
              </w:rPr>
              <w:t>Total revenue from contracts with customers: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27,294,654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20,110,872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9" w:name="xdx_8AF_zVnFr8zU8vf2"/>
      <w:bookmarkEnd w:id="529"/>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Revenue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when payments are due or received in advance of the fulfilment of our associated performance obligations; reductions to deferred revenue balance were primarily due to the recognition of revenue upon fulfilment of its performance obligations, which were in the ordinary course of business. As of March 31, 2026, the balance of deferred revenue was $</w:t>
      </w:r>
      <w:bookmarkStart w:id="530" w:name="xdx_902_eus-gaap--ContractWithCustomerLi"/>
      <w:bookmarkEnd w:id="530"/>
      <w:r>
        <w:rPr>
          <w:rFonts w:ascii="Times New Roman;Times;Serif" w:hAnsi="Times New Roman;Times;Serif"/>
          <w:b w:val="false"/>
          <w:i w:val="false"/>
          <w:caps w:val="false"/>
          <w:smallCaps w:val="false"/>
          <w:sz w:val="20"/>
        </w:rPr>
        <w:t>31.7 million, of which $</w:t>
      </w:r>
      <w:bookmarkStart w:id="531" w:name="xdx_90D_ecustom--RevenueRemainingPerform"/>
      <w:bookmarkEnd w:id="531"/>
      <w:r>
        <w:rPr>
          <w:rFonts w:ascii="Times New Roman;Times;Serif" w:hAnsi="Times New Roman;Times;Serif"/>
          <w:b w:val="false"/>
          <w:i w:val="false"/>
          <w:caps w:val="false"/>
          <w:smallCaps w:val="false"/>
          <w:sz w:val="20"/>
        </w:rPr>
        <w:t>30.6 million is due to non-refundable payments. The Company is expecting to recognize $</w:t>
      </w:r>
      <w:bookmarkStart w:id="532" w:name="xdx_909_ecustom--RevenueRemainingPerform"/>
      <w:bookmarkEnd w:id="532"/>
      <w:r>
        <w:rPr>
          <w:rFonts w:ascii="Times New Roman;Times;Serif" w:hAnsi="Times New Roman;Times;Serif"/>
          <w:b w:val="false"/>
          <w:i w:val="false"/>
          <w:caps w:val="false"/>
          <w:smallCaps w:val="false"/>
          <w:sz w:val="20"/>
        </w:rPr>
        <w:t xml:space="preserve">24.0 million of the non-refundable payments in the next </w:t>
      </w:r>
      <w:bookmarkStart w:id="533" w:name="xdx_90E_ecustom--ContractWithCustomerLia"/>
      <w:bookmarkEnd w:id="533"/>
      <w:r>
        <w:rPr>
          <w:rFonts w:ascii="Times New Roman;Times;Serif" w:hAnsi="Times New Roman;Times;Serif"/>
          <w:b w:val="false"/>
          <w:i w:val="false"/>
          <w:caps w:val="false"/>
          <w:smallCaps w:val="false"/>
          <w:sz w:val="20"/>
        </w:rPr>
        <w:t xml:space="preserve">12 to </w:t>
      </w:r>
      <w:bookmarkStart w:id="534" w:name="xdx_90C_ecustom--ContractWithCustomerLia"/>
      <w:bookmarkEnd w:id="534"/>
      <w:r>
        <w:rPr>
          <w:rFonts w:ascii="Times New Roman;Times;Serif" w:hAnsi="Times New Roman;Times;Serif"/>
          <w:b w:val="false"/>
          <w:i w:val="false"/>
          <w:caps w:val="false"/>
          <w:smallCaps w:val="false"/>
          <w:sz w:val="20"/>
        </w:rPr>
        <w:t>60 months through the platform releases of certain DLCs. The remaining $</w:t>
      </w:r>
      <w:bookmarkStart w:id="535" w:name="xdx_90A_ecustom--RevenueRemainingPerform"/>
      <w:bookmarkEnd w:id="535"/>
      <w:r>
        <w:rPr>
          <w:rFonts w:ascii="Times New Roman;Times;Serif" w:hAnsi="Times New Roman;Times;Serif"/>
          <w:b w:val="false"/>
          <w:i w:val="false"/>
          <w:caps w:val="false"/>
          <w:smallCaps w:val="false"/>
          <w:sz w:val="20"/>
        </w:rPr>
        <w:t>3.7 million of current non-refundable deferred revenues and $</w:t>
      </w:r>
      <w:bookmarkStart w:id="536" w:name="xdx_905_ecustom--RevenueRemainingPerform"/>
      <w:bookmarkEnd w:id="536"/>
      <w:r>
        <w:rPr>
          <w:rFonts w:ascii="Times New Roman;Times;Serif" w:hAnsi="Times New Roman;Times;Serif"/>
          <w:b w:val="false"/>
          <w:i w:val="false"/>
          <w:caps w:val="false"/>
          <w:smallCaps w:val="false"/>
          <w:sz w:val="20"/>
        </w:rPr>
        <w:t xml:space="preserve">2.9 million of long term non-refundable deferred revenue will be recognized as revenue primarily on a straight-line basis over the next </w:t>
      </w:r>
      <w:bookmarkStart w:id="537" w:name="xdx_90F_ecustom--ContractWithCustomerLia"/>
      <w:bookmarkEnd w:id="537"/>
      <w:r>
        <w:rPr>
          <w:rFonts w:ascii="Times New Roman;Times;Serif" w:hAnsi="Times New Roman;Times;Serif"/>
          <w:b w:val="false"/>
          <w:i w:val="false"/>
          <w:caps w:val="false"/>
          <w:smallCaps w:val="false"/>
          <w:sz w:val="20"/>
        </w:rPr>
        <w:t xml:space="preserve">12 and </w:t>
      </w:r>
      <w:bookmarkStart w:id="538" w:name="xdx_905_ecustom--ContractWithCustomerLia"/>
      <w:bookmarkEnd w:id="538"/>
      <w:r>
        <w:rPr>
          <w:rFonts w:ascii="Times New Roman;Times;Serif" w:hAnsi="Times New Roman;Times;Serif"/>
          <w:b w:val="false"/>
          <w:i w:val="false"/>
          <w:caps w:val="false"/>
          <w:smallCaps w:val="false"/>
          <w:sz w:val="20"/>
        </w:rPr>
        <w:t>60 months based on our estimates of technical support obligations, the usage of consumable virtual goods and estimated period of time an end user will play the game. The Company’s refundable deferred revenue consists of $</w:t>
      </w:r>
      <w:bookmarkStart w:id="539" w:name="xdx_90F_eus-gaap--DeferredRevenueCurrent"/>
      <w:bookmarkStart w:id="540" w:name="xdx_90B_eus-gaap--DeferredRevenueCurrent"/>
      <w:bookmarkEnd w:id="539"/>
      <w:bookmarkEnd w:id="540"/>
      <w:r>
        <w:rPr>
          <w:rFonts w:ascii="Times New Roman;Times;Serif" w:hAnsi="Times New Roman;Times;Serif"/>
          <w:b w:val="false"/>
          <w:i w:val="false"/>
          <w:caps w:val="false"/>
          <w:smallCaps w:val="false"/>
          <w:sz w:val="20"/>
        </w:rPr>
        <w:t>1.1 million in advance payments received in accordance with the agreement the Company has made with its retail distributor. Activities in the Company’s deferred revenue as of March 31, 2026 and 2025 were as follows:</w:t>
      </w:r>
    </w:p>
    <w:p>
      <w:pPr>
        <w:pStyle w:val="TextBody"/>
        <w:bidi w:val="0"/>
        <w:spacing w:before="0" w:after="0"/>
        <w:ind w:left="0" w:right="0" w:hanging="0"/>
        <w:jc w:val="center"/>
        <w:rPr>
          <w:caps w:val="false"/>
          <w:smallCaps w:val="false"/>
        </w:rPr>
      </w:pPr>
      <w:bookmarkStart w:id="541" w:name="xdx_891_ecustom--ScheduleOfDeferredReven"/>
      <w:bookmarkEnd w:id="541"/>
      <w:r>
        <w:rPr>
          <w:caps w:val="false"/>
          <w:smallCaps w:val="false"/>
        </w:rPr>
        <w:t> </w:t>
      </w:r>
      <w:bookmarkStart w:id="542" w:name="xdx_8B0_zn0gNxrDfdA3"/>
      <w:bookmarkEnd w:id="542"/>
      <w:r>
        <w:rPr>
          <w:rFonts w:ascii="Times New Roman;Times;Serif" w:hAnsi="Times New Roman;Times;Serif"/>
          <w:b w:val="false"/>
          <w:i w:val="false"/>
          <w:caps w:val="false"/>
          <w:smallCaps w:val="false"/>
          <w:sz w:val="20"/>
        </w:rPr>
        <w:t>SCHEDULE OF DEFERRED REVENUE</w:t>
      </w:r>
    </w:p>
    <w:tbl>
      <w:tblPr>
        <w:tblW w:w="10205" w:type="dxa"/>
        <w:jc w:val="left"/>
        <w:tblInd w:w="0" w:type="dxa"/>
        <w:tblLayout w:type="fixed"/>
        <w:tblCellMar>
          <w:top w:w="0" w:type="dxa"/>
          <w:left w:w="0" w:type="dxa"/>
          <w:bottom w:w="0" w:type="dxa"/>
          <w:right w:w="0" w:type="dxa"/>
        </w:tblCellMar>
      </w:tblPr>
      <w:tblGrid>
        <w:gridCol w:w="7325"/>
        <w:gridCol w:w="60"/>
        <w:gridCol w:w="140"/>
        <w:gridCol w:w="1175"/>
        <w:gridCol w:w="95"/>
        <w:gridCol w:w="60"/>
        <w:gridCol w:w="140"/>
        <w:gridCol w:w="1100"/>
        <w:gridCol w:w="110"/>
      </w:tblGrid>
      <w:tr>
        <w:trPr/>
        <w:tc>
          <w:tcPr>
            <w:tcW w:w="7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Deferred revenue, beginning balance in advance of revenue recognition billing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43" w:name="xdx_982_eus-gaap--ContractWithCustomerLi"/>
            <w:bookmarkEnd w:id="543"/>
          </w:p>
        </w:tc>
        <w:tc>
          <w:tcPr>
            <w:tcW w:w="1175" w:type="dxa"/>
            <w:tcBorders/>
            <w:shd w:fill="CCEEFF" w:val="clear"/>
            <w:vAlign w:val="center"/>
          </w:tcPr>
          <w:p>
            <w:pPr>
              <w:pStyle w:val="TableContents"/>
              <w:bidi w:val="0"/>
              <w:spacing w:before="0" w:after="283"/>
              <w:jc w:val="right"/>
              <w:rPr/>
            </w:pPr>
            <w:r>
              <w:rPr/>
              <w:t>32,082,525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44" w:name="xdx_98C_eus-gaap--ContractWithCustomerLi"/>
            <w:bookmarkEnd w:id="544"/>
          </w:p>
        </w:tc>
        <w:tc>
          <w:tcPr>
            <w:tcW w:w="1100" w:type="dxa"/>
            <w:tcBorders/>
            <w:shd w:fill="CCEEFF" w:val="clear"/>
            <w:vAlign w:val="center"/>
          </w:tcPr>
          <w:p>
            <w:pPr>
              <w:pStyle w:val="TableContents"/>
              <w:bidi w:val="0"/>
              <w:spacing w:before="0" w:after="283"/>
              <w:jc w:val="right"/>
              <w:rPr/>
            </w:pPr>
            <w:r>
              <w:rPr/>
              <w:t>25,467,447</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Revenue recognized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45" w:name="xdx_980_eus-gaap--ContractWithCustomerLi"/>
            <w:bookmarkEnd w:id="545"/>
          </w:p>
        </w:tc>
        <w:tc>
          <w:tcPr>
            <w:tcW w:w="1175" w:type="dxa"/>
            <w:tcBorders/>
            <w:shd w:fill="FFFFFF" w:val="clear"/>
            <w:vAlign w:val="center"/>
          </w:tcPr>
          <w:p>
            <w:pPr>
              <w:pStyle w:val="TableContents"/>
              <w:bidi w:val="0"/>
              <w:spacing w:before="0" w:after="283"/>
              <w:jc w:val="right"/>
              <w:rPr/>
            </w:pPr>
            <w:r>
              <w:rPr/>
              <w:t>(3,128,851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46" w:name="xdx_987_eus-gaap--ContractWithCustomerLi"/>
            <w:bookmarkEnd w:id="546"/>
          </w:p>
        </w:tc>
        <w:tc>
          <w:tcPr>
            <w:tcW w:w="1100" w:type="dxa"/>
            <w:tcBorders/>
            <w:shd w:fill="FFFFFF" w:val="clear"/>
            <w:vAlign w:val="center"/>
          </w:tcPr>
          <w:p>
            <w:pPr>
              <w:pStyle w:val="TableContents"/>
              <w:bidi w:val="0"/>
              <w:spacing w:before="0" w:after="283"/>
              <w:jc w:val="right"/>
              <w:rPr/>
            </w:pPr>
            <w:r>
              <w:rPr/>
              <w:t>(1,278,631</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Revenue deferred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47" w:name="xdx_988_ecustom--ContractWithCustomerLia"/>
            <w:bookmarkEnd w:id="547"/>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2,770,347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48" w:name="xdx_98F_ecustom--ContractWithCustomerLia"/>
            <w:bookmarkEnd w:id="548"/>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3,416,657</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Deferred revenue, ending balance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49" w:name="xdx_98B_eus-gaap--ContractWithCustomerLi"/>
            <w:bookmarkEnd w:id="549"/>
          </w:p>
        </w:tc>
        <w:tc>
          <w:tcPr>
            <w:tcW w:w="1175" w:type="dxa"/>
            <w:tcBorders/>
            <w:shd w:fill="FFFFFF" w:val="clear"/>
            <w:vAlign w:val="center"/>
          </w:tcPr>
          <w:p>
            <w:pPr>
              <w:pStyle w:val="TableContents"/>
              <w:bidi w:val="0"/>
              <w:spacing w:before="0" w:after="283"/>
              <w:jc w:val="right"/>
              <w:rPr/>
            </w:pPr>
            <w:r>
              <w:rPr/>
              <w:t>31,724,021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50" w:name="xdx_984_eus-gaap--ContractWithCustomerLi"/>
            <w:bookmarkEnd w:id="550"/>
          </w:p>
        </w:tc>
        <w:tc>
          <w:tcPr>
            <w:tcW w:w="1100" w:type="dxa"/>
            <w:tcBorders/>
            <w:shd w:fill="FFFFFF" w:val="clear"/>
            <w:vAlign w:val="center"/>
          </w:tcPr>
          <w:p>
            <w:pPr>
              <w:pStyle w:val="TableContents"/>
              <w:bidi w:val="0"/>
              <w:spacing w:before="0" w:after="283"/>
              <w:jc w:val="right"/>
              <w:rPr/>
            </w:pPr>
            <w:r>
              <w:rPr/>
              <w:t>27,605,473</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51" w:name="xdx_985_eus-gaap--ContractWithCustomerLi"/>
            <w:bookmarkEnd w:id="551"/>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(14,533,507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52" w:name="xdx_989_eus-gaap--ContractWithCustomerLi"/>
            <w:bookmarkEnd w:id="552"/>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(3,864,474</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left"/>
              <w:rPr/>
            </w:pPr>
            <w:r>
              <w:rPr/>
              <w:t>Deferred revenue, long term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53" w:name="xdx_989_eus-gaap--ContractWithCustomerLi"/>
            <w:bookmarkEnd w:id="553"/>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17,190,514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54" w:name="xdx_98D_eus-gaap--ContractWithCustomerLi"/>
            <w:bookmarkEnd w:id="554"/>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23,740,999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555" w:name="xdx_8A9_zVsGMxT5vlH2"/>
      <w:bookmarkEnd w:id="55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6" w:name="xdx_80B_ecustom--CashCashEquivalentsRest"/>
      <w:bookmarkEnd w:id="556"/>
      <w:r>
        <w:rPr>
          <w:rFonts w:ascii="Times New Roman;Times;Serif" w:hAnsi="Times New Roman;Times;Serif"/>
          <w:b/>
          <w:i w:val="false"/>
          <w:caps w:val="false"/>
          <w:smallCaps w:val="false"/>
          <w:sz w:val="20"/>
        </w:rPr>
        <w:t xml:space="preserve">NOTE 4 – </w:t>
      </w:r>
      <w:bookmarkStart w:id="557" w:name="xdx_82B_zQHJOdVEcYrl"/>
      <w:bookmarkEnd w:id="557"/>
      <w:r>
        <w:rPr>
          <w:rFonts w:ascii="Times New Roman;Times;Serif" w:hAnsi="Times New Roman;Times;Serif"/>
          <w:b/>
          <w:i w:val="false"/>
          <w:caps w:val="false"/>
          <w:smallCaps w:val="false"/>
          <w:sz w:val="20"/>
        </w:rPr>
        <w:t>CASH AND CASH EQUIVALENTS, AND RESTRICTED CASH AND CASH EQUIVALENTS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valued using quoted market prices or other readily available market information. The Company has restricted cash and cash equivalents of $</w:t>
      </w:r>
      <w:bookmarkStart w:id="558" w:name="xdx_90D_eus-gaap--RestrictedCashAndCashE"/>
      <w:bookmarkStart w:id="559" w:name="xdx_90F_eus-gaap--RestrictedCashAndCashE"/>
      <w:bookmarkEnd w:id="558"/>
      <w:bookmarkEnd w:id="559"/>
      <w:r>
        <w:rPr>
          <w:rFonts w:ascii="Times New Roman;Times;Serif" w:hAnsi="Times New Roman;Times;Serif"/>
          <w:b w:val="false"/>
          <w:i w:val="false"/>
          <w:caps w:val="false"/>
          <w:smallCaps w:val="false"/>
          <w:sz w:val="20"/>
        </w:rPr>
        <w:t>1,935,000 as of March 31, 2026 and December 31, 2025. The amounts of restricted cash and cash equivalents held as of March 31, 2026, are to secure the standby letter of credit with landlords and reflect collateral held in reserve related to the Company’s revolving line of credit. The following table summarizes the components of the Company’s cash and cash equivalents, and restricted cash and cash equivalents as of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560" w:name="xdx_894_ecustom--ScheduleOfCashCashEquiv"/>
      <w:bookmarkEnd w:id="560"/>
      <w:r>
        <w:rPr>
          <w:caps w:val="false"/>
          <w:smallCaps w:val="false"/>
        </w:rPr>
        <w:t> </w:t>
      </w:r>
      <w:bookmarkStart w:id="561" w:name="xdx_8BD_zoFs7gQlzWA5"/>
      <w:bookmarkEnd w:id="561"/>
      <w:r>
        <w:rPr>
          <w:rFonts w:ascii="Times New Roman;Times;Serif" w:hAnsi="Times New Roman;Times;Serif"/>
          <w:b w:val="false"/>
          <w:i w:val="false"/>
          <w:caps w:val="false"/>
          <w:smallCaps w:val="false"/>
          <w:sz w:val="20"/>
        </w:rPr>
        <w:t>SUMMARY OF COMPONENTS OF CASH AND CASH EQUIVALENTS AND RESTRICTED CASH AND CASH EQUIVALENTS</w:t>
      </w:r>
    </w:p>
    <w:tbl>
      <w:tblPr>
        <w:tblW w:w="9130" w:type="dxa"/>
        <w:jc w:val="left"/>
        <w:tblInd w:w="0" w:type="dxa"/>
        <w:tblLayout w:type="fixed"/>
        <w:tblCellMar>
          <w:top w:w="0" w:type="dxa"/>
          <w:left w:w="0" w:type="dxa"/>
          <w:bottom w:w="0" w:type="dxa"/>
          <w:right w:w="0" w:type="dxa"/>
        </w:tblCellMar>
      </w:tblPr>
      <w:tblGrid>
        <w:gridCol w:w="6395"/>
        <w:gridCol w:w="60"/>
        <w:gridCol w:w="140"/>
        <w:gridCol w:w="1100"/>
        <w:gridCol w:w="60"/>
        <w:gridCol w:w="60"/>
        <w:gridCol w:w="140"/>
        <w:gridCol w:w="1100"/>
        <w:gridCol w:w="75"/>
      </w:tblGrid>
      <w:tr>
        <w:trPr/>
        <w:tc>
          <w:tcPr>
            <w:tcW w:w="6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62" w:name="xdx_49F_20260331_zZ6dZ0HQVJsg"/>
            <w:bookmarkEnd w:id="562"/>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3" w:name="xdx_492_20250331_zSA8d9kI1JS1"/>
            <w:bookmarkEnd w:id="563"/>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564" w:name="xdx_403_eus-gaap--CashAndCashEquivalents"/>
            <w:bookmarkEnd w:id="564"/>
          </w:p>
        </w:tc>
      </w:tr>
      <w:tr>
        <w:trPr/>
        <w:tc>
          <w:tcPr>
            <w:tcW w:w="639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14,259,168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9,359,116</w:t>
            </w:r>
          </w:p>
        </w:tc>
        <w:tc>
          <w:tcPr>
            <w:tcW w:w="75" w:type="dxa"/>
            <w:tcBorders/>
            <w:shd w:fill="CCEEFF" w:val="clear"/>
            <w:vAlign w:val="center"/>
          </w:tcPr>
          <w:p>
            <w:pPr>
              <w:pStyle w:val="TableContents"/>
              <w:bidi w:val="0"/>
              <w:spacing w:before="0" w:after="283"/>
              <w:jc w:val="left"/>
              <w:rPr/>
            </w:pPr>
            <w:r>
              <w:rPr/>
              <w:t> </w:t>
            </w:r>
            <w:bookmarkStart w:id="565" w:name="xdx_404_eus-gaap--RestrictedCashAndCashE"/>
            <w:bookmarkEnd w:id="565"/>
          </w:p>
        </w:tc>
      </w:tr>
      <w:tr>
        <w:trPr/>
        <w:tc>
          <w:tcPr>
            <w:tcW w:w="6395" w:type="dxa"/>
            <w:tcBorders/>
            <w:shd w:fill="FFFFFF" w:val="clear"/>
            <w:vAlign w:val="center"/>
          </w:tcPr>
          <w:p>
            <w:pPr>
              <w:pStyle w:val="TableContents"/>
              <w:bidi w:val="0"/>
              <w:spacing w:before="0" w:after="283"/>
              <w:jc w:val="left"/>
              <w:rPr/>
            </w:pPr>
            <w:r>
              <w:rPr/>
              <w:t>Restricted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1,935,000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935,000</w:t>
            </w:r>
          </w:p>
        </w:tc>
        <w:tc>
          <w:tcPr>
            <w:tcW w:w="75" w:type="dxa"/>
            <w:tcBorders/>
            <w:shd w:fill="FFFFFF" w:val="clear"/>
            <w:vAlign w:val="center"/>
          </w:tcPr>
          <w:p>
            <w:pPr>
              <w:pStyle w:val="TableContents"/>
              <w:bidi w:val="0"/>
              <w:spacing w:before="0" w:after="283"/>
              <w:jc w:val="left"/>
              <w:rPr/>
            </w:pPr>
            <w:r>
              <w:rPr/>
              <w:t> </w:t>
            </w:r>
            <w:bookmarkStart w:id="566" w:name="xdx_40F_eus-gaap--CashCashEquivalentsRes"/>
            <w:bookmarkEnd w:id="566"/>
          </w:p>
        </w:tc>
      </w:tr>
      <w:tr>
        <w:trPr/>
        <w:tc>
          <w:tcPr>
            <w:tcW w:w="6395" w:type="dxa"/>
            <w:tcBorders/>
            <w:shd w:fill="CCEEFF" w:val="clear"/>
            <w:vAlign w:val="center"/>
          </w:tcPr>
          <w:p>
            <w:pPr>
              <w:pStyle w:val="TableContents"/>
              <w:bidi w:val="0"/>
              <w:spacing w:before="0" w:after="283"/>
              <w:jc w:val="left"/>
              <w:rPr/>
            </w:pPr>
            <w:r>
              <w:rPr/>
              <w:t>Cash and cash equivalents, and 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16,194,168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10,294,116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67" w:name="xdx_8AF_zCf2DSY6mZCh"/>
      <w:bookmarkEnd w:id="56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8" w:name="xdx_809_ecustom--RelatedPartyTransaction"/>
      <w:bookmarkEnd w:id="568"/>
      <w:r>
        <w:rPr>
          <w:rFonts w:ascii="Times New Roman;Times;Serif" w:hAnsi="Times New Roman;Times;Serif"/>
          <w:b/>
          <w:i w:val="false"/>
          <w:caps w:val="false"/>
          <w:smallCaps w:val="false"/>
          <w:sz w:val="20"/>
        </w:rPr>
        <w:t xml:space="preserve">NOTE 5 – </w:t>
      </w:r>
      <w:bookmarkStart w:id="569" w:name="xdx_823_zeisXWfZ6k9d"/>
      <w:bookmarkEnd w:id="569"/>
      <w:r>
        <w:rPr>
          <w:rFonts w:ascii="Times New Roman;Times;Serif" w:hAnsi="Times New Roman;Times;Serif"/>
          <w:b/>
          <w:i w:val="false"/>
          <w:caps w:val="false"/>
          <w:smallCaps w:val="false"/>
          <w:sz w:val="20"/>
        </w:rPr>
        <w:t>ACCOUNTS RECEIVABLE (PAYABLE)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 related party represents receivables in the ordinary course of business attributable to certain mobile game revenues that, for administrative reasons, were collected by a related party and that the related party has not yet remitted back to the Company. Accounts receivable — related party is non-interest bearing and due on demand. The related party, SDE Inc. (“SDE”), is </w:t>
      </w:r>
      <w:bookmarkStart w:id="570" w:name="xdx_909_ecustom--RelatedPartyTransaction"/>
      <w:bookmarkEnd w:id="570"/>
      <w:r>
        <w:rPr>
          <w:rFonts w:ascii="Times New Roman;Times;Serif" w:hAnsi="Times New Roman;Times;Serif"/>
          <w:b w:val="false"/>
          <w:i w:val="false"/>
          <w:caps w:val="false"/>
          <w:smallCaps w:val="false"/>
          <w:sz w:val="20"/>
        </w:rPr>
        <w:t>100% owned and controlled by the wife of the Founder, Chief Executive Officer, Chief Strategy Officer and Chairman of the Company. In January 2024, the Company entered into an offset agreement with SDE. The Company has the right to offset payables due to the related party for royalties, internet, server, and datacenter costs (“IDC”) and marketing costs as they are determinable, mutual, and the right is enforceable by law. The Company will offset $</w:t>
      </w:r>
      <w:bookmarkStart w:id="571" w:name="xdx_90C_ecustom--AccountsPayableOffsetWi"/>
      <w:bookmarkEnd w:id="571"/>
      <w:r>
        <w:rPr>
          <w:rFonts w:ascii="Times New Roman;Times;Serif" w:hAnsi="Times New Roman;Times;Serif"/>
          <w:b w:val="false"/>
          <w:i w:val="false"/>
          <w:caps w:val="false"/>
          <w:smallCaps w:val="false"/>
          <w:sz w:val="20"/>
        </w:rPr>
        <w:t>0.5 million per month, or $</w:t>
      </w:r>
      <w:bookmarkStart w:id="572" w:name="xdx_909_ecustom--AccountsPayableOffsetWi"/>
      <w:bookmarkEnd w:id="572"/>
      <w:r>
        <w:rPr>
          <w:rFonts w:ascii="Times New Roman;Times;Serif" w:hAnsi="Times New Roman;Times;Serif"/>
          <w:b w:val="false"/>
          <w:i w:val="false"/>
          <w:caps w:val="false"/>
          <w:smallCaps w:val="false"/>
          <w:sz w:val="20"/>
        </w:rPr>
        <w:t>6.0 million annually, beginning in January 2024, until the receivable has been collected or offset in full. During the three months ended March 31, 2026 and 2025, the Company made cash payments to SDE in the amount of $</w:t>
      </w:r>
      <w:bookmarkStart w:id="573" w:name="xdx_907_ecustom--PaymentsForCash_iI_pn5n"/>
      <w:bookmarkEnd w:id="573"/>
      <w:r>
        <w:rPr>
          <w:rFonts w:ascii="Times New Roman;Times;Serif" w:hAnsi="Times New Roman;Times;Serif"/>
          <w:b w:val="false"/>
          <w:i w:val="false"/>
          <w:caps w:val="false"/>
          <w:smallCaps w:val="false"/>
          <w:sz w:val="20"/>
        </w:rPr>
        <w:t>10.0 million and $</w:t>
      </w:r>
      <w:bookmarkStart w:id="574" w:name="xdx_902_ecustom--PaymentsForCash_iI_pn5n"/>
      <w:bookmarkEnd w:id="574"/>
      <w:r>
        <w:rPr>
          <w:rFonts w:ascii="Times New Roman;Times;Serif" w:hAnsi="Times New Roman;Times;Serif"/>
          <w:b w:val="false"/>
          <w:i w:val="false"/>
          <w:caps w:val="false"/>
          <w:smallCaps w:val="false"/>
          <w:sz w:val="20"/>
        </w:rPr>
        <w:t>9.4 million, respectively, and anticipates continuing to make cash payments to SDE in future years. As of March 31, 2026 and December 31, 2025, the outstanding balance of net accounts (payable) receivable from related party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5" w:name="xdx_8BB_zUct2Tuj88U2"/>
      <w:bookmarkStart w:id="576" w:name="xdx_898_ecustom--ScheduleOfRelatedPartyT"/>
      <w:bookmarkEnd w:id="575"/>
      <w:bookmarkEnd w:id="576"/>
      <w:r>
        <w:rPr>
          <w:rFonts w:ascii="Times New Roman;Times;Serif" w:hAnsi="Times New Roman;Times;Serif"/>
          <w:b w:val="false"/>
          <w:i w:val="false"/>
          <w:caps w:val="false"/>
          <w:smallCaps w:val="false"/>
          <w:sz w:val="20"/>
        </w:rPr>
        <w:t>SCHEDULE OF ACCOUNTS RECEIVABLE (PAYABLE) - RELATED PARTY</w:t>
      </w:r>
    </w:p>
    <w:tbl>
      <w:tblPr>
        <w:tblW w:w="6890" w:type="dxa"/>
        <w:jc w:val="left"/>
        <w:tblInd w:w="0" w:type="dxa"/>
        <w:tblLayout w:type="fixed"/>
        <w:tblCellMar>
          <w:top w:w="0" w:type="dxa"/>
          <w:left w:w="0" w:type="dxa"/>
          <w:bottom w:w="0" w:type="dxa"/>
          <w:right w:w="0" w:type="dxa"/>
        </w:tblCellMar>
      </w:tblPr>
      <w:tblGrid>
        <w:gridCol w:w="4175"/>
        <w:gridCol w:w="60"/>
        <w:gridCol w:w="140"/>
        <w:gridCol w:w="1055"/>
        <w:gridCol w:w="95"/>
        <w:gridCol w:w="60"/>
        <w:gridCol w:w="140"/>
        <w:gridCol w:w="1055"/>
        <w:gridCol w:w="110"/>
      </w:tblGrid>
      <w:tr>
        <w:trPr/>
        <w:tc>
          <w:tcPr>
            <w:tcW w:w="4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77" w:name="xdx_496_20260331_zeQYBKcPQSSb"/>
            <w:bookmarkEnd w:id="577"/>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8" w:name="xdx_496_20251231_zuXNTHEvW3od"/>
            <w:bookmarkEnd w:id="578"/>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579" w:name="xdx_409_eus-gaap--AccountsReceivableGros"/>
            <w:bookmarkEnd w:id="579"/>
          </w:p>
        </w:tc>
      </w:tr>
      <w:tr>
        <w:trPr/>
        <w:tc>
          <w:tcPr>
            <w:tcW w:w="4175" w:type="dxa"/>
            <w:tcBorders/>
            <w:shd w:fill="CCEEFF" w:val="clear"/>
            <w:vAlign w:val="center"/>
          </w:tcPr>
          <w:p>
            <w:pPr>
              <w:pStyle w:val="TableContents"/>
              <w:bidi w:val="0"/>
              <w:spacing w:before="0" w:after="283"/>
              <w:jc w:val="left"/>
              <w:rPr/>
            </w:pPr>
            <w:r>
              <w:rPr/>
              <w:t>Accounts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1,500,592</w:t>
            </w:r>
          </w:p>
        </w:tc>
        <w:tc>
          <w:tcPr>
            <w:tcW w:w="110" w:type="dxa"/>
            <w:tcBorders/>
            <w:shd w:fill="CCEEFF" w:val="clear"/>
            <w:vAlign w:val="center"/>
          </w:tcPr>
          <w:p>
            <w:pPr>
              <w:pStyle w:val="TableContents"/>
              <w:bidi w:val="0"/>
              <w:spacing w:before="0" w:after="283"/>
              <w:jc w:val="left"/>
              <w:rPr/>
            </w:pPr>
            <w:r>
              <w:rPr/>
              <w:t> </w:t>
            </w:r>
            <w:bookmarkStart w:id="580" w:name="xdx_40B_eus-gaap--AccountsPayableCurrent"/>
            <w:bookmarkEnd w:id="580"/>
          </w:p>
        </w:tc>
      </w:tr>
      <w:tr>
        <w:trPr/>
        <w:tc>
          <w:tcPr>
            <w:tcW w:w="4175" w:type="dxa"/>
            <w:tcBorders/>
            <w:shd w:fill="FFFFFF" w:val="clear"/>
            <w:vAlign w:val="center"/>
          </w:tcPr>
          <w:p>
            <w:pPr>
              <w:pStyle w:val="TableContents"/>
              <w:bidi w:val="0"/>
              <w:spacing w:before="0" w:after="283"/>
              <w:jc w:val="left"/>
              <w:rPr/>
            </w:pPr>
            <w:r>
              <w:rPr/>
              <w:t>Less: accounts payable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(6,290,035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(6,008,842</w:t>
            </w:r>
          </w:p>
        </w:tc>
        <w:tc>
          <w:tcPr>
            <w:tcW w:w="110" w:type="dxa"/>
            <w:tcBorders/>
            <w:shd w:fill="FFFFFF" w:val="clear"/>
            <w:vAlign w:val="center"/>
          </w:tcPr>
          <w:p>
            <w:pPr>
              <w:pStyle w:val="TableContents"/>
              <w:bidi w:val="0"/>
              <w:spacing w:before="0" w:after="283"/>
              <w:jc w:val="left"/>
              <w:rPr/>
            </w:pPr>
            <w:r>
              <w:rPr/>
              <w:t>)</w:t>
            </w:r>
            <w:bookmarkStart w:id="581" w:name="xdx_40D_ecustom--AccountsReceivablePayab"/>
            <w:bookmarkEnd w:id="581"/>
          </w:p>
        </w:tc>
      </w:tr>
      <w:tr>
        <w:trPr/>
        <w:tc>
          <w:tcPr>
            <w:tcW w:w="4175" w:type="dxa"/>
            <w:tcBorders/>
            <w:shd w:fill="CCEEFF" w:val="clear"/>
            <w:vAlign w:val="center"/>
          </w:tcPr>
          <w:p>
            <w:pPr>
              <w:pStyle w:val="TableContents"/>
              <w:bidi w:val="0"/>
              <w:spacing w:before="0" w:after="283"/>
              <w:jc w:val="left"/>
              <w:rPr/>
            </w:pPr>
            <w:r>
              <w:rPr/>
              <w:t>Net accounts payable – related party – SDE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(6,289,443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(4,508,250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582" w:name="xdx_8A0_z5LmZpJWMvp4"/>
      <w:bookmarkEnd w:id="58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3" w:name="xdx_80A_ecustom--PrepaidExpensesRelatedP"/>
      <w:bookmarkEnd w:id="583"/>
      <w:r>
        <w:rPr>
          <w:rFonts w:ascii="Times New Roman;Times;Serif" w:hAnsi="Times New Roman;Times;Serif"/>
          <w:b/>
          <w:i w:val="false"/>
          <w:caps w:val="false"/>
          <w:smallCaps w:val="false"/>
          <w:sz w:val="20"/>
        </w:rPr>
        <w:t xml:space="preserve">NOTE 6 – </w:t>
      </w:r>
      <w:bookmarkStart w:id="584" w:name="xdx_82A_zez2nZALlLQf"/>
      <w:bookmarkEnd w:id="584"/>
      <w:r>
        <w:rPr>
          <w:rFonts w:ascii="Times New Roman;Times;Serif" w:hAnsi="Times New Roman;Times;Serif"/>
          <w:b/>
          <w:i w:val="false"/>
          <w:caps w:val="false"/>
          <w:smallCaps w:val="false"/>
          <w:sz w:val="20"/>
        </w:rPr>
        <w:t>PREPAID EXPENSES - RELATED PARTY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10, 2023, the Company amended its exclusive software license agreement with SDE relating to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For DLC’s the Company plans to release during the term of the agreement, the Company has the option to pay the $</w:t>
      </w:r>
      <w:bookmarkStart w:id="585" w:name="xdx_90F_ecustom--AmountPrepaidUnderExclu"/>
      <w:bookmarkEnd w:id="585"/>
      <w:r>
        <w:rPr>
          <w:rFonts w:ascii="Times New Roman;Times;Serif" w:hAnsi="Times New Roman;Times;Serif"/>
          <w:b w:val="false"/>
          <w:i w:val="false"/>
          <w:caps w:val="false"/>
          <w:smallCaps w:val="false"/>
          <w:sz w:val="20"/>
        </w:rPr>
        <w:t>5.0 million DLC payment in whole or in part, when paid in advance; or in full, upon the DLC release. No payment for any DLC under this agreement will exceed $</w:t>
      </w:r>
      <w:bookmarkStart w:id="586" w:name="xdx_90A_ecustom--MaximumAmountPayableUnd"/>
      <w:bookmarkEnd w:id="586"/>
      <w:r>
        <w:rPr>
          <w:rFonts w:ascii="Times New Roman;Times;Serif" w:hAnsi="Times New Roman;Times;Serif"/>
          <w:b w:val="false"/>
          <w:i w:val="false"/>
          <w:caps w:val="false"/>
          <w:smallCaps w:val="false"/>
          <w:sz w:val="20"/>
        </w:rPr>
        <w:t>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made $</w:t>
      </w:r>
      <w:bookmarkStart w:id="587" w:name="xdx_90B_eus-gaap--PrepaidRoyalties_iI_pn"/>
      <w:bookmarkEnd w:id="587"/>
      <w:r>
        <w:rPr>
          <w:rFonts w:ascii="Times New Roman;Times;Serif" w:hAnsi="Times New Roman;Times;Serif"/>
          <w:b w:val="false"/>
          <w:i w:val="false"/>
          <w:caps w:val="false"/>
          <w:smallCaps w:val="false"/>
          <w:sz w:val="20"/>
        </w:rPr>
        <w:t xml:space="preserve">0.5 million in prepaid royalty payments related to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which have not yet been released. During the year ended December 31, 2025, the Company made $</w:t>
      </w:r>
      <w:bookmarkStart w:id="588" w:name="xdx_904_eus-gaap--PrepaidRoyalties_iI_pn"/>
      <w:bookmarkEnd w:id="588"/>
      <w:r>
        <w:rPr>
          <w:rFonts w:ascii="Times New Roman;Times;Serif" w:hAnsi="Times New Roman;Times;Serif"/>
          <w:b w:val="false"/>
          <w:i w:val="false"/>
          <w:caps w:val="false"/>
          <w:smallCaps w:val="false"/>
          <w:sz w:val="20"/>
        </w:rPr>
        <w:t xml:space="preserve">1.6 million in prepaid royalty payments related to the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which have not yet been released. Prepaid expenses — related party consisted of the following as of March 31,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9" w:name="xdx_8B9_z4wL7Jwg5mDl"/>
      <w:bookmarkStart w:id="590" w:name="xdx_891_ecustom--ScheduleOfPrepaidExpens"/>
      <w:bookmarkEnd w:id="589"/>
      <w:bookmarkEnd w:id="590"/>
      <w:r>
        <w:rPr>
          <w:rFonts w:ascii="Times New Roman;Times;Serif" w:hAnsi="Times New Roman;Times;Serif"/>
          <w:b w:val="false"/>
          <w:i w:val="false"/>
          <w:caps w:val="false"/>
          <w:smallCaps w:val="false"/>
          <w:sz w:val="20"/>
        </w:rPr>
        <w:t>SCHEDULE OF PREPAID EXPENSES - RELATED PARTY</w:t>
      </w:r>
    </w:p>
    <w:tbl>
      <w:tblPr>
        <w:tblW w:w="741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91" w:name="xdx_490_20260331__us-gaap--RelatedPartyT"/>
            <w:bookmarkEnd w:id="591"/>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2" w:name="xdx_49C_20251231__us-gaap--RelatedPartyT"/>
            <w:bookmarkEnd w:id="592"/>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593" w:name="xdx_40A_eus-gaap--PrepaidRoyalties_iI_ma"/>
            <w:bookmarkEnd w:id="593"/>
          </w:p>
        </w:tc>
      </w:tr>
      <w:tr>
        <w:trPr/>
        <w:tc>
          <w:tcPr>
            <w:tcW w:w="4610" w:type="dxa"/>
            <w:tcBorders/>
            <w:shd w:fill="CCEEFF" w:val="clear"/>
            <w:vAlign w:val="center"/>
          </w:tcPr>
          <w:p>
            <w:pPr>
              <w:pStyle w:val="TableContents"/>
              <w:bidi w:val="0"/>
              <w:spacing w:before="0" w:after="283"/>
              <w:jc w:val="left"/>
              <w:rPr/>
            </w:pPr>
            <w:r>
              <w:rPr/>
              <w:t>Prepaid royalties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5,877,034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5,983,448</w:t>
            </w:r>
          </w:p>
        </w:tc>
        <w:tc>
          <w:tcPr>
            <w:tcW w:w="110" w:type="dxa"/>
            <w:tcBorders/>
            <w:shd w:fill="CCEEFF" w:val="clear"/>
            <w:vAlign w:val="center"/>
          </w:tcPr>
          <w:p>
            <w:pPr>
              <w:pStyle w:val="TableContents"/>
              <w:bidi w:val="0"/>
              <w:spacing w:before="0" w:after="283"/>
              <w:jc w:val="left"/>
              <w:rPr/>
            </w:pPr>
            <w:r>
              <w:rPr/>
              <w:t> </w:t>
            </w:r>
            <w:bookmarkStart w:id="594" w:name="xdx_409_ecustom--PrepaidLicenses_iI_maPE"/>
            <w:bookmarkEnd w:id="594"/>
          </w:p>
        </w:tc>
      </w:tr>
      <w:tr>
        <w:trPr/>
        <w:tc>
          <w:tcPr>
            <w:tcW w:w="4610" w:type="dxa"/>
            <w:tcBorders/>
            <w:shd w:fill="FFFFFF" w:val="clear"/>
            <w:vAlign w:val="center"/>
          </w:tcPr>
          <w:p>
            <w:pPr>
              <w:pStyle w:val="TableContents"/>
              <w:bidi w:val="0"/>
              <w:spacing w:before="0" w:after="283"/>
              <w:jc w:val="left"/>
              <w:rPr/>
            </w:pPr>
            <w:r>
              <w:rPr/>
              <w:t>Prepaid licenses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5,000,000</w:t>
            </w:r>
          </w:p>
        </w:tc>
        <w:tc>
          <w:tcPr>
            <w:tcW w:w="110" w:type="dxa"/>
            <w:tcBorders/>
            <w:shd w:fill="FFFFFF" w:val="clear"/>
            <w:vAlign w:val="center"/>
          </w:tcPr>
          <w:p>
            <w:pPr>
              <w:pStyle w:val="TableContents"/>
              <w:bidi w:val="0"/>
              <w:spacing w:before="0" w:after="283"/>
              <w:jc w:val="left"/>
              <w:rPr/>
            </w:pPr>
            <w:r>
              <w:rPr/>
              <w:t> </w:t>
            </w:r>
            <w:bookmarkStart w:id="595" w:name="xdx_401_eus-gaap--PrepaidExpenseCurrentA"/>
            <w:bookmarkEnd w:id="595"/>
          </w:p>
        </w:tc>
      </w:tr>
      <w:tr>
        <w:trPr/>
        <w:tc>
          <w:tcPr>
            <w:tcW w:w="4610" w:type="dxa"/>
            <w:tcBorders/>
            <w:shd w:fill="CCEEFF" w:val="clear"/>
            <w:vAlign w:val="center"/>
          </w:tcPr>
          <w:p>
            <w:pPr>
              <w:pStyle w:val="TableContents"/>
              <w:bidi w:val="0"/>
              <w:spacing w:before="0" w:after="283"/>
              <w:jc w:val="left"/>
              <w:rPr/>
            </w:pPr>
            <w:r>
              <w:rPr/>
              <w:t>Prepaid expenses - related party, ending balance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10,877,034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10,983,448</w:t>
            </w:r>
          </w:p>
        </w:tc>
        <w:tc>
          <w:tcPr>
            <w:tcW w:w="110" w:type="dxa"/>
            <w:tcBorders/>
            <w:shd w:fill="CCEEFF" w:val="clear"/>
            <w:vAlign w:val="center"/>
          </w:tcPr>
          <w:p>
            <w:pPr>
              <w:pStyle w:val="TableContents"/>
              <w:bidi w:val="0"/>
              <w:spacing w:before="0" w:after="283"/>
              <w:jc w:val="left"/>
              <w:rPr/>
            </w:pPr>
            <w:r>
              <w:rPr/>
              <w:t> </w:t>
            </w:r>
            <w:bookmarkStart w:id="596" w:name="xdx_407_eus-gaap--PrepaidExpenseCurrent_"/>
            <w:bookmarkEnd w:id="596"/>
          </w:p>
        </w:tc>
      </w:tr>
      <w:tr>
        <w:trPr/>
        <w:tc>
          <w:tcPr>
            <w:tcW w:w="4610" w:type="dxa"/>
            <w:tcBorders/>
            <w:shd w:fill="FFFFFF" w:val="clear"/>
            <w:vAlign w:val="center"/>
          </w:tcPr>
          <w:p>
            <w:pPr>
              <w:pStyle w:val="TableContents"/>
              <w:bidi w:val="0"/>
              <w:spacing w:before="0" w:after="283"/>
              <w:jc w:val="left"/>
              <w:rPr/>
            </w:pPr>
            <w:r>
              <w:rPr/>
              <w:t>Less: short-term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(2,647,267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(2,700,474</w:t>
            </w:r>
          </w:p>
        </w:tc>
        <w:tc>
          <w:tcPr>
            <w:tcW w:w="110" w:type="dxa"/>
            <w:tcBorders/>
            <w:shd w:fill="FFFFFF" w:val="clear"/>
            <w:vAlign w:val="center"/>
          </w:tcPr>
          <w:p>
            <w:pPr>
              <w:pStyle w:val="TableContents"/>
              <w:bidi w:val="0"/>
              <w:spacing w:before="0" w:after="283"/>
              <w:jc w:val="left"/>
              <w:rPr/>
            </w:pPr>
            <w:r>
              <w:rPr/>
              <w:t>)</w:t>
            </w:r>
            <w:bookmarkStart w:id="597" w:name="xdx_402_eus-gaap--PrepaidExpenseNoncurre"/>
            <w:bookmarkEnd w:id="597"/>
          </w:p>
        </w:tc>
      </w:tr>
      <w:tr>
        <w:trPr/>
        <w:tc>
          <w:tcPr>
            <w:tcW w:w="4610" w:type="dxa"/>
            <w:tcBorders/>
            <w:shd w:fill="CCEEFF" w:val="clear"/>
            <w:vAlign w:val="center"/>
          </w:tcPr>
          <w:p>
            <w:pPr>
              <w:pStyle w:val="TableContents"/>
              <w:bidi w:val="0"/>
              <w:spacing w:before="0" w:after="283"/>
              <w:jc w:val="left"/>
              <w:rPr/>
            </w:pPr>
            <w:r>
              <w:rPr/>
              <w:t>Total prepaid expenses - related party, long-term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8,229,767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8,282,974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98" w:name="xdx_8A9_z5XdgdThQb3"/>
      <w:bookmarkEnd w:id="59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classified as short-term, as of March 31, 2026 and December 31, 2025, includes prepaid royalties for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which have not yet been released and various operational software licenses obtained through SDE.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9" w:name="xdx_80F_ecustom--PrepaidExpensesAndOther"/>
      <w:bookmarkEnd w:id="599"/>
      <w:r>
        <w:rPr>
          <w:rFonts w:ascii="Times New Roman;Times;Serif" w:hAnsi="Times New Roman;Times;Serif"/>
          <w:b/>
          <w:i w:val="false"/>
          <w:caps w:val="false"/>
          <w:smallCaps w:val="false"/>
          <w:sz w:val="20"/>
        </w:rPr>
        <w:t xml:space="preserve">NOTE 7 – </w:t>
      </w:r>
      <w:bookmarkStart w:id="600" w:name="xdx_824_z7zUxHQ9Lw14"/>
      <w:bookmarkEnd w:id="600"/>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as of March 31,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1" w:name="xdx_8B2_zGxVUvLtdI9h"/>
      <w:bookmarkStart w:id="602" w:name="xdx_892_eus-gaap--DeferredCostsCapitaliz"/>
      <w:bookmarkEnd w:id="601"/>
      <w:bookmarkEnd w:id="602"/>
      <w:r>
        <w:rPr>
          <w:rFonts w:ascii="Times New Roman;Times;Serif" w:hAnsi="Times New Roman;Times;Serif"/>
          <w:b w:val="false"/>
          <w:i w:val="false"/>
          <w:caps w:val="false"/>
          <w:smallCaps w:val="false"/>
          <w:sz w:val="20"/>
        </w:rPr>
        <w:t>SCHEDULE OF PREPAID EXPENSES AND OTHER CURRENT ASSETS</w:t>
      </w:r>
    </w:p>
    <w:tbl>
      <w:tblPr>
        <w:tblW w:w="6970" w:type="dxa"/>
        <w:jc w:val="left"/>
        <w:tblInd w:w="0" w:type="dxa"/>
        <w:tblLayout w:type="fixed"/>
        <w:tblCellMar>
          <w:top w:w="0" w:type="dxa"/>
          <w:left w:w="0" w:type="dxa"/>
          <w:bottom w:w="0" w:type="dxa"/>
          <w:right w:w="0" w:type="dxa"/>
        </w:tblCellMar>
      </w:tblPr>
      <w:tblGrid>
        <w:gridCol w:w="4475"/>
        <w:gridCol w:w="60"/>
        <w:gridCol w:w="140"/>
        <w:gridCol w:w="980"/>
        <w:gridCol w:w="60"/>
        <w:gridCol w:w="60"/>
        <w:gridCol w:w="140"/>
        <w:gridCol w:w="980"/>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03" w:name="xdx_498_20260331_zbPPEDZRQwQ7"/>
            <w:bookmarkEnd w:id="603"/>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4" w:name="xdx_496_20251231_zRakBnJzgNzb"/>
            <w:bookmarkEnd w:id="604"/>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605" w:name="xdx_40A_ecustom--PrepaidOtherReceivable_"/>
            <w:bookmarkEnd w:id="605"/>
          </w:p>
        </w:tc>
      </w:tr>
      <w:tr>
        <w:trPr/>
        <w:tc>
          <w:tcPr>
            <w:tcW w:w="447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220,999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979,137</w:t>
            </w:r>
          </w:p>
        </w:tc>
        <w:tc>
          <w:tcPr>
            <w:tcW w:w="75" w:type="dxa"/>
            <w:tcBorders/>
            <w:shd w:fill="CCEEFF" w:val="clear"/>
            <w:vAlign w:val="center"/>
          </w:tcPr>
          <w:p>
            <w:pPr>
              <w:pStyle w:val="TableContents"/>
              <w:bidi w:val="0"/>
              <w:spacing w:before="0" w:after="283"/>
              <w:jc w:val="left"/>
              <w:rPr/>
            </w:pPr>
            <w:r>
              <w:rPr/>
              <w:t> </w:t>
            </w:r>
            <w:bookmarkStart w:id="606" w:name="xdx_40A_eus-gaap--OtherPrepaidExpenseCur"/>
            <w:bookmarkEnd w:id="606"/>
          </w:p>
        </w:tc>
      </w:tr>
      <w:tr>
        <w:trPr/>
        <w:tc>
          <w:tcPr>
            <w:tcW w:w="4475" w:type="dxa"/>
            <w:tcBorders/>
            <w:shd w:fill="FFFFFF" w:val="clear"/>
            <w:vAlign w:val="center"/>
          </w:tcPr>
          <w:p>
            <w:pPr>
              <w:pStyle w:val="TableContents"/>
              <w:bidi w:val="0"/>
              <w:spacing w:before="0" w:after="283"/>
              <w:jc w:val="left"/>
              <w:rPr/>
            </w:pPr>
            <w:r>
              <w:rPr/>
              <w:t>Other prepaids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856,935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836,879</w:t>
            </w:r>
          </w:p>
        </w:tc>
        <w:tc>
          <w:tcPr>
            <w:tcW w:w="75" w:type="dxa"/>
            <w:tcBorders/>
            <w:shd w:fill="FFFFFF" w:val="clear"/>
            <w:vAlign w:val="center"/>
          </w:tcPr>
          <w:p>
            <w:pPr>
              <w:pStyle w:val="TableContents"/>
              <w:bidi w:val="0"/>
              <w:spacing w:before="0" w:after="283"/>
              <w:jc w:val="left"/>
              <w:rPr/>
            </w:pPr>
            <w:r>
              <w:rPr/>
              <w:t> </w:t>
            </w:r>
            <w:bookmarkStart w:id="607" w:name="xdx_402_eus-gaap--OtherAssetsCurrent_iI_"/>
            <w:bookmarkEnd w:id="607"/>
          </w:p>
        </w:tc>
      </w:tr>
      <w:tr>
        <w:trPr/>
        <w:tc>
          <w:tcPr>
            <w:tcW w:w="4475"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407,721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416,469</w:t>
            </w:r>
          </w:p>
        </w:tc>
        <w:tc>
          <w:tcPr>
            <w:tcW w:w="75" w:type="dxa"/>
            <w:tcBorders/>
            <w:shd w:fill="CCEEFF" w:val="clear"/>
            <w:vAlign w:val="center"/>
          </w:tcPr>
          <w:p>
            <w:pPr>
              <w:pStyle w:val="TableContents"/>
              <w:bidi w:val="0"/>
              <w:spacing w:before="0" w:after="283"/>
              <w:jc w:val="left"/>
              <w:rPr/>
            </w:pPr>
            <w:r>
              <w:rPr/>
              <w:t> </w:t>
            </w:r>
            <w:bookmarkStart w:id="608" w:name="xdx_404_eus-gaap--PrepaidExpenseAndOther"/>
            <w:bookmarkEnd w:id="608"/>
          </w:p>
        </w:tc>
      </w:tr>
      <w:tr>
        <w:trPr/>
        <w:tc>
          <w:tcPr>
            <w:tcW w:w="4475" w:type="dxa"/>
            <w:tcBorders/>
            <w:shd w:fill="FFFFFF" w:val="clear"/>
            <w:vAlign w:val="center"/>
          </w:tcPr>
          <w:p>
            <w:pPr>
              <w:pStyle w:val="TableContents"/>
              <w:bidi w:val="0"/>
              <w:spacing w:before="0" w:after="283"/>
              <w:jc w:val="left"/>
              <w:rPr/>
            </w:pPr>
            <w:r>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1,485,655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2,232,485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609" w:name="xdx_8A8_zOXtOWlBUB62"/>
      <w:bookmarkEnd w:id="60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0" w:name="xdx_802_eus-gaap--PropertyPlantAndEquipm"/>
      <w:bookmarkEnd w:id="610"/>
      <w:r>
        <w:rPr>
          <w:rFonts w:ascii="Times New Roman;Times;Serif" w:hAnsi="Times New Roman;Times;Serif"/>
          <w:b/>
          <w:i w:val="false"/>
          <w:caps w:val="false"/>
          <w:smallCaps w:val="false"/>
          <w:sz w:val="20"/>
        </w:rPr>
        <w:t xml:space="preserve">NOTE 8 – </w:t>
      </w:r>
      <w:bookmarkStart w:id="611" w:name="xdx_828_zHo5P4PBvZcf"/>
      <w:bookmarkEnd w:id="611"/>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2" w:name="xdx_89C_eus-gaap--PropertyPlantAndEquipm"/>
      <w:bookmarkEnd w:id="612"/>
      <w:r>
        <w:rPr>
          <w:rFonts w:ascii="Times New Roman;Times;Serif" w:hAnsi="Times New Roman;Times;Serif"/>
          <w:b w:val="false"/>
          <w:i w:val="false"/>
          <w:caps w:val="false"/>
          <w:smallCaps w:val="false"/>
          <w:sz w:val="20"/>
        </w:rPr>
        <w:t>Property and equipment, net consisted of the following as of March 31,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13" w:name="xdx_8BE_z0Q6uDtZp8h7"/>
      <w:bookmarkEnd w:id="613"/>
      <w:r>
        <w:rPr>
          <w:rFonts w:ascii="Times New Roman;Times;Serif" w:hAnsi="Times New Roman;Times;Serif"/>
          <w:b w:val="false"/>
          <w:i w:val="false"/>
          <w:caps w:val="false"/>
          <w:smallCaps w:val="false"/>
          <w:sz w:val="20"/>
        </w:rPr>
        <w:t>SCHEDULE OF PROPERTY, PLANT AND EQUIPMENT, NET</w:t>
      </w:r>
    </w:p>
    <w:tbl>
      <w:tblPr>
        <w:tblW w:w="5420" w:type="dxa"/>
        <w:jc w:val="left"/>
        <w:tblInd w:w="0" w:type="dxa"/>
        <w:tblLayout w:type="fixed"/>
        <w:tblCellMar>
          <w:top w:w="0" w:type="dxa"/>
          <w:left w:w="0" w:type="dxa"/>
          <w:bottom w:w="0" w:type="dxa"/>
          <w:right w:w="0" w:type="dxa"/>
        </w:tblCellMar>
      </w:tblPr>
      <w:tblGrid>
        <w:gridCol w:w="2705"/>
        <w:gridCol w:w="60"/>
        <w:gridCol w:w="140"/>
        <w:gridCol w:w="1055"/>
        <w:gridCol w:w="95"/>
        <w:gridCol w:w="60"/>
        <w:gridCol w:w="140"/>
        <w:gridCol w:w="1055"/>
        <w:gridCol w:w="110"/>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14" w:name="xdx_49D_20260331_z6QO8ZRqlPg6"/>
            <w:bookmarkEnd w:id="614"/>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5" w:name="xdx_491_20251231_zWPnWmLqLrG3"/>
            <w:bookmarkEnd w:id="615"/>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616" w:name="xdx_404_eus-gaap--PropertyPlantAndEquipm"/>
            <w:bookmarkEnd w:id="616"/>
          </w:p>
        </w:tc>
      </w:tr>
      <w:tr>
        <w:trPr/>
        <w:tc>
          <w:tcPr>
            <w:tcW w:w="270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1,874,049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1,874,049</w:t>
            </w:r>
          </w:p>
        </w:tc>
        <w:tc>
          <w:tcPr>
            <w:tcW w:w="110" w:type="dxa"/>
            <w:tcBorders/>
            <w:shd w:fill="CCEEFF" w:val="clear"/>
            <w:vAlign w:val="center"/>
          </w:tcPr>
          <w:p>
            <w:pPr>
              <w:pStyle w:val="TableContents"/>
              <w:bidi w:val="0"/>
              <w:spacing w:before="0" w:after="283"/>
              <w:jc w:val="left"/>
              <w:rPr/>
            </w:pPr>
            <w:r>
              <w:rPr/>
              <w:t> </w:t>
            </w:r>
            <w:bookmarkStart w:id="617" w:name="xdx_40B_eus-gaap--PropertyPlantAndEquipm"/>
            <w:bookmarkEnd w:id="617"/>
          </w:p>
        </w:tc>
      </w:tr>
      <w:tr>
        <w:trPr/>
        <w:tc>
          <w:tcPr>
            <w:tcW w:w="2705" w:type="dxa"/>
            <w:tcBorders/>
            <w:shd w:fill="FFFFFF" w:val="clear"/>
            <w:vAlign w:val="center"/>
          </w:tcPr>
          <w:p>
            <w:pPr>
              <w:pStyle w:val="TableContents"/>
              <w:bidi w:val="0"/>
              <w:spacing w:before="0" w:after="283"/>
              <w:jc w:val="left"/>
              <w:rPr/>
            </w:pPr>
            <w:r>
              <w:rPr/>
              <w:t>Land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2,700,000</w:t>
            </w:r>
          </w:p>
        </w:tc>
        <w:tc>
          <w:tcPr>
            <w:tcW w:w="110" w:type="dxa"/>
            <w:tcBorders/>
            <w:shd w:fill="FFFFFF" w:val="clear"/>
            <w:vAlign w:val="center"/>
          </w:tcPr>
          <w:p>
            <w:pPr>
              <w:pStyle w:val="TableContents"/>
              <w:bidi w:val="0"/>
              <w:spacing w:before="0" w:after="283"/>
              <w:jc w:val="left"/>
              <w:rPr/>
            </w:pPr>
            <w:r>
              <w:rPr/>
              <w:t> </w:t>
            </w:r>
            <w:bookmarkStart w:id="618" w:name="xdx_401_eus-gaap--PropertyPlantAndEquipm"/>
            <w:bookmarkEnd w:id="618"/>
          </w:p>
        </w:tc>
      </w:tr>
      <w:tr>
        <w:trPr/>
        <w:tc>
          <w:tcPr>
            <w:tcW w:w="2705" w:type="dxa"/>
            <w:tcBorders/>
            <w:shd w:fill="CCEEFF" w:val="clear"/>
            <w:vAlign w:val="center"/>
          </w:tcPr>
          <w:p>
            <w:pPr>
              <w:pStyle w:val="TableContents"/>
              <w:bidi w:val="0"/>
              <w:spacing w:before="0" w:after="283"/>
              <w:jc w:val="left"/>
              <w:rPr/>
            </w:pPr>
            <w:r>
              <w:rPr/>
              <w:t>Building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1,010,218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1,010,218</w:t>
            </w:r>
          </w:p>
        </w:tc>
        <w:tc>
          <w:tcPr>
            <w:tcW w:w="110" w:type="dxa"/>
            <w:tcBorders/>
            <w:shd w:fill="CCEEFF" w:val="clear"/>
            <w:vAlign w:val="center"/>
          </w:tcPr>
          <w:p>
            <w:pPr>
              <w:pStyle w:val="TableContents"/>
              <w:bidi w:val="0"/>
              <w:spacing w:before="0" w:after="283"/>
              <w:jc w:val="left"/>
              <w:rPr/>
            </w:pPr>
            <w:r>
              <w:rPr/>
              <w:t> </w:t>
            </w:r>
            <w:bookmarkStart w:id="619" w:name="xdx_40D_eus-gaap--PropertyPlantAndEquipm"/>
            <w:bookmarkEnd w:id="619"/>
          </w:p>
        </w:tc>
      </w:tr>
      <w:tr>
        <w:trPr/>
        <w:tc>
          <w:tcPr>
            <w:tcW w:w="270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1,537,775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1,537,775</w:t>
            </w:r>
          </w:p>
        </w:tc>
        <w:tc>
          <w:tcPr>
            <w:tcW w:w="110" w:type="dxa"/>
            <w:tcBorders/>
            <w:shd w:fill="FFFFFF" w:val="clear"/>
            <w:vAlign w:val="center"/>
          </w:tcPr>
          <w:p>
            <w:pPr>
              <w:pStyle w:val="TableContents"/>
              <w:bidi w:val="0"/>
              <w:spacing w:before="0" w:after="283"/>
              <w:jc w:val="left"/>
              <w:rPr/>
            </w:pPr>
            <w:r>
              <w:rPr/>
              <w:t> </w:t>
            </w:r>
            <w:bookmarkStart w:id="620" w:name="xdx_404_eus-gaap--PropertyPlantAndEquipm"/>
            <w:bookmarkEnd w:id="620"/>
          </w:p>
        </w:tc>
      </w:tr>
      <w:tr>
        <w:trPr/>
        <w:tc>
          <w:tcPr>
            <w:tcW w:w="2705" w:type="dxa"/>
            <w:tcBorders/>
            <w:shd w:fill="CCEEFF" w:val="clear"/>
            <w:vAlign w:val="center"/>
          </w:tcPr>
          <w:p>
            <w:pPr>
              <w:pStyle w:val="TableContents"/>
              <w:bidi w:val="0"/>
              <w:spacing w:before="0" w:after="283"/>
              <w:jc w:val="left"/>
              <w:rPr/>
            </w:pPr>
            <w:r>
              <w:rPr/>
              <w:t>Autos and trucks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178,695</w:t>
            </w:r>
          </w:p>
        </w:tc>
        <w:tc>
          <w:tcPr>
            <w:tcW w:w="110" w:type="dxa"/>
            <w:tcBorders/>
            <w:shd w:fill="CCEEFF" w:val="clear"/>
            <w:vAlign w:val="center"/>
          </w:tcPr>
          <w:p>
            <w:pPr>
              <w:pStyle w:val="TableContents"/>
              <w:bidi w:val="0"/>
              <w:spacing w:before="0" w:after="283"/>
              <w:jc w:val="left"/>
              <w:rPr/>
            </w:pPr>
            <w:r>
              <w:rPr/>
              <w:t> </w:t>
            </w:r>
            <w:bookmarkStart w:id="621" w:name="xdx_408_eus-gaap--PropertyPlantAndEquipm"/>
            <w:bookmarkEnd w:id="621"/>
          </w:p>
        </w:tc>
      </w:tr>
      <w:tr>
        <w:trPr/>
        <w:tc>
          <w:tcPr>
            <w:tcW w:w="2705" w:type="dxa"/>
            <w:tcBorders/>
            <w:shd w:fill="FFFFFF" w:val="clear"/>
            <w:vAlign w:val="center"/>
          </w:tcPr>
          <w:p>
            <w:pPr>
              <w:pStyle w:val="TableContents"/>
              <w:bidi w:val="0"/>
              <w:spacing w:before="0" w:after="283"/>
              <w:jc w:val="left"/>
              <w:rPr/>
            </w:pPr>
            <w:r>
              <w:rPr/>
              <w:t>Computer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1,367,529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1,367,529</w:t>
            </w:r>
          </w:p>
        </w:tc>
        <w:tc>
          <w:tcPr>
            <w:tcW w:w="110" w:type="dxa"/>
            <w:tcBorders/>
            <w:shd w:fill="FFFFFF" w:val="clear"/>
            <w:vAlign w:val="center"/>
          </w:tcPr>
          <w:p>
            <w:pPr>
              <w:pStyle w:val="TableContents"/>
              <w:bidi w:val="0"/>
              <w:spacing w:before="0" w:after="283"/>
              <w:jc w:val="left"/>
              <w:rPr/>
            </w:pPr>
            <w:r>
              <w:rPr/>
              <w:t> </w:t>
            </w:r>
            <w:bookmarkStart w:id="622" w:name="xdx_40F_eus-gaap--PropertyPlantAndEquipm"/>
            <w:bookmarkEnd w:id="622"/>
          </w:p>
        </w:tc>
      </w:tr>
      <w:tr>
        <w:trPr/>
        <w:tc>
          <w:tcPr>
            <w:tcW w:w="2705"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411,801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411,801</w:t>
            </w:r>
          </w:p>
        </w:tc>
        <w:tc>
          <w:tcPr>
            <w:tcW w:w="110" w:type="dxa"/>
            <w:tcBorders/>
            <w:shd w:fill="CCEEFF" w:val="clear"/>
            <w:vAlign w:val="center"/>
          </w:tcPr>
          <w:p>
            <w:pPr>
              <w:pStyle w:val="TableContents"/>
              <w:bidi w:val="0"/>
              <w:spacing w:before="0" w:after="283"/>
              <w:jc w:val="left"/>
              <w:rPr/>
            </w:pPr>
            <w:r>
              <w:rPr/>
              <w:t> </w:t>
            </w:r>
            <w:bookmarkStart w:id="623" w:name="xdx_40B_eus-gaap--PropertyPlantAndEquipm"/>
            <w:bookmarkEnd w:id="623"/>
          </w:p>
        </w:tc>
      </w:tr>
      <w:tr>
        <w:trPr/>
        <w:tc>
          <w:tcPr>
            <w:tcW w:w="2705" w:type="dxa"/>
            <w:tcBorders/>
            <w:shd w:fill="FFFFFF" w:val="clear"/>
            <w:vAlign w:val="center"/>
          </w:tcPr>
          <w:p>
            <w:pPr>
              <w:pStyle w:val="TableContents"/>
              <w:bidi w:val="0"/>
              <w:spacing w:before="0" w:after="283"/>
              <w:jc w:val="left"/>
              <w:rPr/>
            </w:pPr>
            <w:r>
              <w:rPr/>
              <w:t>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9,080,067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9,080,067</w:t>
            </w:r>
          </w:p>
        </w:tc>
        <w:tc>
          <w:tcPr>
            <w:tcW w:w="110" w:type="dxa"/>
            <w:tcBorders/>
            <w:shd w:fill="FFFFFF" w:val="clear"/>
            <w:vAlign w:val="center"/>
          </w:tcPr>
          <w:p>
            <w:pPr>
              <w:pStyle w:val="TableContents"/>
              <w:bidi w:val="0"/>
              <w:spacing w:before="0" w:after="283"/>
              <w:jc w:val="left"/>
              <w:rPr/>
            </w:pPr>
            <w:r>
              <w:rPr/>
              <w:t> </w:t>
            </w:r>
            <w:bookmarkStart w:id="624" w:name="xdx_40E_eus-gaap--AccumulatedDepreciatio"/>
            <w:bookmarkEnd w:id="624"/>
          </w:p>
        </w:tc>
      </w:tr>
      <w:tr>
        <w:trPr/>
        <w:tc>
          <w:tcPr>
            <w:tcW w:w="2705"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(4,946,626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(4,933,892</w:t>
            </w:r>
          </w:p>
        </w:tc>
        <w:tc>
          <w:tcPr>
            <w:tcW w:w="110" w:type="dxa"/>
            <w:tcBorders/>
            <w:shd w:fill="CCEEFF" w:val="clear"/>
            <w:vAlign w:val="center"/>
          </w:tcPr>
          <w:p>
            <w:pPr>
              <w:pStyle w:val="TableContents"/>
              <w:bidi w:val="0"/>
              <w:spacing w:before="0" w:after="283"/>
              <w:jc w:val="left"/>
              <w:rPr/>
            </w:pPr>
            <w:r>
              <w:rPr/>
              <w:t>)</w:t>
            </w:r>
            <w:bookmarkStart w:id="625" w:name="xdx_401_eus-gaap--PropertyPlantAndEquipm"/>
            <w:bookmarkEnd w:id="625"/>
          </w:p>
        </w:tc>
      </w:tr>
      <w:tr>
        <w:trPr/>
        <w:tc>
          <w:tcPr>
            <w:tcW w:w="270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4,133,441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4,146,175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626" w:name="xdx_8AE_zYTWSb5e2MY8"/>
      <w:bookmarkEnd w:id="62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w:t>
      </w:r>
      <w:bookmarkStart w:id="627" w:name="xdx_900_eus-gaap--DepreciationDepletionA"/>
      <w:bookmarkEnd w:id="627"/>
      <w:r>
        <w:rPr>
          <w:rFonts w:ascii="Times New Roman;Times;Serif" w:hAnsi="Times New Roman;Times;Serif"/>
          <w:b w:val="false"/>
          <w:i w:val="false"/>
          <w:caps w:val="false"/>
          <w:smallCaps w:val="false"/>
          <w:sz w:val="20"/>
        </w:rPr>
        <w:t>12,734 and $</w:t>
      </w:r>
      <w:bookmarkStart w:id="628" w:name="xdx_902_eus-gaap--DepreciationDepletionA"/>
      <w:bookmarkEnd w:id="628"/>
      <w:r>
        <w:rPr>
          <w:rFonts w:ascii="Times New Roman;Times;Serif" w:hAnsi="Times New Roman;Times;Serif"/>
          <w:b w:val="false"/>
          <w:i w:val="false"/>
          <w:caps w:val="false"/>
          <w:smallCaps w:val="false"/>
          <w:sz w:val="20"/>
        </w:rPr>
        <w:t xml:space="preserve">67,904 for the three months ended March 31, 2026, and 2025, respectively. The Company did </w:t>
      </w:r>
      <w:bookmarkStart w:id="629" w:name="xdx_907_eus-gaap--GainLossOnDispositionO"/>
      <w:bookmarkStart w:id="630" w:name="xdx_90C_eus-gaap--GainLossOnDispositionO"/>
      <w:bookmarkEnd w:id="629"/>
      <w:bookmarkEnd w:id="630"/>
      <w:r>
        <w:rPr>
          <w:rFonts w:ascii="Times New Roman;Times;Serif" w:hAnsi="Times New Roman;Times;Serif"/>
          <w:b w:val="false"/>
          <w:i w:val="false"/>
          <w:caps w:val="false"/>
          <w:smallCaps w:val="false"/>
          <w:sz w:val="20"/>
        </w:rPr>
        <w:t>not have any disposals in the three months ended March 31, 2026 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1" w:name="xdx_803_eus-gaap--IntangibleAssetsDisclo"/>
      <w:bookmarkEnd w:id="631"/>
      <w:r>
        <w:rPr>
          <w:rFonts w:ascii="Times New Roman;Times;Serif" w:hAnsi="Times New Roman;Times;Serif"/>
          <w:b/>
          <w:i w:val="false"/>
          <w:caps w:val="false"/>
          <w:smallCaps w:val="false"/>
          <w:sz w:val="20"/>
        </w:rPr>
        <w:t xml:space="preserve">NOTE 9 – </w:t>
      </w:r>
      <w:bookmarkStart w:id="632" w:name="xdx_82C_zQw5iDQLdCt5"/>
      <w:bookmarkEnd w:id="632"/>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 of game licenses, game software underlying intellectual property rights, internally developed software, game trademarks and other branding items. The Company amortizes the intangible assets over its useful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3" w:name="xdx_891_eus-gaap--ScheduleOfFiniteLivedI"/>
      <w:bookmarkEnd w:id="633"/>
      <w:r>
        <w:rPr>
          <w:rFonts w:ascii="Times New Roman;Times;Serif" w:hAnsi="Times New Roman;Times;Serif"/>
          <w:b w:val="false"/>
          <w:i w:val="false"/>
          <w:caps w:val="false"/>
          <w:smallCaps w:val="false"/>
          <w:sz w:val="20"/>
        </w:rPr>
        <w:t>The following tables reflect all the intangible assets presented on the condensed consolidated balance sheets as of March 31,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4" w:name="xdx_8BC_zHkwTxDjghA5"/>
      <w:bookmarkEnd w:id="634"/>
      <w:r>
        <w:rPr>
          <w:rFonts w:ascii="Times New Roman;Times;Serif" w:hAnsi="Times New Roman;Times;Serif"/>
          <w:b w:val="false"/>
          <w:i w:val="false"/>
          <w:caps w:val="false"/>
          <w:smallCaps w:val="false"/>
          <w:sz w:val="20"/>
        </w:rPr>
        <w:t>SCHEDULE OF INTANGIBLE ASSETS</w:t>
      </w:r>
    </w:p>
    <w:tbl>
      <w:tblPr>
        <w:tblW w:w="10205" w:type="dxa"/>
        <w:jc w:val="left"/>
        <w:tblInd w:w="0" w:type="dxa"/>
        <w:tblLayout w:type="fixed"/>
        <w:tblCellMar>
          <w:top w:w="0" w:type="dxa"/>
          <w:left w:w="0" w:type="dxa"/>
          <w:bottom w:w="0" w:type="dxa"/>
          <w:right w:w="0" w:type="dxa"/>
        </w:tblCellMar>
      </w:tblPr>
      <w:tblGrid>
        <w:gridCol w:w="3378"/>
        <w:gridCol w:w="60"/>
        <w:gridCol w:w="140"/>
        <w:gridCol w:w="1220"/>
        <w:gridCol w:w="60"/>
        <w:gridCol w:w="60"/>
        <w:gridCol w:w="140"/>
        <w:gridCol w:w="1295"/>
        <w:gridCol w:w="95"/>
        <w:gridCol w:w="60"/>
        <w:gridCol w:w="196"/>
        <w:gridCol w:w="1039"/>
        <w:gridCol w:w="60"/>
        <w:gridCol w:w="60"/>
        <w:gridCol w:w="140"/>
        <w:gridCol w:w="980"/>
        <w:gridCol w:w="60"/>
        <w:gridCol w:w="60"/>
        <w:gridCol w:w="1102"/>
      </w:tblGrid>
      <w:tr>
        <w:trPr/>
        <w:tc>
          <w:tcPr>
            <w:tcW w:w="33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4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b/>
              </w:rPr>
            </w:pPr>
            <w:r>
              <w:rPr>
                <w:b/>
              </w:rPr>
              <w:t>Weighted</w:t>
            </w:r>
          </w:p>
        </w:tc>
      </w:tr>
      <w:tr>
        <w:trPr/>
        <w:tc>
          <w:tcPr>
            <w:tcW w:w="33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Impairment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Net Book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b/>
              </w:rPr>
            </w:pPr>
            <w:r>
              <w:rPr>
                <w:b/>
              </w:rPr>
              <w:t>Average</w:t>
            </w:r>
          </w:p>
        </w:tc>
      </w:tr>
      <w:tr>
        <w:trPr/>
        <w:tc>
          <w:tcPr>
            <w:tcW w:w="33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tcBorders>
              <w:bottom w:val="single" w:sz="8" w:space="0" w:color="000000"/>
            </w:tcBorders>
            <w:tcMar>
              <w:bottom w:w="28" w:type="dxa"/>
            </w:tcMar>
            <w:vAlign w:val="center"/>
          </w:tcPr>
          <w:p>
            <w:pPr>
              <w:pStyle w:val="TableContents"/>
              <w:bidi w:val="0"/>
              <w:spacing w:before="0" w:after="283"/>
              <w:jc w:val="center"/>
              <w:rPr>
                <w:b/>
              </w:rPr>
            </w:pPr>
            <w:r>
              <w:rPr>
                <w:b/>
              </w:rPr>
              <w:t>Useful Life</w:t>
            </w:r>
          </w:p>
        </w:tc>
      </w:tr>
      <w:tr>
        <w:trPr/>
        <w:tc>
          <w:tcPr>
            <w:tcW w:w="3378" w:type="dxa"/>
            <w:tcBorders/>
            <w:shd w:fill="CCEEFF" w:val="clear"/>
            <w:vAlign w:val="center"/>
          </w:tcPr>
          <w:p>
            <w:pPr>
              <w:pStyle w:val="TableContents"/>
              <w:bidi w:val="0"/>
              <w:spacing w:before="0" w:after="283"/>
              <w:jc w:val="left"/>
              <w:rPr/>
            </w:pPr>
            <w:r>
              <w:rPr/>
              <w:t>Software and license rights from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35" w:name="xdx_982_eus-gaap--FiniteLivedIntangibleA"/>
            <w:bookmarkEnd w:id="635"/>
          </w:p>
        </w:tc>
        <w:tc>
          <w:tcPr>
            <w:tcW w:w="1220" w:type="dxa"/>
            <w:tcBorders/>
            <w:shd w:fill="CCEEFF" w:val="clear"/>
            <w:vAlign w:val="center"/>
          </w:tcPr>
          <w:p>
            <w:pPr>
              <w:pStyle w:val="TableContents"/>
              <w:bidi w:val="0"/>
              <w:spacing w:before="0" w:after="283"/>
              <w:jc w:val="right"/>
              <w:rPr/>
            </w:pPr>
            <w:r>
              <w:rPr/>
              <w:t>141,665,000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36" w:name="xdx_98F_eus-gaap--FiniteLivedIntangibleA"/>
            <w:bookmarkEnd w:id="636"/>
          </w:p>
        </w:tc>
        <w:tc>
          <w:tcPr>
            <w:tcW w:w="1295" w:type="dxa"/>
            <w:tcBorders/>
            <w:shd w:fill="CCEEFF" w:val="clear"/>
            <w:vAlign w:val="center"/>
          </w:tcPr>
          <w:p>
            <w:pPr>
              <w:pStyle w:val="TableContents"/>
              <w:bidi w:val="0"/>
              <w:spacing w:before="0" w:after="283"/>
              <w:jc w:val="right"/>
              <w:rPr/>
            </w:pPr>
            <w:r>
              <w:rPr/>
              <w:t>(136,998,333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bookmarkStart w:id="637" w:name="xdx_986_ecustom--FiniteLivedIntangibleAs"/>
            <w:bookmarkEnd w:id="637"/>
          </w:p>
        </w:tc>
        <w:tc>
          <w:tcPr>
            <w:tcW w:w="10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38" w:name="xdx_985_eus-gaap--FiniteLivedIntangibleA"/>
            <w:bookmarkEnd w:id="638"/>
          </w:p>
        </w:tc>
        <w:tc>
          <w:tcPr>
            <w:tcW w:w="980" w:type="dxa"/>
            <w:tcBorders/>
            <w:shd w:fill="CCEEFF" w:val="clear"/>
            <w:vAlign w:val="center"/>
          </w:tcPr>
          <w:p>
            <w:pPr>
              <w:pStyle w:val="TableContents"/>
              <w:bidi w:val="0"/>
              <w:spacing w:before="0" w:after="283"/>
              <w:jc w:val="right"/>
              <w:rPr/>
            </w:pPr>
            <w:r>
              <w:rPr/>
              <w:t>4,666,667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center"/>
              <w:rPr/>
            </w:pPr>
            <w:bookmarkStart w:id="639" w:name="xdx_90C_eus-gaap--AcquiredFiniteLivedInt"/>
            <w:bookmarkEnd w:id="639"/>
            <w:r>
              <w:rPr/>
              <w:t>3 - </w:t>
            </w:r>
            <w:bookmarkStart w:id="640" w:name="xdx_90A_eus-gaap--AcquiredFiniteLivedInt"/>
            <w:bookmarkEnd w:id="640"/>
            <w:r>
              <w:rPr/>
              <w:t>5 years</w:t>
            </w:r>
          </w:p>
        </w:tc>
      </w:tr>
      <w:tr>
        <w:trPr/>
        <w:tc>
          <w:tcPr>
            <w:tcW w:w="3378" w:type="dxa"/>
            <w:tcBorders/>
            <w:shd w:fill="FFFFFF" w:val="clear"/>
            <w:vAlign w:val="center"/>
          </w:tcPr>
          <w:p>
            <w:pPr>
              <w:pStyle w:val="TableContents"/>
              <w:bidi w:val="0"/>
              <w:spacing w:before="0" w:after="283"/>
              <w:jc w:val="left"/>
              <w:rPr/>
            </w:pPr>
            <w:r>
              <w:rPr/>
              <w:t>License rights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41" w:name="xdx_98C_eus-gaap--FiniteLivedIntangibleA"/>
            <w:bookmarkEnd w:id="641"/>
          </w:p>
        </w:tc>
        <w:tc>
          <w:tcPr>
            <w:tcW w:w="1220" w:type="dxa"/>
            <w:tcBorders/>
            <w:shd w:fill="FFFFFF" w:val="clear"/>
            <w:vAlign w:val="center"/>
          </w:tcPr>
          <w:p>
            <w:pPr>
              <w:pStyle w:val="TableContents"/>
              <w:bidi w:val="0"/>
              <w:spacing w:before="0" w:after="283"/>
              <w:jc w:val="right"/>
              <w:rPr/>
            </w:pPr>
            <w:r>
              <w:rPr/>
              <w:t>5,937,087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42" w:name="xdx_98A_eus-gaap--FiniteLivedIntangibleA"/>
            <w:bookmarkEnd w:id="642"/>
          </w:p>
        </w:tc>
        <w:tc>
          <w:tcPr>
            <w:tcW w:w="1295" w:type="dxa"/>
            <w:tcBorders/>
            <w:shd w:fill="FFFFFF" w:val="clear"/>
            <w:vAlign w:val="center"/>
          </w:tcPr>
          <w:p>
            <w:pPr>
              <w:pStyle w:val="TableContents"/>
              <w:bidi w:val="0"/>
              <w:spacing w:before="0" w:after="283"/>
              <w:jc w:val="right"/>
              <w:rPr/>
            </w:pPr>
            <w:r>
              <w:rPr/>
              <w:t>(3,258,716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bookmarkStart w:id="643" w:name="xdx_98A_ecustom--FiniteLivedIntangibleAs"/>
            <w:bookmarkEnd w:id="643"/>
          </w:p>
        </w:tc>
        <w:tc>
          <w:tcPr>
            <w:tcW w:w="10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44" w:name="xdx_98C_eus-gaap--FiniteLivedIntangibleA"/>
            <w:bookmarkEnd w:id="644"/>
          </w:p>
        </w:tc>
        <w:tc>
          <w:tcPr>
            <w:tcW w:w="980" w:type="dxa"/>
            <w:tcBorders/>
            <w:shd w:fill="FFFFFF" w:val="clear"/>
            <w:vAlign w:val="center"/>
          </w:tcPr>
          <w:p>
            <w:pPr>
              <w:pStyle w:val="TableContents"/>
              <w:bidi w:val="0"/>
              <w:spacing w:before="0" w:after="283"/>
              <w:jc w:val="right"/>
              <w:rPr/>
            </w:pPr>
            <w:r>
              <w:rPr/>
              <w:t>2,678,371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center"/>
              <w:rPr/>
            </w:pPr>
            <w:bookmarkStart w:id="645" w:name="xdx_909_eus-gaap--AcquiredFiniteLivedInt"/>
            <w:bookmarkEnd w:id="645"/>
            <w:r>
              <w:rPr/>
              <w:t>5 years</w:t>
            </w:r>
          </w:p>
        </w:tc>
      </w:tr>
      <w:tr>
        <w:trPr/>
        <w:tc>
          <w:tcPr>
            <w:tcW w:w="3378" w:type="dxa"/>
            <w:tcBorders/>
            <w:shd w:fill="CCEEFF" w:val="clear"/>
            <w:vAlign w:val="center"/>
          </w:tcPr>
          <w:p>
            <w:pPr>
              <w:pStyle w:val="TableContents"/>
              <w:bidi w:val="0"/>
              <w:spacing w:before="0" w:after="283"/>
              <w:jc w:val="left"/>
              <w:rPr/>
            </w:pPr>
            <w:r>
              <w:rPr/>
              <w:t>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46" w:name="xdx_98E_eus-gaap--FiniteLivedIntangibleA"/>
            <w:bookmarkEnd w:id="646"/>
          </w:p>
        </w:tc>
        <w:tc>
          <w:tcPr>
            <w:tcW w:w="1220" w:type="dxa"/>
            <w:tcBorders/>
            <w:shd w:fill="CCEEFF" w:val="clear"/>
            <w:vAlign w:val="center"/>
          </w:tcPr>
          <w:p>
            <w:pPr>
              <w:pStyle w:val="TableContents"/>
              <w:bidi w:val="0"/>
              <w:spacing w:before="0" w:after="283"/>
              <w:jc w:val="right"/>
              <w:rPr/>
            </w:pPr>
            <w:r>
              <w:rPr/>
              <w:t>1,160,478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47" w:name="xdx_981_eus-gaap--FiniteLivedIntangibleA"/>
            <w:bookmarkEnd w:id="647"/>
          </w:p>
        </w:tc>
        <w:tc>
          <w:tcPr>
            <w:tcW w:w="1295" w:type="dxa"/>
            <w:tcBorders/>
            <w:shd w:fill="CCEEFF" w:val="clear"/>
            <w:vAlign w:val="center"/>
          </w:tcPr>
          <w:p>
            <w:pPr>
              <w:pStyle w:val="TableContents"/>
              <w:bidi w:val="0"/>
              <w:spacing w:before="0" w:after="283"/>
              <w:jc w:val="right"/>
              <w:rPr/>
            </w:pPr>
            <w:r>
              <w:rPr/>
              <w:t>(261,611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bookmarkStart w:id="648" w:name="xdx_98E_ecustom--FiniteLivedIntangibleAs"/>
            <w:bookmarkEnd w:id="648"/>
          </w:p>
        </w:tc>
        <w:tc>
          <w:tcPr>
            <w:tcW w:w="10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49" w:name="xdx_986_eus-gaap--FiniteLivedIntangibleA"/>
            <w:bookmarkEnd w:id="649"/>
          </w:p>
        </w:tc>
        <w:tc>
          <w:tcPr>
            <w:tcW w:w="980" w:type="dxa"/>
            <w:tcBorders/>
            <w:shd w:fill="CCEEFF" w:val="clear"/>
            <w:vAlign w:val="center"/>
          </w:tcPr>
          <w:p>
            <w:pPr>
              <w:pStyle w:val="TableContents"/>
              <w:bidi w:val="0"/>
              <w:spacing w:before="0" w:after="283"/>
              <w:jc w:val="right"/>
              <w:rPr/>
            </w:pPr>
            <w:r>
              <w:rPr/>
              <w:t>898,867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center"/>
              <w:rPr/>
            </w:pPr>
            <w:bookmarkStart w:id="650" w:name="xdx_904_eus-gaap--AcquiredFiniteLivedInt"/>
            <w:bookmarkEnd w:id="650"/>
            <w:r>
              <w:rPr/>
              <w:t xml:space="preserve">3 - </w:t>
            </w:r>
            <w:bookmarkStart w:id="651" w:name="xdx_902_eus-gaap--AcquiredFiniteLivedInt"/>
            <w:bookmarkEnd w:id="651"/>
            <w:r>
              <w:rPr/>
              <w:t>5 years</w:t>
            </w:r>
          </w:p>
        </w:tc>
      </w:tr>
      <w:tr>
        <w:trPr/>
        <w:tc>
          <w:tcPr>
            <w:tcW w:w="3378" w:type="dxa"/>
            <w:tcBorders/>
            <w:shd w:fill="FFFFFF" w:val="clear"/>
            <w:vAlign w:val="center"/>
          </w:tcPr>
          <w:p>
            <w:pPr>
              <w:pStyle w:val="TableContents"/>
              <w:bidi w:val="0"/>
              <w:spacing w:before="0" w:after="283"/>
              <w:jc w:val="left"/>
              <w:rPr/>
            </w:pPr>
            <w:r>
              <w:rPr/>
              <w:t>Trademark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52" w:name="xdx_984_eus-gaap--FiniteLivedIntangibleA"/>
            <w:bookmarkEnd w:id="652"/>
          </w:p>
        </w:tc>
        <w:tc>
          <w:tcPr>
            <w:tcW w:w="1220" w:type="dxa"/>
            <w:tcBorders/>
            <w:shd w:fill="FFFFFF" w:val="clear"/>
            <w:vAlign w:val="center"/>
          </w:tcPr>
          <w:p>
            <w:pPr>
              <w:pStyle w:val="TableContents"/>
              <w:bidi w:val="0"/>
              <w:spacing w:before="0" w:after="283"/>
              <w:jc w:val="right"/>
              <w:rPr/>
            </w:pPr>
            <w:r>
              <w:rPr/>
              <w:t>10,745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53" w:name="xdx_980_eus-gaap--FiniteLivedIntangibleA"/>
            <w:bookmarkEnd w:id="653"/>
          </w:p>
        </w:tc>
        <w:tc>
          <w:tcPr>
            <w:tcW w:w="1295" w:type="dxa"/>
            <w:tcBorders/>
            <w:shd w:fill="FFFFFF" w:val="clear"/>
            <w:vAlign w:val="center"/>
          </w:tcPr>
          <w:p>
            <w:pPr>
              <w:pStyle w:val="TableContents"/>
              <w:bidi w:val="0"/>
              <w:spacing w:before="0" w:after="283"/>
              <w:jc w:val="right"/>
              <w:rPr/>
            </w:pPr>
            <w:r>
              <w:rPr/>
              <w:t>(10,745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bookmarkStart w:id="654" w:name="xdx_98D_ecustom--FiniteLivedIntangibleAs"/>
            <w:bookmarkEnd w:id="654"/>
          </w:p>
        </w:tc>
        <w:tc>
          <w:tcPr>
            <w:tcW w:w="10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55" w:name="xdx_983_eus-gaap--FiniteLivedIntangibleA"/>
            <w:bookmarkEnd w:id="655"/>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center"/>
              <w:rPr/>
            </w:pPr>
            <w:bookmarkStart w:id="656" w:name="xdx_90A_eus-gaap--AcquiredFiniteLivedInt"/>
            <w:bookmarkEnd w:id="656"/>
            <w:r>
              <w:rPr/>
              <w:t>12 years</w:t>
            </w:r>
          </w:p>
        </w:tc>
      </w:tr>
      <w:tr>
        <w:trPr/>
        <w:tc>
          <w:tcPr>
            <w:tcW w:w="3378" w:type="dxa"/>
            <w:tcBorders/>
            <w:shd w:fill="CCEEFF" w:val="clear"/>
            <w:vAlign w:val="center"/>
          </w:tcPr>
          <w:p>
            <w:pPr>
              <w:pStyle w:val="TableContents"/>
              <w:bidi w:val="0"/>
              <w:spacing w:before="0" w:after="283"/>
              <w:jc w:val="left"/>
              <w:rPr/>
            </w:pPr>
            <w:r>
              <w:rPr/>
              <w:t>In-progress patent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57" w:name="xdx_983_eus-gaap--FiniteLivedIntangibleA"/>
            <w:bookmarkEnd w:id="657"/>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270,886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58" w:name="xdx_986_eus-gaap--FiniteLivedIntangibleA"/>
            <w:bookmarkEnd w:id="658"/>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59" w:name="xdx_983_ecustom--FiniteLivedIntangibleAs"/>
            <w:bookmarkEnd w:id="659"/>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60" w:name="xdx_98D_eus-gaap--FiniteLivedIntangibleA"/>
            <w:bookmarkEnd w:id="660"/>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270,886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center"/>
              <w:rPr/>
            </w:pPr>
            <w:r>
              <w:rPr/>
              <w:t> </w:t>
            </w:r>
          </w:p>
        </w:tc>
      </w:tr>
      <w:tr>
        <w:trPr/>
        <w:tc>
          <w:tcPr>
            <w:tcW w:w="3378"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61" w:name="xdx_986_eus-gaap--FiniteLivedIntangibleA"/>
            <w:bookmarkEnd w:id="661"/>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149,044,196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62" w:name="xdx_988_eus-gaap--FiniteLivedIntangibleA"/>
            <w:bookmarkEnd w:id="662"/>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(140,529,405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63" w:name="xdx_980_ecustom--FiniteLivedIntangibleAs"/>
            <w:bookmarkEnd w:id="663"/>
          </w:p>
        </w:tc>
        <w:tc>
          <w:tcPr>
            <w:tcW w:w="103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64" w:name="xdx_98F_eus-gaap--FiniteLivedIntangibleA"/>
            <w:bookmarkEnd w:id="664"/>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8,514,791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44"/>
        <w:gridCol w:w="60"/>
        <w:gridCol w:w="140"/>
        <w:gridCol w:w="1220"/>
        <w:gridCol w:w="60"/>
        <w:gridCol w:w="60"/>
        <w:gridCol w:w="140"/>
        <w:gridCol w:w="1295"/>
        <w:gridCol w:w="95"/>
        <w:gridCol w:w="60"/>
        <w:gridCol w:w="170"/>
        <w:gridCol w:w="1065"/>
        <w:gridCol w:w="95"/>
        <w:gridCol w:w="60"/>
        <w:gridCol w:w="140"/>
        <w:gridCol w:w="980"/>
        <w:gridCol w:w="60"/>
        <w:gridCol w:w="60"/>
        <w:gridCol w:w="1101"/>
      </w:tblGrid>
      <w:tr>
        <w:trPr/>
        <w:tc>
          <w:tcPr>
            <w:tcW w:w="33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8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r>
      <w:tr>
        <w:trPr/>
        <w:tc>
          <w:tcPr>
            <w:tcW w:w="33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center"/>
              <w:rPr>
                <w:b/>
              </w:rPr>
            </w:pPr>
            <w:r>
              <w:rPr>
                <w:b/>
              </w:rPr>
              <w:t>Weighted</w:t>
            </w:r>
          </w:p>
        </w:tc>
      </w:tr>
      <w:tr>
        <w:trPr/>
        <w:tc>
          <w:tcPr>
            <w:tcW w:w="33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Impairment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Net Book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center"/>
              <w:rPr>
                <w:b/>
              </w:rPr>
            </w:pPr>
            <w:r>
              <w:rPr>
                <w:b/>
              </w:rPr>
              <w:t>Average</w:t>
            </w:r>
          </w:p>
        </w:tc>
      </w:tr>
      <w:tr>
        <w:trPr/>
        <w:tc>
          <w:tcPr>
            <w:tcW w:w="33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tcBorders>
              <w:bottom w:val="single" w:sz="8" w:space="0" w:color="000000"/>
            </w:tcBorders>
            <w:tcMar>
              <w:bottom w:w="28" w:type="dxa"/>
            </w:tcMar>
            <w:vAlign w:val="center"/>
          </w:tcPr>
          <w:p>
            <w:pPr>
              <w:pStyle w:val="TableContents"/>
              <w:bidi w:val="0"/>
              <w:spacing w:before="0" w:after="283"/>
              <w:jc w:val="center"/>
              <w:rPr>
                <w:b/>
              </w:rPr>
            </w:pPr>
            <w:r>
              <w:rPr>
                <w:b/>
              </w:rPr>
              <w:t>Useful Life</w:t>
            </w:r>
          </w:p>
        </w:tc>
      </w:tr>
      <w:tr>
        <w:trPr/>
        <w:tc>
          <w:tcPr>
            <w:tcW w:w="3344" w:type="dxa"/>
            <w:tcBorders/>
            <w:shd w:fill="CCEEFF" w:val="clear"/>
            <w:vAlign w:val="center"/>
          </w:tcPr>
          <w:p>
            <w:pPr>
              <w:pStyle w:val="TableContents"/>
              <w:bidi w:val="0"/>
              <w:spacing w:before="0" w:after="283"/>
              <w:jc w:val="left"/>
              <w:rPr/>
            </w:pPr>
            <w:r>
              <w:rPr/>
              <w:t>Software and license rights from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65" w:name="xdx_989_eus-gaap--FiniteLivedIntangibleA"/>
            <w:bookmarkEnd w:id="665"/>
          </w:p>
        </w:tc>
        <w:tc>
          <w:tcPr>
            <w:tcW w:w="1220" w:type="dxa"/>
            <w:tcBorders/>
            <w:shd w:fill="CCEEFF" w:val="clear"/>
            <w:vAlign w:val="center"/>
          </w:tcPr>
          <w:p>
            <w:pPr>
              <w:pStyle w:val="TableContents"/>
              <w:bidi w:val="0"/>
              <w:spacing w:before="0" w:after="283"/>
              <w:jc w:val="right"/>
              <w:rPr/>
            </w:pPr>
            <w:r>
              <w:rPr/>
              <w:t>141,665,000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66" w:name="xdx_98B_eus-gaap--FiniteLivedIntangibleA"/>
            <w:bookmarkEnd w:id="666"/>
          </w:p>
        </w:tc>
        <w:tc>
          <w:tcPr>
            <w:tcW w:w="1295" w:type="dxa"/>
            <w:tcBorders/>
            <w:shd w:fill="CCEEFF" w:val="clear"/>
            <w:vAlign w:val="center"/>
          </w:tcPr>
          <w:p>
            <w:pPr>
              <w:pStyle w:val="TableContents"/>
              <w:bidi w:val="0"/>
              <w:spacing w:before="0" w:after="283"/>
              <w:jc w:val="right"/>
              <w:rPr/>
            </w:pPr>
            <w:r>
              <w:rPr/>
              <w:t>(136,748,333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bookmarkStart w:id="667" w:name="xdx_988_ecustom--FiniteLivedIntangibleAs"/>
            <w:bookmarkEnd w:id="667"/>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68" w:name="xdx_982_eus-gaap--FiniteLivedIntangibleA"/>
            <w:bookmarkEnd w:id="668"/>
          </w:p>
        </w:tc>
        <w:tc>
          <w:tcPr>
            <w:tcW w:w="980" w:type="dxa"/>
            <w:tcBorders/>
            <w:shd w:fill="CCEEFF" w:val="clear"/>
            <w:vAlign w:val="center"/>
          </w:tcPr>
          <w:p>
            <w:pPr>
              <w:pStyle w:val="TableContents"/>
              <w:bidi w:val="0"/>
              <w:spacing w:before="0" w:after="283"/>
              <w:jc w:val="right"/>
              <w:rPr/>
            </w:pPr>
            <w:r>
              <w:rPr/>
              <w:t>4,916,667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center"/>
              <w:rPr/>
            </w:pPr>
            <w:bookmarkStart w:id="669" w:name="xdx_90D_eus-gaap--AcquiredFiniteLivedInt"/>
            <w:bookmarkEnd w:id="669"/>
            <w:r>
              <w:rPr/>
              <w:t>3 - </w:t>
            </w:r>
            <w:bookmarkStart w:id="670" w:name="xdx_90D_eus-gaap--AcquiredFiniteLivedInt"/>
            <w:bookmarkEnd w:id="670"/>
            <w:r>
              <w:rPr/>
              <w:t>5 years</w:t>
            </w:r>
          </w:p>
        </w:tc>
      </w:tr>
      <w:tr>
        <w:trPr/>
        <w:tc>
          <w:tcPr>
            <w:tcW w:w="3344" w:type="dxa"/>
            <w:tcBorders/>
            <w:shd w:fill="FFFFFF" w:val="clear"/>
            <w:vAlign w:val="center"/>
          </w:tcPr>
          <w:p>
            <w:pPr>
              <w:pStyle w:val="TableContents"/>
              <w:bidi w:val="0"/>
              <w:spacing w:before="0" w:after="283"/>
              <w:jc w:val="left"/>
              <w:rPr/>
            </w:pPr>
            <w:r>
              <w:rPr/>
              <w:t>License rights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71" w:name="xdx_982_eus-gaap--FiniteLivedIntangibleA"/>
            <w:bookmarkEnd w:id="671"/>
          </w:p>
        </w:tc>
        <w:tc>
          <w:tcPr>
            <w:tcW w:w="1220" w:type="dxa"/>
            <w:tcBorders/>
            <w:shd w:fill="FFFFFF" w:val="clear"/>
            <w:vAlign w:val="center"/>
          </w:tcPr>
          <w:p>
            <w:pPr>
              <w:pStyle w:val="TableContents"/>
              <w:bidi w:val="0"/>
              <w:spacing w:before="0" w:after="283"/>
              <w:jc w:val="right"/>
              <w:rPr/>
            </w:pPr>
            <w:r>
              <w:rPr/>
              <w:t>6,217,896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72" w:name="xdx_985_eus-gaap--FiniteLivedIntangibleA"/>
            <w:bookmarkEnd w:id="672"/>
          </w:p>
        </w:tc>
        <w:tc>
          <w:tcPr>
            <w:tcW w:w="1295" w:type="dxa"/>
            <w:tcBorders/>
            <w:shd w:fill="FFFFFF" w:val="clear"/>
            <w:vAlign w:val="center"/>
          </w:tcPr>
          <w:p>
            <w:pPr>
              <w:pStyle w:val="TableContents"/>
              <w:bidi w:val="0"/>
              <w:spacing w:before="0" w:after="283"/>
              <w:jc w:val="right"/>
              <w:rPr/>
            </w:pPr>
            <w:r>
              <w:rPr/>
              <w:t>(3,162,645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bookmarkStart w:id="673" w:name="xdx_98A_ecustom--FiniteLivedIntangibleAs"/>
            <w:bookmarkEnd w:id="673"/>
          </w:p>
        </w:tc>
        <w:tc>
          <w:tcPr>
            <w:tcW w:w="1065" w:type="dxa"/>
            <w:tcBorders/>
            <w:shd w:fill="FFFFFF" w:val="clear"/>
            <w:vAlign w:val="center"/>
          </w:tcPr>
          <w:p>
            <w:pPr>
              <w:pStyle w:val="TableContents"/>
              <w:bidi w:val="0"/>
              <w:spacing w:before="0" w:after="283"/>
              <w:jc w:val="right"/>
              <w:rPr/>
            </w:pPr>
            <w:r>
              <w:rPr/>
              <w:t>(451,447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74" w:name="xdx_981_eus-gaap--FiniteLivedIntangibleA"/>
            <w:bookmarkEnd w:id="674"/>
          </w:p>
        </w:tc>
        <w:tc>
          <w:tcPr>
            <w:tcW w:w="980" w:type="dxa"/>
            <w:tcBorders/>
            <w:shd w:fill="FFFFFF" w:val="clear"/>
            <w:vAlign w:val="center"/>
          </w:tcPr>
          <w:p>
            <w:pPr>
              <w:pStyle w:val="TableContents"/>
              <w:bidi w:val="0"/>
              <w:spacing w:before="0" w:after="283"/>
              <w:jc w:val="right"/>
              <w:rPr/>
            </w:pPr>
            <w:r>
              <w:rPr/>
              <w:t>2,603,804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center"/>
              <w:rPr/>
            </w:pPr>
            <w:bookmarkStart w:id="675" w:name="xdx_902_eus-gaap--AcquiredFiniteLivedInt"/>
            <w:bookmarkEnd w:id="675"/>
            <w:r>
              <w:rPr/>
              <w:t>5 years</w:t>
            </w:r>
          </w:p>
        </w:tc>
      </w:tr>
      <w:tr>
        <w:trPr/>
        <w:tc>
          <w:tcPr>
            <w:tcW w:w="3344" w:type="dxa"/>
            <w:tcBorders/>
            <w:shd w:fill="CCEEFF" w:val="clear"/>
            <w:vAlign w:val="center"/>
          </w:tcPr>
          <w:p>
            <w:pPr>
              <w:pStyle w:val="TableContents"/>
              <w:bidi w:val="0"/>
              <w:spacing w:before="0" w:after="283"/>
              <w:jc w:val="left"/>
              <w:rPr/>
            </w:pPr>
            <w:r>
              <w:rPr/>
              <w:t>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76" w:name="xdx_98D_eus-gaap--FiniteLivedIntangibleA"/>
            <w:bookmarkEnd w:id="676"/>
          </w:p>
        </w:tc>
        <w:tc>
          <w:tcPr>
            <w:tcW w:w="1220" w:type="dxa"/>
            <w:tcBorders/>
            <w:shd w:fill="CCEEFF" w:val="clear"/>
            <w:vAlign w:val="center"/>
          </w:tcPr>
          <w:p>
            <w:pPr>
              <w:pStyle w:val="TableContents"/>
              <w:bidi w:val="0"/>
              <w:spacing w:before="0" w:after="283"/>
              <w:jc w:val="right"/>
              <w:rPr/>
            </w:pPr>
            <w:r>
              <w:rPr/>
              <w:t>1,376,490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77" w:name="xdx_988_eus-gaap--FiniteLivedIntangibleA"/>
            <w:bookmarkEnd w:id="677"/>
          </w:p>
        </w:tc>
        <w:tc>
          <w:tcPr>
            <w:tcW w:w="1295" w:type="dxa"/>
            <w:tcBorders/>
            <w:shd w:fill="CCEEFF" w:val="clear"/>
            <w:vAlign w:val="center"/>
          </w:tcPr>
          <w:p>
            <w:pPr>
              <w:pStyle w:val="TableContents"/>
              <w:bidi w:val="0"/>
              <w:spacing w:before="0" w:after="283"/>
              <w:jc w:val="right"/>
              <w:rPr/>
            </w:pPr>
            <w:r>
              <w:rPr/>
              <w:t>(207,240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bookmarkStart w:id="678" w:name="xdx_98D_ecustom--FiniteLivedIntangibleAs"/>
            <w:bookmarkEnd w:id="678"/>
          </w:p>
        </w:tc>
        <w:tc>
          <w:tcPr>
            <w:tcW w:w="1065" w:type="dxa"/>
            <w:tcBorders/>
            <w:shd w:fill="CCEEFF" w:val="clear"/>
            <w:vAlign w:val="center"/>
          </w:tcPr>
          <w:p>
            <w:pPr>
              <w:pStyle w:val="TableContents"/>
              <w:bidi w:val="0"/>
              <w:spacing w:before="0" w:after="283"/>
              <w:jc w:val="right"/>
              <w:rPr/>
            </w:pPr>
            <w:r>
              <w:rPr/>
              <w:t>(216,013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79" w:name="xdx_981_eus-gaap--FiniteLivedIntangibleA"/>
            <w:bookmarkEnd w:id="679"/>
          </w:p>
        </w:tc>
        <w:tc>
          <w:tcPr>
            <w:tcW w:w="980" w:type="dxa"/>
            <w:tcBorders/>
            <w:shd w:fill="CCEEFF" w:val="clear"/>
            <w:vAlign w:val="center"/>
          </w:tcPr>
          <w:p>
            <w:pPr>
              <w:pStyle w:val="TableContents"/>
              <w:bidi w:val="0"/>
              <w:spacing w:before="0" w:after="283"/>
              <w:jc w:val="right"/>
              <w:rPr/>
            </w:pPr>
            <w:r>
              <w:rPr/>
              <w:t>953,237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center"/>
              <w:rPr/>
            </w:pPr>
            <w:bookmarkStart w:id="680" w:name="xdx_905_eus-gaap--AcquiredFiniteLivedInt"/>
            <w:bookmarkEnd w:id="680"/>
            <w:r>
              <w:rPr/>
              <w:t xml:space="preserve">3 - </w:t>
            </w:r>
            <w:bookmarkStart w:id="681" w:name="xdx_902_eus-gaap--AcquiredFiniteLivedInt"/>
            <w:bookmarkEnd w:id="681"/>
            <w:r>
              <w:rPr/>
              <w:t>5 years</w:t>
            </w:r>
          </w:p>
        </w:tc>
      </w:tr>
      <w:tr>
        <w:trPr/>
        <w:tc>
          <w:tcPr>
            <w:tcW w:w="3344" w:type="dxa"/>
            <w:tcBorders/>
            <w:shd w:fill="FFFFFF" w:val="clear"/>
            <w:vAlign w:val="center"/>
          </w:tcPr>
          <w:p>
            <w:pPr>
              <w:pStyle w:val="TableContents"/>
              <w:bidi w:val="0"/>
              <w:spacing w:before="0" w:after="283"/>
              <w:jc w:val="left"/>
              <w:rPr/>
            </w:pPr>
            <w:r>
              <w:rPr/>
              <w:t>Trademark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82" w:name="xdx_987_eus-gaap--FiniteLivedIntangibleA"/>
            <w:bookmarkEnd w:id="682"/>
          </w:p>
        </w:tc>
        <w:tc>
          <w:tcPr>
            <w:tcW w:w="1220" w:type="dxa"/>
            <w:tcBorders/>
            <w:shd w:fill="FFFFFF" w:val="clear"/>
            <w:vAlign w:val="center"/>
          </w:tcPr>
          <w:p>
            <w:pPr>
              <w:pStyle w:val="TableContents"/>
              <w:bidi w:val="0"/>
              <w:spacing w:before="0" w:after="283"/>
              <w:jc w:val="right"/>
              <w:rPr/>
            </w:pPr>
            <w:r>
              <w:rPr/>
              <w:t>10,745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83" w:name="xdx_988_eus-gaap--FiniteLivedIntangibleA"/>
            <w:bookmarkEnd w:id="683"/>
          </w:p>
        </w:tc>
        <w:tc>
          <w:tcPr>
            <w:tcW w:w="1295" w:type="dxa"/>
            <w:tcBorders/>
            <w:shd w:fill="FFFFFF" w:val="clear"/>
            <w:vAlign w:val="center"/>
          </w:tcPr>
          <w:p>
            <w:pPr>
              <w:pStyle w:val="TableContents"/>
              <w:bidi w:val="0"/>
              <w:spacing w:before="0" w:after="283"/>
              <w:jc w:val="right"/>
              <w:rPr/>
            </w:pPr>
            <w:r>
              <w:rPr/>
              <w:t>(10,745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bookmarkStart w:id="684" w:name="xdx_984_ecustom--FiniteLivedIntangibleAs"/>
            <w:bookmarkEnd w:id="684"/>
          </w:p>
        </w:tc>
        <w:tc>
          <w:tcPr>
            <w:tcW w:w="10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85" w:name="xdx_98F_eus-gaap--FiniteLivedIntangibleA"/>
            <w:bookmarkEnd w:id="685"/>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center"/>
              <w:rPr/>
            </w:pPr>
            <w:bookmarkStart w:id="686" w:name="xdx_907_eus-gaap--AcquiredFiniteLivedInt"/>
            <w:bookmarkEnd w:id="686"/>
            <w:r>
              <w:rPr/>
              <w:t>12 years</w:t>
            </w:r>
          </w:p>
        </w:tc>
      </w:tr>
      <w:tr>
        <w:trPr/>
        <w:tc>
          <w:tcPr>
            <w:tcW w:w="3344" w:type="dxa"/>
            <w:tcBorders/>
            <w:shd w:fill="CCEEFF" w:val="clear"/>
            <w:vAlign w:val="center"/>
          </w:tcPr>
          <w:p>
            <w:pPr>
              <w:pStyle w:val="TableContents"/>
              <w:bidi w:val="0"/>
              <w:spacing w:before="0" w:after="283"/>
              <w:jc w:val="left"/>
              <w:rPr/>
            </w:pPr>
            <w:r>
              <w:rPr/>
              <w:t>In-progress patent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87" w:name="xdx_984_eus-gaap--FiniteLivedIntangibleA"/>
            <w:bookmarkEnd w:id="687"/>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270,886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88" w:name="xdx_983_eus-gaap--FiniteLivedIntangibleA"/>
            <w:bookmarkEnd w:id="688"/>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89" w:name="xdx_98E_ecustom--FiniteLivedIntangibleAs"/>
            <w:bookmarkEnd w:id="689"/>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90" w:name="xdx_985_eus-gaap--FiniteLivedIntangibleA"/>
            <w:bookmarkEnd w:id="690"/>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270,886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center"/>
              <w:rPr/>
            </w:pPr>
            <w:r>
              <w:rPr/>
              <w:t> </w:t>
            </w:r>
          </w:p>
        </w:tc>
      </w:tr>
      <w:tr>
        <w:trPr/>
        <w:tc>
          <w:tcPr>
            <w:tcW w:w="3344"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91" w:name="xdx_980_eus-gaap--FiniteLivedIntangibleA"/>
            <w:bookmarkEnd w:id="691"/>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149,541,017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92" w:name="xdx_98D_eus-gaap--FiniteLivedIntangibleA"/>
            <w:bookmarkEnd w:id="692"/>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(140,128,963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93" w:name="xdx_98F_ecustom--FiniteLivedIntangibleAs"/>
            <w:bookmarkEnd w:id="693"/>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pPr>
            <w:r>
              <w:rPr/>
              <w:t>(667,460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94" w:name="xdx_98E_eus-gaap--FiniteLivedIntangibleA"/>
            <w:bookmarkEnd w:id="694"/>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8,744,594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bookmarkStart w:id="695" w:name="xdx_8AC_zLingt66vcTi"/>
      <w:bookmarkEnd w:id="69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w:t>
      </w:r>
      <w:bookmarkStart w:id="696" w:name="xdx_90A_eus-gaap--AdjustmentForAmortizat"/>
      <w:bookmarkEnd w:id="696"/>
      <w:r>
        <w:rPr>
          <w:rFonts w:ascii="Times New Roman;Times;Serif" w:hAnsi="Times New Roman;Times;Serif"/>
          <w:b w:val="false"/>
          <w:i w:val="false"/>
          <w:caps w:val="false"/>
          <w:smallCaps w:val="false"/>
          <w:sz w:val="20"/>
        </w:rPr>
        <w:t>400,442 and $</w:t>
      </w:r>
      <w:bookmarkStart w:id="697" w:name="xdx_903_eus-gaap--AdjustmentForAmortizat"/>
      <w:bookmarkEnd w:id="697"/>
      <w:r>
        <w:rPr>
          <w:rFonts w:ascii="Times New Roman;Times;Serif" w:hAnsi="Times New Roman;Times;Serif"/>
          <w:b w:val="false"/>
          <w:i w:val="false"/>
          <w:caps w:val="false"/>
          <w:smallCaps w:val="false"/>
          <w:sz w:val="20"/>
        </w:rPr>
        <w:t xml:space="preserve">35,516 for the three months ended March 31, 2026 and 2025, respectively. These amounts are included in cost of revenues in the accompanying condensed consolidated statements of operations and comprehensive income (loss). The weighted average remaining useful life for which amortization expense will be recognized is </w:t>
      </w:r>
      <w:bookmarkStart w:id="698" w:name="xdx_90F_eus-gaap--FiniteLivedIntangibleA"/>
      <w:bookmarkEnd w:id="698"/>
      <w:r>
        <w:rPr>
          <w:rFonts w:ascii="Times New Roman;Times;Serif" w:hAnsi="Times New Roman;Times;Serif"/>
          <w:b w:val="false"/>
          <w:i w:val="false"/>
          <w:caps w:val="false"/>
          <w:smallCaps w:val="false"/>
          <w:sz w:val="20"/>
        </w:rPr>
        <w:t>3.4 years as of March 31, 2026. The Company has capitalized $</w:t>
      </w:r>
      <w:bookmarkStart w:id="699" w:name="xdx_903_ecustom--CapitalizedDevelopmentC"/>
      <w:bookmarkEnd w:id="699"/>
      <w:r>
        <w:rPr>
          <w:rFonts w:ascii="Times New Roman;Times;Serif" w:hAnsi="Times New Roman;Times;Serif"/>
          <w:b w:val="false"/>
          <w:i w:val="false"/>
          <w:caps w:val="false"/>
          <w:smallCaps w:val="false"/>
          <w:sz w:val="20"/>
        </w:rPr>
        <w:t>0.2 million in development costs for titles that have reached technological feasibility but have not yet launched, and as such, are included in the thereafter amount in the table below. Future amortization expense of intangible assets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0" w:name="xdx_8B6_zfcRoYqc5K53"/>
      <w:bookmarkStart w:id="701" w:name="xdx_89F_eus-gaap--FiniteLivedIntangibleA"/>
      <w:bookmarkEnd w:id="700"/>
      <w:bookmarkEnd w:id="701"/>
      <w:r>
        <w:rPr>
          <w:rFonts w:ascii="Times New Roman;Times;Serif" w:hAnsi="Times New Roman;Times;Serif"/>
          <w:b w:val="false"/>
          <w:i w:val="false"/>
          <w:caps w:val="false"/>
          <w:smallCaps w:val="false"/>
          <w:sz w:val="20"/>
        </w:rPr>
        <w:t>SCHEDULE OF FUTURE AMORTIZATION EXPENSE OF INTANGIBLE ASSETS</w:t>
      </w:r>
    </w:p>
    <w:tbl>
      <w:tblPr>
        <w:tblW w:w="4095" w:type="dxa"/>
        <w:jc w:val="left"/>
        <w:tblInd w:w="0" w:type="dxa"/>
        <w:tblLayout w:type="fixed"/>
        <w:tblCellMar>
          <w:top w:w="0" w:type="dxa"/>
          <w:left w:w="0" w:type="dxa"/>
          <w:bottom w:w="28" w:type="dxa"/>
          <w:right w:w="0" w:type="dxa"/>
        </w:tblCellMar>
      </w:tblPr>
      <w:tblGrid>
        <w:gridCol w:w="2840"/>
        <w:gridCol w:w="60"/>
        <w:gridCol w:w="140"/>
        <w:gridCol w:w="980"/>
        <w:gridCol w:w="75"/>
      </w:tblGrid>
      <w:tr>
        <w:trPr/>
        <w:tc>
          <w:tcPr>
            <w:tcW w:w="2840" w:type="dxa"/>
            <w:tcBorders>
              <w:bottom w:val="single" w:sz="8" w:space="0" w:color="000000"/>
            </w:tcBorders>
            <w:vAlign w:val="center"/>
          </w:tcPr>
          <w:p>
            <w:pPr>
              <w:pStyle w:val="TableContents"/>
              <w:bidi w:val="0"/>
              <w:spacing w:before="0" w:after="283"/>
              <w:jc w:val="both"/>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bookmarkStart w:id="702" w:name="xdx_494_20260331_zYnl2vnwksX7"/>
            <w:bookmarkEnd w:id="702"/>
          </w:p>
        </w:tc>
        <w:tc>
          <w:tcPr>
            <w:tcW w:w="112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bookmarkStart w:id="703" w:name="xdx_406_eus-gaap--FiniteLivedIntangibleA"/>
            <w:bookmarkEnd w:id="703"/>
          </w:p>
        </w:tc>
      </w:tr>
      <w:tr>
        <w:trPr/>
        <w:tc>
          <w:tcPr>
            <w:tcW w:w="2840" w:type="dxa"/>
            <w:tcBorders/>
            <w:shd w:fill="CCEEFF" w:val="clear"/>
            <w:tcMar>
              <w:bottom w:w="0" w:type="dxa"/>
            </w:tcMar>
            <w:vAlign w:val="center"/>
          </w:tcPr>
          <w:p>
            <w:pPr>
              <w:pStyle w:val="TableContents"/>
              <w:bidi w:val="0"/>
              <w:spacing w:before="0" w:after="283"/>
              <w:jc w:val="both"/>
              <w:rPr/>
            </w:pPr>
            <w:r>
              <w:rPr/>
              <w:t>Remainder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1,201,326</w:t>
            </w:r>
          </w:p>
        </w:tc>
        <w:tc>
          <w:tcPr>
            <w:tcW w:w="75" w:type="dxa"/>
            <w:tcBorders/>
            <w:shd w:fill="CCEEFF" w:val="clear"/>
            <w:tcMar>
              <w:bottom w:w="0" w:type="dxa"/>
            </w:tcMar>
            <w:vAlign w:val="center"/>
          </w:tcPr>
          <w:p>
            <w:pPr>
              <w:pStyle w:val="TableContents"/>
              <w:bidi w:val="0"/>
              <w:spacing w:before="0" w:after="283"/>
              <w:jc w:val="left"/>
              <w:rPr/>
            </w:pPr>
            <w:r>
              <w:rPr/>
              <w:t> </w:t>
            </w:r>
            <w:bookmarkStart w:id="704" w:name="xdx_400_eus-gaap--FiniteLivedIntangibleA"/>
            <w:bookmarkEnd w:id="704"/>
          </w:p>
        </w:tc>
      </w:tr>
      <w:tr>
        <w:trPr/>
        <w:tc>
          <w:tcPr>
            <w:tcW w:w="2840"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1,601,769</w:t>
            </w:r>
          </w:p>
        </w:tc>
        <w:tc>
          <w:tcPr>
            <w:tcW w:w="75" w:type="dxa"/>
            <w:tcBorders/>
            <w:shd w:fill="FFFFFF" w:val="clear"/>
            <w:tcMar>
              <w:bottom w:w="0" w:type="dxa"/>
            </w:tcMar>
            <w:vAlign w:val="center"/>
          </w:tcPr>
          <w:p>
            <w:pPr>
              <w:pStyle w:val="TableContents"/>
              <w:bidi w:val="0"/>
              <w:spacing w:before="0" w:after="283"/>
              <w:jc w:val="left"/>
              <w:rPr/>
            </w:pPr>
            <w:r>
              <w:rPr/>
              <w:t> </w:t>
            </w:r>
            <w:bookmarkStart w:id="705" w:name="xdx_40A_eus-gaap--FiniteLivedIntangibleA"/>
            <w:bookmarkEnd w:id="705"/>
          </w:p>
        </w:tc>
      </w:tr>
      <w:tr>
        <w:trPr/>
        <w:tc>
          <w:tcPr>
            <w:tcW w:w="2840"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1,601,769</w:t>
            </w:r>
          </w:p>
        </w:tc>
        <w:tc>
          <w:tcPr>
            <w:tcW w:w="75" w:type="dxa"/>
            <w:tcBorders/>
            <w:shd w:fill="CCEEFF" w:val="clear"/>
            <w:tcMar>
              <w:bottom w:w="0" w:type="dxa"/>
            </w:tcMar>
            <w:vAlign w:val="center"/>
          </w:tcPr>
          <w:p>
            <w:pPr>
              <w:pStyle w:val="TableContents"/>
              <w:bidi w:val="0"/>
              <w:spacing w:before="0" w:after="283"/>
              <w:jc w:val="left"/>
              <w:rPr/>
            </w:pPr>
            <w:r>
              <w:rPr/>
              <w:t> </w:t>
            </w:r>
            <w:bookmarkStart w:id="706" w:name="xdx_400_eus-gaap--FiniteLivedIntangibleA"/>
            <w:bookmarkEnd w:id="706"/>
          </w:p>
        </w:tc>
      </w:tr>
      <w:tr>
        <w:trPr/>
        <w:tc>
          <w:tcPr>
            <w:tcW w:w="2840" w:type="dxa"/>
            <w:tcBorders/>
            <w:shd w:fill="FFFFFF" w:val="clear"/>
            <w:tcMar>
              <w:bottom w:w="0" w:type="dxa"/>
            </w:tcMar>
            <w:vAlign w:val="center"/>
          </w:tcPr>
          <w:p>
            <w:pPr>
              <w:pStyle w:val="TableContents"/>
              <w:bidi w:val="0"/>
              <w:spacing w:before="0" w:after="283"/>
              <w:jc w:val="both"/>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1,594,769</w:t>
            </w:r>
          </w:p>
        </w:tc>
        <w:tc>
          <w:tcPr>
            <w:tcW w:w="75" w:type="dxa"/>
            <w:tcBorders/>
            <w:shd w:fill="FFFFFF" w:val="clear"/>
            <w:tcMar>
              <w:bottom w:w="0" w:type="dxa"/>
            </w:tcMar>
            <w:vAlign w:val="center"/>
          </w:tcPr>
          <w:p>
            <w:pPr>
              <w:pStyle w:val="TableContents"/>
              <w:bidi w:val="0"/>
              <w:spacing w:before="0" w:after="283"/>
              <w:jc w:val="left"/>
              <w:rPr/>
            </w:pPr>
            <w:r>
              <w:rPr/>
              <w:t> </w:t>
            </w:r>
            <w:bookmarkStart w:id="707" w:name="xdx_403_eus-gaap--FiniteLivedIntangibleA"/>
            <w:bookmarkEnd w:id="707"/>
          </w:p>
        </w:tc>
      </w:tr>
      <w:tr>
        <w:trPr/>
        <w:tc>
          <w:tcPr>
            <w:tcW w:w="2840" w:type="dxa"/>
            <w:tcBorders/>
            <w:shd w:fill="CCEEFF" w:val="clear"/>
            <w:tcMar>
              <w:bottom w:w="0" w:type="dxa"/>
            </w:tcMar>
            <w:vAlign w:val="center"/>
          </w:tcPr>
          <w:p>
            <w:pPr>
              <w:pStyle w:val="TableContents"/>
              <w:bidi w:val="0"/>
              <w:spacing w:before="0" w:after="283"/>
              <w:jc w:val="both"/>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1,283,975</w:t>
            </w:r>
          </w:p>
        </w:tc>
        <w:tc>
          <w:tcPr>
            <w:tcW w:w="75" w:type="dxa"/>
            <w:tcBorders/>
            <w:shd w:fill="CCEEFF" w:val="clear"/>
            <w:tcMar>
              <w:bottom w:w="0" w:type="dxa"/>
            </w:tcMar>
            <w:vAlign w:val="center"/>
          </w:tcPr>
          <w:p>
            <w:pPr>
              <w:pStyle w:val="TableContents"/>
              <w:bidi w:val="0"/>
              <w:spacing w:before="0" w:after="283"/>
              <w:jc w:val="left"/>
              <w:rPr/>
            </w:pPr>
            <w:r>
              <w:rPr/>
              <w:t> </w:t>
            </w:r>
            <w:bookmarkStart w:id="708" w:name="xdx_40B_ecustom--FiniteLivedIntangibleAs"/>
            <w:bookmarkEnd w:id="708"/>
          </w:p>
        </w:tc>
      </w:tr>
      <w:tr>
        <w:trPr/>
        <w:tc>
          <w:tcPr>
            <w:tcW w:w="2840"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pPr>
            <w:r>
              <w:rPr/>
              <w:t>1,231,183</w:t>
            </w:r>
          </w:p>
        </w:tc>
        <w:tc>
          <w:tcPr>
            <w:tcW w:w="75" w:type="dxa"/>
            <w:tcBorders/>
            <w:shd w:fill="FFFFFF" w:val="clear"/>
            <w:tcMar>
              <w:bottom w:w="0" w:type="dxa"/>
            </w:tcMar>
            <w:vAlign w:val="center"/>
          </w:tcPr>
          <w:p>
            <w:pPr>
              <w:pStyle w:val="TableContents"/>
              <w:bidi w:val="0"/>
              <w:spacing w:before="0" w:after="283"/>
              <w:jc w:val="left"/>
              <w:rPr/>
            </w:pPr>
            <w:r>
              <w:rPr/>
              <w:t> </w:t>
            </w:r>
            <w:bookmarkStart w:id="709" w:name="xdx_40E_eus-gaap--FiniteLivedIntangibleA"/>
            <w:bookmarkEnd w:id="709"/>
          </w:p>
        </w:tc>
      </w:tr>
      <w:tr>
        <w:trPr/>
        <w:tc>
          <w:tcPr>
            <w:tcW w:w="284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980" w:type="dxa"/>
            <w:tcBorders>
              <w:bottom w:val="double" w:sz="6" w:space="0" w:color="000000"/>
            </w:tcBorders>
            <w:shd w:fill="CCEEFF" w:val="clear"/>
            <w:vAlign w:val="center"/>
          </w:tcPr>
          <w:p>
            <w:pPr>
              <w:pStyle w:val="TableContents"/>
              <w:bidi w:val="0"/>
              <w:spacing w:before="0" w:after="283"/>
              <w:jc w:val="right"/>
              <w:rPr/>
            </w:pPr>
            <w:r>
              <w:rPr/>
              <w:t>8,514,791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710" w:name="xdx_8A6_zFy2uYCDgkhd"/>
      <w:bookmarkEnd w:id="71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1" w:name="xdx_803_ecustom--AccountsPayableToRelate"/>
      <w:bookmarkEnd w:id="711"/>
      <w:r>
        <w:rPr>
          <w:rFonts w:ascii="Times New Roman;Times;Serif" w:hAnsi="Times New Roman;Times;Serif"/>
          <w:b/>
          <w:i w:val="false"/>
          <w:caps w:val="false"/>
          <w:smallCaps w:val="false"/>
          <w:sz w:val="20"/>
        </w:rPr>
        <w:t xml:space="preserve">NOTE 10 – </w:t>
      </w:r>
      <w:bookmarkStart w:id="712" w:name="xdx_820_zUax0DXaTOc2"/>
      <w:bookmarkEnd w:id="712"/>
      <w:r>
        <w:rPr>
          <w:rFonts w:ascii="Times New Roman;Times;Serif" w:hAnsi="Times New Roman;Times;Serif"/>
          <w:b/>
          <w:i w:val="false"/>
          <w:caps w:val="false"/>
          <w:smallCaps w:val="false"/>
          <w:sz w:val="20"/>
        </w:rPr>
        <w:t>ACCOUNTS PAYABLE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due to related parties represents payables in the ordinary course of business primarily for purchases of game distribution licenses, research and development costs and also the royalties due to Suzhou Snail. In July 2024, the Company entered into another software development, publishing and distribution agreement with Suzhou Snail. Under the terms of the agreements Suzhou Snail will develop a game for distribution by the Company and the Company will make $</w:t>
      </w:r>
      <w:bookmarkStart w:id="713" w:name="xdx_904_ecustom--PaymentsForProceedsFrom"/>
      <w:bookmarkEnd w:id="713"/>
      <w:r>
        <w:rPr>
          <w:rFonts w:ascii="Times New Roman;Times;Serif" w:hAnsi="Times New Roman;Times;Serif"/>
          <w:b w:val="false"/>
          <w:i w:val="false"/>
          <w:caps w:val="false"/>
          <w:smallCaps w:val="false"/>
          <w:sz w:val="20"/>
        </w:rPr>
        <w:t>4.5 million in milestone payments during the development of the game and an ongoing royalty on sales of the game. The Company made $</w:t>
      </w:r>
      <w:bookmarkStart w:id="714" w:name="xdx_90C_ecustom--PaymentsForProceedsFrom"/>
      <w:bookmarkEnd w:id="714"/>
      <w:r>
        <w:rPr>
          <w:rFonts w:ascii="Times New Roman;Times;Serif" w:hAnsi="Times New Roman;Times;Serif"/>
          <w:b w:val="false"/>
          <w:i w:val="false"/>
          <w:caps w:val="false"/>
          <w:smallCaps w:val="false"/>
          <w:sz w:val="20"/>
        </w:rPr>
        <w:t>0.5 million in milestone payments under the July contract, in 2026. In December 2024, the Company entered into an agreement with Suzhou Snail for the development of an application to deliver short film content to end users. In accordance with the agreement, Suzhou Snail developed the app for release and received $</w:t>
      </w:r>
      <w:bookmarkStart w:id="715" w:name="xdx_903_ecustom--DevelopmentFee_c2026010"/>
      <w:bookmarkEnd w:id="715"/>
      <w:r>
        <w:rPr>
          <w:rFonts w:ascii="Times New Roman;Times;Serif" w:hAnsi="Times New Roman;Times;Serif"/>
          <w:b w:val="false"/>
          <w:i w:val="false"/>
          <w:caps w:val="false"/>
          <w:smallCaps w:val="false"/>
          <w:sz w:val="20"/>
        </w:rPr>
        <w:t>290,000 as a development fee. As of March 31, 2026 and 2025, the development fee has been capitalized in software under intangible assets, net in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an accounts payable – related party balance for payments made on behalf of Suzhou Snail for licensing, legal and marketing costs prior to the Company’s IPO. The Company also has accounts receivable – related party balance due from Suzhou for royalties collected on behalf of the Company prior to its IPO. The accounts receivable – Suzhou are due on demand. The Company has the legal right to offset amounts payable to the related party, including royalties and research and development fees, against the related party accounts receivable. The offset right is determinable, mutual and enforceable under applicable law. The Company intends to exercise this right to offset in future periods. In addition, Suzhou has committed not to collect more than 20% of the net outstanding payable from the Company within the next twelve months. Furthermore, no repayment will be demanded if such payment would cause Snail to be in default of its lending requirements or impair its ability to meet working capital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2025, the Company extended its outsource agreement with Suzhou Snail for the research and development of </w:t>
      </w:r>
      <w:r>
        <w:rPr>
          <w:rFonts w:ascii="Times New Roman;Times;Serif" w:hAnsi="Times New Roman;Times;Serif"/>
          <w:b w:val="false"/>
          <w:i/>
          <w:caps w:val="false"/>
          <w:smallCaps w:val="false"/>
          <w:sz w:val="20"/>
        </w:rPr>
        <w:t>For the Stars</w:t>
      </w:r>
      <w:r>
        <w:rPr>
          <w:rFonts w:ascii="Times New Roman;Times;Serif" w:hAnsi="Times New Roman;Times;Serif"/>
          <w:b w:val="false"/>
          <w:i w:val="false"/>
          <w:caps w:val="false"/>
          <w:smallCaps w:val="false"/>
          <w:sz w:val="20"/>
        </w:rPr>
        <w:t>. In consideration, the Company will pay Suzhou Snail twelve equal monthly payments of $</w:t>
      </w:r>
      <w:bookmarkStart w:id="716" w:name="xdx_905_eus-gaap--ReplacementReserveEscr"/>
      <w:bookmarkEnd w:id="716"/>
      <w:r>
        <w:rPr>
          <w:rFonts w:ascii="Times New Roman;Times;Serif" w:hAnsi="Times New Roman;Times;Serif"/>
          <w:b w:val="false"/>
          <w:i w:val="false"/>
          <w:caps w:val="false"/>
          <w:smallCaps w:val="false"/>
          <w:sz w:val="20"/>
        </w:rPr>
        <w:t>340,600, beginning on January 1, 2025. In August 2025, the Company entered into a Game Testing Service agreement with Suzhou Snail for the research and development testing for cross-platform game testing services. In consideration, the Company will pay $</w:t>
      </w:r>
      <w:bookmarkStart w:id="717" w:name="xdx_908_eus-gaap--ReplacementReserveEscr"/>
      <w:bookmarkEnd w:id="717"/>
      <w:r>
        <w:rPr>
          <w:rFonts w:ascii="Times New Roman;Times;Serif" w:hAnsi="Times New Roman;Times;Serif"/>
          <w:b w:val="false"/>
          <w:i w:val="false"/>
          <w:caps w:val="false"/>
          <w:smallCaps w:val="false"/>
          <w:sz w:val="20"/>
        </w:rPr>
        <w:t>240,000 in four quarterly installments of $</w:t>
      </w:r>
      <w:bookmarkStart w:id="718" w:name="xdx_90A_ecustom--ReplacementReserveEscro"/>
      <w:bookmarkEnd w:id="718"/>
      <w:r>
        <w:rPr>
          <w:rFonts w:ascii="Times New Roman;Times;Serif" w:hAnsi="Times New Roman;Times;Serif"/>
          <w:b w:val="false"/>
          <w:i w:val="false"/>
          <w:caps w:val="false"/>
          <w:smallCaps w:val="false"/>
          <w:sz w:val="20"/>
        </w:rPr>
        <w:t xml:space="preserve">60,000 through June 2026. Additionally, in August 2025, the Company entered into a Short Drama Production agreement with Suzhou Snail in providing technical development, marketing and operational services related to the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platform. In consideration, the Company will pay $</w:t>
      </w:r>
      <w:bookmarkStart w:id="719" w:name="xdx_906_eus-gaap--ReplacementReserveEscr"/>
      <w:bookmarkEnd w:id="719"/>
      <w:r>
        <w:rPr>
          <w:rFonts w:ascii="Times New Roman;Times;Serif" w:hAnsi="Times New Roman;Times;Serif"/>
          <w:b w:val="false"/>
          <w:i w:val="false"/>
          <w:caps w:val="false"/>
          <w:smallCaps w:val="false"/>
          <w:sz w:val="20"/>
        </w:rPr>
        <w:t>720,000, payable in quarterly installments of $</w:t>
      </w:r>
      <w:bookmarkStart w:id="720" w:name="xdx_904_ecustom--ReplacementReserveEscro"/>
      <w:bookmarkEnd w:id="720"/>
      <w:r>
        <w:rPr>
          <w:rFonts w:ascii="Times New Roman;Times;Serif" w:hAnsi="Times New Roman;Times;Serif"/>
          <w:b w:val="false"/>
          <w:i w:val="false"/>
          <w:caps w:val="false"/>
          <w:smallCaps w:val="false"/>
          <w:sz w:val="20"/>
        </w:rPr>
        <w:t>180,000 through June 2026. During the three months ended March 31, 2026 and 2025, the Company incurred $</w:t>
      </w:r>
      <w:bookmarkStart w:id="721" w:name="xdx_903_eus-gaap--CostsAndExpensesRelate"/>
      <w:bookmarkEnd w:id="721"/>
      <w:r>
        <w:rPr>
          <w:rFonts w:ascii="Times New Roman;Times;Serif" w:hAnsi="Times New Roman;Times;Serif"/>
          <w:b w:val="false"/>
          <w:i w:val="false"/>
          <w:caps w:val="false"/>
          <w:smallCaps w:val="false"/>
          <w:sz w:val="20"/>
        </w:rPr>
        <w:t>19,842 and $</w:t>
      </w:r>
      <w:bookmarkStart w:id="722" w:name="xdx_904_eus-gaap--CostsAndExpensesRelate"/>
      <w:bookmarkEnd w:id="722"/>
      <w:r>
        <w:rPr>
          <w:rFonts w:ascii="Times New Roman;Times;Serif" w:hAnsi="Times New Roman;Times;Serif"/>
          <w:b w:val="false"/>
          <w:i w:val="false"/>
          <w:caps w:val="false"/>
          <w:smallCaps w:val="false"/>
          <w:sz w:val="20"/>
        </w:rPr>
        <w:t>35,829, respectively as license costs due to Suzhou Snail that are included in cost of revenues. During the three months ended March 31, 2026 and 2025, respectively, the Company incurred $</w:t>
      </w:r>
      <w:bookmarkStart w:id="723" w:name="xdx_90D_eus-gaap--ResearchAndDevelopment"/>
      <w:bookmarkEnd w:id="723"/>
      <w:r>
        <w:rPr>
          <w:rFonts w:ascii="Times New Roman;Times;Serif" w:hAnsi="Times New Roman;Times;Serif"/>
          <w:b w:val="false"/>
          <w:i w:val="false"/>
          <w:caps w:val="false"/>
          <w:smallCaps w:val="false"/>
          <w:sz w:val="20"/>
        </w:rPr>
        <w:t xml:space="preserve">1,223,000 and </w:t>
      </w:r>
      <w:bookmarkStart w:id="724" w:name="xdx_90C_eus-gaap--ResearchAndDevelopment"/>
      <w:bookmarkEnd w:id="724"/>
      <w:r>
        <w:rPr>
          <w:rFonts w:ascii="Times New Roman;Times;Serif" w:hAnsi="Times New Roman;Times;Serif"/>
          <w:b w:val="false"/>
          <w:i w:val="false"/>
          <w:caps w:val="false"/>
          <w:smallCaps w:val="false"/>
          <w:sz w:val="20"/>
        </w:rPr>
        <w:t>$1,521,800 of research and development costs from Suzhou Snail; and made $</w:t>
      </w:r>
      <w:bookmarkStart w:id="725" w:name="xdx_90D_eus-gaap--RelatedPartyTransactio"/>
      <w:bookmarkEnd w:id="725"/>
      <w:r>
        <w:rPr>
          <w:rFonts w:ascii="Times New Roman;Times;Serif" w:hAnsi="Times New Roman;Times;Serif"/>
          <w:b w:val="false"/>
          <w:i w:val="false"/>
          <w:caps w:val="false"/>
          <w:smallCaps w:val="false"/>
          <w:sz w:val="20"/>
        </w:rPr>
        <w:t>1,442,100 and $</w:t>
      </w:r>
      <w:bookmarkStart w:id="726" w:name="xdx_904_eus-gaap--RelatedPartyTransactio"/>
      <w:bookmarkEnd w:id="726"/>
      <w:r>
        <w:rPr>
          <w:rFonts w:ascii="Times New Roman;Times;Serif" w:hAnsi="Times New Roman;Times;Serif"/>
          <w:b w:val="false"/>
          <w:i w:val="false"/>
          <w:caps w:val="false"/>
          <w:smallCaps w:val="false"/>
          <w:sz w:val="20"/>
        </w:rPr>
        <w:t>1,724,200 in payments to Suzhou Snail for royalties and research and development costs. The royalty payments are included in costs of revenues and research and development costs are included in operating expenses in the condensed consolidated statements of operations and comprehensive income (loss) or capitalized as intangible assets, net in the condensed consolidated balance sheets. Accounts payable – related parties consisted of the following as of March 31,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27" w:name="xdx_8B3_zbFGILdaWUw6"/>
      <w:bookmarkStart w:id="728" w:name="xdx_892_eus-gaap--ScheduleOfAccountsPaya"/>
      <w:bookmarkEnd w:id="727"/>
      <w:bookmarkEnd w:id="728"/>
      <w:r>
        <w:rPr>
          <w:rFonts w:ascii="Times New Roman;Times;Serif" w:hAnsi="Times New Roman;Times;Serif"/>
          <w:b w:val="false"/>
          <w:i w:val="false"/>
          <w:caps w:val="false"/>
          <w:smallCaps w:val="false"/>
          <w:sz w:val="20"/>
        </w:rPr>
        <w:t>SCHEDULE OF ACCOUNTS PAYABLE- RELATED PARTIES</w:t>
      </w:r>
    </w:p>
    <w:tbl>
      <w:tblPr>
        <w:tblW w:w="6710" w:type="dxa"/>
        <w:jc w:val="left"/>
        <w:tblInd w:w="0" w:type="dxa"/>
        <w:tblLayout w:type="fixed"/>
        <w:tblCellMar>
          <w:top w:w="0" w:type="dxa"/>
          <w:left w:w="0" w:type="dxa"/>
          <w:bottom w:w="0" w:type="dxa"/>
          <w:right w:w="0" w:type="dxa"/>
        </w:tblCellMar>
      </w:tblPr>
      <w:tblGrid>
        <w:gridCol w:w="3755"/>
        <w:gridCol w:w="60"/>
        <w:gridCol w:w="140"/>
        <w:gridCol w:w="1175"/>
        <w:gridCol w:w="95"/>
        <w:gridCol w:w="60"/>
        <w:gridCol w:w="140"/>
        <w:gridCol w:w="1175"/>
        <w:gridCol w:w="11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29" w:name="xdx_49E_20260331_zCEHAqRbuKu5"/>
            <w:bookmarkEnd w:id="729"/>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30" w:name="xdx_493_20251231_zjcIXMCjsbD"/>
            <w:bookmarkEnd w:id="730"/>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731" w:name="xdx_408_eus-gaap--AccountsPayableCurrent"/>
            <w:bookmarkEnd w:id="731"/>
          </w:p>
        </w:tc>
      </w:tr>
      <w:tr>
        <w:trPr/>
        <w:tc>
          <w:tcPr>
            <w:tcW w:w="3755" w:type="dxa"/>
            <w:tcBorders/>
            <w:shd w:fill="CCEEFF" w:val="clear"/>
            <w:vAlign w:val="center"/>
          </w:tcPr>
          <w:p>
            <w:pPr>
              <w:pStyle w:val="TableContents"/>
              <w:bidi w:val="0"/>
              <w:spacing w:before="0" w:after="283"/>
              <w:jc w:val="left"/>
              <w:rPr/>
            </w:pPr>
            <w:r>
              <w:rPr/>
              <w:t>Accounts payable – Suzhou</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52,974,419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53,173,676</w:t>
            </w:r>
          </w:p>
        </w:tc>
        <w:tc>
          <w:tcPr>
            <w:tcW w:w="110" w:type="dxa"/>
            <w:tcBorders/>
            <w:shd w:fill="CCEEFF" w:val="clear"/>
            <w:vAlign w:val="center"/>
          </w:tcPr>
          <w:p>
            <w:pPr>
              <w:pStyle w:val="TableContents"/>
              <w:bidi w:val="0"/>
              <w:spacing w:before="0" w:after="283"/>
              <w:jc w:val="left"/>
              <w:rPr/>
            </w:pPr>
            <w:r>
              <w:rPr/>
              <w:t> </w:t>
            </w:r>
            <w:bookmarkStart w:id="732" w:name="xdx_40C_eus-gaap--AccountsReceivableGros"/>
            <w:bookmarkEnd w:id="732"/>
          </w:p>
        </w:tc>
      </w:tr>
      <w:tr>
        <w:trPr/>
        <w:tc>
          <w:tcPr>
            <w:tcW w:w="3755" w:type="dxa"/>
            <w:tcBorders/>
            <w:shd w:fill="FFFFFF" w:val="clear"/>
            <w:vAlign w:val="center"/>
          </w:tcPr>
          <w:p>
            <w:pPr>
              <w:pStyle w:val="TableContents"/>
              <w:bidi w:val="0"/>
              <w:spacing w:before="0" w:after="283"/>
              <w:jc w:val="left"/>
              <w:rPr/>
            </w:pPr>
            <w:r>
              <w:rPr/>
              <w:t>Less: accounts receivable – Suzhou</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(37,614,913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(37,614,913</w:t>
            </w:r>
          </w:p>
        </w:tc>
        <w:tc>
          <w:tcPr>
            <w:tcW w:w="110" w:type="dxa"/>
            <w:tcBorders/>
            <w:shd w:fill="FFFFFF" w:val="clear"/>
            <w:vAlign w:val="center"/>
          </w:tcPr>
          <w:p>
            <w:pPr>
              <w:pStyle w:val="TableContents"/>
              <w:bidi w:val="0"/>
              <w:spacing w:before="0" w:after="283"/>
              <w:jc w:val="left"/>
              <w:rPr/>
            </w:pPr>
            <w:r>
              <w:rPr/>
              <w:t>)</w:t>
            </w:r>
            <w:bookmarkStart w:id="733" w:name="xdx_401_eus-gaap--AccountsPayableCurrent"/>
            <w:bookmarkEnd w:id="733"/>
          </w:p>
        </w:tc>
      </w:tr>
      <w:tr>
        <w:trPr/>
        <w:tc>
          <w:tcPr>
            <w:tcW w:w="3755" w:type="dxa"/>
            <w:tcBorders/>
            <w:shd w:fill="CCEEFF" w:val="clear"/>
            <w:vAlign w:val="center"/>
          </w:tcPr>
          <w:p>
            <w:pPr>
              <w:pStyle w:val="TableContents"/>
              <w:bidi w:val="0"/>
              <w:spacing w:before="0" w:after="283"/>
              <w:jc w:val="left"/>
              <w:rPr/>
            </w:pPr>
            <w:r>
              <w:rPr/>
              <w:t xml:space="preserve">Accounts payable – SDE </w:t>
            </w:r>
            <w:r>
              <w:rPr>
                <w:i/>
              </w:rPr>
              <w:t>(see Note 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6,289,443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4,508,250</w:t>
            </w:r>
          </w:p>
        </w:tc>
        <w:tc>
          <w:tcPr>
            <w:tcW w:w="110" w:type="dxa"/>
            <w:tcBorders/>
            <w:shd w:fill="CCEEFF" w:val="clear"/>
            <w:vAlign w:val="center"/>
          </w:tcPr>
          <w:p>
            <w:pPr>
              <w:pStyle w:val="TableContents"/>
              <w:bidi w:val="0"/>
              <w:spacing w:before="0" w:after="283"/>
              <w:jc w:val="left"/>
              <w:rPr/>
            </w:pPr>
            <w:r>
              <w:rPr/>
              <w:t> </w:t>
            </w:r>
            <w:bookmarkStart w:id="734" w:name="xdx_40F_eus-gaap--AccountsPayableCurrent"/>
            <w:bookmarkEnd w:id="734"/>
          </w:p>
        </w:tc>
      </w:tr>
      <w:tr>
        <w:trPr/>
        <w:tc>
          <w:tcPr>
            <w:tcW w:w="3755" w:type="dxa"/>
            <w:tcBorders/>
            <w:shd w:fill="FFFFFF" w:val="clear"/>
            <w:vAlign w:val="center"/>
          </w:tcPr>
          <w:p>
            <w:pPr>
              <w:pStyle w:val="TableContents"/>
              <w:bidi w:val="0"/>
              <w:spacing w:before="0" w:after="283"/>
              <w:jc w:val="left"/>
              <w:rPr/>
            </w:pPr>
            <w:r>
              <w:rPr/>
              <w:t>Total accounts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21,648,949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20,067,013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35" w:name="xdx_8A4_z9pv0xZvKm7k"/>
      <w:bookmarkEnd w:id="73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6" w:name="xdx_803_ecustom--LoanPayableAndInterestP"/>
      <w:bookmarkEnd w:id="736"/>
      <w:r>
        <w:rPr>
          <w:rFonts w:ascii="Times New Roman;Times;Serif" w:hAnsi="Times New Roman;Times;Serif"/>
          <w:b/>
          <w:i w:val="false"/>
          <w:caps w:val="false"/>
          <w:smallCaps w:val="false"/>
          <w:sz w:val="20"/>
        </w:rPr>
        <w:t xml:space="preserve">NOTE 11 – </w:t>
      </w:r>
      <w:bookmarkStart w:id="737" w:name="xdx_82D_zGXSQ8IuoV13"/>
      <w:bookmarkEnd w:id="737"/>
      <w:r>
        <w:rPr>
          <w:rFonts w:ascii="Times New Roman;Times;Serif" w:hAnsi="Times New Roman;Times;Serif"/>
          <w:b/>
          <w:i w:val="false"/>
          <w:caps w:val="false"/>
          <w:smallCaps w:val="false"/>
          <w:sz w:val="20"/>
        </w:rPr>
        <w:t>LOAN AND INTEREST RECEIVABLE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the Company loaned $</w:t>
      </w:r>
      <w:bookmarkStart w:id="738" w:name="xdx_90A_eus-gaap--PaymentsToFundLongterm"/>
      <w:bookmarkEnd w:id="738"/>
      <w:r>
        <w:rPr>
          <w:rFonts w:ascii="Times New Roman;Times;Serif" w:hAnsi="Times New Roman;Times;Serif"/>
          <w:b w:val="false"/>
          <w:i w:val="false"/>
          <w:caps w:val="false"/>
          <w:smallCaps w:val="false"/>
          <w:sz w:val="20"/>
        </w:rPr>
        <w:t xml:space="preserve">200,000 to a wholly owned subsidiary of Suzhou Snail. The loan bears </w:t>
      </w:r>
      <w:bookmarkStart w:id="739" w:name="xdx_901_eus-gaap--RelatedPartyTransactio"/>
      <w:bookmarkEnd w:id="739"/>
      <w:r>
        <w:rPr>
          <w:rFonts w:ascii="Times New Roman;Times;Serif" w:hAnsi="Times New Roman;Times;Serif"/>
          <w:b w:val="false"/>
          <w:i w:val="false"/>
          <w:caps w:val="false"/>
          <w:smallCaps w:val="false"/>
          <w:sz w:val="20"/>
        </w:rPr>
        <w:t>2.0% per annum interest, interest and principal were due in February 2022. In February 2022, Suzhou Snail signed an agreement with this subsidiary and assumed the loan and related interest for a total of $</w:t>
      </w:r>
      <w:bookmarkStart w:id="740" w:name="xdx_907_ecustom--RelatedPartyLoanAmountA"/>
      <w:bookmarkEnd w:id="740"/>
      <w:r>
        <w:rPr>
          <w:rFonts w:ascii="Times New Roman;Times;Serif" w:hAnsi="Times New Roman;Times;Serif"/>
          <w:b w:val="false"/>
          <w:i w:val="false"/>
          <w:caps w:val="false"/>
          <w:smallCaps w:val="false"/>
          <w:sz w:val="20"/>
        </w:rPr>
        <w:t>203,890. Subsequently, $</w:t>
      </w:r>
      <w:bookmarkStart w:id="741" w:name="xdx_900_ecustom--AmountOfLoanAndInterest"/>
      <w:bookmarkEnd w:id="741"/>
      <w:r>
        <w:rPr>
          <w:rFonts w:ascii="Times New Roman;Times;Serif" w:hAnsi="Times New Roman;Times;Serif"/>
          <w:b w:val="false"/>
          <w:i w:val="false"/>
          <w:caps w:val="false"/>
          <w:smallCaps w:val="false"/>
          <w:sz w:val="20"/>
        </w:rPr>
        <w:t>103,890 was offset against the loan and interest payable owed to Suzhou Snail on a separate note. The total amount of loan and interest receivable — related party was $</w:t>
      </w:r>
      <w:bookmarkStart w:id="742" w:name="xdx_90F_eus-gaap--OtherReceivablesNetCur"/>
      <w:bookmarkEnd w:id="742"/>
      <w:r>
        <w:rPr>
          <w:rFonts w:ascii="Times New Roman;Times;Serif" w:hAnsi="Times New Roman;Times;Serif"/>
          <w:b w:val="false"/>
          <w:i w:val="false"/>
          <w:caps w:val="false"/>
          <w:smallCaps w:val="false"/>
          <w:sz w:val="20"/>
        </w:rPr>
        <w:t>108,252 and $</w:t>
      </w:r>
      <w:bookmarkStart w:id="743" w:name="xdx_90F_eus-gaap--OtherReceivablesNetCur"/>
      <w:bookmarkEnd w:id="743"/>
      <w:r>
        <w:rPr>
          <w:rFonts w:ascii="Times New Roman;Times;Serif" w:hAnsi="Times New Roman;Times;Serif"/>
          <w:b w:val="false"/>
          <w:i w:val="false"/>
          <w:caps w:val="false"/>
          <w:smallCaps w:val="false"/>
          <w:sz w:val="20"/>
        </w:rPr>
        <w:t>107,759, as of March 31, 2026 and December 31, 2025, respectively. The Company earned $</w:t>
      </w:r>
      <w:bookmarkStart w:id="744" w:name="xdx_90C_eus-gaap--InterestIncomeOperatin"/>
      <w:bookmarkStart w:id="745" w:name="xdx_909_eus-gaap--InterestIncomeOperatin"/>
      <w:bookmarkEnd w:id="744"/>
      <w:bookmarkEnd w:id="745"/>
      <w:r>
        <w:rPr>
          <w:rFonts w:ascii="Times New Roman;Times;Serif" w:hAnsi="Times New Roman;Times;Serif"/>
          <w:b w:val="false"/>
          <w:i w:val="false"/>
          <w:caps w:val="false"/>
          <w:smallCaps w:val="false"/>
          <w:sz w:val="20"/>
        </w:rPr>
        <w:t>493 in interest on the related party loans receivable during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6" w:name="xdx_80A_eus-gaap--DebtDisclosureTextBloc"/>
      <w:bookmarkEnd w:id="746"/>
      <w:r>
        <w:rPr>
          <w:rFonts w:ascii="Times New Roman;Times;Serif" w:hAnsi="Times New Roman;Times;Serif"/>
          <w:b/>
          <w:i w:val="false"/>
          <w:caps w:val="false"/>
          <w:smallCaps w:val="false"/>
          <w:sz w:val="20"/>
        </w:rPr>
        <w:t xml:space="preserve">NOTE 12 – </w:t>
      </w:r>
      <w:bookmarkStart w:id="747" w:name="xdx_82A_zLeOzsz3Cey"/>
      <w:bookmarkEnd w:id="747"/>
      <w:r>
        <w:rPr>
          <w:rFonts w:ascii="Times New Roman;Times;Serif" w:hAnsi="Times New Roman;Times;Serif"/>
          <w:b/>
          <w:i w:val="false"/>
          <w:caps w:val="false"/>
          <w:smallCaps w:val="false"/>
          <w:sz w:val="20"/>
        </w:rPr>
        <w:t>REVOLVING LOAN, SHORT TERM NOTES AND LONG - 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48" w:name="xdx_8B7_z7H2aMTC2etj"/>
      <w:bookmarkStart w:id="749" w:name="xdx_897_eus-gaap--ScheduleOfDebtInstrume"/>
      <w:bookmarkEnd w:id="748"/>
      <w:bookmarkEnd w:id="749"/>
      <w:r>
        <w:rPr>
          <w:rFonts w:ascii="Times New Roman;Times;Serif" w:hAnsi="Times New Roman;Times;Serif"/>
          <w:b w:val="false"/>
          <w:i w:val="false"/>
          <w:caps w:val="false"/>
          <w:smallCaps w:val="false"/>
          <w:sz w:val="20"/>
        </w:rPr>
        <w:t>SCHEDULE OF LONG TERM DEBT</w:t>
      </w:r>
    </w:p>
    <w:tbl>
      <w:tblPr>
        <w:tblW w:w="10205" w:type="dxa"/>
        <w:jc w:val="left"/>
        <w:tblInd w:w="0" w:type="dxa"/>
        <w:tblLayout w:type="fixed"/>
        <w:tblCellMar>
          <w:top w:w="0" w:type="dxa"/>
          <w:left w:w="0" w:type="dxa"/>
          <w:bottom w:w="0" w:type="dxa"/>
          <w:right w:w="0" w:type="dxa"/>
        </w:tblCellMar>
      </w:tblPr>
      <w:tblGrid>
        <w:gridCol w:w="7737"/>
        <w:gridCol w:w="60"/>
        <w:gridCol w:w="127"/>
        <w:gridCol w:w="968"/>
        <w:gridCol w:w="60"/>
        <w:gridCol w:w="60"/>
        <w:gridCol w:w="129"/>
        <w:gridCol w:w="986"/>
        <w:gridCol w:w="78"/>
      </w:tblGrid>
      <w:tr>
        <w:trPr/>
        <w:tc>
          <w:tcPr>
            <w:tcW w:w="773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750" w:name="xdx_491_20260331_zq0BsrAfrkF1"/>
            <w:bookmarkEnd w:id="750"/>
          </w:p>
        </w:tc>
        <w:tc>
          <w:tcPr>
            <w:tcW w:w="10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51" w:name="xdx_491_20251231_zLH1W15VAgSd"/>
            <w:bookmarkEnd w:id="751"/>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p>
        </w:tc>
        <w:tc>
          <w:tcPr>
            <w:tcW w:w="78" w:type="dxa"/>
            <w:tcBorders/>
            <w:vAlign w:val="center"/>
          </w:tcPr>
          <w:p>
            <w:pPr>
              <w:pStyle w:val="TableContents"/>
              <w:bidi w:val="0"/>
              <w:spacing w:before="0" w:after="283"/>
              <w:jc w:val="left"/>
              <w:rPr/>
            </w:pPr>
            <w:r>
              <w:rPr/>
              <w:t> </w:t>
            </w:r>
            <w:bookmarkStart w:id="752" w:name="xdx_409_eus-gaap--DebtLongtermAndShortte"/>
            <w:bookmarkEnd w:id="752"/>
          </w:p>
        </w:tc>
      </w:tr>
      <w:tr>
        <w:trPr/>
        <w:tc>
          <w:tcPr>
            <w:tcW w:w="773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Revolving Loan</w:t>
            </w:r>
            <w:r>
              <w:rPr>
                <w:rFonts w:ascii="Times New Roman;Times;Serif" w:hAnsi="Times New Roman;Times;Serif"/>
                <w:sz w:val="20"/>
              </w:rPr>
              <w:t xml:space="preserve"> – On January 2, 2026, the Company amended its revolving loan agreement and decreased the maximum balance from $</w:t>
            </w:r>
            <w:bookmarkStart w:id="753" w:name="xdx_90C_eus-gaap--LineOfCreditFacilityMa"/>
            <w:bookmarkEnd w:id="753"/>
            <w:r>
              <w:rPr>
                <w:rFonts w:ascii="Times New Roman;Times;Serif" w:hAnsi="Times New Roman;Times;Serif"/>
                <w:sz w:val="20"/>
              </w:rPr>
              <w:t>6,000,000 to $</w:t>
            </w:r>
            <w:bookmarkStart w:id="754" w:name="xdx_90E_eus-gaap--LineOfCreditFacilityMa"/>
            <w:bookmarkEnd w:id="754"/>
            <w:r>
              <w:rPr>
                <w:rFonts w:ascii="Times New Roman;Times;Serif" w:hAnsi="Times New Roman;Times;Serif"/>
                <w:sz w:val="20"/>
              </w:rPr>
              <w:t xml:space="preserve">5,000,000. The maturity date of the revolving loan is extended to </w:t>
            </w:r>
            <w:bookmarkStart w:id="755" w:name="xdx_906_eus-gaap--LineOfCreditFacilityEx"/>
            <w:bookmarkEnd w:id="755"/>
            <w:r>
              <w:rPr>
                <w:rFonts w:ascii="Times New Roman;Times;Serif" w:hAnsi="Times New Roman;Times;Serif"/>
                <w:sz w:val="20"/>
              </w:rPr>
              <w:t xml:space="preserve">March 31, 2027, and has an annual interest rate equal to the prime rate less </w:t>
            </w:r>
            <w:bookmarkStart w:id="756" w:name="xdx_90A_ecustom--DebtInstrumentBasisSpre"/>
            <w:bookmarkEnd w:id="756"/>
            <w:r>
              <w:rPr>
                <w:rFonts w:ascii="Times New Roman;Times;Serif" w:hAnsi="Times New Roman;Times;Serif"/>
                <w:sz w:val="20"/>
              </w:rPr>
              <w:t xml:space="preserve">0.25% and a floor of </w:t>
            </w:r>
            <w:bookmarkStart w:id="757" w:name="xdx_90F_ecustom--DebtInstrumentInterestR"/>
            <w:bookmarkEnd w:id="757"/>
            <w:r>
              <w:rPr>
                <w:rFonts w:ascii="Times New Roman;Times;Serif" w:hAnsi="Times New Roman;Times;Serif"/>
                <w:sz w:val="20"/>
              </w:rPr>
              <w:t xml:space="preserve">6.50%. In March 2026, the Company received a subsequent extension of the revolving loan maturity date to </w:t>
            </w:r>
            <w:bookmarkStart w:id="758" w:name="xdx_90D_eus-gaap--DebtInstrumentMaturity"/>
            <w:bookmarkEnd w:id="758"/>
            <w:r>
              <w:rPr>
                <w:rFonts w:ascii="Times New Roman;Times;Serif" w:hAnsi="Times New Roman;Times;Serif"/>
                <w:sz w:val="20"/>
              </w:rPr>
              <w:t xml:space="preserve">March 31, 2027, at which time the Revolving Loan shall convert to a Term Loan and extend to March 31, 2030. Debt covenants of this loan require the Company to maintain a minimum debt service coverage ratio of at least </w:t>
            </w:r>
            <w:bookmarkStart w:id="759" w:name="xdx_90B_ecustom--MinimumRequirementOfDeb"/>
            <w:bookmarkEnd w:id="759"/>
            <w:r>
              <w:rPr>
                <w:rFonts w:ascii="Times New Roman;Times;Serif" w:hAnsi="Times New Roman;Times;Serif"/>
                <w:sz w:val="20"/>
              </w:rPr>
              <w:t>1.5 to 1 and is required to maintain a $</w:t>
            </w:r>
            <w:bookmarkStart w:id="760" w:name="xdx_905_eus-gaap--Deposits_iI_c20260102_"/>
            <w:bookmarkEnd w:id="760"/>
            <w:r>
              <w:rPr>
                <w:rFonts w:ascii="Times New Roman;Times;Serif" w:hAnsi="Times New Roman;Times;Serif"/>
                <w:sz w:val="20"/>
              </w:rPr>
              <w:t xml:space="preserve">1,000,000 pledge deposit. At March 31, 2026, the interest rate on this loan was </w:t>
            </w:r>
            <w:bookmarkStart w:id="761" w:name="xdx_904_eus-gaap--DebtInstrumentInterest"/>
            <w:bookmarkEnd w:id="761"/>
            <w:r>
              <w:rPr>
                <w:rFonts w:ascii="Times New Roman;Times;Serif" w:hAnsi="Times New Roman;Times;Serif"/>
                <w:sz w:val="20"/>
              </w:rPr>
              <w:t>6.5%. The Company was in compliance with the debt covenants of this loan for the trailing twelve month period ended March 31, 2026, and it is reasonably possible it will remain in compliance for the twelve months thereafter.</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5,000,000</w:t>
            </w:r>
          </w:p>
        </w:tc>
        <w:tc>
          <w:tcPr>
            <w:tcW w:w="78" w:type="dxa"/>
            <w:tcBorders/>
            <w:shd w:fill="CCEEFF" w:val="clear"/>
            <w:vAlign w:val="center"/>
          </w:tcPr>
          <w:p>
            <w:pPr>
              <w:pStyle w:val="TableContents"/>
              <w:bidi w:val="0"/>
              <w:spacing w:before="0" w:after="283"/>
              <w:jc w:val="left"/>
              <w:rPr/>
            </w:pPr>
            <w:r>
              <w:rPr/>
              <w:t> </w:t>
            </w:r>
            <w:bookmarkStart w:id="762" w:name="xdx_400_eus-gaap--DebtLongtermAndShortte"/>
            <w:bookmarkEnd w:id="762"/>
          </w:p>
        </w:tc>
      </w:tr>
      <w:tr>
        <w:trPr/>
        <w:tc>
          <w:tcPr>
            <w:tcW w:w="773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2021 Promissory Note</w:t>
            </w:r>
            <w:r>
              <w:rPr>
                <w:rFonts w:ascii="Times New Roman;Times;Serif" w:hAnsi="Times New Roman;Times;Serif"/>
                <w:sz w:val="20"/>
              </w:rPr>
              <w:t xml:space="preserve"> – On June 17, 2021, the Company amended its loan agreement to reduce the principal amount with a financial institution for 10 years, annual interest rate of </w:t>
            </w:r>
            <w:bookmarkStart w:id="763" w:name="xdx_909_eus-gaap--DebtInstrumentInterest"/>
            <w:bookmarkEnd w:id="763"/>
            <w:r>
              <w:rPr>
                <w:rFonts w:ascii="Times New Roman;Times;Serif" w:hAnsi="Times New Roman;Times;Serif"/>
                <w:sz w:val="20"/>
              </w:rPr>
              <w:t xml:space="preserve">3.5% for the first </w:t>
            </w:r>
            <w:bookmarkStart w:id="764" w:name="xdx_903_ecustom--DebtInstrumentPrincipal"/>
            <w:bookmarkEnd w:id="764"/>
            <w:r>
              <w:rPr>
                <w:rFonts w:ascii="Times New Roman;Times;Serif" w:hAnsi="Times New Roman;Times;Serif"/>
                <w:sz w:val="20"/>
              </w:rPr>
              <w:t xml:space="preserve">5 years, and then floating at Wall Street Journal rate from </w:t>
            </w:r>
            <w:bookmarkStart w:id="765" w:name="xdx_907_eus-gaap--DebtInstrumentDescript"/>
            <w:bookmarkEnd w:id="765"/>
            <w:r>
              <w:rPr>
                <w:rFonts w:ascii="Times New Roman;Times;Serif" w:hAnsi="Times New Roman;Times;Serif"/>
                <w:sz w:val="20"/>
              </w:rPr>
              <w:t>years 6 to 10. The loan is secured by the Company’s building, with a carrying value of $</w:t>
            </w:r>
            <w:bookmarkStart w:id="766" w:name="xdx_90A_eus-gaap--SecuredDebt_iI_pn5n6_c"/>
            <w:bookmarkEnd w:id="766"/>
            <w:r>
              <w:rPr>
                <w:rFonts w:ascii="Times New Roman;Times;Serif" w:hAnsi="Times New Roman;Times;Serif"/>
                <w:sz w:val="20"/>
              </w:rPr>
              <w:t xml:space="preserve">4.1 million, and matures on </w:t>
            </w:r>
            <w:bookmarkStart w:id="767" w:name="xdx_908_eus-gaap--DebtInstrumentMaturity"/>
            <w:bookmarkEnd w:id="767"/>
            <w:r>
              <w:rPr>
                <w:rFonts w:ascii="Times New Roman;Times;Serif" w:hAnsi="Times New Roman;Times;Serif"/>
                <w:sz w:val="20"/>
              </w:rPr>
              <w:t xml:space="preserve">June 30, 2031. The note is subject to a prepayment penalty. Debt covenants of this loan require the Company to maintain a minimum debt service coverage ratio of at least </w:t>
            </w:r>
            <w:bookmarkStart w:id="768" w:name="xdx_90D_ecustom--MinimumRequirementOfDeb"/>
            <w:bookmarkEnd w:id="768"/>
            <w:r>
              <w:rPr>
                <w:rFonts w:ascii="Times New Roman;Times;Serif" w:hAnsi="Times New Roman;Times;Serif"/>
                <w:sz w:val="20"/>
              </w:rPr>
              <w:t>1.5 to 1. The Company was in compliance with the debt covenants of this loan for the trailing twelve month period ended March 31, 2026, and it is reasonably possible it will remain in compliance for the twelve months thereafter.</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2,614,235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2,636,536</w:t>
            </w:r>
          </w:p>
        </w:tc>
        <w:tc>
          <w:tcPr>
            <w:tcW w:w="78" w:type="dxa"/>
            <w:tcBorders/>
            <w:shd w:fill="FFFFFF" w:val="clear"/>
            <w:vAlign w:val="center"/>
          </w:tcPr>
          <w:p>
            <w:pPr>
              <w:pStyle w:val="TableContents"/>
              <w:bidi w:val="0"/>
              <w:spacing w:before="0" w:after="283"/>
              <w:jc w:val="left"/>
              <w:rPr/>
            </w:pPr>
            <w:r>
              <w:rPr/>
              <w:t> </w:t>
            </w:r>
            <w:bookmarkStart w:id="769" w:name="xdx_407_eus-gaap--DebtLongtermAndShortte"/>
            <w:bookmarkEnd w:id="769"/>
          </w:p>
        </w:tc>
      </w:tr>
      <w:tr>
        <w:trPr/>
        <w:tc>
          <w:tcPr>
            <w:tcW w:w="773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February 2025 Convertible Notes</w:t>
            </w:r>
            <w:r>
              <w:rPr>
                <w:rFonts w:ascii="Times New Roman;Times;Serif" w:hAnsi="Times New Roman;Times;Serif"/>
                <w:sz w:val="20"/>
              </w:rPr>
              <w:t xml:space="preserve"> – On February 21, 2025, the Company issued convertible notes at a </w:t>
            </w:r>
            <w:bookmarkStart w:id="770" w:name="xdx_90C_ecustom--ConvertibleNoteDiscount"/>
            <w:bookmarkEnd w:id="770"/>
            <w:r>
              <w:rPr>
                <w:rFonts w:ascii="Times New Roman;Times;Serif" w:hAnsi="Times New Roman;Times;Serif"/>
                <w:sz w:val="20"/>
              </w:rPr>
              <w:t>10.0% discount and a principal balance of $</w:t>
            </w:r>
            <w:bookmarkStart w:id="771" w:name="xdx_903_eus-gaap--DebtInstrumentFaceAmou"/>
            <w:bookmarkEnd w:id="771"/>
            <w:r>
              <w:rPr>
                <w:rFonts w:ascii="Times New Roman;Times;Serif" w:hAnsi="Times New Roman;Times;Serif"/>
                <w:sz w:val="20"/>
              </w:rPr>
              <w:t xml:space="preserve">3,300,000. The notes had an interest rate of </w:t>
            </w:r>
            <w:bookmarkStart w:id="772" w:name="xdx_900_eus-gaap--DebtInstrumentInterest"/>
            <w:bookmarkEnd w:id="772"/>
            <w:r>
              <w:rPr>
                <w:rFonts w:ascii="Times New Roman;Times;Serif" w:hAnsi="Times New Roman;Times;Serif"/>
                <w:sz w:val="20"/>
              </w:rPr>
              <w:t xml:space="preserve">5.0%, were paid in consecutive monthly installments beginning </w:t>
            </w:r>
            <w:bookmarkStart w:id="773" w:name="xdx_903_eus-gaap--DebtInstrumentDateOfFi"/>
            <w:bookmarkEnd w:id="773"/>
            <w:r>
              <w:rPr>
                <w:rFonts w:ascii="Times New Roman;Times;Serif" w:hAnsi="Times New Roman;Times;Serif"/>
                <w:sz w:val="20"/>
              </w:rPr>
              <w:t xml:space="preserve">May 21, 2025 and matured on </w:t>
            </w:r>
            <w:bookmarkStart w:id="774" w:name="xdx_903_eus-gaap--DebtInstrumentMaturity"/>
            <w:bookmarkEnd w:id="774"/>
            <w:r>
              <w:rPr>
                <w:rFonts w:ascii="Times New Roman;Times;Serif" w:hAnsi="Times New Roman;Times;Serif"/>
                <w:sz w:val="20"/>
              </w:rPr>
              <w:t xml:space="preserve">February 21, 2026. </w:t>
            </w:r>
            <w:bookmarkStart w:id="775" w:name="xdx_90F_eus-gaap--DefaultLongtermDebtDes"/>
            <w:bookmarkEnd w:id="775"/>
            <w:r>
              <w:rPr>
                <w:rFonts w:ascii="Times New Roman;Times;Serif" w:hAnsi="Times New Roman;Times;Serif"/>
                <w:sz w:val="20"/>
              </w:rPr>
              <w:t>In the event of a default the Company could have been required to pay to the holders an amount equal to the principal outstanding, plus any accrued interest through the date of payments, multiplied by 120%. The Company had the option to prepay the notes at any time and the note holders have the option to convert the notes, in whole or in part, at any time. The Company elected the fair value option to account for the convertible notes. This note was fully paid in February 2026.</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691,010</w:t>
            </w:r>
          </w:p>
        </w:tc>
        <w:tc>
          <w:tcPr>
            <w:tcW w:w="78" w:type="dxa"/>
            <w:tcBorders/>
            <w:shd w:fill="CCEEFF" w:val="clear"/>
            <w:vAlign w:val="center"/>
          </w:tcPr>
          <w:p>
            <w:pPr>
              <w:pStyle w:val="TableContents"/>
              <w:bidi w:val="0"/>
              <w:spacing w:before="0" w:after="283"/>
              <w:jc w:val="left"/>
              <w:rPr/>
            </w:pPr>
            <w:r>
              <w:rPr/>
              <w:t> </w:t>
            </w:r>
            <w:bookmarkStart w:id="776" w:name="xdx_407_eus-gaap--DebtLongtermAndShortte"/>
            <w:bookmarkEnd w:id="776"/>
          </w:p>
        </w:tc>
      </w:tr>
      <w:tr>
        <w:trPr/>
        <w:tc>
          <w:tcPr>
            <w:tcW w:w="773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2025 Term Loan</w:t>
            </w:r>
            <w:r>
              <w:rPr>
                <w:rFonts w:ascii="Times New Roman;Times;Serif" w:hAnsi="Times New Roman;Times;Serif"/>
                <w:sz w:val="20"/>
              </w:rPr>
              <w:t xml:space="preserve"> – On June 10, 2025, the Company entered into a term loan agreement with a principal balance of $</w:t>
            </w:r>
            <w:bookmarkStart w:id="777" w:name="xdx_90B_eus-gaap--DebtInstrumentFaceAmou"/>
            <w:bookmarkEnd w:id="777"/>
            <w:r>
              <w:rPr>
                <w:rFonts w:ascii="Times New Roman;Times;Serif" w:hAnsi="Times New Roman;Times;Serif"/>
                <w:sz w:val="20"/>
              </w:rPr>
              <w:t xml:space="preserve">3,500,000. The note has a floating rate of </w:t>
            </w:r>
            <w:bookmarkStart w:id="778" w:name="xdx_902_eus-gaap--DebtInstrumentInterest"/>
            <w:bookmarkEnd w:id="778"/>
            <w:r>
              <w:rPr>
                <w:rFonts w:ascii="Times New Roman;Times;Serif" w:hAnsi="Times New Roman;Times;Serif"/>
                <w:sz w:val="20"/>
              </w:rPr>
              <w:t xml:space="preserve">0.50% in excess of the Wall Street Journal Prime Rate and a floor of </w:t>
            </w:r>
            <w:bookmarkStart w:id="779" w:name="xdx_907_ecustom--DebtInstrumentInterestR"/>
            <w:bookmarkEnd w:id="779"/>
            <w:r>
              <w:rPr>
                <w:rFonts w:ascii="Times New Roman;Times;Serif" w:hAnsi="Times New Roman;Times;Serif"/>
                <w:sz w:val="20"/>
              </w:rPr>
              <w:t xml:space="preserve">6.50%, and is paid in monthly installments starting </w:t>
            </w:r>
            <w:bookmarkStart w:id="780" w:name="xdx_90A_eus-gaap--DebtInstrumentDateOfFi"/>
            <w:bookmarkEnd w:id="780"/>
            <w:r>
              <w:rPr>
                <w:rFonts w:ascii="Times New Roman;Times;Serif" w:hAnsi="Times New Roman;Times;Serif"/>
                <w:sz w:val="20"/>
              </w:rPr>
              <w:t xml:space="preserve">July 1, 2025, and maturing </w:t>
            </w:r>
            <w:bookmarkStart w:id="781" w:name="xdx_900_eus-gaap--DebtInstrumentMaturity"/>
            <w:bookmarkEnd w:id="781"/>
            <w:r>
              <w:rPr>
                <w:rFonts w:ascii="Times New Roman;Times;Serif" w:hAnsi="Times New Roman;Times;Serif"/>
                <w:sz w:val="20"/>
              </w:rPr>
              <w:t xml:space="preserve">June 30, 2028. As of March 2026, the interest on this loan is </w:t>
            </w:r>
            <w:bookmarkStart w:id="782" w:name="xdx_901_eus-gaap--DebtInstrumentInterest"/>
            <w:bookmarkEnd w:id="782"/>
            <w:r>
              <w:rPr>
                <w:rFonts w:ascii="Times New Roman;Times;Serif" w:hAnsi="Times New Roman;Times;Serif"/>
                <w:sz w:val="20"/>
              </w:rPr>
              <w:t xml:space="preserve">7.25%. In the event of a default, the Company could be required to pay the lender the entire principal balance, plus any accrued and unpaid interest immediately due and payable, without notice or demand. The note is secured by a lien on collateral. Collateral includes all of the borrower’s rights, title, and interest in all assets, including but not limited to accounts, equipment, deposits, intellectual property and books and records. Debt covenants of this loan requires the Company to maintain a minimum debt service coverage ratio of at least </w:t>
            </w:r>
            <w:bookmarkStart w:id="783" w:name="xdx_90A_ecustom--MinimumRequirementOfDeb"/>
            <w:bookmarkEnd w:id="783"/>
            <w:r>
              <w:rPr>
                <w:rFonts w:ascii="Times New Roman;Times;Serif" w:hAnsi="Times New Roman;Times;Serif"/>
                <w:sz w:val="20"/>
              </w:rPr>
              <w:t>1.5 to 1. The Company was in compliance with debt covenants of this loan for the trailing twelve month period ended March 31, 2026, and it is reasonably possible it will remain in compliance for the twelve months thereafter.</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2,689,064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2,961,882</w:t>
            </w:r>
          </w:p>
        </w:tc>
        <w:tc>
          <w:tcPr>
            <w:tcW w:w="78" w:type="dxa"/>
            <w:tcBorders/>
            <w:shd w:fill="FFFFFF" w:val="clear"/>
            <w:vAlign w:val="center"/>
          </w:tcPr>
          <w:p>
            <w:pPr>
              <w:pStyle w:val="TableContents"/>
              <w:bidi w:val="0"/>
              <w:spacing w:before="0" w:after="283"/>
              <w:jc w:val="left"/>
              <w:rPr/>
            </w:pPr>
            <w:r>
              <w:rPr/>
              <w:t> </w:t>
            </w:r>
            <w:bookmarkStart w:id="784" w:name="xdx_404_eus-gaap--DebtLongtermAndShortte"/>
            <w:bookmarkEnd w:id="784"/>
          </w:p>
        </w:tc>
      </w:tr>
      <w:tr>
        <w:trPr/>
        <w:tc>
          <w:tcPr>
            <w:tcW w:w="773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October 2025 Convertible Notes</w:t>
            </w:r>
            <w:r>
              <w:rPr>
                <w:rFonts w:ascii="Times New Roman;Times;Serif" w:hAnsi="Times New Roman;Times;Serif"/>
                <w:sz w:val="20"/>
              </w:rPr>
              <w:t xml:space="preserve"> – On October 24, 2025, the Company issued convertible notes at a </w:t>
            </w:r>
            <w:bookmarkStart w:id="785" w:name="xdx_90C_ecustom--ConvertibleNoteDiscount"/>
            <w:bookmarkEnd w:id="785"/>
            <w:r>
              <w:rPr>
                <w:rFonts w:ascii="Times New Roman;Times;Serif" w:hAnsi="Times New Roman;Times;Serif"/>
                <w:sz w:val="20"/>
              </w:rPr>
              <w:t>10.0% discount and a principal balance of $</w:t>
            </w:r>
            <w:bookmarkStart w:id="786" w:name="xdx_90A_eus-gaap--DebtInstrumentFaceAmou"/>
            <w:bookmarkEnd w:id="786"/>
            <w:r>
              <w:rPr>
                <w:rFonts w:ascii="Times New Roman;Times;Serif" w:hAnsi="Times New Roman;Times;Serif"/>
                <w:sz w:val="20"/>
              </w:rPr>
              <w:t xml:space="preserve">2,200,000. The notes had an interest rate of </w:t>
            </w:r>
            <w:bookmarkStart w:id="787" w:name="xdx_909_eus-gaap--DebtInstrumentInterest"/>
            <w:bookmarkEnd w:id="787"/>
            <w:r>
              <w:rPr>
                <w:rFonts w:ascii="Times New Roman;Times;Serif" w:hAnsi="Times New Roman;Times;Serif"/>
                <w:sz w:val="20"/>
              </w:rPr>
              <w:t xml:space="preserve">5.0% are payable in consecutive monthly installments beginning </w:t>
            </w:r>
            <w:bookmarkStart w:id="788" w:name="xdx_90E_eus-gaap--DebtInstrumentDateOfFi"/>
            <w:bookmarkEnd w:id="788"/>
            <w:r>
              <w:rPr>
                <w:rFonts w:ascii="Times New Roman;Times;Serif" w:hAnsi="Times New Roman;Times;Serif"/>
                <w:sz w:val="20"/>
              </w:rPr>
              <w:t xml:space="preserve">January 24, 2026 and will mature on </w:t>
            </w:r>
            <w:bookmarkStart w:id="789" w:name="xdx_909_eus-gaap--DebtInstrumentMaturity"/>
            <w:bookmarkEnd w:id="789"/>
            <w:r>
              <w:rPr>
                <w:rFonts w:ascii="Times New Roman;Times;Serif" w:hAnsi="Times New Roman;Times;Serif"/>
                <w:sz w:val="20"/>
              </w:rPr>
              <w:t xml:space="preserve">October 24, 2026. </w:t>
            </w:r>
            <w:bookmarkStart w:id="790" w:name="xdx_902_eus-gaap--DefaultLongtermDebtDes"/>
            <w:bookmarkEnd w:id="790"/>
            <w:r>
              <w:rPr>
                <w:rFonts w:ascii="Times New Roman;Times;Serif" w:hAnsi="Times New Roman;Times;Serif"/>
                <w:sz w:val="20"/>
              </w:rPr>
              <w:t>In the event of a default the Company could be required to pay to the holders an amount equal to the principal outstanding, plus any accrued interest through the date of payments, multiplied by 120%. The Company has the option to prepay the notes at any time and the note holders have the option to convert the notes, in whole or in part, at any time into shares of the Company’s Class A common stock. The Company elected the fair value option to account for the convertible notes.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1,522,928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2,115,856</w:t>
            </w:r>
          </w:p>
        </w:tc>
        <w:tc>
          <w:tcPr>
            <w:tcW w:w="78" w:type="dxa"/>
            <w:tcBorders/>
            <w:shd w:fill="CCEEFF" w:val="clear"/>
            <w:vAlign w:val="center"/>
          </w:tcPr>
          <w:p>
            <w:pPr>
              <w:pStyle w:val="TableContents"/>
              <w:bidi w:val="0"/>
              <w:spacing w:before="0" w:after="283"/>
              <w:jc w:val="left"/>
              <w:rPr/>
            </w:pPr>
            <w:r>
              <w:rPr/>
              <w:t> </w:t>
            </w:r>
            <w:bookmarkStart w:id="791" w:name="xdx_408_eus-gaap--DebtLongtermAndShortte"/>
            <w:bookmarkEnd w:id="791"/>
          </w:p>
        </w:tc>
      </w:tr>
      <w:tr>
        <w:trPr/>
        <w:tc>
          <w:tcPr>
            <w:tcW w:w="773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November 2025 Convertible Notes</w:t>
            </w:r>
            <w:r>
              <w:rPr>
                <w:rFonts w:ascii="Times New Roman;Times;Serif" w:hAnsi="Times New Roman;Times;Serif"/>
                <w:sz w:val="20"/>
              </w:rPr>
              <w:t xml:space="preserve"> – On November 26, 2025, the Company issued convertible notes at a </w:t>
            </w:r>
            <w:bookmarkStart w:id="792" w:name="xdx_909_ecustom--ConvertibleNoteDiscount"/>
            <w:bookmarkEnd w:id="792"/>
            <w:r>
              <w:rPr>
                <w:rFonts w:ascii="Times New Roman;Times;Serif" w:hAnsi="Times New Roman;Times;Serif"/>
                <w:sz w:val="20"/>
              </w:rPr>
              <w:t>10.0% discount and a principal balance of $</w:t>
            </w:r>
            <w:bookmarkStart w:id="793" w:name="xdx_903_eus-gaap--DebtInstrumentFaceAmou"/>
            <w:bookmarkEnd w:id="793"/>
            <w:r>
              <w:rPr>
                <w:rFonts w:ascii="Times New Roman;Times;Serif" w:hAnsi="Times New Roman;Times;Serif"/>
                <w:sz w:val="20"/>
              </w:rPr>
              <w:t xml:space="preserve">1,100,000. The notes had an interest rate of </w:t>
            </w:r>
            <w:bookmarkStart w:id="794" w:name="xdx_90F_eus-gaap--DebtInstrumentInterest"/>
            <w:bookmarkEnd w:id="794"/>
            <w:r>
              <w:rPr>
                <w:rFonts w:ascii="Times New Roman;Times;Serif" w:hAnsi="Times New Roman;Times;Serif"/>
                <w:sz w:val="20"/>
              </w:rPr>
              <w:t xml:space="preserve">5.0% and are payable in consecutive monthly installments beginning </w:t>
            </w:r>
            <w:bookmarkStart w:id="795" w:name="xdx_906_eus-gaap--DebtInstrumentDateOfFi"/>
            <w:bookmarkEnd w:id="795"/>
            <w:r>
              <w:rPr>
                <w:rFonts w:ascii="Times New Roman;Times;Serif" w:hAnsi="Times New Roman;Times;Serif"/>
                <w:sz w:val="20"/>
              </w:rPr>
              <w:t xml:space="preserve">February 26, 2026 and will mature on </w:t>
            </w:r>
            <w:bookmarkStart w:id="796" w:name="xdx_900_eus-gaap--DebtInstrumentMaturity"/>
            <w:bookmarkEnd w:id="796"/>
            <w:r>
              <w:rPr>
                <w:rFonts w:ascii="Times New Roman;Times;Serif" w:hAnsi="Times New Roman;Times;Serif"/>
                <w:sz w:val="20"/>
              </w:rPr>
              <w:t xml:space="preserve">November 26, 2026. </w:t>
            </w:r>
            <w:bookmarkStart w:id="797" w:name="xdx_905_eus-gaap--DefaultLongtermDebtDes"/>
            <w:bookmarkEnd w:id="797"/>
            <w:r>
              <w:rPr>
                <w:rFonts w:ascii="Times New Roman;Times;Serif" w:hAnsi="Times New Roman;Times;Serif"/>
                <w:sz w:val="20"/>
              </w:rPr>
              <w:t>In the event of a default the Company could be required to pay to the holders an amount equal to the principal outstanding, plus any accrued interest through the date of payments, multiplied by 120%. The Company has the option to prepay the notes at any time and the note holders have the option to convert the notes, in whole or in part, at any time into shares of the Company’s Class A common stock. The Company elected the fair value option to account for the convertible notes.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859,327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1,035,323</w:t>
            </w:r>
          </w:p>
        </w:tc>
        <w:tc>
          <w:tcPr>
            <w:tcW w:w="78" w:type="dxa"/>
            <w:tcBorders/>
            <w:shd w:fill="FFFFFF" w:val="clear"/>
            <w:vAlign w:val="center"/>
          </w:tcPr>
          <w:p>
            <w:pPr>
              <w:pStyle w:val="TableContents"/>
              <w:bidi w:val="0"/>
              <w:spacing w:before="0" w:after="283"/>
              <w:jc w:val="left"/>
              <w:rPr/>
            </w:pPr>
            <w:r>
              <w:rPr/>
              <w:t> </w:t>
            </w:r>
            <w:bookmarkStart w:id="798" w:name="xdx_405_eus-gaap--DebtLongtermAndShortte"/>
            <w:bookmarkEnd w:id="798"/>
          </w:p>
        </w:tc>
      </w:tr>
      <w:tr>
        <w:trPr/>
        <w:tc>
          <w:tcPr>
            <w:tcW w:w="773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debt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10,185,554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14,440,607</w:t>
            </w:r>
          </w:p>
        </w:tc>
        <w:tc>
          <w:tcPr>
            <w:tcW w:w="78" w:type="dxa"/>
            <w:tcBorders/>
            <w:shd w:fill="CCEEFF" w:val="clear"/>
            <w:vAlign w:val="center"/>
          </w:tcPr>
          <w:p>
            <w:pPr>
              <w:pStyle w:val="TableContents"/>
              <w:bidi w:val="0"/>
              <w:spacing w:before="0" w:after="283"/>
              <w:jc w:val="left"/>
              <w:rPr/>
            </w:pPr>
            <w:r>
              <w:rPr/>
              <w:t> </w:t>
            </w:r>
            <w:bookmarkStart w:id="799" w:name="xdx_40E_eus-gaap--LongTermDebtCurrent_iI"/>
            <w:bookmarkEnd w:id="799"/>
          </w:p>
        </w:tc>
      </w:tr>
      <w:tr>
        <w:trPr/>
        <w:tc>
          <w:tcPr>
            <w:tcW w:w="773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current portion of long-term debt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1,329,123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1,305,880</w:t>
            </w:r>
          </w:p>
        </w:tc>
        <w:tc>
          <w:tcPr>
            <w:tcW w:w="78" w:type="dxa"/>
            <w:tcBorders/>
            <w:shd w:fill="FFFFFF" w:val="clear"/>
            <w:vAlign w:val="center"/>
          </w:tcPr>
          <w:p>
            <w:pPr>
              <w:pStyle w:val="TableContents"/>
              <w:bidi w:val="0"/>
              <w:spacing w:before="0" w:after="283"/>
              <w:jc w:val="left"/>
              <w:rPr/>
            </w:pPr>
            <w:r>
              <w:rPr/>
              <w:t> </w:t>
            </w:r>
            <w:bookmarkStart w:id="800" w:name="xdx_40D_eus-gaap--ConvertibleNotesPayabl"/>
            <w:bookmarkEnd w:id="800"/>
          </w:p>
        </w:tc>
      </w:tr>
      <w:tr>
        <w:trPr/>
        <w:tc>
          <w:tcPr>
            <w:tcW w:w="773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convertible notes at fair value</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2,382,255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3,842,189</w:t>
            </w:r>
          </w:p>
        </w:tc>
        <w:tc>
          <w:tcPr>
            <w:tcW w:w="78" w:type="dxa"/>
            <w:tcBorders/>
            <w:shd w:fill="CCEEFF" w:val="clear"/>
            <w:vAlign w:val="center"/>
          </w:tcPr>
          <w:p>
            <w:pPr>
              <w:pStyle w:val="TableContents"/>
              <w:bidi w:val="0"/>
              <w:spacing w:before="0" w:after="283"/>
              <w:jc w:val="left"/>
              <w:rPr/>
            </w:pPr>
            <w:r>
              <w:rPr/>
              <w:t> </w:t>
            </w:r>
            <w:bookmarkStart w:id="801" w:name="xdx_40A_ecustom--RevolvingLoanShortTermN"/>
            <w:bookmarkEnd w:id="801"/>
          </w:p>
        </w:tc>
      </w:tr>
      <w:tr>
        <w:trPr/>
        <w:tc>
          <w:tcPr>
            <w:tcW w:w="773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long-term debt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6,474,176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9,292,538</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02" w:name="xdx_8AF_zWYfj4W6mXoe"/>
      <w:bookmarkEnd w:id="80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for the above debt and revolver loan amounted to $</w:t>
      </w:r>
      <w:bookmarkStart w:id="803" w:name="xdx_901_eus-gaap--InterestExpenseDebt_pp"/>
      <w:bookmarkEnd w:id="803"/>
      <w:r>
        <w:rPr>
          <w:rFonts w:ascii="Times New Roman;Times;Serif" w:hAnsi="Times New Roman;Times;Serif"/>
          <w:b w:val="false"/>
          <w:i w:val="false"/>
          <w:caps w:val="false"/>
          <w:smallCaps w:val="false"/>
          <w:sz w:val="20"/>
        </w:rPr>
        <w:t>201,308 and $</w:t>
      </w:r>
      <w:bookmarkStart w:id="804" w:name="xdx_909_eus-gaap--InterestExpenseDebt_pp"/>
      <w:bookmarkEnd w:id="804"/>
      <w:r>
        <w:rPr>
          <w:rFonts w:ascii="Times New Roman;Times;Serif" w:hAnsi="Times New Roman;Times;Serif"/>
          <w:b w:val="false"/>
          <w:i w:val="false"/>
          <w:caps w:val="false"/>
          <w:smallCaps w:val="false"/>
          <w:sz w:val="20"/>
        </w:rPr>
        <w:t>80,746 for the three months ended March 31, 2026 and 2025, respectively. Amortization of loan origination expenses and loan discounts of $</w:t>
      </w:r>
      <w:bookmarkStart w:id="805" w:name="xdx_904_eus-gaap--AmortizationOfDeferred"/>
      <w:bookmarkEnd w:id="805"/>
      <w:r>
        <w:rPr>
          <w:rFonts w:ascii="Times New Roman;Times;Serif" w:hAnsi="Times New Roman;Times;Serif"/>
          <w:b w:val="false"/>
          <w:i w:val="false"/>
          <w:caps w:val="false"/>
          <w:smallCaps w:val="false"/>
          <w:sz w:val="20"/>
        </w:rPr>
        <w:t>2,949 and $</w:t>
      </w:r>
      <w:bookmarkStart w:id="806" w:name="xdx_907_eus-gaap--AmortizationOfDeferred"/>
      <w:bookmarkEnd w:id="806"/>
      <w:r>
        <w:rPr>
          <w:rFonts w:ascii="Times New Roman;Times;Serif" w:hAnsi="Times New Roman;Times;Serif"/>
          <w:b w:val="false"/>
          <w:i w:val="false"/>
          <w:caps w:val="false"/>
          <w:smallCaps w:val="false"/>
          <w:sz w:val="20"/>
        </w:rPr>
        <w:t xml:space="preserve">2,611 are included as part of interest expense for the three months ended March 31, 2026 and 2025, respectively. The Company has a weighted average interest rate of </w:t>
      </w:r>
      <w:bookmarkStart w:id="807" w:name="xdx_900_eus-gaap--DebtWeightedAverageInt"/>
      <w:bookmarkEnd w:id="807"/>
      <w:r>
        <w:rPr>
          <w:rFonts w:ascii="Times New Roman;Times;Serif" w:hAnsi="Times New Roman;Times;Serif"/>
          <w:b w:val="false"/>
          <w:i w:val="false"/>
          <w:caps w:val="false"/>
          <w:smallCaps w:val="false"/>
          <w:sz w:val="20"/>
        </w:rPr>
        <w:t xml:space="preserve">5.7% and </w:t>
      </w:r>
      <w:bookmarkStart w:id="808" w:name="xdx_90B_eus-gaap--DebtWeightedAverageInt"/>
      <w:bookmarkEnd w:id="808"/>
      <w:r>
        <w:rPr>
          <w:rFonts w:ascii="Times New Roman;Times;Serif" w:hAnsi="Times New Roman;Times;Serif"/>
          <w:b w:val="false"/>
          <w:i w:val="false"/>
          <w:caps w:val="false"/>
          <w:smallCaps w:val="false"/>
          <w:sz w:val="20"/>
        </w:rPr>
        <w:t>5.7% on its short-term obligations as of March 31, 2026 and December 31, 2025, respectively. The Company was in compliance with its financial covenants related to the 2021 Revolving Loan, 2021 Promissory Note and 2025 Term Loan for the trailing twelve months ended March 31, 2026, and it is reasonably possible it will remain in compliance for the twelve months thereafter.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09" w:name="xdx_893_eus-gaap--ScheduleOfMaturitiesOf"/>
      <w:bookmarkEnd w:id="809"/>
      <w:r>
        <w:rPr>
          <w:rFonts w:ascii="Times New Roman;Times;Serif" w:hAnsi="Times New Roman;Times;Serif"/>
          <w:b w:val="false"/>
          <w:i w:val="false"/>
          <w:caps w:val="false"/>
          <w:smallCaps w:val="false"/>
          <w:sz w:val="20"/>
        </w:rPr>
        <w:t>The following table provides future minimum payments of its long-term debt based on contractual payments,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10" w:name="xdx_8BD_z3mdAUZshpR9"/>
      <w:bookmarkEnd w:id="810"/>
      <w:r>
        <w:rPr>
          <w:rFonts w:ascii="Times New Roman;Times;Serif" w:hAnsi="Times New Roman;Times;Serif"/>
          <w:b w:val="false"/>
          <w:i w:val="false"/>
          <w:caps w:val="false"/>
          <w:smallCaps w:val="false"/>
          <w:sz w:val="20"/>
        </w:rPr>
        <w:t>SCHEDULE OF FUTURE MINIMUM PAYMENTS OF LONG TERM DEBT</w:t>
      </w:r>
    </w:p>
    <w:tbl>
      <w:tblPr>
        <w:tblW w:w="4215" w:type="dxa"/>
        <w:jc w:val="left"/>
        <w:tblInd w:w="0" w:type="dxa"/>
        <w:tblLayout w:type="fixed"/>
        <w:tblCellMar>
          <w:top w:w="0" w:type="dxa"/>
          <w:left w:w="0" w:type="dxa"/>
          <w:bottom w:w="28" w:type="dxa"/>
          <w:right w:w="0" w:type="dxa"/>
        </w:tblCellMar>
      </w:tblPr>
      <w:tblGrid>
        <w:gridCol w:w="2840"/>
        <w:gridCol w:w="60"/>
        <w:gridCol w:w="140"/>
        <w:gridCol w:w="1100"/>
        <w:gridCol w:w="75"/>
      </w:tblGrid>
      <w:tr>
        <w:trPr/>
        <w:tc>
          <w:tcPr>
            <w:tcW w:w="2840" w:type="dxa"/>
            <w:tcBorders>
              <w:bottom w:val="single" w:sz="8" w:space="0" w:color="000000"/>
            </w:tcBorders>
            <w:vAlign w:val="center"/>
          </w:tcPr>
          <w:p>
            <w:pPr>
              <w:pStyle w:val="TableContents"/>
              <w:bidi w:val="0"/>
              <w:spacing w:before="0" w:after="283"/>
              <w:jc w:val="both"/>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bookmarkStart w:id="811" w:name="xdx_499_20260331_z2bYekxj2xn7"/>
            <w:bookmarkEnd w:id="811"/>
          </w:p>
        </w:tc>
        <w:tc>
          <w:tcPr>
            <w:tcW w:w="124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bookmarkStart w:id="812" w:name="xdx_40C_eus-gaap--LongTermDebtMaturities"/>
            <w:bookmarkEnd w:id="812"/>
          </w:p>
        </w:tc>
      </w:tr>
      <w:tr>
        <w:trPr/>
        <w:tc>
          <w:tcPr>
            <w:tcW w:w="2840" w:type="dxa"/>
            <w:tcBorders/>
            <w:shd w:fill="CCEEFF" w:val="clear"/>
            <w:tcMar>
              <w:bottom w:w="0" w:type="dxa"/>
            </w:tcMar>
            <w:vAlign w:val="center"/>
          </w:tcPr>
          <w:p>
            <w:pPr>
              <w:pStyle w:val="TableContents"/>
              <w:bidi w:val="0"/>
              <w:spacing w:before="0" w:after="283"/>
              <w:jc w:val="both"/>
              <w:rPr/>
            </w:pPr>
            <w:r>
              <w:rPr/>
              <w:t>Remainder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3,450,349</w:t>
            </w:r>
          </w:p>
        </w:tc>
        <w:tc>
          <w:tcPr>
            <w:tcW w:w="75" w:type="dxa"/>
            <w:tcBorders/>
            <w:shd w:fill="CCEEFF" w:val="clear"/>
            <w:tcMar>
              <w:bottom w:w="0" w:type="dxa"/>
            </w:tcMar>
            <w:vAlign w:val="center"/>
          </w:tcPr>
          <w:p>
            <w:pPr>
              <w:pStyle w:val="TableContents"/>
              <w:bidi w:val="0"/>
              <w:spacing w:before="0" w:after="283"/>
              <w:jc w:val="left"/>
              <w:rPr/>
            </w:pPr>
            <w:r>
              <w:rPr/>
              <w:t> </w:t>
            </w:r>
            <w:bookmarkStart w:id="813" w:name="xdx_40A_eus-gaap--LongTermDebtMaturities"/>
            <w:bookmarkEnd w:id="813"/>
          </w:p>
        </w:tc>
      </w:tr>
      <w:tr>
        <w:trPr/>
        <w:tc>
          <w:tcPr>
            <w:tcW w:w="2840"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1,305,111</w:t>
            </w:r>
          </w:p>
        </w:tc>
        <w:tc>
          <w:tcPr>
            <w:tcW w:w="75" w:type="dxa"/>
            <w:tcBorders/>
            <w:shd w:fill="FFFFFF" w:val="clear"/>
            <w:tcMar>
              <w:bottom w:w="0" w:type="dxa"/>
            </w:tcMar>
            <w:vAlign w:val="center"/>
          </w:tcPr>
          <w:p>
            <w:pPr>
              <w:pStyle w:val="TableContents"/>
              <w:bidi w:val="0"/>
              <w:spacing w:before="0" w:after="283"/>
              <w:jc w:val="left"/>
              <w:rPr/>
            </w:pPr>
            <w:r>
              <w:rPr/>
              <w:t> </w:t>
            </w:r>
            <w:bookmarkStart w:id="814" w:name="xdx_40B_eus-gaap--LongTermDebtMaturities"/>
            <w:bookmarkEnd w:id="814"/>
          </w:p>
        </w:tc>
      </w:tr>
      <w:tr>
        <w:trPr/>
        <w:tc>
          <w:tcPr>
            <w:tcW w:w="2840"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627,750</w:t>
            </w:r>
          </w:p>
        </w:tc>
        <w:tc>
          <w:tcPr>
            <w:tcW w:w="75" w:type="dxa"/>
            <w:tcBorders/>
            <w:shd w:fill="CCEEFF" w:val="clear"/>
            <w:tcMar>
              <w:bottom w:w="0" w:type="dxa"/>
            </w:tcMar>
            <w:vAlign w:val="center"/>
          </w:tcPr>
          <w:p>
            <w:pPr>
              <w:pStyle w:val="TableContents"/>
              <w:bidi w:val="0"/>
              <w:spacing w:before="0" w:after="283"/>
              <w:jc w:val="left"/>
              <w:rPr/>
            </w:pPr>
            <w:r>
              <w:rPr/>
              <w:t> </w:t>
            </w:r>
            <w:bookmarkStart w:id="815" w:name="xdx_40E_eus-gaap--LongTermDebtMaturities"/>
            <w:bookmarkEnd w:id="815"/>
          </w:p>
        </w:tc>
      </w:tr>
      <w:tr>
        <w:trPr/>
        <w:tc>
          <w:tcPr>
            <w:tcW w:w="2840" w:type="dxa"/>
            <w:tcBorders/>
            <w:shd w:fill="FFFFFF" w:val="clear"/>
            <w:tcMar>
              <w:bottom w:w="0" w:type="dxa"/>
            </w:tcMar>
            <w:vAlign w:val="center"/>
          </w:tcPr>
          <w:p>
            <w:pPr>
              <w:pStyle w:val="TableContents"/>
              <w:bidi w:val="0"/>
              <w:spacing w:before="0" w:after="283"/>
              <w:jc w:val="both"/>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99,101</w:t>
            </w:r>
          </w:p>
        </w:tc>
        <w:tc>
          <w:tcPr>
            <w:tcW w:w="75" w:type="dxa"/>
            <w:tcBorders/>
            <w:shd w:fill="FFFFFF" w:val="clear"/>
            <w:tcMar>
              <w:bottom w:w="0" w:type="dxa"/>
            </w:tcMar>
            <w:vAlign w:val="center"/>
          </w:tcPr>
          <w:p>
            <w:pPr>
              <w:pStyle w:val="TableContents"/>
              <w:bidi w:val="0"/>
              <w:spacing w:before="0" w:after="283"/>
              <w:jc w:val="left"/>
              <w:rPr/>
            </w:pPr>
            <w:r>
              <w:rPr/>
              <w:t> </w:t>
            </w:r>
            <w:bookmarkStart w:id="816" w:name="xdx_406_eus-gaap--LongTermDebtMaturities"/>
            <w:bookmarkEnd w:id="816"/>
          </w:p>
        </w:tc>
      </w:tr>
      <w:tr>
        <w:trPr/>
        <w:tc>
          <w:tcPr>
            <w:tcW w:w="2840" w:type="dxa"/>
            <w:tcBorders/>
            <w:shd w:fill="CCEEFF" w:val="clear"/>
            <w:tcMar>
              <w:bottom w:w="0" w:type="dxa"/>
            </w:tcMar>
            <w:vAlign w:val="center"/>
          </w:tcPr>
          <w:p>
            <w:pPr>
              <w:pStyle w:val="TableContents"/>
              <w:bidi w:val="0"/>
              <w:spacing w:before="0" w:after="283"/>
              <w:jc w:val="both"/>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2,602,675</w:t>
            </w:r>
          </w:p>
        </w:tc>
        <w:tc>
          <w:tcPr>
            <w:tcW w:w="75" w:type="dxa"/>
            <w:tcBorders/>
            <w:shd w:fill="CCEEFF" w:val="clear"/>
            <w:tcMar>
              <w:bottom w:w="0" w:type="dxa"/>
            </w:tcMar>
            <w:vAlign w:val="center"/>
          </w:tcPr>
          <w:p>
            <w:pPr>
              <w:pStyle w:val="TableContents"/>
              <w:bidi w:val="0"/>
              <w:spacing w:before="0" w:after="283"/>
              <w:jc w:val="left"/>
              <w:rPr/>
            </w:pPr>
            <w:r>
              <w:rPr/>
              <w:t> </w:t>
            </w:r>
            <w:bookmarkStart w:id="817" w:name="xdx_40C_ecustom--LongTermDebtMaturitiesR"/>
            <w:bookmarkEnd w:id="817"/>
          </w:p>
        </w:tc>
      </w:tr>
      <w:tr>
        <w:trPr/>
        <w:tc>
          <w:tcPr>
            <w:tcW w:w="2840"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2,157,901</w:t>
            </w:r>
          </w:p>
        </w:tc>
        <w:tc>
          <w:tcPr>
            <w:tcW w:w="75" w:type="dxa"/>
            <w:tcBorders/>
            <w:shd w:fill="FFFFFF" w:val="clear"/>
            <w:tcMar>
              <w:bottom w:w="0" w:type="dxa"/>
            </w:tcMar>
            <w:vAlign w:val="center"/>
          </w:tcPr>
          <w:p>
            <w:pPr>
              <w:pStyle w:val="TableContents"/>
              <w:bidi w:val="0"/>
              <w:spacing w:before="0" w:after="283"/>
              <w:jc w:val="left"/>
              <w:rPr/>
            </w:pPr>
            <w:r>
              <w:rPr/>
              <w:t> </w:t>
            </w:r>
            <w:bookmarkStart w:id="818" w:name="xdx_409_eus-gaap--LongTermDebt_iTI_mtLTD"/>
            <w:bookmarkEnd w:id="818"/>
          </w:p>
        </w:tc>
      </w:tr>
      <w:tr>
        <w:trPr/>
        <w:tc>
          <w:tcPr>
            <w:tcW w:w="284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Long 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1100" w:type="dxa"/>
            <w:tcBorders>
              <w:bottom w:val="double" w:sz="6" w:space="0" w:color="000000"/>
            </w:tcBorders>
            <w:shd w:fill="CCEEFF" w:val="clear"/>
            <w:vAlign w:val="center"/>
          </w:tcPr>
          <w:p>
            <w:pPr>
              <w:pStyle w:val="TableContents"/>
              <w:bidi w:val="0"/>
              <w:spacing w:before="0" w:after="283"/>
              <w:jc w:val="right"/>
              <w:rPr/>
            </w:pPr>
            <w:r>
              <w:rPr/>
              <w:t>10,242,887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819" w:name="xdx_8A2_zbFCDIbMEJ22"/>
      <w:bookmarkEnd w:id="819"/>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because the Company elected the fair value option for the February 2025 Convertible Notes, October 2025 Convertible Notes and November 2025 Convertible Notes, there were no separately recognized unamortized premium, debt discount, or deferred issuance cost balances associated with these instruments. Accordingly, the net carrying amount of each such instrument equaled its fair value as of March 31, 2026. The February 2025 Convertible Notes, October 2025 Convertible Notes and November 2025 Convertible notes had net carrying amounts, or fair values, of $</w:t>
      </w:r>
      <w:bookmarkStart w:id="820" w:name="xdx_90E_eus-gaap--ConvertibleDebtFairVal"/>
      <w:bookmarkEnd w:id="820"/>
      <w:r>
        <w:rPr>
          <w:rFonts w:ascii="Times New Roman;Times;Serif" w:hAnsi="Times New Roman;Times;Serif"/>
          <w:b w:val="false"/>
          <w:i w:val="false"/>
          <w:caps w:val="false"/>
          <w:smallCaps w:val="false"/>
          <w:sz w:val="20"/>
        </w:rPr>
        <w:t>0, $</w:t>
      </w:r>
      <w:bookmarkStart w:id="821" w:name="xdx_900_eus-gaap--ConvertibleDebtFairVal"/>
      <w:bookmarkEnd w:id="821"/>
      <w:r>
        <w:rPr>
          <w:rFonts w:ascii="Times New Roman;Times;Serif" w:hAnsi="Times New Roman;Times;Serif"/>
          <w:b w:val="false"/>
          <w:i w:val="false"/>
          <w:caps w:val="false"/>
          <w:smallCaps w:val="false"/>
          <w:sz w:val="20"/>
        </w:rPr>
        <w:t>1,522,928 and $</w:t>
      </w:r>
      <w:bookmarkStart w:id="822" w:name="xdx_90B_eus-gaap--ConvertibleDebtFairVal"/>
      <w:bookmarkEnd w:id="822"/>
      <w:r>
        <w:rPr>
          <w:rFonts w:ascii="Times New Roman;Times;Serif" w:hAnsi="Times New Roman;Times;Serif"/>
          <w:b w:val="false"/>
          <w:i w:val="false"/>
          <w:caps w:val="false"/>
          <w:smallCaps w:val="false"/>
          <w:sz w:val="20"/>
        </w:rPr>
        <w:t>859,327 as of March 31, 2026, respectively, and were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February 2025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pursuant to a securities purchase agreement (the “SPA”), the Company issued to two accredited investors (the “Investors”) convertible notes with an aggregate principal amount of $</w:t>
      </w:r>
      <w:bookmarkStart w:id="823" w:name="xdx_909_eus-gaap--DebtInstrumentFaceAmou"/>
      <w:bookmarkEnd w:id="823"/>
      <w:r>
        <w:rPr>
          <w:rFonts w:ascii="Times New Roman;Times;Serif" w:hAnsi="Times New Roman;Times;Serif"/>
          <w:b w:val="false"/>
          <w:i w:val="false"/>
          <w:caps w:val="false"/>
          <w:smallCaps w:val="false"/>
          <w:sz w:val="20"/>
        </w:rPr>
        <w:t>3,300,000 (the “February 2025 Convertible Notes”) for gross proceeds of $</w:t>
      </w:r>
      <w:bookmarkStart w:id="824" w:name="xdx_907_eus-gaap--ProceedsFromConvertibl"/>
      <w:bookmarkEnd w:id="824"/>
      <w:r>
        <w:rPr>
          <w:rFonts w:ascii="Times New Roman;Times;Serif" w:hAnsi="Times New Roman;Times;Serif"/>
          <w:b w:val="false"/>
          <w:i w:val="false"/>
          <w:caps w:val="false"/>
          <w:smallCaps w:val="false"/>
          <w:sz w:val="20"/>
        </w:rPr>
        <w:t xml:space="preserve">3,000,000. The February 2025 Convertible Notes, which mature on February 21, 2026, carry an original issue discount of </w:t>
      </w:r>
      <w:bookmarkStart w:id="825" w:name="xdx_902_ecustom--DebtInstrumentOriginalI"/>
      <w:bookmarkEnd w:id="825"/>
      <w:r>
        <w:rPr>
          <w:rFonts w:ascii="Times New Roman;Times;Serif" w:hAnsi="Times New Roman;Times;Serif"/>
          <w:b w:val="false"/>
          <w:i w:val="false"/>
          <w:caps w:val="false"/>
          <w:smallCaps w:val="false"/>
          <w:sz w:val="20"/>
        </w:rPr>
        <w:t xml:space="preserve">10%, and were subject to a guaranteed interest equal to </w:t>
      </w:r>
      <w:bookmarkStart w:id="826" w:name="xdx_900_eus-gaap--DebtConversionOriginal"/>
      <w:bookmarkEnd w:id="826"/>
      <w:r>
        <w:rPr>
          <w:rFonts w:ascii="Times New Roman;Times;Serif" w:hAnsi="Times New Roman;Times;Serif"/>
          <w:b w:val="false"/>
          <w:i w:val="false"/>
          <w:caps w:val="false"/>
          <w:smallCaps w:val="false"/>
          <w:sz w:val="20"/>
        </w:rPr>
        <w:t>5% of the principal amount. The principal and interest charges were payable in 10 equal monthly payments starting May 21, 2025. The notes were fully paid in February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ownership limitations, all or a portion of the then outstanding and unpaid principal and interest (the “conversion amount”) of the February 2025 Convertible Notes could be converted at the option of the holder at any time into shares of the Company’s Class A common, at a conversion price of $</w:t>
      </w:r>
      <w:bookmarkStart w:id="827" w:name="xdx_902_eus-gaap--SharePrice_iI_pid_c202"/>
      <w:bookmarkEnd w:id="827"/>
      <w:r>
        <w:rPr>
          <w:rFonts w:ascii="Times New Roman;Times;Serif" w:hAnsi="Times New Roman;Times;Serif"/>
          <w:b w:val="false"/>
          <w:i w:val="false"/>
          <w:caps w:val="false"/>
          <w:smallCaps w:val="false"/>
          <w:sz w:val="20"/>
        </w:rPr>
        <w:t>5.00 per share, except that, for an aggregate of $</w:t>
      </w:r>
      <w:bookmarkStart w:id="828" w:name="xdx_901_eus-gaap--DebtConversionConverte"/>
      <w:bookmarkEnd w:id="828"/>
      <w:r>
        <w:rPr>
          <w:rFonts w:ascii="Times New Roman;Times;Serif" w:hAnsi="Times New Roman;Times;Serif"/>
          <w:b w:val="false"/>
          <w:i w:val="false"/>
          <w:caps w:val="false"/>
          <w:smallCaps w:val="false"/>
          <w:sz w:val="20"/>
        </w:rPr>
        <w:t xml:space="preserve">866,250 of </w:t>
      </w:r>
      <w:bookmarkStart w:id="829" w:name="xdx_90F_eus-gaap--DebtConversionDescript"/>
      <w:bookmarkEnd w:id="829"/>
      <w:r>
        <w:rPr>
          <w:rFonts w:ascii="Times New Roman;Times;Serif" w:hAnsi="Times New Roman;Times;Serif"/>
          <w:b w:val="false"/>
          <w:i w:val="false"/>
          <w:caps w:val="false"/>
          <w:smallCaps w:val="false"/>
          <w:sz w:val="20"/>
        </w:rPr>
        <w:t>the conversion amount, the conversion price was equal to the lesser of $5.00 per share or 92% of the lowest daily volume weighted average price (“VWAP”) of the Class A common stock during the 5 trading days period prior the receipt of the notice of conversion (the “Market Price”). The conversion price could be adjusted for certain customary dilutive events. Accordingly, the number of shares issuable upon conversion of the February 2025 Convertible Notes was not fixed as of March 31, 2026 and depended on (i) the amount of principal and interest outstanding at the conversion date and (ii) for the portion of the conversion amount subject to a Market Price-based conversion feature, the market price of the Company’s Class A common stock on the applicable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February 2025 Convertible Notes could be prepaid by the Company upon giving the Investors a ten-calendar day notice by paying an amount equal to the outstanding balance. </w:t>
      </w:r>
      <w:bookmarkStart w:id="830" w:name="xdx_908_eus-gaap--DebtInstrumentDescript"/>
      <w:bookmarkEnd w:id="830"/>
      <w:r>
        <w:rPr>
          <w:rFonts w:ascii="Times New Roman;Times;Serif" w:hAnsi="Times New Roman;Times;Serif"/>
          <w:b w:val="false"/>
          <w:i w:val="false"/>
          <w:caps w:val="false"/>
          <w:smallCaps w:val="false"/>
          <w:sz w:val="20"/>
        </w:rPr>
        <w:t>In event of default the Investors could require the Company to prepay the February 2025 Convertible Notes at a 120% premium and have the option to convert any amount then outstanding into shares of Common Stock at the lesser of the then applicable conversion price or the Market Price. If the Company fails to make the monthly payment, the Noteholders had the right to convert the amount of the monthly payment into shares of Common Stock at the lesser of the then applicable Conversion Price or the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2025 Convertible Notes include multiple features that would require bifurcation, analysis and to be revalued at each reporting date. Accordingly, the Company has elected to apply the fair value option to the February 2025 Convertible Notes to simplify the reporting. The February 2025 Convertible Notes were initially measured at fair value and are being re-measured at fair value at each subsequent reporting date. For the three months ended March 31, 2026, the change in fair value was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1" w:name="xdx_8B6_zjnOLo0zhdJc"/>
      <w:bookmarkStart w:id="832" w:name="xdx_899_eus-gaap--ScheduleOfFairValueAss"/>
      <w:bookmarkEnd w:id="831"/>
      <w:bookmarkEnd w:id="832"/>
      <w:r>
        <w:rPr>
          <w:rFonts w:ascii="Times New Roman;Times;Serif" w:hAnsi="Times New Roman;Times;Serif"/>
          <w:b w:val="false"/>
          <w:i w:val="false"/>
          <w:caps w:val="false"/>
          <w:smallCaps w:val="false"/>
          <w:sz w:val="20"/>
        </w:rPr>
        <w:t>SCHEDULE OF CHANGE IN FAIR VALUE </w:t>
      </w:r>
    </w:p>
    <w:tbl>
      <w:tblPr>
        <w:tblW w:w="4889" w:type="dxa"/>
        <w:jc w:val="left"/>
        <w:tblInd w:w="0" w:type="dxa"/>
        <w:tblLayout w:type="fixed"/>
        <w:tblCellMar>
          <w:top w:w="0" w:type="dxa"/>
          <w:left w:w="0" w:type="dxa"/>
          <w:bottom w:w="0" w:type="dxa"/>
          <w:right w:w="0" w:type="dxa"/>
        </w:tblCellMar>
      </w:tblPr>
      <w:tblGrid>
        <w:gridCol w:w="3185"/>
        <w:gridCol w:w="60"/>
        <w:gridCol w:w="211"/>
        <w:gridCol w:w="1323"/>
        <w:gridCol w:w="11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pPr>
            <w:r>
              <w:rPr/>
              <w:t>March 31, 2026</w:t>
            </w:r>
          </w:p>
        </w:tc>
        <w:tc>
          <w:tcPr>
            <w:tcW w:w="11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Fair value, at beginning of period</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bookmarkStart w:id="833" w:name="xdx_98A_eus-gaap--ConvertibleDebtFairVal"/>
            <w:bookmarkEnd w:id="833"/>
          </w:p>
        </w:tc>
        <w:tc>
          <w:tcPr>
            <w:tcW w:w="1323" w:type="dxa"/>
            <w:tcBorders/>
            <w:shd w:fill="CCEEFF" w:val="clear"/>
            <w:vAlign w:val="center"/>
          </w:tcPr>
          <w:p>
            <w:pPr>
              <w:pStyle w:val="TableContents"/>
              <w:bidi w:val="0"/>
              <w:spacing w:before="0" w:after="283"/>
              <w:jc w:val="right"/>
              <w:rPr/>
            </w:pPr>
            <w:r>
              <w:rPr/>
              <w:t>691,010</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Principal payments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bookmarkStart w:id="834" w:name="xdx_98C_ecustom--RepaymentsOfConvertible"/>
            <w:bookmarkEnd w:id="834"/>
          </w:p>
        </w:tc>
        <w:tc>
          <w:tcPr>
            <w:tcW w:w="1323" w:type="dxa"/>
            <w:tcBorders/>
            <w:shd w:fill="FFFFFF" w:val="clear"/>
            <w:vAlign w:val="center"/>
          </w:tcPr>
          <w:p>
            <w:pPr>
              <w:pStyle w:val="TableContents"/>
              <w:bidi w:val="0"/>
              <w:spacing w:before="0" w:after="283"/>
              <w:jc w:val="right"/>
              <w:rPr/>
            </w:pPr>
            <w:r>
              <w:rPr/>
              <w:t>(664,973</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left"/>
              <w:rPr/>
            </w:pPr>
            <w:r>
              <w:rPr/>
              <w:t>Conversion to common stock</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bookmarkStart w:id="835" w:name="xdx_98A_ecustom--ConversionToCommonStock"/>
            <w:bookmarkEnd w:id="835"/>
          </w:p>
        </w:tc>
        <w:tc>
          <w:tcPr>
            <w:tcW w:w="132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36" w:name="xdx_98E_eus-gaap--FairValueOptionChanges"/>
            <w:bookmarkEnd w:id="836"/>
          </w:p>
        </w:tc>
        <w:tc>
          <w:tcPr>
            <w:tcW w:w="1323" w:type="dxa"/>
            <w:tcBorders>
              <w:bottom w:val="single" w:sz="8" w:space="0" w:color="000000"/>
            </w:tcBorders>
            <w:shd w:fill="FFFFFF" w:val="clear"/>
            <w:tcMar>
              <w:bottom w:w="28" w:type="dxa"/>
            </w:tcMar>
            <w:vAlign w:val="center"/>
          </w:tcPr>
          <w:p>
            <w:pPr>
              <w:pStyle w:val="TableContents"/>
              <w:bidi w:val="0"/>
              <w:spacing w:before="0" w:after="283"/>
              <w:jc w:val="right"/>
              <w:rPr/>
            </w:pPr>
            <w:r>
              <w:rPr/>
              <w:t>(26,037</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left"/>
              <w:rPr/>
            </w:pPr>
            <w:r>
              <w:rPr/>
              <w:t>Fair value, at end of period</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37" w:name="xdx_983_eus-gaap--ConvertibleDebtFairVal"/>
            <w:bookmarkEnd w:id="837"/>
          </w:p>
        </w:tc>
        <w:tc>
          <w:tcPr>
            <w:tcW w:w="132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38" w:name="xdx_8A0_zl8g9bP7vnZ7"/>
      <w:bookmarkEnd w:id="83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October 2025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pursuant to a SPA, the Company issued to one accredited investor convertible notes with an aggregate principal amount of $</w:t>
      </w:r>
      <w:bookmarkStart w:id="839" w:name="xdx_90D_eus-gaap--DebtInstrumentFaceAmou"/>
      <w:bookmarkEnd w:id="839"/>
      <w:r>
        <w:rPr>
          <w:rFonts w:ascii="Times New Roman;Times;Serif" w:hAnsi="Times New Roman;Times;Serif"/>
          <w:b w:val="false"/>
          <w:i w:val="false"/>
          <w:caps w:val="false"/>
          <w:smallCaps w:val="false"/>
          <w:sz w:val="20"/>
        </w:rPr>
        <w:t>2,200,000 (the “October 2025 Convertible Notes”) for gross proceeds of $</w:t>
      </w:r>
      <w:bookmarkStart w:id="840" w:name="xdx_902_eus-gaap--ProceedsFromConvertibl"/>
      <w:bookmarkEnd w:id="840"/>
      <w:r>
        <w:rPr>
          <w:rFonts w:ascii="Times New Roman;Times;Serif" w:hAnsi="Times New Roman;Times;Serif"/>
          <w:b w:val="false"/>
          <w:i w:val="false"/>
          <w:caps w:val="false"/>
          <w:smallCaps w:val="false"/>
          <w:sz w:val="20"/>
        </w:rPr>
        <w:t xml:space="preserve">2,000,000. The October 2025 Convertible Notes, which mature on October 24, 2026, carry an original issue discount of </w:t>
      </w:r>
      <w:bookmarkStart w:id="841" w:name="xdx_902_ecustom--DebtInstrumentOriginalI"/>
      <w:bookmarkEnd w:id="841"/>
      <w:r>
        <w:rPr>
          <w:rFonts w:ascii="Times New Roman;Times;Serif" w:hAnsi="Times New Roman;Times;Serif"/>
          <w:b w:val="false"/>
          <w:i w:val="false"/>
          <w:caps w:val="false"/>
          <w:smallCaps w:val="false"/>
          <w:sz w:val="20"/>
        </w:rPr>
        <w:t xml:space="preserve">10%, and are subject to a guaranteed interest equal to </w:t>
      </w:r>
      <w:bookmarkStart w:id="842" w:name="xdx_904_eus-gaap--DebtConversionOriginal"/>
      <w:bookmarkEnd w:id="842"/>
      <w:r>
        <w:rPr>
          <w:rFonts w:ascii="Times New Roman;Times;Serif" w:hAnsi="Times New Roman;Times;Serif"/>
          <w:b w:val="false"/>
          <w:i w:val="false"/>
          <w:caps w:val="false"/>
          <w:smallCaps w:val="false"/>
          <w:sz w:val="20"/>
        </w:rPr>
        <w:t>5% of the principal amount. The principal and interest charges are payable in 10 equal monthly payments starting January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ownership limitations, all or portion of the then outstanding and unpaid principal and interest (the “conversion amount”) of the October 2025 Convertible Notes can be converted at the option of the holder at any time into shares of the Company’s Class A common, at a conversion price of $</w:t>
      </w:r>
      <w:bookmarkStart w:id="843" w:name="xdx_902_eus-gaap--SharePrice_iI_pid_c202"/>
      <w:bookmarkEnd w:id="843"/>
      <w:r>
        <w:rPr>
          <w:rFonts w:ascii="Times New Roman;Times;Serif" w:hAnsi="Times New Roman;Times;Serif"/>
          <w:b w:val="false"/>
          <w:i w:val="false"/>
          <w:caps w:val="false"/>
          <w:smallCaps w:val="false"/>
          <w:sz w:val="20"/>
        </w:rPr>
        <w:t>5.00 per share, except that, for an aggregate of $</w:t>
      </w:r>
      <w:bookmarkStart w:id="844" w:name="xdx_900_eus-gaap--DebtConversionConverte"/>
      <w:bookmarkEnd w:id="844"/>
      <w:r>
        <w:rPr>
          <w:rFonts w:ascii="Times New Roman;Times;Serif" w:hAnsi="Times New Roman;Times;Serif"/>
          <w:b w:val="false"/>
          <w:i w:val="false"/>
          <w:caps w:val="false"/>
          <w:smallCaps w:val="false"/>
          <w:sz w:val="20"/>
        </w:rPr>
        <w:t xml:space="preserve">577,500 of </w:t>
      </w:r>
      <w:bookmarkStart w:id="845" w:name="xdx_909_eus-gaap--DebtConversionDescript"/>
      <w:bookmarkEnd w:id="845"/>
      <w:r>
        <w:rPr>
          <w:rFonts w:ascii="Times New Roman;Times;Serif" w:hAnsi="Times New Roman;Times;Serif"/>
          <w:b w:val="false"/>
          <w:i w:val="false"/>
          <w:caps w:val="false"/>
          <w:smallCaps w:val="false"/>
          <w:sz w:val="20"/>
        </w:rPr>
        <w:t>the conversion amount, the conversion price is equal to the lesser of $5.00 per share or 92% of the lowest daily volume weighted average price (“VWAP”) of the Class A common stock during the 5 trading days period prior the receipt of the notice of conversion (the “Market Price”). The conversion price may be adjusted for certain customary dilutive events. Accordingly, the number of shares issuable upon conversion of the October 2025 Convertible Notes was not fixed as of March 31, 2026 and depended on (i) the amount of principal and interest outstanding at the conversion date and (ii) for the portion of the conversion amount subject to a Market Price-based conversion feature, the market price of the Company’s Class A common stock on the applicable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October 2025 Convertible Notes may be prepaid by the Company upon giving the Investors a ten-calendar day notice by paying an amount equal to the outstanding balance. </w:t>
      </w:r>
      <w:bookmarkStart w:id="846" w:name="xdx_904_eus-gaap--DebtInstrumentDescript"/>
      <w:bookmarkEnd w:id="846"/>
      <w:r>
        <w:rPr>
          <w:rFonts w:ascii="Times New Roman;Times;Serif" w:hAnsi="Times New Roman;Times;Serif"/>
          <w:b w:val="false"/>
          <w:i w:val="false"/>
          <w:caps w:val="false"/>
          <w:smallCaps w:val="false"/>
          <w:sz w:val="20"/>
        </w:rPr>
        <w:t>In event of default, the Investors may require the Company to prepay the October 2025 Convertible Notes at a 120% premium and have the option to convert any amount then outstanding into shares of Common Stock at the lesser of the then applicable conversion price or the Market Price. If the Company fails to make the monthly payment, the Noteholders have the right to convert the amount of the monthly payment into shares of Common Stock at the lesser of the then applicable Conversion Price or the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include multiple features that would require bifurcation, analysis and to be revalued at each reporting date. Accordingly, the Company has elected to apply the fair value option to the October 2025 Convertible Notes to simplify the reporting. The October 2025 Convertible Notes were initially measured at fair value and are being re-measured at fair value at each subsequent reporting date. For the three months ended March 31, 2026, the change in fair value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47" w:name="xdx_8BE_z6BJg1ulSs1b"/>
      <w:bookmarkStart w:id="848" w:name="xdx_897_eus-gaap--ScheduleOfFairValueAss"/>
      <w:bookmarkEnd w:id="847"/>
      <w:bookmarkEnd w:id="848"/>
      <w:r>
        <w:rPr>
          <w:rFonts w:ascii="Times New Roman;Times;Serif" w:hAnsi="Times New Roman;Times;Serif"/>
          <w:b w:val="false"/>
          <w:i w:val="false"/>
          <w:caps w:val="false"/>
          <w:smallCaps w:val="false"/>
          <w:sz w:val="20"/>
        </w:rPr>
        <w:t>SCHEDULE OF CHANGE IN FAIR VALUE</w:t>
      </w:r>
    </w:p>
    <w:tbl>
      <w:tblPr>
        <w:tblW w:w="4889" w:type="dxa"/>
        <w:jc w:val="left"/>
        <w:tblInd w:w="0" w:type="dxa"/>
        <w:tblLayout w:type="fixed"/>
        <w:tblCellMar>
          <w:top w:w="0" w:type="dxa"/>
          <w:left w:w="0" w:type="dxa"/>
          <w:bottom w:w="0" w:type="dxa"/>
          <w:right w:w="0" w:type="dxa"/>
        </w:tblCellMar>
      </w:tblPr>
      <w:tblGrid>
        <w:gridCol w:w="3185"/>
        <w:gridCol w:w="60"/>
        <w:gridCol w:w="191"/>
        <w:gridCol w:w="1343"/>
        <w:gridCol w:w="110"/>
      </w:tblGrid>
      <w:tr>
        <w:trPr/>
        <w:tc>
          <w:tcPr>
            <w:tcW w:w="3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34"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t>March 31, 2026</w:t>
            </w:r>
          </w:p>
        </w:tc>
        <w:tc>
          <w:tcPr>
            <w:tcW w:w="110" w:type="dxa"/>
            <w:tcBorders/>
            <w:shd w:fill="FFFFFF" w:val="clear"/>
            <w:vAlign w:val="center"/>
          </w:tcPr>
          <w:p>
            <w:pPr>
              <w:pStyle w:val="TableContents"/>
              <w:bidi w:val="0"/>
              <w:spacing w:before="0" w:after="283"/>
              <w:jc w:val="center"/>
              <w:rPr/>
            </w:pPr>
            <w:r>
              <w:rPr/>
              <w:t> </w:t>
            </w:r>
          </w:p>
        </w:tc>
      </w:tr>
      <w:tr>
        <w:trPr/>
        <w:tc>
          <w:tcPr>
            <w:tcW w:w="3185" w:type="dxa"/>
            <w:tcBorders/>
            <w:shd w:fill="CCEEFF" w:val="clear"/>
            <w:vAlign w:val="center"/>
          </w:tcPr>
          <w:p>
            <w:pPr>
              <w:pStyle w:val="TableContents"/>
              <w:bidi w:val="0"/>
              <w:spacing w:before="0" w:after="283"/>
              <w:jc w:val="left"/>
              <w:rPr/>
            </w:pPr>
            <w:r>
              <w:rPr/>
              <w:t>Fair value, at beginning of period</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bookmarkStart w:id="849" w:name="xdx_98F_eus-gaap--ConvertibleDebtFairVal"/>
            <w:bookmarkEnd w:id="849"/>
          </w:p>
        </w:tc>
        <w:tc>
          <w:tcPr>
            <w:tcW w:w="1343" w:type="dxa"/>
            <w:tcBorders/>
            <w:shd w:fill="CCEEFF" w:val="clear"/>
            <w:vAlign w:val="center"/>
          </w:tcPr>
          <w:p>
            <w:pPr>
              <w:pStyle w:val="TableContents"/>
              <w:bidi w:val="0"/>
              <w:spacing w:before="0" w:after="283"/>
              <w:jc w:val="right"/>
              <w:rPr/>
            </w:pPr>
            <w:r>
              <w:rPr/>
              <w:t>2,115,856</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Principal payments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bookmarkStart w:id="850" w:name="xdx_985_ecustom--RepaymentsOfConvertible"/>
            <w:bookmarkEnd w:id="850"/>
          </w:p>
        </w:tc>
        <w:tc>
          <w:tcPr>
            <w:tcW w:w="1343" w:type="dxa"/>
            <w:tcBorders/>
            <w:shd w:fill="FFFFFF" w:val="clear"/>
            <w:vAlign w:val="center"/>
          </w:tcPr>
          <w:p>
            <w:pPr>
              <w:pStyle w:val="TableContents"/>
              <w:bidi w:val="0"/>
              <w:spacing w:before="0" w:after="283"/>
              <w:jc w:val="right"/>
              <w:rPr/>
            </w:pPr>
            <w:r>
              <w:rPr/>
              <w:t>(647,493</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left"/>
              <w:rPr/>
            </w:pPr>
            <w:r>
              <w:rPr/>
              <w:t>Conversion to common stock</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bookmarkStart w:id="851" w:name="xdx_988_ecustom--ConversionToCommonStock"/>
            <w:bookmarkEnd w:id="851"/>
          </w:p>
        </w:tc>
        <w:tc>
          <w:tcPr>
            <w:tcW w:w="134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52" w:name="xdx_983_eus-gaap--FairValueOptionChanges"/>
            <w:bookmarkEnd w:id="852"/>
          </w:p>
        </w:tc>
        <w:tc>
          <w:tcPr>
            <w:tcW w:w="1343" w:type="dxa"/>
            <w:tcBorders>
              <w:bottom w:val="single" w:sz="8" w:space="0" w:color="000000"/>
            </w:tcBorders>
            <w:shd w:fill="FFFFFF" w:val="clear"/>
            <w:tcMar>
              <w:bottom w:w="28" w:type="dxa"/>
            </w:tcMar>
            <w:vAlign w:val="center"/>
          </w:tcPr>
          <w:p>
            <w:pPr>
              <w:pStyle w:val="TableContents"/>
              <w:bidi w:val="0"/>
              <w:spacing w:before="0" w:after="283"/>
              <w:jc w:val="right"/>
              <w:rPr/>
            </w:pPr>
            <w:r>
              <w:rPr/>
              <w:t>54,565</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Fair value, at end of period</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53" w:name="xdx_982_eus-gaap--ConvertibleDebtFairVal"/>
            <w:bookmarkEnd w:id="853"/>
          </w:p>
        </w:tc>
        <w:tc>
          <w:tcPr>
            <w:tcW w:w="1343" w:type="dxa"/>
            <w:tcBorders>
              <w:bottom w:val="double" w:sz="6" w:space="0" w:color="000000"/>
            </w:tcBorders>
            <w:shd w:fill="CCEEFF" w:val="clear"/>
            <w:tcMar>
              <w:bottom w:w="28" w:type="dxa"/>
            </w:tcMar>
            <w:vAlign w:val="center"/>
          </w:tcPr>
          <w:p>
            <w:pPr>
              <w:pStyle w:val="TableContents"/>
              <w:bidi w:val="0"/>
              <w:spacing w:before="0" w:after="283"/>
              <w:jc w:val="right"/>
              <w:rPr/>
            </w:pPr>
            <w:r>
              <w:rPr/>
              <w:t>1,522,928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54" w:name="xdx_8A8_z2NGzEFrqnph"/>
      <w:bookmarkEnd w:id="85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in change in fair value of $</w:t>
      </w:r>
      <w:bookmarkStart w:id="855" w:name="xdx_906_eus-gaap--OtherIncome_c20250101_"/>
      <w:bookmarkEnd w:id="855"/>
      <w:r>
        <w:rPr>
          <w:rFonts w:ascii="Times New Roman;Times;Serif" w:hAnsi="Times New Roman;Times;Serif"/>
          <w:b w:val="false"/>
          <w:i w:val="false"/>
          <w:caps w:val="false"/>
          <w:smallCaps w:val="false"/>
          <w:sz w:val="20"/>
        </w:rPr>
        <w:t>57,790 is reported in other income in our condensed consolidated statement of operations and comprehensive income (loss) and ($</w:t>
      </w:r>
      <w:bookmarkStart w:id="856" w:name="xdx_907_eus-gaap--PriorPeriodReclassific"/>
      <w:bookmarkEnd w:id="856"/>
      <w:r>
        <w:rPr>
          <w:rFonts w:ascii="Times New Roman;Times;Serif" w:hAnsi="Times New Roman;Times;Serif"/>
          <w:b w:val="false"/>
          <w:i w:val="false"/>
          <w:caps w:val="false"/>
          <w:smallCaps w:val="false"/>
          <w:sz w:val="20"/>
        </w:rPr>
        <w:t xml:space="preserve">3,225) is recorded in other comprehensive income (loss) due to the change in credit spread from issuance to March 31, 2026. The portion of the total change in the fair value of the October 2025 Convertible Notes that is attributable to changes in the Company’s own credit risk (the “credit component”) is estimated each reporting date using a </w:t>
      </w:r>
      <w:r>
        <w:rPr>
          <w:rFonts w:ascii="Times New Roman;Times;Serif" w:hAnsi="Times New Roman;Times;Serif"/>
          <w:b w:val="false"/>
          <w:i/>
          <w:caps w:val="false"/>
          <w:smallCaps w:val="false"/>
          <w:sz w:val="20"/>
        </w:rPr>
        <w:t>with-and-without</w:t>
      </w:r>
      <w:r>
        <w:rPr>
          <w:rFonts w:ascii="Times New Roman;Times;Serif" w:hAnsi="Times New Roman;Times;Serif"/>
          <w:b w:val="false"/>
          <w:i w:val="false"/>
          <w:caps w:val="false"/>
          <w:smallCaps w:val="false"/>
          <w:sz w:val="20"/>
        </w:rPr>
        <w:t xml:space="preserve"> approach. </w:t>
      </w:r>
      <w:bookmarkStart w:id="857" w:name="xdx_90E_ecustom--FairValueMeasurementDes"/>
      <w:bookmarkEnd w:id="857"/>
      <w:r>
        <w:rPr>
          <w:rFonts w:ascii="Times New Roman;Times;Serif" w:hAnsi="Times New Roman;Times;Serif"/>
          <w:b w:val="false"/>
          <w:i w:val="false"/>
          <w:caps w:val="false"/>
          <w:smallCaps w:val="false"/>
          <w:sz w:val="20"/>
        </w:rPr>
        <w:t>Management first measures fair value using all updated valuation inputs, including the credit spread implied by current market data (34.0%) then management re-measures fair value holding every assumption constant except for the credit spread, which is reset to the spread calibrated on the issuance date (33.0%). The difference between the two fair-value estimates isolates the effect of instrument-specific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the binomial lattice framework to determine the fair value of each maturity payout. Accordingly, the valuation uses a range of level 3 inputs to evaluate each maturity payout individually. The range of level 3 inputs used as of March 31, 2026 and December 31, 2025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58" w:name="xdx_8B3_zrvLRlj9Q7ii"/>
      <w:bookmarkStart w:id="859" w:name="xdx_895_eus-gaap--FairValueAssetsAndLiab"/>
      <w:bookmarkEnd w:id="858"/>
      <w:bookmarkEnd w:id="859"/>
      <w:r>
        <w:rPr>
          <w:rFonts w:ascii="Times New Roman;Times;Serif" w:hAnsi="Times New Roman;Times;Serif"/>
          <w:b w:val="false"/>
          <w:i w:val="false"/>
          <w:caps w:val="false"/>
          <w:smallCaps w:val="false"/>
          <w:sz w:val="20"/>
        </w:rPr>
        <w:t>SCHEDULE OF FAIR VALUE THE RANGE OF LEVEL 3 INPUTS </w:t>
      </w:r>
    </w:p>
    <w:tbl>
      <w:tblPr>
        <w:tblW w:w="6590" w:type="dxa"/>
        <w:jc w:val="left"/>
        <w:tblInd w:w="0" w:type="dxa"/>
        <w:tblLayout w:type="fixed"/>
        <w:tblCellMar>
          <w:top w:w="0" w:type="dxa"/>
          <w:left w:w="0" w:type="dxa"/>
          <w:bottom w:w="0" w:type="dxa"/>
          <w:right w:w="0" w:type="dxa"/>
        </w:tblCellMar>
      </w:tblPr>
      <w:tblGrid>
        <w:gridCol w:w="2225"/>
        <w:gridCol w:w="60"/>
        <w:gridCol w:w="140"/>
        <w:gridCol w:w="1760"/>
        <w:gridCol w:w="215"/>
        <w:gridCol w:w="60"/>
        <w:gridCol w:w="140"/>
        <w:gridCol w:w="1760"/>
        <w:gridCol w:w="230"/>
      </w:tblGrid>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00" w:type="dxa"/>
            <w:gridSpan w:val="2"/>
            <w:tcBorders>
              <w:bottom w:val="single" w:sz="8" w:space="0" w:color="000000"/>
            </w:tcBorders>
            <w:tcMar>
              <w:bottom w:w="28" w:type="dxa"/>
            </w:tcMar>
            <w:vAlign w:val="center"/>
          </w:tcPr>
          <w:p>
            <w:pPr>
              <w:pStyle w:val="TableContents"/>
              <w:bidi w:val="0"/>
              <w:spacing w:before="0" w:after="283"/>
              <w:jc w:val="center"/>
              <w:rPr/>
            </w:pPr>
            <w:r>
              <w:rPr/>
              <w:t>March 31,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23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760" w:type="dxa"/>
            <w:tcBorders/>
            <w:shd w:fill="CCEEFF" w:val="clear"/>
            <w:vAlign w:val="center"/>
          </w:tcPr>
          <w:p>
            <w:pPr>
              <w:pStyle w:val="TableContents"/>
              <w:bidi w:val="0"/>
              <w:spacing w:before="0" w:after="283"/>
              <w:jc w:val="right"/>
              <w:rPr/>
            </w:pPr>
            <w:bookmarkStart w:id="860" w:name="xdx_90C_eus-gaap--SharePrice_iI_pid_c202"/>
            <w:bookmarkEnd w:id="860"/>
            <w:r>
              <w:rPr/>
              <w:t>0.51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760" w:type="dxa"/>
            <w:tcBorders/>
            <w:shd w:fill="CCEEFF" w:val="clear"/>
            <w:vAlign w:val="center"/>
          </w:tcPr>
          <w:p>
            <w:pPr>
              <w:pStyle w:val="TableContents"/>
              <w:bidi w:val="0"/>
              <w:spacing w:before="0" w:after="283"/>
              <w:jc w:val="right"/>
              <w:rPr/>
            </w:pPr>
            <w:bookmarkStart w:id="861" w:name="xdx_906_eus-gaap--SharePrice_iI_pid_c202"/>
            <w:bookmarkEnd w:id="861"/>
            <w:r>
              <w:rPr/>
              <w:t>0.89</w:t>
            </w:r>
          </w:p>
        </w:tc>
        <w:tc>
          <w:tcPr>
            <w:tcW w:w="23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right"/>
              <w:rPr>
                <w:rFonts w:ascii="Times New Roman;Times;Serif" w:hAnsi="Times New Roman;Times;Serif"/>
                <w:sz w:val="20"/>
              </w:rPr>
            </w:pPr>
            <w:bookmarkStart w:id="862" w:name="xdx_908_ecustom--VolumeWeightedAveragePr"/>
            <w:bookmarkEnd w:id="862"/>
            <w:r>
              <w:rPr>
                <w:rFonts w:ascii="Times New Roman;Times;Serif" w:hAnsi="Times New Roman;Times;Serif"/>
                <w:sz w:val="20"/>
              </w:rPr>
              <w:t>92% VWAP or $</w:t>
            </w:r>
            <w:bookmarkStart w:id="863" w:name="xdx_902_eus-gaap--ShareBasedCompensation"/>
            <w:bookmarkEnd w:id="863"/>
            <w:r>
              <w:rPr>
                <w:rFonts w:ascii="Times New Roman;Times;Serif" w:hAnsi="Times New Roman;Times;Serif"/>
                <w:sz w:val="20"/>
              </w:rPr>
              <w:t xml:space="preserve">5.00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right"/>
              <w:rPr>
                <w:rFonts w:ascii="Times New Roman;Times;Serif" w:hAnsi="Times New Roman;Times;Serif"/>
                <w:sz w:val="20"/>
              </w:rPr>
            </w:pPr>
            <w:bookmarkStart w:id="864" w:name="xdx_900_ecustom--VolumeWeightedAveragePr"/>
            <w:bookmarkEnd w:id="864"/>
            <w:r>
              <w:rPr>
                <w:rFonts w:ascii="Times New Roman;Times;Serif" w:hAnsi="Times New Roman;Times;Serif"/>
                <w:sz w:val="20"/>
              </w:rPr>
              <w:t>92% VWAP or $</w:t>
            </w:r>
            <w:bookmarkStart w:id="865" w:name="xdx_908_eus-gaap--ShareBasedCompensation"/>
            <w:bookmarkEnd w:id="865"/>
            <w:r>
              <w:rPr>
                <w:rFonts w:ascii="Times New Roman;Times;Serif" w:hAnsi="Times New Roman;Times;Serif"/>
                <w:sz w:val="20"/>
              </w:rPr>
              <w:t xml:space="preserve">5.00 </w:t>
            </w:r>
          </w:p>
        </w:tc>
        <w:tc>
          <w:tcPr>
            <w:tcW w:w="23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Contractual term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right"/>
              <w:rPr>
                <w:rFonts w:ascii="Times New Roman;Times;Serif" w:hAnsi="Times New Roman;Times;Serif"/>
                <w:sz w:val="20"/>
              </w:rPr>
            </w:pPr>
            <w:bookmarkStart w:id="866" w:name="xdx_90D_eus-gaap--SharebasedCompensation"/>
            <w:bookmarkEnd w:id="866"/>
            <w:r>
              <w:rPr>
                <w:rFonts w:ascii="Times New Roman;Times;Serif" w:hAnsi="Times New Roman;Times;Serif"/>
                <w:sz w:val="20"/>
              </w:rPr>
              <w:t>0.07-</w:t>
            </w:r>
            <w:bookmarkStart w:id="867" w:name="xdx_905_eus-gaap--SharebasedCompensation"/>
            <w:bookmarkEnd w:id="867"/>
            <w:r>
              <w:rPr>
                <w:rFonts w:ascii="Times New Roman;Times;Serif" w:hAnsi="Times New Roman;Times;Serif"/>
                <w:sz w:val="20"/>
              </w:rPr>
              <w:t xml:space="preserve">0.57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right"/>
              <w:rPr>
                <w:rFonts w:ascii="Times New Roman;Times;Serif" w:hAnsi="Times New Roman;Times;Serif"/>
                <w:sz w:val="20"/>
              </w:rPr>
            </w:pPr>
            <w:bookmarkStart w:id="868" w:name="xdx_908_eus-gaap--SharebasedCompensation"/>
            <w:bookmarkEnd w:id="868"/>
            <w:r>
              <w:rPr>
                <w:rFonts w:ascii="Times New Roman;Times;Serif" w:hAnsi="Times New Roman;Times;Serif"/>
                <w:sz w:val="20"/>
              </w:rPr>
              <w:t>0.07-</w:t>
            </w:r>
            <w:bookmarkStart w:id="869" w:name="xdx_907_eus-gaap--SharebasedCompensation"/>
            <w:bookmarkEnd w:id="869"/>
            <w:r>
              <w:rPr>
                <w:rFonts w:ascii="Times New Roman;Times;Serif" w:hAnsi="Times New Roman;Times;Serif"/>
                <w:sz w:val="20"/>
              </w:rPr>
              <w:t xml:space="preserve">0.81 </w:t>
            </w:r>
          </w:p>
        </w:tc>
        <w:tc>
          <w:tcPr>
            <w:tcW w:w="23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right"/>
              <w:rPr>
                <w:rFonts w:ascii="Times New Roman;Times;Serif" w:hAnsi="Times New Roman;Times;Serif"/>
                <w:sz w:val="20"/>
              </w:rPr>
            </w:pPr>
            <w:bookmarkStart w:id="870" w:name="xdx_907_eus-gaap--ShareBasedCompensation"/>
            <w:bookmarkEnd w:id="870"/>
            <w:r>
              <w:rPr>
                <w:rFonts w:ascii="Times New Roman;Times;Serif" w:hAnsi="Times New Roman;Times;Serif"/>
                <w:sz w:val="20"/>
              </w:rPr>
              <w:t xml:space="preserve">65.1% - </w:t>
            </w:r>
            <w:bookmarkStart w:id="871" w:name="xdx_90E_eus-gaap--ShareBasedCompensation"/>
            <w:bookmarkEnd w:id="871"/>
            <w:r>
              <w:rPr>
                <w:rFonts w:ascii="Times New Roman;Times;Serif" w:hAnsi="Times New Roman;Times;Serif"/>
                <w:sz w:val="20"/>
              </w:rPr>
              <w:t>83.3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right"/>
              <w:rPr>
                <w:rFonts w:ascii="Times New Roman;Times;Serif" w:hAnsi="Times New Roman;Times;Serif"/>
                <w:sz w:val="20"/>
              </w:rPr>
            </w:pPr>
            <w:bookmarkStart w:id="872" w:name="xdx_903_eus-gaap--ShareBasedCompensation"/>
            <w:bookmarkEnd w:id="872"/>
            <w:r>
              <w:rPr>
                <w:rFonts w:ascii="Times New Roman;Times;Serif" w:hAnsi="Times New Roman;Times;Serif"/>
                <w:sz w:val="20"/>
              </w:rPr>
              <w:t xml:space="preserve">59.0% - </w:t>
            </w:r>
            <w:bookmarkStart w:id="873" w:name="xdx_90C_eus-gaap--ShareBasedCompensation"/>
            <w:bookmarkEnd w:id="873"/>
            <w:r>
              <w:rPr>
                <w:rFonts w:ascii="Times New Roman;Times;Serif" w:hAnsi="Times New Roman;Times;Serif"/>
                <w:sz w:val="20"/>
              </w:rPr>
              <w:t>94.2</w:t>
            </w:r>
          </w:p>
        </w:tc>
        <w:tc>
          <w:tcPr>
            <w:tcW w:w="230" w:type="dxa"/>
            <w:tcBorders/>
            <w:shd w:fill="FFFFFF" w:val="clear"/>
            <w:vAlign w:val="center"/>
          </w:tcPr>
          <w:p>
            <w:pPr>
              <w:pStyle w:val="TableContents"/>
              <w:bidi w:val="0"/>
              <w:spacing w:before="0" w:after="283"/>
              <w:jc w:val="left"/>
              <w:rPr/>
            </w:pPr>
            <w:r>
              <w:rPr/>
              <w:t>%</w:t>
            </w:r>
          </w:p>
        </w:tc>
      </w:tr>
      <w:tr>
        <w:trPr/>
        <w:tc>
          <w:tcPr>
            <w:tcW w:w="222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right"/>
              <w:rPr>
                <w:rFonts w:ascii="Times New Roman;Times;Serif" w:hAnsi="Times New Roman;Times;Serif"/>
                <w:sz w:val="20"/>
              </w:rPr>
            </w:pPr>
            <w:bookmarkStart w:id="874" w:name="xdx_909_eus-gaap--ShareBasedCompensation"/>
            <w:bookmarkEnd w:id="874"/>
            <w:r>
              <w:rPr>
                <w:rFonts w:ascii="Times New Roman;Times;Serif" w:hAnsi="Times New Roman;Times;Serif"/>
                <w:sz w:val="20"/>
              </w:rPr>
              <w:t xml:space="preserve">3.67% - </w:t>
            </w:r>
            <w:bookmarkStart w:id="875" w:name="xdx_903_eus-gaap--ShareBasedCompensation"/>
            <w:bookmarkEnd w:id="875"/>
            <w:r>
              <w:rPr>
                <w:rFonts w:ascii="Times New Roman;Times;Serif" w:hAnsi="Times New Roman;Times;Serif"/>
                <w:sz w:val="20"/>
              </w:rPr>
              <w:t>3.71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right"/>
              <w:rPr>
                <w:rFonts w:ascii="Times New Roman;Times;Serif" w:hAnsi="Times New Roman;Times;Serif"/>
                <w:sz w:val="20"/>
              </w:rPr>
            </w:pPr>
            <w:bookmarkStart w:id="876" w:name="xdx_905_eus-gaap--ShareBasedCompensation"/>
            <w:bookmarkEnd w:id="876"/>
            <w:r>
              <w:rPr>
                <w:rFonts w:ascii="Times New Roman;Times;Serif" w:hAnsi="Times New Roman;Times;Serif"/>
                <w:sz w:val="20"/>
              </w:rPr>
              <w:t xml:space="preserve">3.49% - </w:t>
            </w:r>
            <w:bookmarkStart w:id="877" w:name="xdx_90F_eus-gaap--ShareBasedCompensation"/>
            <w:bookmarkEnd w:id="877"/>
            <w:r>
              <w:rPr>
                <w:rFonts w:ascii="Times New Roman;Times;Serif" w:hAnsi="Times New Roman;Times;Serif"/>
                <w:sz w:val="20"/>
              </w:rPr>
              <w:t>3.71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878" w:name="xdx_8A4_zPUo62XGz2Ml"/>
      <w:bookmarkEnd w:id="87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November 2025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pursuant to a SPA, the Company issued to one accredited investor convertible notes with an aggregate principal amount of $</w:t>
      </w:r>
      <w:bookmarkStart w:id="879" w:name="xdx_90A_eus-gaap--DebtInstrumentFaceAmou"/>
      <w:bookmarkEnd w:id="879"/>
      <w:r>
        <w:rPr>
          <w:rFonts w:ascii="Times New Roman;Times;Serif" w:hAnsi="Times New Roman;Times;Serif"/>
          <w:b w:val="false"/>
          <w:i w:val="false"/>
          <w:caps w:val="false"/>
          <w:smallCaps w:val="false"/>
          <w:sz w:val="20"/>
        </w:rPr>
        <w:t>1,100,000 (the “November 2025 Convertible Notes”) for gross proceeds of $</w:t>
      </w:r>
      <w:bookmarkStart w:id="880" w:name="xdx_90C_eus-gaap--ProceedsFromConvertibl"/>
      <w:bookmarkEnd w:id="880"/>
      <w:r>
        <w:rPr>
          <w:rFonts w:ascii="Times New Roman;Times;Serif" w:hAnsi="Times New Roman;Times;Serif"/>
          <w:b w:val="false"/>
          <w:i w:val="false"/>
          <w:caps w:val="false"/>
          <w:smallCaps w:val="false"/>
          <w:sz w:val="20"/>
        </w:rPr>
        <w:t xml:space="preserve">1,000,000. The November 2025 Convertible Notes, which mature on November 26, 2026, carry an original issue discount of </w:t>
      </w:r>
      <w:bookmarkStart w:id="881" w:name="xdx_906_ecustom--DebtInstrumentOriginalI"/>
      <w:bookmarkEnd w:id="881"/>
      <w:r>
        <w:rPr>
          <w:rFonts w:ascii="Times New Roman;Times;Serif" w:hAnsi="Times New Roman;Times;Serif"/>
          <w:b w:val="false"/>
          <w:i w:val="false"/>
          <w:caps w:val="false"/>
          <w:smallCaps w:val="false"/>
          <w:sz w:val="20"/>
        </w:rPr>
        <w:t xml:space="preserve">10%, and are subject to a guaranteed interest equal to </w:t>
      </w:r>
      <w:bookmarkStart w:id="882" w:name="xdx_90C_eus-gaap--DebtConversionOriginal"/>
      <w:bookmarkEnd w:id="882"/>
      <w:r>
        <w:rPr>
          <w:rFonts w:ascii="Times New Roman;Times;Serif" w:hAnsi="Times New Roman;Times;Serif"/>
          <w:b w:val="false"/>
          <w:i w:val="false"/>
          <w:caps w:val="false"/>
          <w:smallCaps w:val="false"/>
          <w:sz w:val="20"/>
        </w:rPr>
        <w:t>5% of the principal amount. The principal and interest charges are payable in 10 equal monthly payments starting February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ownership limitations, all or portion of the then outstanding and unpaid principal and interest (the “conversion amount”) of the November 2025 Convertible Notes can be converted at the option of the holder at any time into shares of the Company’s Class A common, at a conversion price of $</w:t>
      </w:r>
      <w:bookmarkStart w:id="883" w:name="xdx_900_eus-gaap--SharePrice_iI_pid_c202"/>
      <w:bookmarkEnd w:id="883"/>
      <w:r>
        <w:rPr>
          <w:rFonts w:ascii="Times New Roman;Times;Serif" w:hAnsi="Times New Roman;Times;Serif"/>
          <w:b w:val="false"/>
          <w:i w:val="false"/>
          <w:caps w:val="false"/>
          <w:smallCaps w:val="false"/>
          <w:sz w:val="20"/>
        </w:rPr>
        <w:t>5.00 per share, except that, for an aggregate of $</w:t>
      </w:r>
      <w:bookmarkStart w:id="884" w:name="xdx_90C_eus-gaap--DebtConversionConverte"/>
      <w:bookmarkEnd w:id="884"/>
      <w:r>
        <w:rPr>
          <w:rFonts w:ascii="Times New Roman;Times;Serif" w:hAnsi="Times New Roman;Times;Serif"/>
          <w:b w:val="false"/>
          <w:i w:val="false"/>
          <w:caps w:val="false"/>
          <w:smallCaps w:val="false"/>
          <w:sz w:val="20"/>
        </w:rPr>
        <w:t xml:space="preserve">288,750 of </w:t>
      </w:r>
      <w:bookmarkStart w:id="885" w:name="xdx_902_eus-gaap--DebtConversionDescript"/>
      <w:bookmarkEnd w:id="885"/>
      <w:r>
        <w:rPr>
          <w:rFonts w:ascii="Times New Roman;Times;Serif" w:hAnsi="Times New Roman;Times;Serif"/>
          <w:b w:val="false"/>
          <w:i w:val="false"/>
          <w:caps w:val="false"/>
          <w:smallCaps w:val="false"/>
          <w:sz w:val="20"/>
        </w:rPr>
        <w:t>the conversion amount, the conversion price is equal to the lesser of $5.00 per share or 92% of the lowest daily volume weighted average price (“VWAP”) of the Class A common stock during the 5 trading days period prior the receipt of the notice of conversion (the “Market Price”). The conversion price may be adjusted for certain customary dilutive events. Accordingly, the number of shares issuable upon conversion of the November 2025 Convertible Notes was not fixed as of March 31, 2026 and depended on (i) the amount of principal and interest outstanding at the conversion date and (ii) for the portion of the conversion amount subject to a Market Price-based conversion feature, the market price of the Company’s Class A common stock on the applicable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November 2025 Convertible Notes may be prepaid by the Company upon giving the Investors a ten-calendar day notice by paying an amount equal to the outstanding balance. </w:t>
      </w:r>
      <w:bookmarkStart w:id="886" w:name="xdx_904_eus-gaap--DebtInstrumentDescript"/>
      <w:bookmarkEnd w:id="886"/>
      <w:r>
        <w:rPr>
          <w:rFonts w:ascii="Times New Roman;Times;Serif" w:hAnsi="Times New Roman;Times;Serif"/>
          <w:b w:val="false"/>
          <w:i w:val="false"/>
          <w:caps w:val="false"/>
          <w:smallCaps w:val="false"/>
          <w:sz w:val="20"/>
        </w:rPr>
        <w:t>In event of default the Investors may require the Company to prepay the November 2025 Convertible Notes at a 120% premium and have the option to convert any amount then outstanding into shares of Common Stock at the lesser of the then applicable conversion price or the Market Price. If the Company fails to make the monthly payment, the Noteholders have the right to convert the amount of the monthly payment into shares of Common Stock at the lesser of the then applicable Conversion Price or the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include multiple features that would require bifurcation, analysis and to be revalued at each reporting date. Accordingly, the Company has elected to apply the fair value option to the November 2025 Convertible Notes to simplify the reporting. The November 2025 Convertible Notes were initially measured at fair value and are being re-measured at fair value at each subsequent reporting date. For the three months ended March 31, 2026, the change in fair value was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7" w:name="xdx_8BA_zk0TErKYW7T2"/>
      <w:bookmarkStart w:id="888" w:name="xdx_899_eus-gaap--ScheduleOfFairValueAss"/>
      <w:bookmarkEnd w:id="887"/>
      <w:bookmarkEnd w:id="888"/>
      <w:r>
        <w:rPr>
          <w:rFonts w:ascii="Times New Roman;Times;Serif" w:hAnsi="Times New Roman;Times;Serif"/>
          <w:b w:val="false"/>
          <w:i w:val="false"/>
          <w:caps w:val="false"/>
          <w:smallCaps w:val="false"/>
          <w:sz w:val="20"/>
        </w:rPr>
        <w:t>SCHEDULE OF CHANGE IN FAIR VALUE </w:t>
      </w:r>
    </w:p>
    <w:tbl>
      <w:tblPr>
        <w:tblW w:w="4889" w:type="dxa"/>
        <w:jc w:val="left"/>
        <w:tblInd w:w="0" w:type="dxa"/>
        <w:tblLayout w:type="fixed"/>
        <w:tblCellMar>
          <w:top w:w="0" w:type="dxa"/>
          <w:left w:w="0" w:type="dxa"/>
          <w:bottom w:w="0" w:type="dxa"/>
          <w:right w:w="0" w:type="dxa"/>
        </w:tblCellMar>
      </w:tblPr>
      <w:tblGrid>
        <w:gridCol w:w="3185"/>
        <w:gridCol w:w="60"/>
        <w:gridCol w:w="191"/>
        <w:gridCol w:w="1343"/>
        <w:gridCol w:w="110"/>
      </w:tblGrid>
      <w:tr>
        <w:trPr/>
        <w:tc>
          <w:tcPr>
            <w:tcW w:w="3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34"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t>March 31, 2026</w:t>
            </w:r>
          </w:p>
        </w:tc>
        <w:tc>
          <w:tcPr>
            <w:tcW w:w="110" w:type="dxa"/>
            <w:tcBorders/>
            <w:shd w:fill="FFFFFF" w:val="clear"/>
            <w:vAlign w:val="center"/>
          </w:tcPr>
          <w:p>
            <w:pPr>
              <w:pStyle w:val="TableContents"/>
              <w:bidi w:val="0"/>
              <w:spacing w:before="0" w:after="283"/>
              <w:jc w:val="center"/>
              <w:rPr/>
            </w:pPr>
            <w:r>
              <w:rPr/>
              <w:t> </w:t>
            </w:r>
          </w:p>
        </w:tc>
      </w:tr>
      <w:tr>
        <w:trPr/>
        <w:tc>
          <w:tcPr>
            <w:tcW w:w="3185" w:type="dxa"/>
            <w:tcBorders/>
            <w:shd w:fill="CCEEFF" w:val="clear"/>
            <w:vAlign w:val="center"/>
          </w:tcPr>
          <w:p>
            <w:pPr>
              <w:pStyle w:val="TableContents"/>
              <w:bidi w:val="0"/>
              <w:spacing w:before="0" w:after="283"/>
              <w:jc w:val="left"/>
              <w:rPr/>
            </w:pPr>
            <w:r>
              <w:rPr/>
              <w:t>Fair value, at beginning of period</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bookmarkStart w:id="889" w:name="xdx_98E_eus-gaap--ConvertibleDebtFairVal"/>
            <w:bookmarkEnd w:id="889"/>
          </w:p>
        </w:tc>
        <w:tc>
          <w:tcPr>
            <w:tcW w:w="1343" w:type="dxa"/>
            <w:tcBorders/>
            <w:shd w:fill="CCEEFF" w:val="clear"/>
            <w:vAlign w:val="center"/>
          </w:tcPr>
          <w:p>
            <w:pPr>
              <w:pStyle w:val="TableContents"/>
              <w:bidi w:val="0"/>
              <w:spacing w:before="0" w:after="283"/>
              <w:jc w:val="right"/>
              <w:rPr/>
            </w:pPr>
            <w:r>
              <w:rPr/>
              <w:t>1,035,323</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Principal payments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bookmarkStart w:id="890" w:name="xdx_988_ecustom--RepaymentsOfConvertible"/>
            <w:bookmarkEnd w:id="890"/>
          </w:p>
        </w:tc>
        <w:tc>
          <w:tcPr>
            <w:tcW w:w="1343" w:type="dxa"/>
            <w:tcBorders/>
            <w:shd w:fill="FFFFFF" w:val="clear"/>
            <w:vAlign w:val="center"/>
          </w:tcPr>
          <w:p>
            <w:pPr>
              <w:pStyle w:val="TableContents"/>
              <w:bidi w:val="0"/>
              <w:spacing w:before="0" w:after="283"/>
              <w:jc w:val="right"/>
              <w:rPr/>
            </w:pPr>
            <w:r>
              <w:rPr/>
              <w:t>(212,918</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left"/>
              <w:rPr/>
            </w:pPr>
            <w:r>
              <w:rPr/>
              <w:t>Conversion to common stock</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bookmarkStart w:id="891" w:name="xdx_981_ecustom--ConversionToCommonStock"/>
            <w:bookmarkEnd w:id="891"/>
          </w:p>
        </w:tc>
        <w:tc>
          <w:tcPr>
            <w:tcW w:w="134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2" w:name="xdx_98D_eus-gaap--FairValueOptionChanges"/>
            <w:bookmarkEnd w:id="892"/>
          </w:p>
        </w:tc>
        <w:tc>
          <w:tcPr>
            <w:tcW w:w="1343" w:type="dxa"/>
            <w:tcBorders>
              <w:bottom w:val="single" w:sz="8" w:space="0" w:color="000000"/>
            </w:tcBorders>
            <w:shd w:fill="FFFFFF" w:val="clear"/>
            <w:tcMar>
              <w:bottom w:w="28" w:type="dxa"/>
            </w:tcMar>
            <w:vAlign w:val="center"/>
          </w:tcPr>
          <w:p>
            <w:pPr>
              <w:pStyle w:val="TableContents"/>
              <w:bidi w:val="0"/>
              <w:spacing w:before="0" w:after="283"/>
              <w:jc w:val="right"/>
              <w:rPr/>
            </w:pPr>
            <w:r>
              <w:rPr/>
              <w:t>36,922</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Fair value, at end of period</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93" w:name="xdx_983_eus-gaap--ConvertibleDebtFairVal"/>
            <w:bookmarkEnd w:id="893"/>
          </w:p>
        </w:tc>
        <w:tc>
          <w:tcPr>
            <w:tcW w:w="1343" w:type="dxa"/>
            <w:tcBorders>
              <w:bottom w:val="double" w:sz="6" w:space="0" w:color="000000"/>
            </w:tcBorders>
            <w:shd w:fill="CCEEFF" w:val="clear"/>
            <w:tcMar>
              <w:bottom w:w="28" w:type="dxa"/>
            </w:tcMar>
            <w:vAlign w:val="center"/>
          </w:tcPr>
          <w:p>
            <w:pPr>
              <w:pStyle w:val="TableContents"/>
              <w:bidi w:val="0"/>
              <w:spacing w:before="0" w:after="283"/>
              <w:jc w:val="right"/>
              <w:rPr/>
            </w:pPr>
            <w:r>
              <w:rPr/>
              <w:t>859,327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94" w:name="xdx_8A8_zBPdr9ikK26d"/>
      <w:bookmarkEnd w:id="89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in change in fair value of $</w:t>
      </w:r>
      <w:bookmarkStart w:id="895" w:name="xdx_90C_eus-gaap--OtherIncome_c20260101_"/>
      <w:bookmarkEnd w:id="895"/>
      <w:r>
        <w:rPr>
          <w:rFonts w:ascii="Times New Roman;Times;Serif" w:hAnsi="Times New Roman;Times;Serif"/>
          <w:b w:val="false"/>
          <w:i w:val="false"/>
          <w:caps w:val="false"/>
          <w:smallCaps w:val="false"/>
          <w:sz w:val="20"/>
        </w:rPr>
        <w:t>39,007 is reported in other income in our condensed consolidated statement of operations and comprehensive income (loss) and ($</w:t>
      </w:r>
      <w:bookmarkStart w:id="896" w:name="xdx_90B_eus-gaap--PriorPeriodReclassific"/>
      <w:bookmarkEnd w:id="896"/>
      <w:r>
        <w:rPr>
          <w:rFonts w:ascii="Times New Roman;Times;Serif" w:hAnsi="Times New Roman;Times;Serif"/>
          <w:b w:val="false"/>
          <w:i w:val="false"/>
          <w:caps w:val="false"/>
          <w:smallCaps w:val="false"/>
          <w:sz w:val="20"/>
        </w:rPr>
        <w:t xml:space="preserve">2,085) is recorded in other comprehensive income (loss) due to the change in credit spread from issuance to March 31, 2026. The portion of the total change in the fair value of the November 2025 Convertible Notes that is attributable to changes in the Company’s own credit risk (the “credit component”) is estimated each reporting date using a </w:t>
      </w:r>
      <w:r>
        <w:rPr>
          <w:rFonts w:ascii="Times New Roman;Times;Serif" w:hAnsi="Times New Roman;Times;Serif"/>
          <w:b w:val="false"/>
          <w:i/>
          <w:caps w:val="false"/>
          <w:smallCaps w:val="false"/>
          <w:sz w:val="20"/>
        </w:rPr>
        <w:t>with-and-without</w:t>
      </w:r>
      <w:r>
        <w:rPr>
          <w:rFonts w:ascii="Times New Roman;Times;Serif" w:hAnsi="Times New Roman;Times;Serif"/>
          <w:b w:val="false"/>
          <w:i w:val="false"/>
          <w:caps w:val="false"/>
          <w:smallCaps w:val="false"/>
          <w:sz w:val="20"/>
        </w:rPr>
        <w:t xml:space="preserve"> approach. </w:t>
      </w:r>
      <w:bookmarkStart w:id="897" w:name="xdx_905_ecustom--FairValueMeasurementDes"/>
      <w:bookmarkEnd w:id="897"/>
      <w:r>
        <w:rPr>
          <w:rFonts w:ascii="Times New Roman;Times;Serif" w:hAnsi="Times New Roman;Times;Serif"/>
          <w:b w:val="false"/>
          <w:i w:val="false"/>
          <w:caps w:val="false"/>
          <w:smallCaps w:val="false"/>
          <w:sz w:val="20"/>
        </w:rPr>
        <w:t>Management first measures fair value using all updated valuation inputs, including the credit spread implied by current market data (34.0%) then management re-measures fair value holding every assumption constant except for the credit spread, which is reset to the spread calibrated on the issuance date (33.0%). The difference between the two fair-value estimates isolates the effect of instrument-specific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the binomial lattice framework to determine the fair value of each maturity payout. Accordingly, the valuation uses a range of level 3 inputs to evaluate each maturity payout individually. The range of level 3 inputs used as of March 31, 2026 and December 31, 2025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98" w:name="xdx_8B4_zFaXppqZEc98"/>
      <w:bookmarkStart w:id="899" w:name="xdx_898_eus-gaap--FairValueAssetsAndLiab"/>
      <w:bookmarkEnd w:id="898"/>
      <w:bookmarkEnd w:id="899"/>
      <w:r>
        <w:rPr>
          <w:rFonts w:ascii="Times New Roman;Times;Serif" w:hAnsi="Times New Roman;Times;Serif"/>
          <w:b w:val="false"/>
          <w:i w:val="false"/>
          <w:caps w:val="false"/>
          <w:smallCaps w:val="false"/>
          <w:sz w:val="20"/>
        </w:rPr>
        <w:t>SCHEDULE OF FAIR VALUE THE RANGE OF LEVEL 3 INPUTS </w:t>
      </w:r>
    </w:p>
    <w:tbl>
      <w:tblPr>
        <w:tblW w:w="6539" w:type="dxa"/>
        <w:jc w:val="left"/>
        <w:tblInd w:w="0" w:type="dxa"/>
        <w:tblLayout w:type="fixed"/>
        <w:tblCellMar>
          <w:top w:w="0" w:type="dxa"/>
          <w:left w:w="0" w:type="dxa"/>
          <w:bottom w:w="0" w:type="dxa"/>
          <w:right w:w="0" w:type="dxa"/>
        </w:tblCellMar>
      </w:tblPr>
      <w:tblGrid>
        <w:gridCol w:w="2225"/>
        <w:gridCol w:w="60"/>
        <w:gridCol w:w="140"/>
        <w:gridCol w:w="1715"/>
        <w:gridCol w:w="215"/>
        <w:gridCol w:w="60"/>
        <w:gridCol w:w="143"/>
        <w:gridCol w:w="1751"/>
        <w:gridCol w:w="230"/>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5" w:type="dxa"/>
            <w:gridSpan w:val="2"/>
            <w:tcBorders>
              <w:bottom w:val="single" w:sz="8" w:space="0" w:color="000000"/>
            </w:tcBorders>
            <w:tcMar>
              <w:bottom w:w="28" w:type="dxa"/>
            </w:tcMar>
            <w:vAlign w:val="center"/>
          </w:tcPr>
          <w:p>
            <w:pPr>
              <w:pStyle w:val="TableContents"/>
              <w:bidi w:val="0"/>
              <w:spacing w:before="0" w:after="283"/>
              <w:jc w:val="center"/>
              <w:rPr/>
            </w:pPr>
            <w:r>
              <w:rPr/>
              <w:t>March 31,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23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715" w:type="dxa"/>
            <w:tcBorders/>
            <w:shd w:fill="CCEEFF" w:val="clear"/>
            <w:vAlign w:val="center"/>
          </w:tcPr>
          <w:p>
            <w:pPr>
              <w:pStyle w:val="TableContents"/>
              <w:bidi w:val="0"/>
              <w:spacing w:before="0" w:after="283"/>
              <w:jc w:val="right"/>
              <w:rPr/>
            </w:pPr>
            <w:bookmarkStart w:id="900" w:name="xdx_909_eus-gaap--SharePrice_iI_pid_c202"/>
            <w:bookmarkEnd w:id="900"/>
            <w:r>
              <w:rPr/>
              <w:t>0.51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751" w:type="dxa"/>
            <w:tcBorders/>
            <w:shd w:fill="CCEEFF" w:val="clear"/>
            <w:vAlign w:val="center"/>
          </w:tcPr>
          <w:p>
            <w:pPr>
              <w:pStyle w:val="TableContents"/>
              <w:bidi w:val="0"/>
              <w:spacing w:before="0" w:after="283"/>
              <w:jc w:val="right"/>
              <w:rPr/>
            </w:pPr>
            <w:bookmarkStart w:id="901" w:name="xdx_90D_eus-gaap--SharePrice_iI_pid_c202"/>
            <w:bookmarkEnd w:id="901"/>
            <w:r>
              <w:rPr/>
              <w:t>0.89</w:t>
            </w:r>
          </w:p>
        </w:tc>
        <w:tc>
          <w:tcPr>
            <w:tcW w:w="23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sz w:val="20"/>
              </w:rPr>
            </w:pPr>
            <w:bookmarkStart w:id="902" w:name="xdx_901_ecustom--VolumeWeightedAveragePr"/>
            <w:bookmarkEnd w:id="902"/>
            <w:r>
              <w:rPr>
                <w:rFonts w:ascii="Times New Roman;Times;Serif" w:hAnsi="Times New Roman;Times;Serif"/>
                <w:sz w:val="20"/>
              </w:rPr>
              <w:t>92% VWAP or $</w:t>
            </w:r>
            <w:bookmarkStart w:id="903" w:name="xdx_906_eus-gaap--ShareBasedCompensation"/>
            <w:bookmarkEnd w:id="903"/>
            <w:r>
              <w:rPr>
                <w:rFonts w:ascii="Times New Roman;Times;Serif" w:hAnsi="Times New Roman;Times;Serif"/>
                <w:sz w:val="20"/>
              </w:rPr>
              <w:t>5.00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right"/>
              <w:rPr>
                <w:rFonts w:ascii="Times New Roman;Times;Serif" w:hAnsi="Times New Roman;Times;Serif"/>
                <w:sz w:val="20"/>
              </w:rPr>
            </w:pPr>
            <w:bookmarkStart w:id="904" w:name="xdx_903_ecustom--VolumeWeightedAveragePr"/>
            <w:bookmarkEnd w:id="904"/>
            <w:r>
              <w:rPr>
                <w:rFonts w:ascii="Times New Roman;Times;Serif" w:hAnsi="Times New Roman;Times;Serif"/>
                <w:sz w:val="20"/>
              </w:rPr>
              <w:t>92% VWAP or $</w:t>
            </w:r>
            <w:bookmarkStart w:id="905" w:name="xdx_906_eus-gaap--ShareBasedCompensation"/>
            <w:bookmarkEnd w:id="905"/>
            <w:r>
              <w:rPr>
                <w:rFonts w:ascii="Times New Roman;Times;Serif" w:hAnsi="Times New Roman;Times;Serif"/>
                <w:sz w:val="20"/>
              </w:rPr>
              <w:t>5.00</w:t>
            </w:r>
          </w:p>
        </w:tc>
        <w:tc>
          <w:tcPr>
            <w:tcW w:w="23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Contractual term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rFonts w:ascii="Times New Roman;Times;Serif" w:hAnsi="Times New Roman;Times;Serif"/>
                <w:sz w:val="20"/>
              </w:rPr>
            </w:pPr>
            <w:bookmarkStart w:id="906" w:name="xdx_907_eus-gaap--SharebasedCompensation"/>
            <w:bookmarkEnd w:id="906"/>
            <w:r>
              <w:rPr>
                <w:rFonts w:ascii="Times New Roman;Times;Serif" w:hAnsi="Times New Roman;Times;Serif"/>
                <w:sz w:val="20"/>
              </w:rPr>
              <w:t>0.07-</w:t>
            </w:r>
            <w:bookmarkStart w:id="907" w:name="xdx_907_eus-gaap--SharebasedCompensation"/>
            <w:bookmarkEnd w:id="907"/>
            <w:r>
              <w:rPr>
                <w:rFonts w:ascii="Times New Roman;Times;Serif" w:hAnsi="Times New Roman;Times;Serif"/>
                <w:sz w:val="20"/>
              </w:rPr>
              <w:t>0.66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rFonts w:ascii="Times New Roman;Times;Serif" w:hAnsi="Times New Roman;Times;Serif"/>
                <w:sz w:val="20"/>
              </w:rPr>
            </w:pPr>
            <w:bookmarkStart w:id="908" w:name="xdx_90B_eus-gaap--SharebasedCompensation"/>
            <w:bookmarkEnd w:id="908"/>
            <w:r>
              <w:rPr>
                <w:rFonts w:ascii="Times New Roman;Times;Serif" w:hAnsi="Times New Roman;Times;Serif"/>
                <w:sz w:val="20"/>
              </w:rPr>
              <w:t>0.16-</w:t>
            </w:r>
            <w:bookmarkStart w:id="909" w:name="xdx_901_eus-gaap--SharebasedCompensation"/>
            <w:bookmarkEnd w:id="909"/>
            <w:r>
              <w:rPr>
                <w:rFonts w:ascii="Times New Roman;Times;Serif" w:hAnsi="Times New Roman;Times;Serif"/>
                <w:sz w:val="20"/>
              </w:rPr>
              <w:t>0.90</w:t>
            </w:r>
          </w:p>
        </w:tc>
        <w:tc>
          <w:tcPr>
            <w:tcW w:w="23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sz w:val="20"/>
              </w:rPr>
            </w:pPr>
            <w:bookmarkStart w:id="910" w:name="xdx_908_eus-gaap--ShareBasedCompensation"/>
            <w:bookmarkEnd w:id="910"/>
            <w:r>
              <w:rPr>
                <w:rFonts w:ascii="Times New Roman;Times;Serif" w:hAnsi="Times New Roman;Times;Serif"/>
                <w:sz w:val="20"/>
              </w:rPr>
              <w:t xml:space="preserve">64.8% - </w:t>
            </w:r>
            <w:bookmarkStart w:id="911" w:name="xdx_904_eus-gaap--ShareBasedCompensation"/>
            <w:bookmarkEnd w:id="911"/>
            <w:r>
              <w:rPr>
                <w:rFonts w:ascii="Times New Roman;Times;Serif" w:hAnsi="Times New Roman;Times;Serif"/>
                <w:sz w:val="20"/>
              </w:rPr>
              <w:t>81.9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right"/>
              <w:rPr>
                <w:rFonts w:ascii="Times New Roman;Times;Serif" w:hAnsi="Times New Roman;Times;Serif"/>
                <w:sz w:val="20"/>
              </w:rPr>
            </w:pPr>
            <w:bookmarkStart w:id="912" w:name="xdx_909_eus-gaap--ShareBasedCompensation"/>
            <w:bookmarkEnd w:id="912"/>
            <w:r>
              <w:rPr>
                <w:rFonts w:ascii="Times New Roman;Times;Serif" w:hAnsi="Times New Roman;Times;Serif"/>
                <w:sz w:val="20"/>
              </w:rPr>
              <w:t xml:space="preserve">58.1% - </w:t>
            </w:r>
            <w:bookmarkStart w:id="913" w:name="xdx_90D_eus-gaap--ShareBasedCompensation"/>
            <w:bookmarkEnd w:id="913"/>
            <w:r>
              <w:rPr>
                <w:rFonts w:ascii="Times New Roman;Times;Serif" w:hAnsi="Times New Roman;Times;Serif"/>
                <w:sz w:val="20"/>
              </w:rPr>
              <w:t>97.3</w:t>
            </w:r>
          </w:p>
        </w:tc>
        <w:tc>
          <w:tcPr>
            <w:tcW w:w="230" w:type="dxa"/>
            <w:tcBorders/>
            <w:shd w:fill="FFFFFF" w:val="clear"/>
            <w:vAlign w:val="center"/>
          </w:tcPr>
          <w:p>
            <w:pPr>
              <w:pStyle w:val="TableContents"/>
              <w:bidi w:val="0"/>
              <w:spacing w:before="0" w:after="283"/>
              <w:jc w:val="left"/>
              <w:rPr/>
            </w:pPr>
            <w:r>
              <w:rPr/>
              <w:t>%</w:t>
            </w:r>
          </w:p>
        </w:tc>
      </w:tr>
      <w:tr>
        <w:trPr/>
        <w:tc>
          <w:tcPr>
            <w:tcW w:w="222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rFonts w:ascii="Times New Roman;Times;Serif" w:hAnsi="Times New Roman;Times;Serif"/>
                <w:sz w:val="20"/>
              </w:rPr>
            </w:pPr>
            <w:bookmarkStart w:id="914" w:name="xdx_90A_eus-gaap--ShareBasedCompensation"/>
            <w:bookmarkEnd w:id="914"/>
            <w:r>
              <w:rPr>
                <w:rFonts w:ascii="Times New Roman;Times;Serif" w:hAnsi="Times New Roman;Times;Serif"/>
                <w:sz w:val="20"/>
              </w:rPr>
              <w:t xml:space="preserve">3.67% - </w:t>
            </w:r>
            <w:bookmarkStart w:id="915" w:name="xdx_906_eus-gaap--ShareBasedCompensation"/>
            <w:bookmarkEnd w:id="915"/>
            <w:r>
              <w:rPr>
                <w:rFonts w:ascii="Times New Roman;Times;Serif" w:hAnsi="Times New Roman;Times;Serif"/>
                <w:sz w:val="20"/>
              </w:rPr>
              <w:t>3.71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rFonts w:ascii="Times New Roman;Times;Serif" w:hAnsi="Times New Roman;Times;Serif"/>
                <w:sz w:val="20"/>
              </w:rPr>
            </w:pPr>
            <w:bookmarkStart w:id="916" w:name="xdx_90B_eus-gaap--ShareBasedCompensation"/>
            <w:bookmarkEnd w:id="916"/>
            <w:r>
              <w:rPr>
                <w:rFonts w:ascii="Times New Roman;Times;Serif" w:hAnsi="Times New Roman;Times;Serif"/>
                <w:sz w:val="20"/>
              </w:rPr>
              <w:t xml:space="preserve">3.47% - </w:t>
            </w:r>
            <w:bookmarkStart w:id="917" w:name="xdx_904_eus-gaap--ShareBasedCompensation"/>
            <w:bookmarkEnd w:id="917"/>
            <w:r>
              <w:rPr>
                <w:rFonts w:ascii="Times New Roman;Times;Serif" w:hAnsi="Times New Roman;Times;Serif"/>
                <w:sz w:val="20"/>
              </w:rPr>
              <w:t>3.66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bookmarkStart w:id="918" w:name="xdx_8A1_zWS8PFTdfZC3"/>
      <w:bookmarkEnd w:id="91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9" w:name="xdx_80F_eus-gaap--IncomeTaxDisclosureTex"/>
      <w:bookmarkEnd w:id="919"/>
      <w:r>
        <w:rPr>
          <w:rFonts w:ascii="Times New Roman;Times;Serif" w:hAnsi="Times New Roman;Times;Serif"/>
          <w:b/>
          <w:i w:val="false"/>
          <w:caps w:val="false"/>
          <w:smallCaps w:val="false"/>
          <w:sz w:val="20"/>
        </w:rPr>
        <w:t xml:space="preserve">NOTE 13 – </w:t>
      </w:r>
      <w:bookmarkStart w:id="920" w:name="xdx_829_zPCaN3SqsHP8"/>
      <w:bookmarkEnd w:id="920"/>
      <w:r>
        <w:rPr>
          <w:rFonts w:ascii="Times New Roman;Times;Serif" w:hAnsi="Times New Roman;Times;Serif"/>
          <w:b/>
          <w:i w:val="false"/>
          <w:caps w:val="false"/>
          <w:smallCaps w:val="false"/>
          <w:sz w:val="20"/>
        </w:rPr>
        <w:t>INCOME TAXES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calculate its interim income tax provision using the estimated annual effective tax rate (“AETR”) method which involves the use of forecasted information, adjusted for the effect of discrete items arising in that quarter. Under the AETR method, the income tax provision is calculated by applying the estimated AETR for the full fiscal year to “ordinary” income or loss (pretax income or loss excluding discrete items) for the reporting period. This could result in a higher or lower effective tax rate during a particular quarter, based upon the mix and timing of actual earnings or losses versus forecasted earnings for the full fiscal year. In each quarter, the Company updates its estimate of the annual effective tax rate, and if the estimated annual tax rate changes, a cumulative adjustment is made in that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income tax expense of $106,824 and income tax benefit of $1,470,830 for the three months ended March 31, 2026 and 2025, respectively. For the three months ended March 31, 2026 and 2025, the Company’s effective tax rate was 5% and 43%, respectively. For the three months ended March 31, 2026, the Company’s effective tax rate differed from the federal statutory rate of 21% primarily due to the permanent differences, state taxes, and change in valuation allowance. For the three months ended March 31, 2025, the Company’s effective tax rate differed from the federal statutory rate of 21% primarily due to permanent differences, state taxes, global intangible low-taxed income related to the Company’s foreign subsidiary, and the ratio of forecasted permanent book-tax differences compared to forecasted pre-tax income used in the AETR method is higher than expected to be at year-end, elevating the interim effective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reassessed the realizability of its net deferred tax assets as of March 31, 2026. After considering all available positive and negative evidence—including cumulative losses in recent periods and updated projections of future taxable income—the Company concluded that it remains more likely than not that its net deferred tax assets will not be realized. Accordingly, the full valuation allowance recorded continues to be maintained.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1" w:name="xdx_809_eus-gaap--LesseeOperatingLeasesT"/>
      <w:bookmarkEnd w:id="921"/>
      <w:r>
        <w:rPr>
          <w:rFonts w:ascii="Times New Roman;Times;Serif" w:hAnsi="Times New Roman;Times;Serif"/>
          <w:b/>
          <w:i w:val="false"/>
          <w:caps w:val="false"/>
          <w:smallCaps w:val="false"/>
          <w:sz w:val="20"/>
        </w:rPr>
        <w:t xml:space="preserve">NOTE 14 – </w:t>
      </w:r>
      <w:bookmarkStart w:id="922" w:name="xdx_828_zFvQ2fmItZZc"/>
      <w:bookmarkEnd w:id="922"/>
      <w:r>
        <w:rPr>
          <w:rFonts w:ascii="Times New Roman;Times;Serif" w:hAnsi="Times New Roman;Times;Serif"/>
          <w:b/>
          <w:i w:val="false"/>
          <w:caps w:val="false"/>
          <w:smallCaps w:val="false"/>
          <w:sz w:val="20"/>
        </w:rPr>
        <w:t>OPERATING LEASE RIGHT-OF-USE ASSETS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right-of-use assets represent arrangements related primarily to office facilities used in the ordinary business operations of the Company and its subsidiaries. In April 2018, a commercial bank issued an irrevocable standby letter of credit on behalf of the Company to the landlord for $</w:t>
      </w:r>
      <w:bookmarkStart w:id="923" w:name="xdx_906_eus-gaap--LineOfCreditFacilityMa"/>
      <w:bookmarkEnd w:id="923"/>
      <w:r>
        <w:rPr>
          <w:rFonts w:ascii="Times New Roman;Times;Serif" w:hAnsi="Times New Roman;Times;Serif"/>
          <w:b w:val="false"/>
          <w:i w:val="false"/>
          <w:caps w:val="false"/>
          <w:smallCaps w:val="false"/>
          <w:sz w:val="20"/>
        </w:rPr>
        <w:t xml:space="preserve">1,075,000 to lease office space. The standby letter of credit is valid for a seven-year term and was amended in December 2025 to extend to March 31, 2033. The Company leases office space in Beverly Hills, California pursuant to a lease agreement, as amended, with an original commencement date of April 5, 2018, which was extended for an additional 86-month term commencing December 1, 2025 and expiring January 31, 2033, with one five-year renewal option but the Company is not reasonably certain to exercise the option at lease commencement. For purposes of measuring the right-of-use asset and lease liability under ASC 842, the Company applied an incremental borrowing rate of </w:t>
      </w:r>
      <w:bookmarkStart w:id="924" w:name="xdx_909_ecustom--IncrementalBorrowingRat"/>
      <w:bookmarkEnd w:id="924"/>
      <w:r>
        <w:rPr>
          <w:rFonts w:ascii="Times New Roman;Times;Serif" w:hAnsi="Times New Roman;Times;Serif"/>
          <w:b w:val="false"/>
          <w:i w:val="false"/>
          <w:caps w:val="false"/>
          <w:smallCaps w:val="false"/>
          <w:sz w:val="20"/>
        </w:rPr>
        <w:t>8.50%. The incremental borrowing rate is the rate of interest we would have to pay to borrow on a collateralized basis over a similar term an amount equal to the lease payments in a similar economic environment. In determining that rate, the company considers prevailing economic conditions at the commencement date, as well as factors such as company-specific credit risk, term of the lease and options, and the effect of collateralization based on the nature and quality of the underlying asset. As of March 31, 2026 and December 31, 2025, the Company’s net operating lease right-of-use assets amounted to $</w:t>
      </w:r>
      <w:bookmarkStart w:id="925" w:name="xdx_90F_eus-gaap--OperatingLeaseRightOfU"/>
      <w:bookmarkEnd w:id="925"/>
      <w:r>
        <w:rPr>
          <w:rFonts w:ascii="Times New Roman;Times;Serif" w:hAnsi="Times New Roman;Times;Serif"/>
          <w:b w:val="false"/>
          <w:i w:val="false"/>
          <w:caps w:val="false"/>
          <w:smallCaps w:val="false"/>
          <w:sz w:val="20"/>
        </w:rPr>
        <w:t>4,581,907 and $</w:t>
      </w:r>
      <w:bookmarkStart w:id="926" w:name="xdx_90A_eus-gaap--OperatingLeaseRightOfU"/>
      <w:bookmarkEnd w:id="926"/>
      <w:r>
        <w:rPr>
          <w:rFonts w:ascii="Times New Roman;Times;Serif" w:hAnsi="Times New Roman;Times;Serif"/>
          <w:b w:val="false"/>
          <w:i w:val="false"/>
          <w:caps w:val="false"/>
          <w:smallCaps w:val="false"/>
          <w:sz w:val="20"/>
        </w:rPr>
        <w:t>4,722,366, respectively. The Company had variable lease payments of approximately $</w:t>
      </w:r>
      <w:bookmarkStart w:id="927" w:name="xdx_903_eus-gaap--VariableLeasePayment_p"/>
      <w:bookmarkEnd w:id="927"/>
      <w:r>
        <w:rPr>
          <w:rFonts w:ascii="Times New Roman;Times;Serif" w:hAnsi="Times New Roman;Times;Serif"/>
          <w:b w:val="false"/>
          <w:i w:val="false"/>
          <w:caps w:val="false"/>
          <w:smallCaps w:val="false"/>
          <w:sz w:val="20"/>
        </w:rPr>
        <w:t>2,624 and $</w:t>
      </w:r>
      <w:bookmarkStart w:id="928" w:name="xdx_901_eus-gaap--VariableLeasePayment_p"/>
      <w:bookmarkEnd w:id="928"/>
      <w:r>
        <w:rPr>
          <w:rFonts w:ascii="Times New Roman;Times;Serif" w:hAnsi="Times New Roman;Times;Serif"/>
          <w:b w:val="false"/>
          <w:i w:val="false"/>
          <w:caps w:val="false"/>
          <w:smallCaps w:val="false"/>
          <w:sz w:val="20"/>
        </w:rPr>
        <w:t>38,277 during the three months ended March 31, 2026 and 2025, respectively, which consisted primarily of common area maintenance charges and administrative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29" w:name="xdx_898_eus-gaap--LeaseCostTableTextBloc"/>
      <w:bookmarkEnd w:id="929"/>
      <w:r>
        <w:rPr>
          <w:rFonts w:ascii="Times New Roman;Times;Serif" w:hAnsi="Times New Roman;Times;Serif"/>
          <w:b w:val="false"/>
          <w:i w:val="false"/>
          <w:caps w:val="false"/>
          <w:smallCaps w:val="false"/>
          <w:sz w:val="20"/>
        </w:rPr>
        <w:t>Operating lease costs included in the general and administrative expenses in our condensed consolidated statements of operations and comprehensive income (loss) for the three months ended March 31, 2026 and 2025,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30" w:name="xdx_8BD_zSWTYyBonV2d"/>
      <w:bookmarkEnd w:id="930"/>
      <w:r>
        <w:rPr>
          <w:rFonts w:ascii="Times New Roman;Times;Serif" w:hAnsi="Times New Roman;Times;Serif"/>
          <w:b w:val="false"/>
          <w:i w:val="false"/>
          <w:caps w:val="false"/>
          <w:smallCaps w:val="false"/>
          <w:sz w:val="20"/>
        </w:rPr>
        <w:t>SCHEDULE OF OPERATING LEASE COSTS </w:t>
      </w:r>
    </w:p>
    <w:tbl>
      <w:tblPr>
        <w:tblW w:w="4165" w:type="dxa"/>
        <w:jc w:val="left"/>
        <w:tblInd w:w="0" w:type="dxa"/>
        <w:tblLayout w:type="fixed"/>
        <w:tblCellMar>
          <w:top w:w="0" w:type="dxa"/>
          <w:left w:w="0" w:type="dxa"/>
          <w:bottom w:w="0" w:type="dxa"/>
          <w:right w:w="0" w:type="dxa"/>
        </w:tblCellMar>
      </w:tblPr>
      <w:tblGrid>
        <w:gridCol w:w="2030"/>
        <w:gridCol w:w="60"/>
        <w:gridCol w:w="140"/>
        <w:gridCol w:w="800"/>
        <w:gridCol w:w="60"/>
        <w:gridCol w:w="60"/>
        <w:gridCol w:w="140"/>
        <w:gridCol w:w="800"/>
        <w:gridCol w:w="75"/>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1" w:name="xdx_495_20260101__20260331_zhP3q5J4Fs44"/>
            <w:bookmarkEnd w:id="931"/>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2" w:name="xdx_49C_20250101__20250331_zJ1T4aSb9Hg8"/>
            <w:bookmarkEnd w:id="932"/>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933" w:name="xdx_404_eus-gaap--OperatingLeaseCost_z2H"/>
            <w:bookmarkEnd w:id="933"/>
          </w:p>
        </w:tc>
      </w:tr>
      <w:tr>
        <w:trPr/>
        <w:tc>
          <w:tcPr>
            <w:tcW w:w="2030" w:type="dxa"/>
            <w:tcBorders/>
            <w:shd w:fill="CCEEFF" w:val="clear"/>
            <w:vAlign w:val="center"/>
          </w:tcPr>
          <w:p>
            <w:pPr>
              <w:pStyle w:val="TableContents"/>
              <w:bidi w:val="0"/>
              <w:spacing w:before="0" w:after="283"/>
              <w:jc w:val="left"/>
              <w:rPr/>
            </w:pPr>
            <w:r>
              <w:rPr/>
              <w:t>Operating lease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276,457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423,037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34" w:name="xdx_8A4_zbAFBo2PbmLg"/>
      <w:bookmarkEnd w:id="93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35" w:name="xdx_89B_ecustom--LesseeOperatingLeaseSup"/>
      <w:bookmarkEnd w:id="935"/>
      <w:r>
        <w:rPr>
          <w:rFonts w:ascii="Times New Roman;Times;Serif" w:hAnsi="Times New Roman;Times;Serif"/>
          <w:b w:val="false"/>
          <w:i w:val="false"/>
          <w:caps w:val="false"/>
          <w:smallCaps w:val="false"/>
          <w:sz w:val="20"/>
        </w:rPr>
        <w:t>Supplemental information related to operating leases for lease liabilities as of March 31, 2026 and 2025,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36" w:name="xdx_8BB_zEG2aHqDMJu7"/>
      <w:bookmarkEnd w:id="936"/>
      <w:r>
        <w:rPr>
          <w:rFonts w:ascii="Times New Roman;Times;Serif" w:hAnsi="Times New Roman;Times;Serif"/>
          <w:b w:val="false"/>
          <w:i w:val="false"/>
          <w:caps w:val="false"/>
          <w:smallCaps w:val="false"/>
          <w:sz w:val="20"/>
        </w:rPr>
        <w:t>SCHEDULE OF SUPPLEMENTAL INFORMATION RELATED TO OPERATING LEASES </w:t>
      </w:r>
    </w:p>
    <w:tbl>
      <w:tblPr>
        <w:tblW w:w="9050" w:type="dxa"/>
        <w:jc w:val="left"/>
        <w:tblInd w:w="0" w:type="dxa"/>
        <w:tblLayout w:type="fixed"/>
        <w:tblCellMar>
          <w:top w:w="0" w:type="dxa"/>
          <w:left w:w="0" w:type="dxa"/>
          <w:bottom w:w="0" w:type="dxa"/>
          <w:right w:w="0" w:type="dxa"/>
        </w:tblCellMar>
      </w:tblPr>
      <w:tblGrid>
        <w:gridCol w:w="6605"/>
        <w:gridCol w:w="60"/>
        <w:gridCol w:w="140"/>
        <w:gridCol w:w="800"/>
        <w:gridCol w:w="215"/>
        <w:gridCol w:w="60"/>
        <w:gridCol w:w="140"/>
        <w:gridCol w:w="800"/>
        <w:gridCol w:w="230"/>
      </w:tblGrid>
      <w:tr>
        <w:trPr/>
        <w:tc>
          <w:tcPr>
            <w:tcW w:w="6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937" w:name="xdx_98E_eus-gaap--OperatingLeasePayments"/>
            <w:bookmarkEnd w:id="937"/>
          </w:p>
        </w:tc>
        <w:tc>
          <w:tcPr>
            <w:tcW w:w="800" w:type="dxa"/>
            <w:tcBorders/>
            <w:shd w:fill="CCEEFF" w:val="clear"/>
            <w:vAlign w:val="center"/>
          </w:tcPr>
          <w:p>
            <w:pPr>
              <w:pStyle w:val="TableContents"/>
              <w:bidi w:val="0"/>
              <w:spacing w:before="0" w:after="283"/>
              <w:jc w:val="right"/>
              <w:rPr/>
            </w:pPr>
            <w:r>
              <w:rPr/>
              <w:t>151,839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938" w:name="xdx_980_eus-gaap--OperatingLeasePayments"/>
            <w:bookmarkEnd w:id="938"/>
          </w:p>
        </w:tc>
        <w:tc>
          <w:tcPr>
            <w:tcW w:w="800" w:type="dxa"/>
            <w:tcBorders/>
            <w:shd w:fill="CCEEFF" w:val="clear"/>
            <w:vAlign w:val="center"/>
          </w:tcPr>
          <w:p>
            <w:pPr>
              <w:pStyle w:val="TableContents"/>
              <w:bidi w:val="0"/>
              <w:spacing w:before="0" w:after="283"/>
              <w:jc w:val="right"/>
              <w:rPr/>
            </w:pPr>
            <w:r>
              <w:rPr/>
              <w:t>422,537</w:t>
            </w:r>
          </w:p>
        </w:tc>
        <w:tc>
          <w:tcPr>
            <w:tcW w:w="230" w:type="dxa"/>
            <w:tcBorders/>
            <w:shd w:fill="CCEEFF"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pPr>
            <w:r>
              <w:rPr/>
              <w:t>Weighted average remaining lease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bookmarkStart w:id="939" w:name="xdx_90A_eus-gaap--LesseeOperatingLeaseRe"/>
            <w:bookmarkEnd w:id="939"/>
            <w:r>
              <w:rPr>
                <w:rFonts w:ascii="Times New Roman;Times;Serif" w:hAnsi="Times New Roman;Times;Serif"/>
                <w:sz w:val="20"/>
              </w:rPr>
              <w:t>6.7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bookmarkStart w:id="940" w:name="xdx_902_eus-gaap--LesseeOperatingLeaseRe"/>
            <w:bookmarkEnd w:id="940"/>
            <w:r>
              <w:rPr>
                <w:rFonts w:ascii="Times New Roman;Times;Serif" w:hAnsi="Times New Roman;Times;Serif"/>
                <w:sz w:val="20"/>
              </w:rPr>
              <w:t>0.8 years</w:t>
            </w:r>
          </w:p>
        </w:tc>
        <w:tc>
          <w:tcPr>
            <w:tcW w:w="230" w:type="dxa"/>
            <w:tcBorders/>
            <w:shd w:fill="FFFFFF" w:val="clear"/>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941" w:name="xdx_909_eus-gaap--OperatingLeaseWeighted"/>
            <w:bookmarkEnd w:id="941"/>
            <w:r>
              <w:rPr/>
              <w:t>8.43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942" w:name="xdx_900_eus-gaap--OperatingLeaseWeighted"/>
            <w:bookmarkEnd w:id="942"/>
            <w:r>
              <w:rPr/>
              <w:t>5.18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943" w:name="xdx_8A3_zD25430u6UF6"/>
      <w:bookmarkEnd w:id="94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44" w:name="xdx_896_eus-gaap--LesseeOperatingLeaseLi"/>
      <w:bookmarkEnd w:id="944"/>
      <w:r>
        <w:rPr>
          <w:rFonts w:ascii="Times New Roman;Times;Serif" w:hAnsi="Times New Roman;Times;Serif"/>
          <w:b w:val="false"/>
          <w:i w:val="false"/>
          <w:caps w:val="false"/>
          <w:smallCaps w:val="false"/>
          <w:sz w:val="20"/>
        </w:rPr>
        <w:t>Future undiscounted lease payments for operating leases and a reconciliation of these payments to our operating lease liabilities as of March 31, 2026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45" w:name="xdx_8BB_zAm95jMAvmz9"/>
      <w:bookmarkEnd w:id="945"/>
      <w:r>
        <w:rPr>
          <w:rFonts w:ascii="Times New Roman;Times;Serif" w:hAnsi="Times New Roman;Times;Serif"/>
          <w:b w:val="false"/>
          <w:i w:val="false"/>
          <w:caps w:val="false"/>
          <w:smallCaps w:val="false"/>
          <w:sz w:val="20"/>
        </w:rPr>
        <w:t>SCHEDULE OF FUTURE UNDISCOUNTED LEASE PAYMENTS FOR OPERATING LEASES AND RECONCILIATION OF THESE PAYMENTS TO OPERATING LEASE LIABILITIES </w:t>
      </w:r>
    </w:p>
    <w:tbl>
      <w:tblPr>
        <w:tblW w:w="6575" w:type="dxa"/>
        <w:jc w:val="left"/>
        <w:tblInd w:w="0" w:type="dxa"/>
        <w:tblLayout w:type="fixed"/>
        <w:tblCellMar>
          <w:top w:w="0" w:type="dxa"/>
          <w:left w:w="0" w:type="dxa"/>
          <w:bottom w:w="28" w:type="dxa"/>
          <w:right w:w="0" w:type="dxa"/>
        </w:tblCellMar>
      </w:tblPr>
      <w:tblGrid>
        <w:gridCol w:w="2840"/>
        <w:gridCol w:w="60"/>
        <w:gridCol w:w="140"/>
        <w:gridCol w:w="980"/>
        <w:gridCol w:w="60"/>
        <w:gridCol w:w="60"/>
        <w:gridCol w:w="140"/>
        <w:gridCol w:w="980"/>
        <w:gridCol w:w="60"/>
        <w:gridCol w:w="60"/>
        <w:gridCol w:w="140"/>
        <w:gridCol w:w="980"/>
        <w:gridCol w:w="75"/>
      </w:tblGrid>
      <w:tr>
        <w:trPr/>
        <w:tc>
          <w:tcPr>
            <w:tcW w:w="2840" w:type="dxa"/>
            <w:tcBorders>
              <w:bottom w:val="single" w:sz="8" w:space="0" w:color="000000"/>
            </w:tcBorders>
            <w:vAlign w:val="center"/>
          </w:tcPr>
          <w:p>
            <w:pPr>
              <w:pStyle w:val="TableContents"/>
              <w:bidi w:val="0"/>
              <w:spacing w:before="0" w:after="283"/>
              <w:jc w:val="both"/>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lease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Imputed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both"/>
              <w:rPr/>
            </w:pPr>
            <w:r>
              <w:rPr/>
              <w:t>Remainder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946" w:name="xdx_980_eus-gaap--LesseeOperatingLeaseLi"/>
            <w:bookmarkEnd w:id="946"/>
          </w:p>
        </w:tc>
        <w:tc>
          <w:tcPr>
            <w:tcW w:w="980" w:type="dxa"/>
            <w:tcBorders/>
            <w:shd w:fill="CCEEFF" w:val="clear"/>
            <w:tcMar>
              <w:bottom w:w="0" w:type="dxa"/>
            </w:tcMar>
            <w:vAlign w:val="center"/>
          </w:tcPr>
          <w:p>
            <w:pPr>
              <w:pStyle w:val="TableContents"/>
              <w:bidi w:val="0"/>
              <w:spacing w:before="0" w:after="283"/>
              <w:jc w:val="right"/>
              <w:rPr/>
            </w:pPr>
            <w:r>
              <w:rPr/>
              <w:t>620,732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947" w:name="xdx_987_ecustom--LesseeOperatingLeaseLia"/>
            <w:bookmarkEnd w:id="947"/>
          </w:p>
        </w:tc>
        <w:tc>
          <w:tcPr>
            <w:tcW w:w="980" w:type="dxa"/>
            <w:tcBorders/>
            <w:shd w:fill="CCEEFF" w:val="clear"/>
            <w:tcMar>
              <w:bottom w:w="0" w:type="dxa"/>
            </w:tcMar>
            <w:vAlign w:val="center"/>
          </w:tcPr>
          <w:p>
            <w:pPr>
              <w:pStyle w:val="TableContents"/>
              <w:bidi w:val="0"/>
              <w:spacing w:before="0" w:after="283"/>
              <w:jc w:val="right"/>
              <w:rPr/>
            </w:pPr>
            <w:r>
              <w:rPr/>
              <w:t>280,910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948" w:name="xdx_988_ecustom--LesseeOperatingLeaseLia"/>
            <w:bookmarkEnd w:id="948"/>
          </w:p>
        </w:tc>
        <w:tc>
          <w:tcPr>
            <w:tcW w:w="980" w:type="dxa"/>
            <w:tcBorders/>
            <w:shd w:fill="CCEEFF" w:val="clear"/>
            <w:tcMar>
              <w:bottom w:w="0" w:type="dxa"/>
            </w:tcMar>
            <w:vAlign w:val="center"/>
          </w:tcPr>
          <w:p>
            <w:pPr>
              <w:pStyle w:val="TableContents"/>
              <w:bidi w:val="0"/>
              <w:spacing w:before="0" w:after="283"/>
              <w:jc w:val="right"/>
              <w:rPr/>
            </w:pPr>
            <w:r>
              <w:rPr/>
              <w:t>339,822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949" w:name="xdx_988_eus-gaap--LesseeOperatingLeaseLi"/>
            <w:bookmarkEnd w:id="949"/>
          </w:p>
        </w:tc>
        <w:tc>
          <w:tcPr>
            <w:tcW w:w="980" w:type="dxa"/>
            <w:tcBorders/>
            <w:shd w:fill="FFFFFF" w:val="clear"/>
            <w:tcMar>
              <w:bottom w:w="0" w:type="dxa"/>
            </w:tcMar>
            <w:vAlign w:val="center"/>
          </w:tcPr>
          <w:p>
            <w:pPr>
              <w:pStyle w:val="TableContents"/>
              <w:bidi w:val="0"/>
              <w:spacing w:before="0" w:after="283"/>
              <w:jc w:val="right"/>
              <w:rPr/>
            </w:pPr>
            <w:r>
              <w:rPr/>
              <w:t>855,801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950" w:name="xdx_98C_ecustom--LesseeOperatingLeaseLia"/>
            <w:bookmarkEnd w:id="950"/>
          </w:p>
        </w:tc>
        <w:tc>
          <w:tcPr>
            <w:tcW w:w="980" w:type="dxa"/>
            <w:tcBorders/>
            <w:shd w:fill="FFFFFF" w:val="clear"/>
            <w:tcMar>
              <w:bottom w:w="0" w:type="dxa"/>
            </w:tcMar>
            <w:vAlign w:val="center"/>
          </w:tcPr>
          <w:p>
            <w:pPr>
              <w:pStyle w:val="TableContents"/>
              <w:bidi w:val="0"/>
              <w:spacing w:before="0" w:after="283"/>
              <w:jc w:val="right"/>
              <w:rPr/>
            </w:pPr>
            <w:r>
              <w:rPr/>
              <w:t>342,602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951" w:name="xdx_981_ecustom--LesseeOperatingLeaseLia"/>
            <w:bookmarkEnd w:id="951"/>
          </w:p>
        </w:tc>
        <w:tc>
          <w:tcPr>
            <w:tcW w:w="980" w:type="dxa"/>
            <w:tcBorders/>
            <w:shd w:fill="FFFFFF" w:val="clear"/>
            <w:tcMar>
              <w:bottom w:w="0" w:type="dxa"/>
            </w:tcMar>
            <w:vAlign w:val="center"/>
          </w:tcPr>
          <w:p>
            <w:pPr>
              <w:pStyle w:val="TableContents"/>
              <w:bidi w:val="0"/>
              <w:spacing w:before="0" w:after="283"/>
              <w:jc w:val="right"/>
              <w:rPr/>
            </w:pPr>
            <w:r>
              <w:rPr/>
              <w:t>513,199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952" w:name="xdx_98D_eus-gaap--LesseeOperatingLeaseLi"/>
            <w:bookmarkEnd w:id="952"/>
          </w:p>
        </w:tc>
        <w:tc>
          <w:tcPr>
            <w:tcW w:w="980" w:type="dxa"/>
            <w:tcBorders/>
            <w:shd w:fill="CCEEFF" w:val="clear"/>
            <w:tcMar>
              <w:bottom w:w="0" w:type="dxa"/>
            </w:tcMar>
            <w:vAlign w:val="center"/>
          </w:tcPr>
          <w:p>
            <w:pPr>
              <w:pStyle w:val="TableContents"/>
              <w:bidi w:val="0"/>
              <w:spacing w:before="0" w:after="283"/>
              <w:jc w:val="right"/>
              <w:rPr/>
            </w:pPr>
            <w:r>
              <w:rPr/>
              <w:t>870,897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953" w:name="xdx_981_ecustom--LesseeOperatingLeaseLia"/>
            <w:bookmarkEnd w:id="953"/>
          </w:p>
        </w:tc>
        <w:tc>
          <w:tcPr>
            <w:tcW w:w="980" w:type="dxa"/>
            <w:tcBorders/>
            <w:shd w:fill="CCEEFF" w:val="clear"/>
            <w:tcMar>
              <w:bottom w:w="0" w:type="dxa"/>
            </w:tcMar>
            <w:vAlign w:val="center"/>
          </w:tcPr>
          <w:p>
            <w:pPr>
              <w:pStyle w:val="TableContents"/>
              <w:bidi w:val="0"/>
              <w:spacing w:before="0" w:after="283"/>
              <w:jc w:val="right"/>
              <w:rPr/>
            </w:pPr>
            <w:r>
              <w:rPr/>
              <w:t>296,320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954" w:name="xdx_985_ecustom--LesseeOperatingLeaseLia"/>
            <w:bookmarkEnd w:id="954"/>
          </w:p>
        </w:tc>
        <w:tc>
          <w:tcPr>
            <w:tcW w:w="980" w:type="dxa"/>
            <w:tcBorders/>
            <w:shd w:fill="CCEEFF" w:val="clear"/>
            <w:tcMar>
              <w:bottom w:w="0" w:type="dxa"/>
            </w:tcMar>
            <w:vAlign w:val="center"/>
          </w:tcPr>
          <w:p>
            <w:pPr>
              <w:pStyle w:val="TableContents"/>
              <w:bidi w:val="0"/>
              <w:spacing w:before="0" w:after="283"/>
              <w:jc w:val="right"/>
              <w:rPr/>
            </w:pPr>
            <w:r>
              <w:rPr/>
              <w:t>574,577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both"/>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955" w:name="xdx_980_eus-gaap--LesseeOperatingLeaseLi"/>
            <w:bookmarkEnd w:id="955"/>
          </w:p>
        </w:tc>
        <w:tc>
          <w:tcPr>
            <w:tcW w:w="980" w:type="dxa"/>
            <w:tcBorders/>
            <w:shd w:fill="FFFFFF" w:val="clear"/>
            <w:tcMar>
              <w:bottom w:w="0" w:type="dxa"/>
            </w:tcMar>
            <w:vAlign w:val="center"/>
          </w:tcPr>
          <w:p>
            <w:pPr>
              <w:pStyle w:val="TableContents"/>
              <w:bidi w:val="0"/>
              <w:spacing w:before="0" w:after="283"/>
              <w:jc w:val="right"/>
              <w:rPr/>
            </w:pPr>
            <w:r>
              <w:rPr/>
              <w:t>885,514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956" w:name="xdx_98B_ecustom--LesseeOperatingLeaseLia"/>
            <w:bookmarkEnd w:id="956"/>
          </w:p>
        </w:tc>
        <w:tc>
          <w:tcPr>
            <w:tcW w:w="980" w:type="dxa"/>
            <w:tcBorders/>
            <w:shd w:fill="FFFFFF" w:val="clear"/>
            <w:tcMar>
              <w:bottom w:w="0" w:type="dxa"/>
            </w:tcMar>
            <w:vAlign w:val="center"/>
          </w:tcPr>
          <w:p>
            <w:pPr>
              <w:pStyle w:val="TableContents"/>
              <w:bidi w:val="0"/>
              <w:spacing w:before="0" w:after="283"/>
              <w:jc w:val="right"/>
              <w:rPr/>
            </w:pPr>
            <w:r>
              <w:rPr/>
              <w:t>245,404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957" w:name="xdx_983_ecustom--LesseeOperatingLeaseLia"/>
            <w:bookmarkEnd w:id="957"/>
          </w:p>
        </w:tc>
        <w:tc>
          <w:tcPr>
            <w:tcW w:w="980" w:type="dxa"/>
            <w:tcBorders/>
            <w:shd w:fill="FFFFFF" w:val="clear"/>
            <w:tcMar>
              <w:bottom w:w="0" w:type="dxa"/>
            </w:tcMar>
            <w:vAlign w:val="center"/>
          </w:tcPr>
          <w:p>
            <w:pPr>
              <w:pStyle w:val="TableContents"/>
              <w:bidi w:val="0"/>
              <w:spacing w:before="0" w:after="283"/>
              <w:jc w:val="right"/>
              <w:rPr/>
            </w:pPr>
            <w:r>
              <w:rPr/>
              <w:t>640,110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both"/>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958" w:name="xdx_98D_eus-gaap--LesseeOperatingLeaseLi"/>
            <w:bookmarkEnd w:id="958"/>
          </w:p>
        </w:tc>
        <w:tc>
          <w:tcPr>
            <w:tcW w:w="980" w:type="dxa"/>
            <w:tcBorders/>
            <w:shd w:fill="CCEEFF" w:val="clear"/>
            <w:tcMar>
              <w:bottom w:w="0" w:type="dxa"/>
            </w:tcMar>
            <w:vAlign w:val="center"/>
          </w:tcPr>
          <w:p>
            <w:pPr>
              <w:pStyle w:val="TableContents"/>
              <w:bidi w:val="0"/>
              <w:spacing w:before="0" w:after="283"/>
              <w:jc w:val="right"/>
              <w:rPr/>
            </w:pPr>
            <w:r>
              <w:rPr/>
              <w:t>920,933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959" w:name="xdx_982_ecustom--LesseeOperatingLeaseLia"/>
            <w:bookmarkEnd w:id="959"/>
          </w:p>
        </w:tc>
        <w:tc>
          <w:tcPr>
            <w:tcW w:w="980" w:type="dxa"/>
            <w:tcBorders/>
            <w:shd w:fill="CCEEFF" w:val="clear"/>
            <w:tcMar>
              <w:bottom w:w="0" w:type="dxa"/>
            </w:tcMar>
            <w:vAlign w:val="center"/>
          </w:tcPr>
          <w:p>
            <w:pPr>
              <w:pStyle w:val="TableContents"/>
              <w:bidi w:val="0"/>
              <w:spacing w:before="0" w:after="283"/>
              <w:jc w:val="right"/>
              <w:rPr/>
            </w:pPr>
            <w:r>
              <w:rPr/>
              <w:t>187,156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960" w:name="xdx_98C_ecustom--LesseeOperatingLeaseLia"/>
            <w:bookmarkEnd w:id="960"/>
          </w:p>
        </w:tc>
        <w:tc>
          <w:tcPr>
            <w:tcW w:w="980" w:type="dxa"/>
            <w:tcBorders/>
            <w:shd w:fill="CCEEFF" w:val="clear"/>
            <w:tcMar>
              <w:bottom w:w="0" w:type="dxa"/>
            </w:tcMar>
            <w:vAlign w:val="center"/>
          </w:tcPr>
          <w:p>
            <w:pPr>
              <w:pStyle w:val="TableContents"/>
              <w:bidi w:val="0"/>
              <w:spacing w:before="0" w:after="283"/>
              <w:jc w:val="right"/>
              <w:rPr/>
            </w:pPr>
            <w:r>
              <w:rPr/>
              <w:t>733,777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bookmarkStart w:id="961" w:name="xdx_987_ecustom--LesseeOperatingLeaseLia"/>
            <w:bookmarkEnd w:id="961"/>
          </w:p>
        </w:tc>
        <w:tc>
          <w:tcPr>
            <w:tcW w:w="980" w:type="dxa"/>
            <w:tcBorders>
              <w:bottom w:val="single" w:sz="8" w:space="0" w:color="000000"/>
            </w:tcBorders>
            <w:shd w:fill="FFFFFF" w:val="clear"/>
            <w:vAlign w:val="center"/>
          </w:tcPr>
          <w:p>
            <w:pPr>
              <w:pStyle w:val="TableContents"/>
              <w:bidi w:val="0"/>
              <w:spacing w:before="0" w:after="283"/>
              <w:jc w:val="right"/>
              <w:rPr/>
            </w:pPr>
            <w:r>
              <w:rPr/>
              <w:t>2,039,891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bookmarkStart w:id="962" w:name="xdx_984_ecustom--LesseeOperatingLeaseLia"/>
            <w:bookmarkEnd w:id="962"/>
          </w:p>
        </w:tc>
        <w:tc>
          <w:tcPr>
            <w:tcW w:w="980" w:type="dxa"/>
            <w:tcBorders>
              <w:bottom w:val="single" w:sz="8" w:space="0" w:color="000000"/>
            </w:tcBorders>
            <w:shd w:fill="FFFFFF" w:val="clear"/>
            <w:vAlign w:val="center"/>
          </w:tcPr>
          <w:p>
            <w:pPr>
              <w:pStyle w:val="TableContents"/>
              <w:bidi w:val="0"/>
              <w:spacing w:before="0" w:after="283"/>
              <w:jc w:val="right"/>
              <w:rPr/>
            </w:pPr>
            <w:r>
              <w:rPr/>
              <w:t>165,313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bookmarkStart w:id="963" w:name="xdx_988_ecustom--LesseeOperatingLeaseLia"/>
            <w:bookmarkEnd w:id="963"/>
          </w:p>
        </w:tc>
        <w:tc>
          <w:tcPr>
            <w:tcW w:w="980" w:type="dxa"/>
            <w:tcBorders>
              <w:bottom w:val="single" w:sz="8" w:space="0" w:color="000000"/>
            </w:tcBorders>
            <w:shd w:fill="FFFFFF" w:val="clear"/>
            <w:vAlign w:val="center"/>
          </w:tcPr>
          <w:p>
            <w:pPr>
              <w:pStyle w:val="TableContents"/>
              <w:bidi w:val="0"/>
              <w:spacing w:before="0" w:after="283"/>
              <w:jc w:val="right"/>
              <w:rPr/>
            </w:pPr>
            <w:r>
              <w:rPr/>
              <w:t>1,874,578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both"/>
              <w:rPr/>
            </w:pPr>
            <w:r>
              <w:rPr/>
              <w:t>Total future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bookmarkStart w:id="964" w:name="xdx_98B_eus-gaap--LesseeOperatingLeaseLi"/>
            <w:bookmarkEnd w:id="964"/>
          </w:p>
        </w:tc>
        <w:tc>
          <w:tcPr>
            <w:tcW w:w="980" w:type="dxa"/>
            <w:tcBorders>
              <w:bottom w:val="double" w:sz="6" w:space="0" w:color="000000"/>
            </w:tcBorders>
            <w:shd w:fill="CCEEFF" w:val="clear"/>
            <w:vAlign w:val="center"/>
          </w:tcPr>
          <w:p>
            <w:pPr>
              <w:pStyle w:val="TableContents"/>
              <w:bidi w:val="0"/>
              <w:spacing w:before="0" w:after="283"/>
              <w:jc w:val="right"/>
              <w:rPr/>
            </w:pPr>
            <w:r>
              <w:rPr/>
              <w:t>6,193,768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bookmarkStart w:id="965" w:name="xdx_987_eus-gaap--LesseeOperatingLeaseLi"/>
            <w:bookmarkEnd w:id="965"/>
          </w:p>
        </w:tc>
        <w:tc>
          <w:tcPr>
            <w:tcW w:w="980" w:type="dxa"/>
            <w:tcBorders>
              <w:bottom w:val="double" w:sz="6" w:space="0" w:color="000000"/>
            </w:tcBorders>
            <w:shd w:fill="CCEEFF" w:val="clear"/>
            <w:vAlign w:val="center"/>
          </w:tcPr>
          <w:p>
            <w:pPr>
              <w:pStyle w:val="TableContents"/>
              <w:bidi w:val="0"/>
              <w:spacing w:before="0" w:after="283"/>
              <w:jc w:val="right"/>
              <w:rPr/>
            </w:pPr>
            <w:r>
              <w:rPr/>
              <w:t>1,517,705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bookmarkStart w:id="966" w:name="xdx_981_eus-gaap--OperatingLeaseLiabilit"/>
            <w:bookmarkEnd w:id="966"/>
          </w:p>
        </w:tc>
        <w:tc>
          <w:tcPr>
            <w:tcW w:w="980" w:type="dxa"/>
            <w:tcBorders>
              <w:bottom w:val="double" w:sz="6" w:space="0" w:color="000000"/>
            </w:tcBorders>
            <w:shd w:fill="CCEEFF" w:val="clear"/>
            <w:vAlign w:val="center"/>
          </w:tcPr>
          <w:p>
            <w:pPr>
              <w:pStyle w:val="TableContents"/>
              <w:bidi w:val="0"/>
              <w:spacing w:before="0" w:after="283"/>
              <w:jc w:val="right"/>
              <w:rPr/>
            </w:pPr>
            <w:r>
              <w:rPr/>
              <w:t>4,676,063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67" w:name="xdx_8A4_zbapDuZtWLc1"/>
      <w:bookmarkEnd w:id="96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8" w:name="xdx_80A_eus-gaap--CommitmentsAndContinge"/>
      <w:bookmarkEnd w:id="968"/>
      <w:r>
        <w:rPr>
          <w:rFonts w:ascii="Times New Roman;Times;Serif" w:hAnsi="Times New Roman;Times;Serif"/>
          <w:b/>
          <w:i w:val="false"/>
          <w:caps w:val="false"/>
          <w:smallCaps w:val="false"/>
          <w:sz w:val="20"/>
        </w:rPr>
        <w:t xml:space="preserve">NOTE 15 – </w:t>
      </w:r>
      <w:bookmarkStart w:id="969" w:name="xdx_824_z9Fw9ymzRdfl"/>
      <w:bookmarkEnd w:id="969"/>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claims and contingencies related to lawsuits and other matters arising out of the normal course of business. In addition, the Company may receive notifications alleging infringement of patent or other intellectual property rights. The Company has elected to expense legal costs associated with legal contingencies as incurred.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2023, Bel Air Soto, LLC (“Plaintiff”) filed suit in the Superior Court of California, County of Los Angeles, against Snail Games USA Inc. and INDIEV, an affiliate company that is owned by Mr. Hai Shi, the Company’s Founder, Chief Executive Officer, Chief Strategy Officer, and Chairman, for breach of contract and related claims arising out of a commercial lease for premises located in Los Angeles County. Plaintiff alleges that the defendants exercised an option to extend the lease and was harmed when defendants instead terminated the lease and vacated the premises. The complaint seeks damages in excess of $</w:t>
      </w:r>
      <w:bookmarkStart w:id="970" w:name="xdx_906_eus-gaap--LossContingencyDamages"/>
      <w:bookmarkEnd w:id="970"/>
      <w:r>
        <w:rPr>
          <w:rFonts w:ascii="Times New Roman;Times;Serif" w:hAnsi="Times New Roman;Times;Serif"/>
          <w:b w:val="false"/>
          <w:i w:val="false"/>
          <w:caps w:val="false"/>
          <w:smallCaps w:val="false"/>
          <w:sz w:val="20"/>
        </w:rPr>
        <w:t>3 million. The Company disputes the allegations and the amount of damages. The Company has responded to the complaint with an answer and cross-complaint. The cross-complaint seeks return for the $</w:t>
      </w:r>
      <w:bookmarkStart w:id="971" w:name="xdx_90D_eus-gaap--SecurityDeposit_iI_c20"/>
      <w:bookmarkEnd w:id="971"/>
      <w:r>
        <w:rPr>
          <w:rFonts w:ascii="Times New Roman;Times;Serif" w:hAnsi="Times New Roman;Times;Serif"/>
          <w:b w:val="false"/>
          <w:i w:val="false"/>
          <w:caps w:val="false"/>
          <w:smallCaps w:val="false"/>
          <w:sz w:val="20"/>
        </w:rPr>
        <w:t>130,000 security deposit. The landlord has answered and denied the allegations of the cross-complaint. Snail Games USA Inc. denies exercising the option to extend and has vigorously defended against the claims asserted. The Plaintiff recently amended its complaint to expand its claims in the ongoing litigation by adding Mr. Hai Shi and the Company as additional defendants. The landlord alleges that the Company is exclusively controlled by Mr. Shi and they act as the alter egos of Snail Games USA, Inc. and INDIEV and therefore should be liable for the underlying liability. Once again, the Company denies these new allegations and will vigorously defend against these new claims. The present trial date is December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2023, Snail Games USA Inc. entered into an indemnity and reimbursement agreement with INDIEV, dated as of April 1, 2023, pursuant to which INDIEV agrees to assume all obligations and liabilities pursuant to the lease and indemnify and reimburse Snail Games USA Inc. for any amounts, damages, expenses, costs or other liability incurred by Snail Games USA Inc. arising under or pursuant to the lease or relating to the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INDIEV has filed for bankruptcy and the Company does not expect to recover its costs from INDIEV. At this time, the Company is unable to quantify the magnitude of the potential loss should the plaintiffs’ lawsuit succeed and accordingly no accrual for loss has been recorded in the accompanying financial statements. However, the Company does not believe that the outcome of this litigation will have a material adverse effect on its consolidated financial position, results of operations, or cash flows and believes the likelihood of a loss to the Company to be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routinely enters contracts with related party developers for the development of new games. These agreements ordinarily include contractual payments to the developers for several milestones that occur at various times through 2026. The aggregate amount of development commitments to related party developers is $</w:t>
      </w:r>
      <w:bookmarkStart w:id="972" w:name="xdx_901_eus-gaap--CommitmentsFairValueDi"/>
      <w:bookmarkEnd w:id="972"/>
      <w:r>
        <w:rPr>
          <w:rFonts w:ascii="Times New Roman;Times;Serif" w:hAnsi="Times New Roman;Times;Serif"/>
          <w:b w:val="false"/>
          <w:i w:val="false"/>
          <w:caps w:val="false"/>
          <w:smallCaps w:val="false"/>
          <w:sz w:val="20"/>
        </w:rPr>
        <w:t xml:space="preserve">4.1 million as of March 31, 2026. The Company also has a license agreement with its related party SDE for the exclusive publishing rights of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In consideration of the publishing rights the Company will pay SDE a fixed monthly license fee of $</w:t>
      </w:r>
      <w:bookmarkStart w:id="973" w:name="xdx_907_eus-gaap--PaymentsForFees_pn5n6_"/>
      <w:bookmarkEnd w:id="973"/>
      <w:r>
        <w:rPr>
          <w:rFonts w:ascii="Times New Roman;Times;Serif" w:hAnsi="Times New Roman;Times;Serif"/>
          <w:b w:val="false"/>
          <w:i w:val="false"/>
          <w:caps w:val="false"/>
          <w:smallCaps w:val="false"/>
          <w:sz w:val="20"/>
        </w:rPr>
        <w:t xml:space="preserve">1.5 million until </w:t>
      </w:r>
      <w:r>
        <w:rPr>
          <w:rFonts w:ascii="Times New Roman;Times;Serif" w:hAnsi="Times New Roman;Times;Serif"/>
          <w:b w:val="false"/>
          <w:i/>
          <w:caps w:val="false"/>
          <w:smallCaps w:val="false"/>
          <w:sz w:val="20"/>
        </w:rPr>
        <w:t xml:space="preserve">ARK II </w:t>
      </w:r>
      <w:r>
        <w:rPr>
          <w:rFonts w:ascii="Times New Roman;Times;Serif" w:hAnsi="Times New Roman;Times;Serif"/>
          <w:b w:val="false"/>
          <w:i w:val="false"/>
          <w:caps w:val="false"/>
          <w:smallCaps w:val="false"/>
          <w:sz w:val="20"/>
        </w:rPr>
        <w:t xml:space="preserve">releases. Our commitments assume satisfactory performance by our related party software developer. See Note 10 – </w:t>
      </w:r>
      <w:r>
        <w:rPr>
          <w:rFonts w:ascii="Times New Roman;Times;Serif" w:hAnsi="Times New Roman;Times;Serif"/>
          <w:b w:val="false"/>
          <w:i/>
          <w:caps w:val="false"/>
          <w:smallCaps w:val="false"/>
          <w:sz w:val="20"/>
        </w:rPr>
        <w:t>Accounts Payable – Related Party</w:t>
      </w:r>
      <w:r>
        <w:rPr>
          <w:rFonts w:ascii="Times New Roman;Times;Serif" w:hAnsi="Times New Roman;Times;Serif"/>
          <w:b w:val="false"/>
          <w:i w:val="false"/>
          <w:caps w:val="false"/>
          <w:smallCaps w:val="false"/>
          <w:sz w:val="20"/>
        </w:rPr>
        <w:t xml:space="preserve"> and Note 19 – </w:t>
      </w:r>
      <w:r>
        <w:rPr>
          <w:rFonts w:ascii="Times New Roman;Times;Serif" w:hAnsi="Times New Roman;Times;Serif"/>
          <w:b w:val="false"/>
          <w:i/>
          <w:caps w:val="false"/>
          <w:smallCaps w:val="false"/>
          <w:sz w:val="20"/>
        </w:rPr>
        <w:t xml:space="preserve">Subsequent Events </w:t>
      </w:r>
      <w:r>
        <w:rPr>
          <w:rFonts w:ascii="Times New Roman;Times;Serif" w:hAnsi="Times New Roman;Times;Serif"/>
          <w:b w:val="false"/>
          <w:i w:val="false"/>
          <w:caps w:val="false"/>
          <w:smallCaps w:val="false"/>
          <w:sz w:val="20"/>
        </w:rPr>
        <w:t>for more information.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74" w:name="xdx_806_eus-gaap--EarningsPerShareTextBl"/>
      <w:bookmarkEnd w:id="974"/>
      <w:r>
        <w:rPr>
          <w:rFonts w:ascii="Times New Roman;Times;Serif" w:hAnsi="Times New Roman;Times;Serif"/>
          <w:b/>
          <w:i w:val="false"/>
          <w:caps w:val="false"/>
          <w:smallCaps w:val="false"/>
          <w:sz w:val="20"/>
        </w:rPr>
        <w:t xml:space="preserve">NOTE 16 – </w:t>
      </w:r>
      <w:bookmarkStart w:id="975" w:name="xdx_82A_zudgiKTAz5jd"/>
      <w:bookmarkEnd w:id="975"/>
      <w:r>
        <w:rPr>
          <w:rFonts w:ascii="Times New Roman;Times;Serif" w:hAnsi="Times New Roman;Times;Serif"/>
          <w:b/>
          <w:i w:val="false"/>
          <w:caps w:val="false"/>
          <w:smallCaps w:val="false"/>
          <w:sz w:val="20"/>
        </w:rPr>
        <w:t>INCOME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 class method to compute its basic loss per share (“Basic EPS”) and diluted loss per share (“Diluted EPS”). The following table summarizes the computations of basic EPS and diluted EPS. The allocation of earnings between Class A and Class B shares is based on their respective economic rights to the undistributed earnings of the Company. Basic EPS is computed as net loss divided by the weighted-average number of common shares outstanding for the period. Diluted EPS reflects the potential dilution that could occur using the treasury stock and if-converted methods, as applicable. The following table provides a reconciliation of the weighted average number of shares used in the calculation of Basic and Diluted EPS.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76" w:name="xdx_8B6_zAg4OAejGhre"/>
      <w:bookmarkStart w:id="977" w:name="xdx_896_eus-gaap--ScheduleOfEarningsPerS"/>
      <w:bookmarkEnd w:id="976"/>
      <w:bookmarkEnd w:id="977"/>
      <w:r>
        <w:rPr>
          <w:rFonts w:ascii="Times New Roman;Times;Serif" w:hAnsi="Times New Roman;Times;Serif"/>
          <w:b w:val="false"/>
          <w:i w:val="false"/>
          <w:caps w:val="false"/>
          <w:smallCaps w:val="false"/>
          <w:sz w:val="20"/>
        </w:rPr>
        <w:t>SCHEDULE OF EARNINGS PER SHARE </w:t>
      </w:r>
    </w:p>
    <w:tbl>
      <w:tblPr>
        <w:tblW w:w="9011" w:type="dxa"/>
        <w:jc w:val="left"/>
        <w:tblInd w:w="0" w:type="dxa"/>
        <w:tblLayout w:type="fixed"/>
        <w:tblCellMar>
          <w:top w:w="0" w:type="dxa"/>
          <w:left w:w="0" w:type="dxa"/>
          <w:bottom w:w="0" w:type="dxa"/>
          <w:right w:w="0" w:type="dxa"/>
        </w:tblCellMar>
      </w:tblPr>
      <w:tblGrid>
        <w:gridCol w:w="6005"/>
        <w:gridCol w:w="60"/>
        <w:gridCol w:w="152"/>
        <w:gridCol w:w="1201"/>
        <w:gridCol w:w="65"/>
        <w:gridCol w:w="65"/>
        <w:gridCol w:w="152"/>
        <w:gridCol w:w="1201"/>
        <w:gridCol w:w="110"/>
      </w:tblGrid>
      <w:tr>
        <w:trPr/>
        <w:tc>
          <w:tcPr>
            <w:tcW w:w="6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78" w:name="xdx_497_20260101__20260331_z5EOwZpQVcld"/>
            <w:bookmarkEnd w:id="978"/>
          </w:p>
        </w:tc>
        <w:tc>
          <w:tcPr>
            <w:tcW w:w="13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bookmarkStart w:id="979" w:name="xdx_490_20250101__20250331_zzLJRSJpCiOc"/>
            <w:bookmarkEnd w:id="979"/>
          </w:p>
        </w:tc>
        <w:tc>
          <w:tcPr>
            <w:tcW w:w="13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11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980" w:name="xdx_40F_eus-gaap--EarningsPerShareBasicA"/>
            <w:bookmarkEnd w:id="980"/>
          </w:p>
        </w:tc>
      </w:tr>
      <w:tr>
        <w:trPr/>
        <w:tc>
          <w:tcPr>
            <w:tcW w:w="6005" w:type="dxa"/>
            <w:tcBorders/>
            <w:shd w:fill="CCEEFF" w:val="clear"/>
            <w:vAlign w:val="center"/>
          </w:tcPr>
          <w:p>
            <w:pPr>
              <w:pStyle w:val="TableContents"/>
              <w:bidi w:val="0"/>
              <w:spacing w:before="0" w:after="283"/>
              <w:jc w:val="left"/>
              <w:rPr>
                <w:b/>
              </w:rPr>
            </w:pPr>
            <w:r>
              <w:rPr>
                <w:b/>
              </w:rPr>
              <w:t>Basic Earnings (Loss) Per Share: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81" w:name="xdx_409_eus-gaap--NetIncomeLossAvailable"/>
            <w:bookmarkEnd w:id="981"/>
          </w:p>
        </w:tc>
      </w:tr>
      <w:tr>
        <w:trPr/>
        <w:tc>
          <w:tcPr>
            <w:tcW w:w="6005" w:type="dxa"/>
            <w:tcBorders/>
            <w:shd w:fill="FFFFFF" w:val="clear"/>
            <w:vAlign w:val="center"/>
          </w:tcPr>
          <w:p>
            <w:pPr>
              <w:pStyle w:val="TableContents"/>
              <w:bidi w:val="0"/>
              <w:spacing w:before="0" w:after="283"/>
              <w:jc w:val="left"/>
              <w:rPr/>
            </w:pPr>
            <w:r>
              <w:rPr/>
              <w:t>Net income (loss) attributable to Class A common stockholders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w:t>
            </w:r>
          </w:p>
        </w:tc>
        <w:tc>
          <w:tcPr>
            <w:tcW w:w="1201" w:type="dxa"/>
            <w:tcBorders/>
            <w:shd w:fill="FFFFFF" w:val="clear"/>
            <w:vAlign w:val="center"/>
          </w:tcPr>
          <w:p>
            <w:pPr>
              <w:pStyle w:val="TableContents"/>
              <w:bidi w:val="0"/>
              <w:spacing w:before="0" w:after="283"/>
              <w:jc w:val="right"/>
              <w:rPr/>
            </w:pPr>
            <w:r>
              <w:rPr/>
              <w:t>510,510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w:t>
            </w:r>
          </w:p>
        </w:tc>
        <w:tc>
          <w:tcPr>
            <w:tcW w:w="1201" w:type="dxa"/>
            <w:tcBorders/>
            <w:shd w:fill="FFFFFF" w:val="clear"/>
            <w:vAlign w:val="center"/>
          </w:tcPr>
          <w:p>
            <w:pPr>
              <w:pStyle w:val="TableContents"/>
              <w:bidi w:val="0"/>
              <w:spacing w:before="0" w:after="283"/>
              <w:jc w:val="right"/>
              <w:rPr/>
            </w:pPr>
            <w:r>
              <w:rPr/>
              <w:t>(441,731</w:t>
            </w:r>
          </w:p>
        </w:tc>
        <w:tc>
          <w:tcPr>
            <w:tcW w:w="110" w:type="dxa"/>
            <w:tcBorders/>
            <w:shd w:fill="FFFFFF" w:val="clear"/>
            <w:vAlign w:val="center"/>
          </w:tcPr>
          <w:p>
            <w:pPr>
              <w:pStyle w:val="TableContents"/>
              <w:bidi w:val="0"/>
              <w:spacing w:before="0" w:after="283"/>
              <w:jc w:val="left"/>
              <w:rPr/>
            </w:pPr>
            <w:r>
              <w:rPr/>
              <w:t>)</w:t>
            </w:r>
            <w:bookmarkStart w:id="982" w:name="xdx_404_eus-gaap--NetIncomeLossAvailable"/>
            <w:bookmarkEnd w:id="982"/>
          </w:p>
        </w:tc>
      </w:tr>
      <w:tr>
        <w:trPr/>
        <w:tc>
          <w:tcPr>
            <w:tcW w:w="6005" w:type="dxa"/>
            <w:tcBorders/>
            <w:shd w:fill="CCEEFF" w:val="clear"/>
            <w:vAlign w:val="center"/>
          </w:tcPr>
          <w:p>
            <w:pPr>
              <w:pStyle w:val="TableContents"/>
              <w:bidi w:val="0"/>
              <w:spacing w:before="0" w:after="283"/>
              <w:jc w:val="left"/>
              <w:rPr/>
            </w:pPr>
            <w:r>
              <w:rPr/>
              <w:t>Net income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1,624,196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(1,504,276</w:t>
            </w:r>
          </w:p>
        </w:tc>
        <w:tc>
          <w:tcPr>
            <w:tcW w:w="110" w:type="dxa"/>
            <w:tcBorders/>
            <w:shd w:fill="CCEEFF" w:val="clear"/>
            <w:vAlign w:val="center"/>
          </w:tcPr>
          <w:p>
            <w:pPr>
              <w:pStyle w:val="TableContents"/>
              <w:bidi w:val="0"/>
              <w:spacing w:before="0" w:after="283"/>
              <w:jc w:val="left"/>
              <w:rPr/>
            </w:pPr>
            <w:r>
              <w:rPr/>
              <w:t>)</w:t>
            </w:r>
            <w:bookmarkStart w:id="983" w:name="xdx_40E_eus-gaap--NetIncomeLossAvailable"/>
            <w:bookmarkEnd w:id="983"/>
          </w:p>
        </w:tc>
      </w:tr>
      <w:tr>
        <w:trPr/>
        <w:tc>
          <w:tcPr>
            <w:tcW w:w="6005" w:type="dxa"/>
            <w:tcBorders/>
            <w:shd w:fill="CCEEFF" w:val="clear"/>
            <w:vAlign w:val="center"/>
          </w:tcPr>
          <w:p>
            <w:pPr>
              <w:pStyle w:val="TableContents"/>
              <w:bidi w:val="0"/>
              <w:spacing w:before="0" w:after="283"/>
              <w:jc w:val="left"/>
              <w:rPr/>
            </w:pPr>
            <w:r>
              <w:rPr/>
              <w:t>Net income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1,624,196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(1,504,276</w:t>
            </w:r>
          </w:p>
        </w:tc>
        <w:tc>
          <w:tcPr>
            <w:tcW w:w="110" w:type="dxa"/>
            <w:tcBorders/>
            <w:shd w:fill="CCEEFF" w:val="clear"/>
            <w:vAlign w:val="center"/>
          </w:tcPr>
          <w:p>
            <w:pPr>
              <w:pStyle w:val="TableContents"/>
              <w:bidi w:val="0"/>
              <w:spacing w:before="0" w:after="283"/>
              <w:jc w:val="left"/>
              <w:rPr/>
            </w:pPr>
            <w:r>
              <w:rPr/>
              <w:t>)</w:t>
            </w:r>
            <w:bookmarkStart w:id="984" w:name="xdx_402_eus-gaap--NetIncomeLoss_z8rLiF19"/>
            <w:bookmarkEnd w:id="984"/>
          </w:p>
        </w:tc>
      </w:tr>
      <w:tr>
        <w:trPr/>
        <w:tc>
          <w:tcPr>
            <w:tcW w:w="6005" w:type="dxa"/>
            <w:tcBorders/>
            <w:shd w:fill="FFFFFF" w:val="clear"/>
            <w:vAlign w:val="center"/>
          </w:tcPr>
          <w:p>
            <w:pPr>
              <w:pStyle w:val="TableContents"/>
              <w:bidi w:val="0"/>
              <w:spacing w:before="0" w:after="283"/>
              <w:jc w:val="left"/>
              <w:rPr/>
            </w:pPr>
            <w:r>
              <w:rPr/>
              <w:t>Total net income (loss) attributable to Snail Inc.</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FFFFFF" w:val="clear"/>
            <w:tcMar>
              <w:bottom w:w="28" w:type="dxa"/>
            </w:tcMar>
            <w:vAlign w:val="center"/>
          </w:tcPr>
          <w:p>
            <w:pPr>
              <w:pStyle w:val="TableContents"/>
              <w:bidi w:val="0"/>
              <w:spacing w:before="0" w:after="283"/>
              <w:jc w:val="right"/>
              <w:rPr/>
            </w:pPr>
            <w:r>
              <w:rPr/>
              <w:t>2,134,706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FFFFFF" w:val="clear"/>
            <w:tcMar>
              <w:bottom w:w="28" w:type="dxa"/>
            </w:tcMar>
            <w:vAlign w:val="center"/>
          </w:tcPr>
          <w:p>
            <w:pPr>
              <w:pStyle w:val="TableContents"/>
              <w:bidi w:val="0"/>
              <w:spacing w:before="0" w:after="283"/>
              <w:jc w:val="right"/>
              <w:rPr/>
            </w:pPr>
            <w:r>
              <w:rPr/>
              <w:t>(1,946,007</w:t>
            </w:r>
          </w:p>
        </w:tc>
        <w:tc>
          <w:tcPr>
            <w:tcW w:w="110" w:type="dxa"/>
            <w:tcBorders/>
            <w:shd w:fill="FFFFFF" w:val="clear"/>
            <w:vAlign w:val="center"/>
          </w:tcPr>
          <w:p>
            <w:pPr>
              <w:pStyle w:val="TableContents"/>
              <w:bidi w:val="0"/>
              <w:spacing w:before="0" w:after="283"/>
              <w:jc w:val="left"/>
              <w:rPr/>
            </w:pPr>
            <w:r>
              <w:rPr/>
              <w:t>)</w:t>
            </w:r>
            <w:bookmarkStart w:id="985" w:name="xdx_40D_eus-gaap--WeightedAverageNumberO"/>
            <w:bookmarkEnd w:id="985"/>
          </w:p>
        </w:tc>
      </w:tr>
      <w:tr>
        <w:trPr/>
        <w:tc>
          <w:tcPr>
            <w:tcW w:w="6005" w:type="dxa"/>
            <w:tcBorders/>
            <w:shd w:fill="CCEEFF" w:val="clear"/>
            <w:vAlign w:val="center"/>
          </w:tcPr>
          <w:p>
            <w:pPr>
              <w:pStyle w:val="TableContents"/>
              <w:bidi w:val="0"/>
              <w:spacing w:before="0" w:after="283"/>
              <w:jc w:val="left"/>
              <w:rPr/>
            </w:pPr>
            <w:r>
              <w:rPr/>
              <w:t>Class A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9,036,135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8,442,025</w:t>
            </w:r>
          </w:p>
        </w:tc>
        <w:tc>
          <w:tcPr>
            <w:tcW w:w="110" w:type="dxa"/>
            <w:tcBorders/>
            <w:shd w:fill="CCEEFF" w:val="clear"/>
            <w:vAlign w:val="center"/>
          </w:tcPr>
          <w:p>
            <w:pPr>
              <w:pStyle w:val="TableContents"/>
              <w:bidi w:val="0"/>
              <w:spacing w:before="0" w:after="283"/>
              <w:jc w:val="left"/>
              <w:rPr/>
            </w:pPr>
            <w:r>
              <w:rPr/>
              <w:t> </w:t>
            </w:r>
            <w:bookmarkStart w:id="986" w:name="xdx_40E_eus-gaap--WeightedAverageNumberO"/>
            <w:bookmarkEnd w:id="986"/>
          </w:p>
        </w:tc>
      </w:tr>
      <w:tr>
        <w:trPr/>
        <w:tc>
          <w:tcPr>
            <w:tcW w:w="6005" w:type="dxa"/>
            <w:tcBorders/>
            <w:shd w:fill="FFFFFF" w:val="clear"/>
            <w:vAlign w:val="center"/>
          </w:tcPr>
          <w:p>
            <w:pPr>
              <w:pStyle w:val="TableContents"/>
              <w:bidi w:val="0"/>
              <w:spacing w:before="0" w:after="283"/>
              <w:jc w:val="left"/>
              <w:rPr/>
            </w:pPr>
            <w:r>
              <w:rPr/>
              <w:t>Class B 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bottom w:w="28" w:type="dxa"/>
            </w:tcMar>
            <w:vAlign w:val="center"/>
          </w:tcPr>
          <w:p>
            <w:pPr>
              <w:pStyle w:val="TableContents"/>
              <w:bidi w:val="0"/>
              <w:spacing w:before="0" w:after="283"/>
              <w:jc w:val="right"/>
              <w:rPr/>
            </w:pPr>
            <w:r>
              <w:rPr/>
              <w:t>28,748,580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bottom w:w="28" w:type="dxa"/>
            </w:tcMar>
            <w:vAlign w:val="center"/>
          </w:tcPr>
          <w:p>
            <w:pPr>
              <w:pStyle w:val="TableContents"/>
              <w:bidi w:val="0"/>
              <w:spacing w:before="0" w:after="283"/>
              <w:jc w:val="right"/>
              <w:rPr/>
            </w:pPr>
            <w:r>
              <w:rPr/>
              <w:t>28,748,580</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pPr>
            <w:r>
              <w:rPr/>
              <w:t>Class A and B basic earnings (loss) per share</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87" w:name="xdx_904_eus-gaap--EarningsPerShareBasic_"/>
            <w:bookmarkStart w:id="988" w:name="xdx_908_eus-gaap--EarningsPerShareBasic_"/>
            <w:bookmarkEnd w:id="987"/>
            <w:bookmarkEnd w:id="988"/>
            <w:r>
              <w:rPr/>
              <w:t>0.06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89" w:name="xdx_906_eus-gaap--EarningsPerShareBasic_"/>
            <w:bookmarkStart w:id="990" w:name="xdx_90B_eus-gaap--EarningsPerShareBasic_"/>
            <w:bookmarkEnd w:id="989"/>
            <w:bookmarkEnd w:id="990"/>
            <w:r>
              <w:rPr/>
              <w:t>(0.05</w:t>
            </w:r>
          </w:p>
        </w:tc>
        <w:tc>
          <w:tcPr>
            <w:tcW w:w="110" w:type="dxa"/>
            <w:tcBorders/>
            <w:shd w:fill="CCEEFF" w:val="clear"/>
            <w:vAlign w:val="center"/>
          </w:tcPr>
          <w:p>
            <w:pPr>
              <w:pStyle w:val="TableContents"/>
              <w:bidi w:val="0"/>
              <w:spacing w:before="0" w:after="283"/>
              <w:jc w:val="left"/>
              <w:rPr/>
            </w:pPr>
            <w:r>
              <w:rPr/>
              <w:t>)</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91" w:name="xdx_40E_eus-gaap--EarningsPerShareDilute"/>
            <w:bookmarkEnd w:id="991"/>
          </w:p>
        </w:tc>
      </w:tr>
      <w:tr>
        <w:trPr/>
        <w:tc>
          <w:tcPr>
            <w:tcW w:w="6005" w:type="dxa"/>
            <w:tcBorders/>
            <w:shd w:fill="CCEEFF" w:val="clear"/>
            <w:vAlign w:val="center"/>
          </w:tcPr>
          <w:p>
            <w:pPr>
              <w:pStyle w:val="TableContents"/>
              <w:bidi w:val="0"/>
              <w:spacing w:before="0" w:after="283"/>
              <w:jc w:val="left"/>
              <w:rPr>
                <w:b/>
              </w:rPr>
            </w:pPr>
            <w:r>
              <w:rPr>
                <w:b/>
              </w:rPr>
              <w:t>Diluted Earnings (Loss) Per Share: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92" w:name="xdx_40D_eus-gaap--NetIncomeLossAttributa"/>
            <w:bookmarkEnd w:id="992"/>
          </w:p>
        </w:tc>
      </w:tr>
      <w:tr>
        <w:trPr/>
        <w:tc>
          <w:tcPr>
            <w:tcW w:w="6005" w:type="dxa"/>
            <w:tcBorders/>
            <w:shd w:fill="FFFFFF" w:val="clear"/>
            <w:vAlign w:val="center"/>
          </w:tcPr>
          <w:p>
            <w:pPr>
              <w:pStyle w:val="TableContents"/>
              <w:bidi w:val="0"/>
              <w:spacing w:before="0" w:after="283"/>
              <w:jc w:val="left"/>
              <w:rPr/>
            </w:pPr>
            <w:r>
              <w:rPr/>
              <w:t>Net income (loss) attributable to Class A common stockholders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FFFFFF" w:val="clear"/>
            <w:tcMar>
              <w:bottom w:w="28" w:type="dxa"/>
            </w:tcMar>
            <w:vAlign w:val="center"/>
          </w:tcPr>
          <w:p>
            <w:pPr>
              <w:pStyle w:val="TableContents"/>
              <w:bidi w:val="0"/>
              <w:spacing w:before="0" w:after="283"/>
              <w:jc w:val="right"/>
              <w:rPr/>
            </w:pPr>
            <w:r>
              <w:rPr/>
              <w:t>510,510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FFFFFF" w:val="clear"/>
            <w:tcMar>
              <w:bottom w:w="28" w:type="dxa"/>
            </w:tcMar>
            <w:vAlign w:val="center"/>
          </w:tcPr>
          <w:p>
            <w:pPr>
              <w:pStyle w:val="TableContents"/>
              <w:bidi w:val="0"/>
              <w:spacing w:before="0" w:after="283"/>
              <w:jc w:val="right"/>
              <w:rPr/>
            </w:pPr>
            <w:r>
              <w:rPr/>
              <w:t>(441,731</w:t>
            </w:r>
          </w:p>
        </w:tc>
        <w:tc>
          <w:tcPr>
            <w:tcW w:w="110" w:type="dxa"/>
            <w:tcBorders/>
            <w:shd w:fill="FFFFFF" w:val="clear"/>
            <w:vAlign w:val="center"/>
          </w:tcPr>
          <w:p>
            <w:pPr>
              <w:pStyle w:val="TableContents"/>
              <w:bidi w:val="0"/>
              <w:spacing w:before="0" w:after="283"/>
              <w:jc w:val="left"/>
              <w:rPr/>
            </w:pPr>
            <w:r>
              <w:rPr/>
              <w:t>)</w:t>
            </w:r>
            <w:bookmarkStart w:id="993" w:name="xdx_40E_ecustom--DilutiveEffectsOfConver"/>
            <w:bookmarkEnd w:id="993"/>
          </w:p>
        </w:tc>
      </w:tr>
      <w:tr>
        <w:trPr/>
        <w:tc>
          <w:tcPr>
            <w:tcW w:w="6005" w:type="dxa"/>
            <w:tcBorders/>
            <w:shd w:fill="CCEEFF" w:val="clear"/>
            <w:vAlign w:val="center"/>
          </w:tcPr>
          <w:p>
            <w:pPr>
              <w:pStyle w:val="TableContents"/>
              <w:bidi w:val="0"/>
              <w:spacing w:before="0" w:after="283"/>
              <w:jc w:val="left"/>
              <w:rPr/>
            </w:pPr>
            <w:r>
              <w:rPr/>
              <w:t>Dilutive effects of convertible notes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333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94" w:name="xdx_40F_eus-gaap--DilutiveSecurities_iN_"/>
            <w:bookmarkEnd w:id="994"/>
          </w:p>
        </w:tc>
      </w:tr>
      <w:tr>
        <w:trPr/>
        <w:tc>
          <w:tcPr>
            <w:tcW w:w="6005" w:type="dxa"/>
            <w:tcBorders/>
            <w:shd w:fill="FFFFFF" w:val="clear"/>
            <w:vAlign w:val="center"/>
          </w:tcPr>
          <w:p>
            <w:pPr>
              <w:pStyle w:val="TableContents"/>
              <w:bidi w:val="0"/>
              <w:spacing w:before="0" w:after="283"/>
              <w:jc w:val="left"/>
              <w:rPr/>
            </w:pPr>
            <w:r>
              <w:rPr/>
              <w:t>Dilutive effects of convertible notes warrants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(63,515</w:t>
            </w:r>
          </w:p>
        </w:tc>
        <w:tc>
          <w:tcPr>
            <w:tcW w:w="110" w:type="dxa"/>
            <w:tcBorders/>
            <w:shd w:fill="FFFFFF" w:val="clear"/>
            <w:vAlign w:val="center"/>
          </w:tcPr>
          <w:p>
            <w:pPr>
              <w:pStyle w:val="TableContents"/>
              <w:bidi w:val="0"/>
              <w:spacing w:before="0" w:after="283"/>
              <w:jc w:val="left"/>
              <w:rPr/>
            </w:pPr>
            <w:r>
              <w:rPr/>
              <w:t>)</w:t>
            </w:r>
            <w:bookmarkStart w:id="995" w:name="xdx_409_ecustom--DilutiveEffectsOfEquity"/>
            <w:bookmarkEnd w:id="995"/>
          </w:p>
        </w:tc>
      </w:tr>
      <w:tr>
        <w:trPr/>
        <w:tc>
          <w:tcPr>
            <w:tcW w:w="6005" w:type="dxa"/>
            <w:tcBorders/>
            <w:shd w:fill="CCEEFF" w:val="clear"/>
            <w:vAlign w:val="center"/>
          </w:tcPr>
          <w:p>
            <w:pPr>
              <w:pStyle w:val="TableContents"/>
              <w:bidi w:val="0"/>
              <w:spacing w:before="0" w:after="283"/>
              <w:jc w:val="left"/>
              <w:rPr/>
            </w:pPr>
            <w:r>
              <w:rPr/>
              <w:t>Dilutive effects of equity line of credit warrants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283"/>
              <w:jc w:val="right"/>
              <w:rPr/>
            </w:pPr>
            <w:r>
              <w:rPr/>
              <w:t>(16,147</w:t>
            </w:r>
          </w:p>
        </w:tc>
        <w:tc>
          <w:tcPr>
            <w:tcW w:w="110" w:type="dxa"/>
            <w:tcBorders/>
            <w:shd w:fill="CCEEFF" w:val="clear"/>
            <w:vAlign w:val="center"/>
          </w:tcPr>
          <w:p>
            <w:pPr>
              <w:pStyle w:val="TableContents"/>
              <w:bidi w:val="0"/>
              <w:spacing w:before="0" w:after="283"/>
              <w:jc w:val="left"/>
              <w:rPr/>
            </w:pPr>
            <w:r>
              <w:rPr/>
              <w:t>)</w:t>
            </w:r>
            <w:bookmarkStart w:id="996" w:name="xdx_40B_ecustom--NetIncomeLossAvailableT"/>
            <w:bookmarkEnd w:id="996"/>
          </w:p>
        </w:tc>
      </w:tr>
      <w:tr>
        <w:trPr/>
        <w:tc>
          <w:tcPr>
            <w:tcW w:w="6005" w:type="dxa"/>
            <w:tcBorders/>
            <w:shd w:fill="FFFFFF" w:val="clear"/>
            <w:vAlign w:val="center"/>
          </w:tcPr>
          <w:p>
            <w:pPr>
              <w:pStyle w:val="TableContents"/>
              <w:bidi w:val="0"/>
              <w:spacing w:before="0" w:after="283"/>
              <w:jc w:val="left"/>
              <w:rPr/>
            </w:pPr>
            <w:r>
              <w:rPr/>
              <w:t>Net income (loss) attributable to Class A common stockholders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FFFFFF" w:val="clear"/>
            <w:tcMar>
              <w:bottom w:w="28" w:type="dxa"/>
            </w:tcMar>
            <w:vAlign w:val="center"/>
          </w:tcPr>
          <w:p>
            <w:pPr>
              <w:pStyle w:val="TableContents"/>
              <w:bidi w:val="0"/>
              <w:spacing w:before="0" w:after="283"/>
              <w:jc w:val="right"/>
              <w:rPr/>
            </w:pPr>
            <w:r>
              <w:rPr/>
              <w:t>510,843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FFFFFF" w:val="clear"/>
            <w:tcMar>
              <w:bottom w:w="28" w:type="dxa"/>
            </w:tcMar>
            <w:vAlign w:val="center"/>
          </w:tcPr>
          <w:p>
            <w:pPr>
              <w:pStyle w:val="TableContents"/>
              <w:bidi w:val="0"/>
              <w:spacing w:before="0" w:after="283"/>
              <w:jc w:val="right"/>
              <w:rPr/>
            </w:pPr>
            <w:r>
              <w:rPr/>
              <w:t>(521,393</w:t>
            </w:r>
          </w:p>
        </w:tc>
        <w:tc>
          <w:tcPr>
            <w:tcW w:w="110" w:type="dxa"/>
            <w:tcBorders/>
            <w:shd w:fill="FFFFFF" w:val="clear"/>
            <w:vAlign w:val="center"/>
          </w:tcPr>
          <w:p>
            <w:pPr>
              <w:pStyle w:val="TableContents"/>
              <w:bidi w:val="0"/>
              <w:spacing w:before="0" w:after="283"/>
              <w:jc w:val="left"/>
              <w:rPr/>
            </w:pPr>
            <w:r>
              <w:rPr/>
              <w:t>)</w:t>
            </w:r>
            <w:bookmarkStart w:id="997" w:name="xdx_40D_eus-gaap--NetIncomeLossAttributa"/>
            <w:bookmarkEnd w:id="997"/>
          </w:p>
        </w:tc>
      </w:tr>
      <w:tr>
        <w:trPr/>
        <w:tc>
          <w:tcPr>
            <w:tcW w:w="6005" w:type="dxa"/>
            <w:tcBorders/>
            <w:shd w:fill="CCEEFF" w:val="clear"/>
            <w:vAlign w:val="center"/>
          </w:tcPr>
          <w:p>
            <w:pPr>
              <w:pStyle w:val="TableContents"/>
              <w:bidi w:val="0"/>
              <w:spacing w:before="0" w:after="283"/>
              <w:jc w:val="left"/>
              <w:rPr/>
            </w:pPr>
            <w:r>
              <w:rPr/>
              <w:t>Net income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01" w:type="dxa"/>
            <w:tcBorders/>
            <w:shd w:fill="CCEEFF" w:val="clear"/>
            <w:vAlign w:val="center"/>
          </w:tcPr>
          <w:p>
            <w:pPr>
              <w:pStyle w:val="TableContents"/>
              <w:bidi w:val="0"/>
              <w:spacing w:before="0" w:after="283"/>
              <w:jc w:val="right"/>
              <w:rPr/>
            </w:pPr>
            <w:r>
              <w:rPr/>
              <w:t>1,624,196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01" w:type="dxa"/>
            <w:tcBorders/>
            <w:shd w:fill="CCEEFF" w:val="clear"/>
            <w:vAlign w:val="center"/>
          </w:tcPr>
          <w:p>
            <w:pPr>
              <w:pStyle w:val="TableContents"/>
              <w:bidi w:val="0"/>
              <w:spacing w:before="0" w:after="283"/>
              <w:jc w:val="right"/>
              <w:rPr/>
            </w:pPr>
            <w:r>
              <w:rPr/>
              <w:t>(1,504,276</w:t>
            </w:r>
          </w:p>
        </w:tc>
        <w:tc>
          <w:tcPr>
            <w:tcW w:w="110" w:type="dxa"/>
            <w:tcBorders/>
            <w:shd w:fill="CCEEFF" w:val="clear"/>
            <w:vAlign w:val="center"/>
          </w:tcPr>
          <w:p>
            <w:pPr>
              <w:pStyle w:val="TableContents"/>
              <w:bidi w:val="0"/>
              <w:spacing w:before="0" w:after="283"/>
              <w:jc w:val="left"/>
              <w:rPr/>
            </w:pPr>
            <w:r>
              <w:rPr/>
              <w:t>)</w:t>
            </w:r>
            <w:bookmarkStart w:id="998" w:name="xdx_401_eus-gaap--NetIncomeLossAttributa"/>
            <w:bookmarkEnd w:id="998"/>
          </w:p>
        </w:tc>
      </w:tr>
      <w:tr>
        <w:trPr/>
        <w:tc>
          <w:tcPr>
            <w:tcW w:w="6005" w:type="dxa"/>
            <w:tcBorders/>
            <w:shd w:fill="FFFFFF" w:val="clear"/>
            <w:vAlign w:val="center"/>
          </w:tcPr>
          <w:p>
            <w:pPr>
              <w:pStyle w:val="TableContents"/>
              <w:bidi w:val="0"/>
              <w:spacing w:before="0" w:after="283"/>
              <w:jc w:val="left"/>
              <w:rPr/>
            </w:pPr>
            <w:r>
              <w:rPr/>
              <w:t>Net income (loss) attributable to common stockholders, Basic</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w:t>
            </w:r>
          </w:p>
        </w:tc>
        <w:tc>
          <w:tcPr>
            <w:tcW w:w="1201" w:type="dxa"/>
            <w:tcBorders/>
            <w:shd w:fill="FFFFFF" w:val="clear"/>
            <w:vAlign w:val="center"/>
          </w:tcPr>
          <w:p>
            <w:pPr>
              <w:pStyle w:val="TableContents"/>
              <w:bidi w:val="0"/>
              <w:spacing w:before="0" w:after="283"/>
              <w:jc w:val="right"/>
              <w:rPr/>
            </w:pPr>
            <w:r>
              <w:rPr/>
              <w:t>1,624,196</w:t>
            </w:r>
          </w:p>
        </w:tc>
        <w:tc>
          <w:tcPr>
            <w:tcW w:w="65"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w:t>
            </w:r>
          </w:p>
        </w:tc>
        <w:tc>
          <w:tcPr>
            <w:tcW w:w="1201" w:type="dxa"/>
            <w:tcBorders/>
            <w:shd w:fill="FFFFFF" w:val="clear"/>
            <w:vAlign w:val="center"/>
          </w:tcPr>
          <w:p>
            <w:pPr>
              <w:pStyle w:val="TableContents"/>
              <w:bidi w:val="0"/>
              <w:spacing w:before="0" w:after="283"/>
              <w:jc w:val="right"/>
              <w:rPr/>
            </w:pPr>
            <w:r>
              <w:rPr/>
              <w:t>(1,504,276</w:t>
            </w:r>
          </w:p>
        </w:tc>
        <w:tc>
          <w:tcPr>
            <w:tcW w:w="110" w:type="dxa"/>
            <w:tcBorders/>
            <w:shd w:fill="FFFFFF" w:val="clear"/>
            <w:vAlign w:val="center"/>
          </w:tcPr>
          <w:p>
            <w:pPr>
              <w:pStyle w:val="TableContents"/>
              <w:bidi w:val="0"/>
              <w:spacing w:before="0" w:after="283"/>
              <w:jc w:val="left"/>
              <w:rPr/>
            </w:pPr>
            <w:r>
              <w:rPr/>
              <w:t>)</w:t>
            </w:r>
            <w:bookmarkStart w:id="999" w:name="xdx_40F_eus-gaap--DilutiveSecurities_iN_"/>
            <w:bookmarkEnd w:id="999"/>
          </w:p>
        </w:tc>
      </w:tr>
      <w:tr>
        <w:trPr/>
        <w:tc>
          <w:tcPr>
            <w:tcW w:w="6005" w:type="dxa"/>
            <w:tcBorders/>
            <w:shd w:fill="FFFFFF" w:val="clear"/>
            <w:vAlign w:val="center"/>
          </w:tcPr>
          <w:p>
            <w:pPr>
              <w:pStyle w:val="TableContents"/>
              <w:bidi w:val="0"/>
              <w:spacing w:before="0" w:after="283"/>
              <w:jc w:val="left"/>
              <w:rPr/>
            </w:pPr>
            <w:r>
              <w:rPr/>
              <w:t>Dilutive effects of convertible notes warrants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(216,296</w:t>
            </w:r>
          </w:p>
        </w:tc>
        <w:tc>
          <w:tcPr>
            <w:tcW w:w="110" w:type="dxa"/>
            <w:tcBorders/>
            <w:shd w:fill="FFFFFF" w:val="clear"/>
            <w:vAlign w:val="center"/>
          </w:tcPr>
          <w:p>
            <w:pPr>
              <w:pStyle w:val="TableContents"/>
              <w:bidi w:val="0"/>
              <w:spacing w:before="0" w:after="283"/>
              <w:jc w:val="left"/>
              <w:rPr/>
            </w:pPr>
            <w:r>
              <w:rPr/>
              <w:t>)</w:t>
            </w:r>
            <w:bookmarkStart w:id="1000" w:name="xdx_404_ecustom--DilutiveEffectsOfEquity"/>
            <w:bookmarkEnd w:id="1000"/>
          </w:p>
        </w:tc>
      </w:tr>
      <w:tr>
        <w:trPr/>
        <w:tc>
          <w:tcPr>
            <w:tcW w:w="6005" w:type="dxa"/>
            <w:tcBorders/>
            <w:shd w:fill="CCEEFF" w:val="clear"/>
            <w:vAlign w:val="center"/>
          </w:tcPr>
          <w:p>
            <w:pPr>
              <w:pStyle w:val="TableContents"/>
              <w:bidi w:val="0"/>
              <w:spacing w:before="0" w:after="283"/>
              <w:jc w:val="left"/>
              <w:rPr/>
            </w:pPr>
            <w:r>
              <w:rPr/>
              <w:t>Dilutive effects of equity line of credit warrants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(54,986</w:t>
            </w:r>
          </w:p>
        </w:tc>
        <w:tc>
          <w:tcPr>
            <w:tcW w:w="110" w:type="dxa"/>
            <w:tcBorders/>
            <w:shd w:fill="CCEEFF" w:val="clear"/>
            <w:vAlign w:val="center"/>
          </w:tcPr>
          <w:p>
            <w:pPr>
              <w:pStyle w:val="TableContents"/>
              <w:bidi w:val="0"/>
              <w:spacing w:before="0" w:after="283"/>
              <w:jc w:val="left"/>
              <w:rPr/>
            </w:pPr>
            <w:r>
              <w:rPr/>
              <w:t>)</w:t>
            </w:r>
            <w:bookmarkStart w:id="1001" w:name="xdx_405_ecustom--NetIncomeLossAvailableT"/>
            <w:bookmarkEnd w:id="1001"/>
          </w:p>
        </w:tc>
      </w:tr>
      <w:tr>
        <w:trPr/>
        <w:tc>
          <w:tcPr>
            <w:tcW w:w="6005" w:type="dxa"/>
            <w:tcBorders/>
            <w:shd w:fill="FFFFFF" w:val="clear"/>
            <w:vAlign w:val="center"/>
          </w:tcPr>
          <w:p>
            <w:pPr>
              <w:pStyle w:val="TableContents"/>
              <w:bidi w:val="0"/>
              <w:spacing w:before="0" w:after="283"/>
              <w:jc w:val="left"/>
              <w:rPr/>
            </w:pPr>
            <w:r>
              <w:rPr/>
              <w:t>Net income (loss) attributable to Class B common stockholders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FFFFFF" w:val="clear"/>
            <w:tcMar>
              <w:bottom w:w="28" w:type="dxa"/>
            </w:tcMar>
            <w:vAlign w:val="center"/>
          </w:tcPr>
          <w:p>
            <w:pPr>
              <w:pStyle w:val="TableContents"/>
              <w:bidi w:val="0"/>
              <w:spacing w:before="0" w:after="283"/>
              <w:jc w:val="right"/>
              <w:rPr/>
            </w:pPr>
            <w:r>
              <w:rPr/>
              <w:t>1,624,196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FFFFFF" w:val="clear"/>
            <w:tcMar>
              <w:bottom w:w="28" w:type="dxa"/>
            </w:tcMar>
            <w:vAlign w:val="center"/>
          </w:tcPr>
          <w:p>
            <w:pPr>
              <w:pStyle w:val="TableContents"/>
              <w:bidi w:val="0"/>
              <w:spacing w:before="0" w:after="283"/>
              <w:jc w:val="right"/>
              <w:rPr/>
            </w:pPr>
            <w:r>
              <w:rPr/>
              <w:t>(1,775,558</w:t>
            </w:r>
          </w:p>
        </w:tc>
        <w:tc>
          <w:tcPr>
            <w:tcW w:w="110" w:type="dxa"/>
            <w:tcBorders/>
            <w:shd w:fill="FFFFFF" w:val="clear"/>
            <w:vAlign w:val="center"/>
          </w:tcPr>
          <w:p>
            <w:pPr>
              <w:pStyle w:val="TableContents"/>
              <w:bidi w:val="0"/>
              <w:spacing w:before="0" w:after="283"/>
              <w:jc w:val="left"/>
              <w:rPr/>
            </w:pPr>
            <w:r>
              <w:rPr/>
              <w:t>)</w:t>
            </w:r>
            <w:bookmarkStart w:id="1002" w:name="xdx_403_ecustom--NetIncomeLossAvailableT"/>
            <w:bookmarkEnd w:id="1002"/>
          </w:p>
        </w:tc>
      </w:tr>
      <w:tr>
        <w:trPr/>
        <w:tc>
          <w:tcPr>
            <w:tcW w:w="6005" w:type="dxa"/>
            <w:tcBorders/>
            <w:shd w:fill="CCEEFF" w:val="clear"/>
            <w:vAlign w:val="center"/>
          </w:tcPr>
          <w:p>
            <w:pPr>
              <w:pStyle w:val="TableContents"/>
              <w:bidi w:val="0"/>
              <w:spacing w:before="0" w:after="283"/>
              <w:jc w:val="left"/>
              <w:rPr/>
            </w:pPr>
            <w:r>
              <w:rPr/>
              <w:t>Net income (loss) attributable to common stockholders, Diluted</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283"/>
              <w:jc w:val="right"/>
              <w:rPr/>
            </w:pPr>
            <w:r>
              <w:rPr/>
              <w:t>1,624,196</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283"/>
              <w:jc w:val="right"/>
              <w:rPr/>
            </w:pPr>
            <w:r>
              <w:rPr/>
              <w:t>(1,775,558</w:t>
            </w:r>
          </w:p>
        </w:tc>
        <w:tc>
          <w:tcPr>
            <w:tcW w:w="110" w:type="dxa"/>
            <w:tcBorders/>
            <w:shd w:fill="CCEEFF" w:val="clear"/>
            <w:vAlign w:val="center"/>
          </w:tcPr>
          <w:p>
            <w:pPr>
              <w:pStyle w:val="TableContents"/>
              <w:bidi w:val="0"/>
              <w:spacing w:before="0" w:after="283"/>
              <w:jc w:val="left"/>
              <w:rPr/>
            </w:pPr>
            <w:r>
              <w:rPr/>
              <w:t>)</w:t>
            </w:r>
            <w:bookmarkStart w:id="1003" w:name="xdx_409_eus-gaap--WeightedAverageNumberO"/>
            <w:bookmarkEnd w:id="1003"/>
          </w:p>
        </w:tc>
      </w:tr>
      <w:tr>
        <w:trPr/>
        <w:tc>
          <w:tcPr>
            <w:tcW w:w="6005" w:type="dxa"/>
            <w:tcBorders/>
            <w:shd w:fill="CCEEFF" w:val="clear"/>
            <w:vAlign w:val="center"/>
          </w:tcPr>
          <w:p>
            <w:pPr>
              <w:pStyle w:val="TableContents"/>
              <w:bidi w:val="0"/>
              <w:spacing w:before="0" w:after="283"/>
              <w:jc w:val="left"/>
              <w:rPr/>
            </w:pPr>
            <w:r>
              <w:rPr/>
              <w:t>Class A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9,036,135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8,442,025</w:t>
            </w:r>
          </w:p>
        </w:tc>
        <w:tc>
          <w:tcPr>
            <w:tcW w:w="110" w:type="dxa"/>
            <w:tcBorders/>
            <w:shd w:fill="CCEEFF" w:val="clear"/>
            <w:vAlign w:val="center"/>
          </w:tcPr>
          <w:p>
            <w:pPr>
              <w:pStyle w:val="TableContents"/>
              <w:bidi w:val="0"/>
              <w:spacing w:before="0" w:after="283"/>
              <w:jc w:val="left"/>
              <w:rPr/>
            </w:pPr>
            <w:r>
              <w:rPr/>
              <w:t> </w:t>
            </w:r>
            <w:bookmarkStart w:id="1004" w:name="xdx_409_eus-gaap--IncrementalCommonShare"/>
            <w:bookmarkEnd w:id="1004"/>
          </w:p>
        </w:tc>
      </w:tr>
      <w:tr>
        <w:trPr/>
        <w:tc>
          <w:tcPr>
            <w:tcW w:w="6005" w:type="dxa"/>
            <w:tcBorders/>
            <w:shd w:fill="FFFFFF" w:val="clear"/>
            <w:vAlign w:val="center"/>
          </w:tcPr>
          <w:p>
            <w:pPr>
              <w:pStyle w:val="TableContents"/>
              <w:bidi w:val="0"/>
              <w:spacing w:before="0" w:after="283"/>
              <w:jc w:val="left"/>
              <w:rPr/>
            </w:pPr>
            <w:r>
              <w:rPr/>
              <w:t>Dilutive effects of convertible notes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493,261</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05" w:name="xdx_40C_eus-gaap--IncrementalCommonShare"/>
            <w:bookmarkEnd w:id="1005"/>
          </w:p>
        </w:tc>
      </w:tr>
      <w:tr>
        <w:trPr/>
        <w:tc>
          <w:tcPr>
            <w:tcW w:w="6005" w:type="dxa"/>
            <w:tcBorders/>
            <w:shd w:fill="CCEEFF" w:val="clear"/>
            <w:vAlign w:val="center"/>
          </w:tcPr>
          <w:p>
            <w:pPr>
              <w:pStyle w:val="TableContents"/>
              <w:bidi w:val="0"/>
              <w:spacing w:before="0" w:after="283"/>
              <w:jc w:val="left"/>
              <w:rPr/>
            </w:pPr>
            <w:r>
              <w:rPr/>
              <w:t>Dilutive effects of convertible notes warrants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717,045</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Dilutive effects of equity line of credit warrants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bottom w:w="28" w:type="dxa"/>
            </w:tcMar>
            <w:vAlign w:val="center"/>
          </w:tcPr>
          <w:p>
            <w:pPr>
              <w:pStyle w:val="TableContents"/>
              <w:bidi w:val="0"/>
              <w:spacing w:before="0" w:after="283"/>
              <w:jc w:val="right"/>
              <w:rPr/>
            </w:pPr>
            <w:r>
              <w:rPr/>
              <w:t>82,752</w:t>
            </w:r>
          </w:p>
        </w:tc>
        <w:tc>
          <w:tcPr>
            <w:tcW w:w="110" w:type="dxa"/>
            <w:tcBorders/>
            <w:shd w:fill="FFFFFF" w:val="clear"/>
            <w:vAlign w:val="center"/>
          </w:tcPr>
          <w:p>
            <w:pPr>
              <w:pStyle w:val="TableContents"/>
              <w:bidi w:val="0"/>
              <w:spacing w:before="0" w:after="283"/>
              <w:jc w:val="left"/>
              <w:rPr/>
            </w:pPr>
            <w:r>
              <w:rPr/>
              <w:t> </w:t>
            </w:r>
            <w:bookmarkStart w:id="1006" w:name="xdx_401_eus-gaap--WeightedAverageNumberO"/>
            <w:bookmarkEnd w:id="1006"/>
          </w:p>
        </w:tc>
      </w:tr>
      <w:tr>
        <w:trPr/>
        <w:tc>
          <w:tcPr>
            <w:tcW w:w="6005" w:type="dxa"/>
            <w:tcBorders/>
            <w:shd w:fill="CCEEFF" w:val="clear"/>
            <w:vAlign w:val="center"/>
          </w:tcPr>
          <w:p>
            <w:pPr>
              <w:pStyle w:val="TableContents"/>
              <w:bidi w:val="0"/>
              <w:spacing w:before="0" w:after="283"/>
              <w:jc w:val="left"/>
              <w:rPr/>
            </w:pPr>
            <w:r>
              <w:rPr/>
              <w:t>Class A weighted average shares outstanding - diluted</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9,529,396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9,241,822</w:t>
            </w:r>
          </w:p>
        </w:tc>
        <w:tc>
          <w:tcPr>
            <w:tcW w:w="110" w:type="dxa"/>
            <w:tcBorders/>
            <w:shd w:fill="CCEEFF" w:val="clear"/>
            <w:vAlign w:val="center"/>
          </w:tcPr>
          <w:p>
            <w:pPr>
              <w:pStyle w:val="TableContents"/>
              <w:bidi w:val="0"/>
              <w:spacing w:before="0" w:after="283"/>
              <w:jc w:val="left"/>
              <w:rPr/>
            </w:pPr>
            <w:r>
              <w:rPr/>
              <w:t> </w:t>
            </w:r>
            <w:bookmarkStart w:id="1007" w:name="xdx_409_eus-gaap--WeightedAverageNumberO"/>
            <w:bookmarkEnd w:id="1007"/>
          </w:p>
        </w:tc>
      </w:tr>
      <w:tr>
        <w:trPr/>
        <w:tc>
          <w:tcPr>
            <w:tcW w:w="6005" w:type="dxa"/>
            <w:tcBorders/>
            <w:shd w:fill="FFFFFF" w:val="clear"/>
            <w:vAlign w:val="center"/>
          </w:tcPr>
          <w:p>
            <w:pPr>
              <w:pStyle w:val="TableContents"/>
              <w:bidi w:val="0"/>
              <w:spacing w:before="0" w:after="283"/>
              <w:jc w:val="left"/>
              <w:rPr/>
            </w:pPr>
            <w:r>
              <w:rPr/>
              <w:t>Class B 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28,748,580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28,748,580</w:t>
            </w:r>
          </w:p>
        </w:tc>
        <w:tc>
          <w:tcPr>
            <w:tcW w:w="110" w:type="dxa"/>
            <w:tcBorders/>
            <w:shd w:fill="FFFFFF" w:val="clear"/>
            <w:vAlign w:val="center"/>
          </w:tcPr>
          <w:p>
            <w:pPr>
              <w:pStyle w:val="TableContents"/>
              <w:bidi w:val="0"/>
              <w:spacing w:before="0" w:after="283"/>
              <w:jc w:val="left"/>
              <w:rPr/>
            </w:pPr>
            <w:r>
              <w:rPr/>
              <w:t> </w:t>
            </w:r>
            <w:bookmarkStart w:id="1008" w:name="xdx_401_eus-gaap--WeightedAverageNumberO"/>
            <w:bookmarkEnd w:id="1008"/>
          </w:p>
        </w:tc>
      </w:tr>
      <w:tr>
        <w:trPr/>
        <w:tc>
          <w:tcPr>
            <w:tcW w:w="6005" w:type="dxa"/>
            <w:tcBorders/>
            <w:shd w:fill="CCEEFF" w:val="clear"/>
            <w:vAlign w:val="center"/>
          </w:tcPr>
          <w:p>
            <w:pPr>
              <w:pStyle w:val="TableContents"/>
              <w:bidi w:val="0"/>
              <w:spacing w:before="0" w:after="283"/>
              <w:jc w:val="left"/>
              <w:rPr/>
            </w:pPr>
            <w:r>
              <w:rPr/>
              <w:t>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28,748,580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28,748,580</w:t>
            </w:r>
          </w:p>
        </w:tc>
        <w:tc>
          <w:tcPr>
            <w:tcW w:w="110" w:type="dxa"/>
            <w:tcBorders/>
            <w:shd w:fill="CCEEFF" w:val="clear"/>
            <w:vAlign w:val="center"/>
          </w:tcPr>
          <w:p>
            <w:pPr>
              <w:pStyle w:val="TableContents"/>
              <w:bidi w:val="0"/>
              <w:spacing w:before="0" w:after="283"/>
              <w:jc w:val="left"/>
              <w:rPr/>
            </w:pPr>
            <w:r>
              <w:rPr/>
              <w:t> </w:t>
            </w:r>
            <w:bookmarkStart w:id="1009" w:name="xdx_403_eus-gaap--IncrementalCommonShare"/>
            <w:bookmarkEnd w:id="1009"/>
          </w:p>
        </w:tc>
      </w:tr>
      <w:tr>
        <w:trPr/>
        <w:tc>
          <w:tcPr>
            <w:tcW w:w="6005" w:type="dxa"/>
            <w:tcBorders/>
            <w:shd w:fill="CCEEFF" w:val="clear"/>
            <w:vAlign w:val="center"/>
          </w:tcPr>
          <w:p>
            <w:pPr>
              <w:pStyle w:val="TableContents"/>
              <w:bidi w:val="0"/>
              <w:spacing w:before="0" w:after="283"/>
              <w:jc w:val="left"/>
              <w:rPr/>
            </w:pPr>
            <w:r>
              <w:rPr/>
              <w:t>Dilutive effects of convertible note warrants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10" w:name="xdx_407_eus-gaap--IncrementalCommonShare"/>
            <w:bookmarkEnd w:id="1010"/>
          </w:p>
        </w:tc>
      </w:tr>
      <w:tr>
        <w:trPr/>
        <w:tc>
          <w:tcPr>
            <w:tcW w:w="6005" w:type="dxa"/>
            <w:tcBorders/>
            <w:shd w:fill="FFFFFF" w:val="clear"/>
            <w:vAlign w:val="center"/>
          </w:tcPr>
          <w:p>
            <w:pPr>
              <w:pStyle w:val="TableContents"/>
              <w:bidi w:val="0"/>
              <w:spacing w:before="0" w:after="283"/>
              <w:jc w:val="left"/>
              <w:rPr/>
            </w:pPr>
            <w:r>
              <w:rPr/>
              <w:t>Dilutive effects of convertible note warrants, shares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11" w:name="xdx_40D_eus-gaap--WeightedAverageNumberO"/>
            <w:bookmarkEnd w:id="1011"/>
          </w:p>
        </w:tc>
      </w:tr>
      <w:tr>
        <w:trPr/>
        <w:tc>
          <w:tcPr>
            <w:tcW w:w="6005" w:type="dxa"/>
            <w:tcBorders/>
            <w:shd w:fill="FFFFFF" w:val="clear"/>
            <w:vAlign w:val="center"/>
          </w:tcPr>
          <w:p>
            <w:pPr>
              <w:pStyle w:val="TableContents"/>
              <w:bidi w:val="0"/>
              <w:spacing w:before="0" w:after="283"/>
              <w:jc w:val="left"/>
              <w:rPr/>
            </w:pPr>
            <w:r>
              <w:rPr/>
              <w:t>Class B 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bottom w:w="28" w:type="dxa"/>
            </w:tcMar>
            <w:vAlign w:val="center"/>
          </w:tcPr>
          <w:p>
            <w:pPr>
              <w:pStyle w:val="TableContents"/>
              <w:bidi w:val="0"/>
              <w:spacing w:before="0" w:after="283"/>
              <w:jc w:val="right"/>
              <w:rPr/>
            </w:pPr>
            <w:r>
              <w:rPr/>
              <w:t>28,748,580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bottom w:w="28" w:type="dxa"/>
            </w:tcMar>
            <w:vAlign w:val="center"/>
          </w:tcPr>
          <w:p>
            <w:pPr>
              <w:pStyle w:val="TableContents"/>
              <w:bidi w:val="0"/>
              <w:spacing w:before="0" w:after="283"/>
              <w:jc w:val="right"/>
              <w:rPr/>
            </w:pPr>
            <w:r>
              <w:rPr/>
              <w:t>28,748,580</w:t>
            </w:r>
          </w:p>
        </w:tc>
        <w:tc>
          <w:tcPr>
            <w:tcW w:w="110" w:type="dxa"/>
            <w:tcBorders/>
            <w:shd w:fill="FFFFFF" w:val="clear"/>
            <w:vAlign w:val="center"/>
          </w:tcPr>
          <w:p>
            <w:pPr>
              <w:pStyle w:val="TableContents"/>
              <w:bidi w:val="0"/>
              <w:spacing w:before="0" w:after="283"/>
              <w:jc w:val="left"/>
              <w:rPr/>
            </w:pPr>
            <w:r>
              <w:rPr/>
              <w:t> </w:t>
            </w:r>
            <w:bookmarkStart w:id="1012" w:name="xdx_40C_eus-gaap--WeightedAverageNumberO"/>
            <w:bookmarkEnd w:id="1012"/>
          </w:p>
        </w:tc>
      </w:tr>
      <w:tr>
        <w:trPr/>
        <w:tc>
          <w:tcPr>
            <w:tcW w:w="6005" w:type="dxa"/>
            <w:tcBorders/>
            <w:shd w:fill="CCEEFF" w:val="clear"/>
            <w:vAlign w:val="center"/>
          </w:tcPr>
          <w:p>
            <w:pPr>
              <w:pStyle w:val="TableContents"/>
              <w:bidi w:val="0"/>
              <w:spacing w:before="0" w:after="283"/>
              <w:jc w:val="left"/>
              <w:rPr/>
            </w:pPr>
            <w:r>
              <w:rPr/>
              <w:t>Weighted average shares outstanding - diluted</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28,748,580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28,748,580</w:t>
            </w:r>
          </w:p>
        </w:tc>
        <w:tc>
          <w:tcPr>
            <w:tcW w:w="110" w:type="dxa"/>
            <w:tcBorders/>
            <w:shd w:fill="CCEEFF" w:val="clear"/>
            <w:vAlign w:val="center"/>
          </w:tcPr>
          <w:p>
            <w:pPr>
              <w:pStyle w:val="TableContents"/>
              <w:bidi w:val="0"/>
              <w:spacing w:before="0" w:after="283"/>
              <w:jc w:val="left"/>
              <w:rPr/>
            </w:pPr>
            <w:r>
              <w:rPr/>
              <w:t> </w:t>
            </w:r>
            <w:bookmarkStart w:id="1013" w:name="xdx_40C_eus-gaap--EarningsPerShareDilute"/>
            <w:bookmarkEnd w:id="1013"/>
          </w:p>
        </w:tc>
      </w:tr>
      <w:tr>
        <w:trPr/>
        <w:tc>
          <w:tcPr>
            <w:tcW w:w="6005" w:type="dxa"/>
            <w:tcBorders/>
            <w:shd w:fill="CCEEFF" w:val="clear"/>
            <w:vAlign w:val="center"/>
          </w:tcPr>
          <w:p>
            <w:pPr>
              <w:pStyle w:val="TableContents"/>
              <w:bidi w:val="0"/>
              <w:spacing w:before="0" w:after="283"/>
              <w:jc w:val="left"/>
              <w:rPr/>
            </w:pPr>
            <w:r>
              <w:rPr/>
              <w:t>Diluted earnings (loss) per Class A share</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283"/>
              <w:jc w:val="right"/>
              <w:rPr/>
            </w:pPr>
            <w:r>
              <w:rPr/>
              <w:t>0.05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110" w:type="dxa"/>
            <w:tcBorders/>
            <w:shd w:fill="CCEEFF" w:val="clear"/>
            <w:vAlign w:val="center"/>
          </w:tcPr>
          <w:p>
            <w:pPr>
              <w:pStyle w:val="TableContents"/>
              <w:bidi w:val="0"/>
              <w:spacing w:before="0" w:after="283"/>
              <w:jc w:val="left"/>
              <w:rPr/>
            </w:pPr>
            <w:r>
              <w:rPr/>
              <w:t>)</w:t>
            </w:r>
            <w:bookmarkStart w:id="1014" w:name="xdx_40A_eus-gaap--EarningsPerShareDilute"/>
            <w:bookmarkEnd w:id="1014"/>
          </w:p>
        </w:tc>
      </w:tr>
      <w:tr>
        <w:trPr/>
        <w:tc>
          <w:tcPr>
            <w:tcW w:w="6005" w:type="dxa"/>
            <w:tcBorders/>
            <w:shd w:fill="FFFFFF" w:val="clear"/>
            <w:vAlign w:val="center"/>
          </w:tcPr>
          <w:p>
            <w:pPr>
              <w:pStyle w:val="TableContents"/>
              <w:bidi w:val="0"/>
              <w:spacing w:before="0" w:after="283"/>
              <w:jc w:val="left"/>
              <w:rPr/>
            </w:pPr>
            <w:r>
              <w:rPr/>
              <w:t>Diluted earnings (loss) per Class B share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110" w:type="dxa"/>
            <w:tcBorders/>
            <w:shd w:fill="FFFFFF" w:val="clear"/>
            <w:vAlign w:val="center"/>
          </w:tcPr>
          <w:p>
            <w:pPr>
              <w:pStyle w:val="TableContents"/>
              <w:bidi w:val="0"/>
              <w:spacing w:before="0" w:after="283"/>
              <w:jc w:val="left"/>
              <w:rPr/>
            </w:pPr>
            <w:r>
              <w:rPr/>
              <w:t>)</w:t>
            </w:r>
            <w:bookmarkStart w:id="1015" w:name="xdx_406_eus-gaap--EarningsPerShareDilute"/>
            <w:bookmarkEnd w:id="1015"/>
          </w:p>
        </w:tc>
      </w:tr>
      <w:tr>
        <w:trPr/>
        <w:tc>
          <w:tcPr>
            <w:tcW w:w="6005" w:type="dxa"/>
            <w:tcBorders/>
            <w:shd w:fill="CCEEFF" w:val="clear"/>
            <w:vAlign w:val="center"/>
          </w:tcPr>
          <w:p>
            <w:pPr>
              <w:pStyle w:val="TableContents"/>
              <w:bidi w:val="0"/>
              <w:spacing w:before="0" w:after="283"/>
              <w:jc w:val="left"/>
              <w:rPr/>
            </w:pPr>
            <w:r>
              <w:rPr/>
              <w:t>Diluted earnings (loss) per share</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16" w:name="xdx_8A1_zDy3wlQKPI6c"/>
      <w:bookmarkEnd w:id="101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17" w:name="xdx_894_eus-gaap--ScheduleOfAntidilutive"/>
      <w:bookmarkEnd w:id="1017"/>
      <w:r>
        <w:rPr>
          <w:rFonts w:ascii="Times New Roman;Times;Serif" w:hAnsi="Times New Roman;Times;Serif"/>
          <w:b w:val="false"/>
          <w:i w:val="false"/>
          <w:caps w:val="false"/>
          <w:smallCaps w:val="false"/>
          <w:sz w:val="20"/>
        </w:rPr>
        <w:t>The following table provides a listing of shares excluded from the calculation of Diluted EPS due to their anti-dilutive effects: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18" w:name="xdx_8BA_zhXsEZCAlRAe"/>
      <w:bookmarkEnd w:id="1018"/>
      <w:r>
        <w:rPr>
          <w:rFonts w:ascii="Times New Roman;Times;Serif" w:hAnsi="Times New Roman;Times;Serif"/>
          <w:b w:val="false"/>
          <w:i w:val="false"/>
          <w:caps w:val="false"/>
          <w:smallCaps w:val="false"/>
          <w:sz w:val="20"/>
        </w:rPr>
        <w:t>SCHEDULE OF ANTI-DILUTIVE SHARES AND SECURITIES </w:t>
      </w:r>
    </w:p>
    <w:tbl>
      <w:tblPr>
        <w:tblW w:w="6884" w:type="dxa"/>
        <w:jc w:val="left"/>
        <w:tblInd w:w="0" w:type="dxa"/>
        <w:tblLayout w:type="fixed"/>
        <w:tblCellMar>
          <w:top w:w="0" w:type="dxa"/>
          <w:left w:w="0" w:type="dxa"/>
          <w:bottom w:w="0" w:type="dxa"/>
          <w:right w:w="0" w:type="dxa"/>
        </w:tblCellMar>
      </w:tblPr>
      <w:tblGrid>
        <w:gridCol w:w="3200"/>
        <w:gridCol w:w="60"/>
        <w:gridCol w:w="63"/>
        <w:gridCol w:w="1031"/>
        <w:gridCol w:w="63"/>
        <w:gridCol w:w="63"/>
        <w:gridCol w:w="63"/>
        <w:gridCol w:w="1031"/>
        <w:gridCol w:w="60"/>
        <w:gridCol w:w="60"/>
        <w:gridCol w:w="60"/>
        <w:gridCol w:w="1055"/>
        <w:gridCol w:w="75"/>
      </w:tblGrid>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019" w:name="xdx_49B_20260101__20260331_zTVWM3QWixvh"/>
            <w:bookmarkEnd w:id="1019"/>
          </w:p>
        </w:tc>
        <w:tc>
          <w:tcPr>
            <w:tcW w:w="10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1020" w:name="xdx_491_20250101__20250331_z5l2wyMuSfac"/>
            <w:bookmarkEnd w:id="1020"/>
          </w:p>
        </w:tc>
        <w:tc>
          <w:tcPr>
            <w:tcW w:w="10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Method</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14"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Method</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b/>
              </w:rPr>
            </w:pPr>
            <w:r>
              <w:rPr>
                <w:b/>
              </w:rPr>
              <w:t>Excluded Shares: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021" w:name="xdx_402_eus-gaap--AntidilutiveSecurities"/>
            <w:bookmarkEnd w:id="1021"/>
          </w:p>
        </w:tc>
      </w:tr>
      <w:tr>
        <w:trPr/>
        <w:tc>
          <w:tcPr>
            <w:tcW w:w="3200" w:type="dxa"/>
            <w:tcBorders/>
            <w:shd w:fill="FFFFFF" w:val="clear"/>
            <w:vAlign w:val="center"/>
          </w:tcPr>
          <w:p>
            <w:pPr>
              <w:pStyle w:val="TableContents"/>
              <w:bidi w:val="0"/>
              <w:spacing w:before="0" w:after="283"/>
              <w:jc w:val="left"/>
              <w:rPr/>
            </w:pPr>
            <w:r>
              <w:rPr/>
              <w:t>Restricted stock units outstanding</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1,160,691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1,129,455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Treasury</w:t>
            </w:r>
          </w:p>
        </w:tc>
        <w:tc>
          <w:tcPr>
            <w:tcW w:w="75" w:type="dxa"/>
            <w:tcBorders/>
            <w:shd w:fill="FFFFFF" w:val="clear"/>
            <w:vAlign w:val="center"/>
          </w:tcPr>
          <w:p>
            <w:pPr>
              <w:pStyle w:val="TableContents"/>
              <w:bidi w:val="0"/>
              <w:spacing w:before="0" w:after="283"/>
              <w:jc w:val="left"/>
              <w:rPr/>
            </w:pPr>
            <w:r>
              <w:rPr/>
              <w:t> </w:t>
            </w:r>
            <w:bookmarkStart w:id="1022" w:name="xdx_40D_eus-gaap--AntidilutiveSecurities"/>
            <w:bookmarkEnd w:id="1022"/>
          </w:p>
        </w:tc>
      </w:tr>
      <w:tr>
        <w:trPr/>
        <w:tc>
          <w:tcPr>
            <w:tcW w:w="3200" w:type="dxa"/>
            <w:tcBorders/>
            <w:shd w:fill="CCEEFF" w:val="clear"/>
            <w:vAlign w:val="center"/>
          </w:tcPr>
          <w:p>
            <w:pPr>
              <w:pStyle w:val="TableContents"/>
              <w:bidi w:val="0"/>
              <w:spacing w:before="0" w:after="283"/>
              <w:jc w:val="left"/>
              <w:rPr/>
            </w:pPr>
            <w:r>
              <w:rPr/>
              <w:t>Equity line of credit warrants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334,314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Treasury</w:t>
            </w:r>
          </w:p>
        </w:tc>
        <w:tc>
          <w:tcPr>
            <w:tcW w:w="75" w:type="dxa"/>
            <w:tcBorders/>
            <w:shd w:fill="CCEEFF" w:val="clear"/>
            <w:vAlign w:val="center"/>
          </w:tcPr>
          <w:p>
            <w:pPr>
              <w:pStyle w:val="TableContents"/>
              <w:bidi w:val="0"/>
              <w:spacing w:before="0" w:after="283"/>
              <w:jc w:val="left"/>
              <w:rPr/>
            </w:pPr>
            <w:r>
              <w:rPr/>
              <w:t> </w:t>
            </w:r>
            <w:bookmarkStart w:id="1023" w:name="xdx_400_eus-gaap--AntidilutiveSecurities"/>
            <w:bookmarkEnd w:id="1023"/>
          </w:p>
        </w:tc>
      </w:tr>
      <w:tr>
        <w:trPr/>
        <w:tc>
          <w:tcPr>
            <w:tcW w:w="3200" w:type="dxa"/>
            <w:tcBorders/>
            <w:shd w:fill="FFFFFF" w:val="clear"/>
            <w:vAlign w:val="center"/>
          </w:tcPr>
          <w:p>
            <w:pPr>
              <w:pStyle w:val="TableContents"/>
              <w:bidi w:val="0"/>
              <w:spacing w:before="0" w:after="283"/>
              <w:jc w:val="left"/>
              <w:rPr/>
            </w:pPr>
            <w:r>
              <w:rPr/>
              <w:t>Underwriters warrants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120,000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Treasury</w:t>
            </w:r>
          </w:p>
        </w:tc>
        <w:tc>
          <w:tcPr>
            <w:tcW w:w="75" w:type="dxa"/>
            <w:tcBorders/>
            <w:shd w:fill="FFFFFF" w:val="clear"/>
            <w:vAlign w:val="center"/>
          </w:tcPr>
          <w:p>
            <w:pPr>
              <w:pStyle w:val="TableContents"/>
              <w:bidi w:val="0"/>
              <w:spacing w:before="0" w:after="283"/>
              <w:jc w:val="left"/>
              <w:rPr/>
            </w:pPr>
            <w:r>
              <w:rPr/>
              <w:t> </w:t>
            </w:r>
            <w:bookmarkStart w:id="1024" w:name="xdx_40F_eus-gaap--AntidilutiveSecurities"/>
            <w:bookmarkEnd w:id="1024"/>
          </w:p>
        </w:tc>
      </w:tr>
      <w:tr>
        <w:trPr/>
        <w:tc>
          <w:tcPr>
            <w:tcW w:w="3200"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2,124,229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1,313,632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If-Converted</w:t>
            </w:r>
          </w:p>
        </w:tc>
        <w:tc>
          <w:tcPr>
            <w:tcW w:w="75" w:type="dxa"/>
            <w:tcBorders/>
            <w:shd w:fill="CCEEFF" w:val="clear"/>
            <w:vAlign w:val="center"/>
          </w:tcPr>
          <w:p>
            <w:pPr>
              <w:pStyle w:val="TableContents"/>
              <w:bidi w:val="0"/>
              <w:spacing w:before="0" w:after="283"/>
              <w:jc w:val="left"/>
              <w:rPr/>
            </w:pPr>
            <w:r>
              <w:rPr/>
              <w:t> </w:t>
            </w:r>
            <w:bookmarkStart w:id="1025" w:name="xdx_401_eus-gaap--AntidilutiveSecurities"/>
            <w:bookmarkEnd w:id="1025"/>
          </w:p>
        </w:tc>
      </w:tr>
      <w:tr>
        <w:trPr/>
        <w:tc>
          <w:tcPr>
            <w:tcW w:w="3200" w:type="dxa"/>
            <w:tcBorders/>
            <w:shd w:fill="FFFFFF" w:val="clear"/>
            <w:vAlign w:val="center"/>
          </w:tcPr>
          <w:p>
            <w:pPr>
              <w:pStyle w:val="TableContents"/>
              <w:bidi w:val="0"/>
              <w:spacing w:before="0" w:after="283"/>
              <w:jc w:val="left"/>
              <w:rPr/>
            </w:pPr>
            <w:r>
              <w:rPr/>
              <w:t>Convertible notes warrants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1,216,185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Treasury</w:t>
            </w:r>
          </w:p>
        </w:tc>
        <w:tc>
          <w:tcPr>
            <w:tcW w:w="75" w:type="dxa"/>
            <w:tcBorders/>
            <w:shd w:fill="FFFFFF" w:val="clear"/>
            <w:vAlign w:val="center"/>
          </w:tcPr>
          <w:p>
            <w:pPr>
              <w:pStyle w:val="TableContents"/>
              <w:bidi w:val="0"/>
              <w:spacing w:before="0" w:after="283"/>
              <w:jc w:val="left"/>
              <w:rPr/>
            </w:pPr>
            <w:r>
              <w:rPr/>
              <w:t> </w:t>
            </w:r>
            <w:bookmarkStart w:id="1026" w:name="xdx_40E_eus-gaap--AntidilutiveSecurities"/>
            <w:bookmarkEnd w:id="1026"/>
          </w:p>
        </w:tc>
      </w:tr>
      <w:tr>
        <w:trPr/>
        <w:tc>
          <w:tcPr>
            <w:tcW w:w="3200" w:type="dxa"/>
            <w:tcBorders/>
            <w:shd w:fill="FFFFFF" w:val="clear"/>
            <w:vAlign w:val="center"/>
          </w:tcPr>
          <w:p>
            <w:pPr>
              <w:pStyle w:val="TableContents"/>
              <w:bidi w:val="0"/>
              <w:spacing w:before="0" w:after="283"/>
              <w:jc w:val="left"/>
              <w:rPr/>
            </w:pPr>
            <w:r>
              <w:rPr/>
              <w:t>Antidilutive securities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1,216,185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Treasury</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27" w:name="xdx_8AB_zPUSce9NwMk5"/>
      <w:bookmarkEnd w:id="1027"/>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28" w:name="xdx_807_eus-gaap--StockholdersEquityNote"/>
      <w:bookmarkEnd w:id="1028"/>
      <w:r>
        <w:rPr>
          <w:rFonts w:ascii="Times New Roman;Times;Serif" w:hAnsi="Times New Roman;Times;Serif"/>
          <w:b/>
          <w:i w:val="false"/>
          <w:caps w:val="false"/>
          <w:smallCaps w:val="false"/>
          <w:sz w:val="20"/>
        </w:rPr>
        <w:t xml:space="preserve">NOTE 17 – </w:t>
      </w:r>
      <w:bookmarkStart w:id="1029" w:name="xdx_828_zyWPycJmfC84"/>
      <w:bookmarkEnd w:id="1029"/>
      <w:r>
        <w:rPr>
          <w:rFonts w:ascii="Times New Roman;Times;Serif" w:hAnsi="Times New Roman;Times;Serif"/>
          <w:b/>
          <w:i w:val="false"/>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authorized </w:t>
      </w:r>
      <w:bookmarkStart w:id="1030" w:name="xdx_906_ecustom--NumberOfClassesOfCommon"/>
      <w:bookmarkEnd w:id="1030"/>
      <w:r>
        <w:rPr>
          <w:rFonts w:ascii="Times New Roman;Times;Serif" w:hAnsi="Times New Roman;Times;Serif"/>
          <w:b w:val="false"/>
          <w:i w:val="false"/>
          <w:caps w:val="false"/>
          <w:smallCaps w:val="false"/>
          <w:sz w:val="20"/>
        </w:rPr>
        <w:t xml:space="preserve">two classes of common stock, Class A and Class B. The rights of the holders of both Class A and Class B common stock will be identical, except with respect to voting, conversion and transfer restrictions applicable to the Class B common stock. Each share of Class A common stock will be entitled to </w:t>
      </w:r>
      <w:bookmarkStart w:id="1031" w:name="xdx_90E_ecustom--NumberOfVotesEntitledPe"/>
      <w:bookmarkEnd w:id="1031"/>
      <w:r>
        <w:rPr>
          <w:rFonts w:ascii="Times New Roman;Times;Serif" w:hAnsi="Times New Roman;Times;Serif"/>
          <w:b w:val="false"/>
          <w:i w:val="false"/>
          <w:caps w:val="false"/>
          <w:smallCaps w:val="false"/>
          <w:sz w:val="20"/>
        </w:rPr>
        <w:t xml:space="preserve">one vote. Each share of Class B common stock will be entitled to </w:t>
      </w:r>
      <w:bookmarkStart w:id="1032" w:name="xdx_908_ecustom--NumberOfVotesEntitledPe"/>
      <w:bookmarkEnd w:id="1032"/>
      <w:r>
        <w:rPr>
          <w:rFonts w:ascii="Times New Roman;Times;Serif" w:hAnsi="Times New Roman;Times;Serif"/>
          <w:b w:val="false"/>
          <w:i w:val="false"/>
          <w:caps w:val="false"/>
          <w:smallCaps w:val="false"/>
          <w:sz w:val="20"/>
        </w:rPr>
        <w:t xml:space="preserve">ten votes and will be convertible into </w:t>
      </w:r>
      <w:bookmarkStart w:id="1033" w:name="xdx_90B_eus-gaap--ConversionOfStockShare"/>
      <w:bookmarkEnd w:id="1033"/>
      <w:r>
        <w:rPr>
          <w:rFonts w:ascii="Times New Roman;Times;Serif" w:hAnsi="Times New Roman;Times;Serif"/>
          <w:b w:val="false"/>
          <w:i w:val="false"/>
          <w:caps w:val="false"/>
          <w:smallCaps w:val="false"/>
          <w:sz w:val="20"/>
        </w:rPr>
        <w:t>one share of Class A common stock automatically upon transfer, subject to certain exceptions. Holders of Class A common stock and Class B common stock will vote together as a single class on all matters unless otherwise required by law.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24, 2023, the Company issued warrants in connection with its convertible debt for the purchase of </w:t>
      </w:r>
      <w:bookmarkStart w:id="1034" w:name="xdx_900_eus-gaap--ClassOfWarrantOrRightN"/>
      <w:bookmarkEnd w:id="1034"/>
      <w:r>
        <w:rPr>
          <w:rFonts w:ascii="Times New Roman;Times;Serif" w:hAnsi="Times New Roman;Times;Serif"/>
          <w:b w:val="false"/>
          <w:i w:val="false"/>
          <w:caps w:val="false"/>
          <w:smallCaps w:val="false"/>
          <w:sz w:val="20"/>
        </w:rPr>
        <w:t>714,285 shares (the “Convertible Note Warrants”). The Convertible Note Warrants are accounted for as liabilities and are included in the accrued expenses and other liabilities in the condensed consolidated balance sheets. The Convertible Note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 warrants allow the Investors to purchase an aggregate of </w:t>
      </w:r>
      <w:bookmarkStart w:id="1035" w:name="xdx_90C_eus-gaap--ClassOfWarrantOrRightN"/>
      <w:bookmarkEnd w:id="1035"/>
      <w:r>
        <w:rPr>
          <w:rFonts w:ascii="Times New Roman;Times;Serif" w:hAnsi="Times New Roman;Times;Serif"/>
          <w:b w:val="false"/>
          <w:i w:val="false"/>
          <w:caps w:val="false"/>
          <w:smallCaps w:val="false"/>
          <w:sz w:val="20"/>
        </w:rPr>
        <w:t>714,285 shares of the Company’s Class A common stock at an exercise price of $</w:t>
      </w:r>
      <w:bookmarkStart w:id="1036" w:name="xdx_904_eus-gaap--ClassOfWarrantOrRightE"/>
      <w:bookmarkEnd w:id="1036"/>
      <w:r>
        <w:rPr>
          <w:rFonts w:ascii="Times New Roman;Times;Serif" w:hAnsi="Times New Roman;Times;Serif"/>
          <w:b w:val="false"/>
          <w:i w:val="false"/>
          <w:caps w:val="false"/>
          <w:smallCaps w:val="false"/>
          <w:sz w:val="20"/>
        </w:rPr>
        <w:t>1.89. The warrants can be exercised, subject to certain ownership limitations, in whole or in part during the exercise period commencing on November 24, 2023 and ending on the date that is five years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of the warrants are subject to adjustment for standard anti-dilution provisions and also for subsequent issuance at a price lower than the then exercise price and adjustments to the strike price of other equity-linked instruments to a lower price than the then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their adjustment provisions, the warrants are classified as a liability on the condensed consolidated balance sheet. In January 2024 there was a conversion which triggered anti-dilutive features of the convertible note warrants, decreasing the exercise price and increasing the number of outstanding convertible notes warrants to </w:t>
      </w:r>
      <w:bookmarkStart w:id="1037" w:name="xdx_90C_eus-gaap--ClassOfWarrantOrRightO"/>
      <w:bookmarkEnd w:id="1037"/>
      <w:r>
        <w:rPr>
          <w:rFonts w:ascii="Times New Roman;Times;Serif" w:hAnsi="Times New Roman;Times;Serif"/>
          <w:b w:val="false"/>
          <w:i w:val="false"/>
          <w:caps w:val="false"/>
          <w:smallCaps w:val="false"/>
          <w:sz w:val="20"/>
        </w:rPr>
        <w:t>1,216,185. The fair value of the warrants at issuance has been estimated using a Black-Scholes pricing model as of March 31, 2026 and December 31, 2025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38" w:name="xdx_8B0_zNdkW4Hbux6"/>
      <w:bookmarkStart w:id="1039" w:name="xdx_89B_eus-gaap--ScheduleOfStockholders"/>
      <w:bookmarkEnd w:id="1038"/>
      <w:bookmarkEnd w:id="1039"/>
      <w:r>
        <w:rPr>
          <w:rFonts w:ascii="Times New Roman;Times;Serif" w:hAnsi="Times New Roman;Times;Serif"/>
          <w:b w:val="false"/>
          <w:i w:val="false"/>
          <w:caps w:val="false"/>
          <w:smallCaps w:val="false"/>
          <w:sz w:val="20"/>
        </w:rPr>
        <w:t>SCHEDULE OF FAIR VALUE OF WARRANTS ESTIMATION USING BLACK-SCHOLES PRICING MODEL </w:t>
      </w:r>
    </w:p>
    <w:tbl>
      <w:tblPr>
        <w:tblW w:w="6443" w:type="dxa"/>
        <w:jc w:val="left"/>
        <w:tblInd w:w="0" w:type="dxa"/>
        <w:tblLayout w:type="fixed"/>
        <w:tblCellMar>
          <w:top w:w="0" w:type="dxa"/>
          <w:left w:w="0" w:type="dxa"/>
          <w:bottom w:w="0" w:type="dxa"/>
          <w:right w:w="0" w:type="dxa"/>
        </w:tblCellMar>
      </w:tblPr>
      <w:tblGrid>
        <w:gridCol w:w="2315"/>
        <w:gridCol w:w="60"/>
        <w:gridCol w:w="387"/>
        <w:gridCol w:w="1222"/>
        <w:gridCol w:w="215"/>
        <w:gridCol w:w="60"/>
        <w:gridCol w:w="470"/>
        <w:gridCol w:w="1484"/>
        <w:gridCol w:w="23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3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w:t>
            </w:r>
            <w:bookmarkStart w:id="1040" w:name="xdx_980_eus-gaap--SharePrice_iI_c2026033"/>
            <w:bookmarkEnd w:id="1040"/>
          </w:p>
        </w:tc>
        <w:tc>
          <w:tcPr>
            <w:tcW w:w="1222" w:type="dxa"/>
            <w:tcBorders/>
            <w:shd w:fill="CCEEFF" w:val="clear"/>
            <w:vAlign w:val="center"/>
          </w:tcPr>
          <w:p>
            <w:pPr>
              <w:pStyle w:val="TableContents"/>
              <w:bidi w:val="0"/>
              <w:spacing w:before="0" w:after="283"/>
              <w:jc w:val="right"/>
              <w:rPr/>
            </w:pPr>
            <w:r>
              <w:rPr/>
              <w:t>0.51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w:t>
            </w:r>
            <w:bookmarkStart w:id="1041" w:name="xdx_982_eus-gaap--SharePrice_iI_c2025123"/>
            <w:bookmarkEnd w:id="1041"/>
          </w:p>
        </w:tc>
        <w:tc>
          <w:tcPr>
            <w:tcW w:w="1484" w:type="dxa"/>
            <w:tcBorders/>
            <w:shd w:fill="CCEEFF" w:val="clear"/>
            <w:vAlign w:val="center"/>
          </w:tcPr>
          <w:p>
            <w:pPr>
              <w:pStyle w:val="TableContents"/>
              <w:bidi w:val="0"/>
              <w:spacing w:before="0" w:after="283"/>
              <w:jc w:val="right"/>
              <w:rPr/>
            </w:pPr>
            <w:r>
              <w:rPr/>
              <w:t>0.89</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w:t>
            </w:r>
            <w:bookmarkStart w:id="1042" w:name="xdx_98B_eus-gaap--ShareBasedCompensation"/>
            <w:bookmarkEnd w:id="1042"/>
          </w:p>
        </w:tc>
        <w:tc>
          <w:tcPr>
            <w:tcW w:w="1222" w:type="dxa"/>
            <w:tcBorders/>
            <w:shd w:fill="FFFFFF" w:val="clear"/>
            <w:vAlign w:val="center"/>
          </w:tcPr>
          <w:p>
            <w:pPr>
              <w:pStyle w:val="TableContents"/>
              <w:bidi w:val="0"/>
              <w:spacing w:before="0" w:after="283"/>
              <w:jc w:val="right"/>
              <w:rPr/>
            </w:pPr>
            <w:r>
              <w:rPr/>
              <w:t>0.84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w:t>
            </w:r>
            <w:bookmarkStart w:id="1043" w:name="xdx_989_eus-gaap--ShareBasedCompensation"/>
            <w:bookmarkEnd w:id="1043"/>
          </w:p>
        </w:tc>
        <w:tc>
          <w:tcPr>
            <w:tcW w:w="1484" w:type="dxa"/>
            <w:tcBorders/>
            <w:shd w:fill="FFFFFF" w:val="clear"/>
            <w:vAlign w:val="center"/>
          </w:tcPr>
          <w:p>
            <w:pPr>
              <w:pStyle w:val="TableContents"/>
              <w:bidi w:val="0"/>
              <w:spacing w:before="0" w:after="283"/>
              <w:jc w:val="right"/>
              <w:rPr/>
            </w:pPr>
            <w:r>
              <w:rPr/>
              <w:t>0.84</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Contractual term (years)</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bookmarkStart w:id="1044" w:name="xdx_980_eus-gaap--SharebasedCompensation"/>
            <w:bookmarkEnd w:id="1044"/>
          </w:p>
        </w:tc>
        <w:tc>
          <w:tcPr>
            <w:tcW w:w="1222" w:type="dxa"/>
            <w:tcBorders/>
            <w:shd w:fill="CCEEFF" w:val="clear"/>
            <w:vAlign w:val="center"/>
          </w:tcPr>
          <w:p>
            <w:pPr>
              <w:pStyle w:val="TableContents"/>
              <w:bidi w:val="0"/>
              <w:spacing w:before="0" w:after="283"/>
              <w:jc w:val="right"/>
              <w:rPr/>
            </w:pPr>
            <w:r>
              <w:rPr/>
              <w:t>2.65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bookmarkStart w:id="1045" w:name="xdx_985_eus-gaap--SharebasedCompensation"/>
            <w:bookmarkEnd w:id="1045"/>
          </w:p>
        </w:tc>
        <w:tc>
          <w:tcPr>
            <w:tcW w:w="1484" w:type="dxa"/>
            <w:tcBorders/>
            <w:shd w:fill="CCEEFF" w:val="clear"/>
            <w:vAlign w:val="center"/>
          </w:tcPr>
          <w:p>
            <w:pPr>
              <w:pStyle w:val="TableContents"/>
              <w:bidi w:val="0"/>
              <w:spacing w:before="0" w:after="283"/>
              <w:jc w:val="right"/>
              <w:rPr/>
            </w:pPr>
            <w:r>
              <w:rPr/>
              <w:t>2.90</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bookmarkStart w:id="1046" w:name="xdx_980_eus-gaap--ShareBasedCompensation"/>
            <w:bookmarkEnd w:id="1046"/>
          </w:p>
        </w:tc>
        <w:tc>
          <w:tcPr>
            <w:tcW w:w="1222" w:type="dxa"/>
            <w:tcBorders/>
            <w:shd w:fill="FFFFFF" w:val="clear"/>
            <w:vAlign w:val="center"/>
          </w:tcPr>
          <w:p>
            <w:pPr>
              <w:pStyle w:val="TableContents"/>
              <w:bidi w:val="0"/>
              <w:spacing w:before="0" w:after="283"/>
              <w:jc w:val="right"/>
              <w:rPr/>
            </w:pPr>
            <w:r>
              <w:rPr/>
              <w:t>97.4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bookmarkStart w:id="1047" w:name="xdx_984_eus-gaap--ShareBasedCompensation"/>
            <w:bookmarkEnd w:id="1047"/>
          </w:p>
        </w:tc>
        <w:tc>
          <w:tcPr>
            <w:tcW w:w="1484" w:type="dxa"/>
            <w:tcBorders/>
            <w:shd w:fill="FFFFFF" w:val="clear"/>
            <w:vAlign w:val="center"/>
          </w:tcPr>
          <w:p>
            <w:pPr>
              <w:pStyle w:val="TableContents"/>
              <w:bidi w:val="0"/>
              <w:spacing w:before="0" w:after="283"/>
              <w:jc w:val="right"/>
              <w:rPr/>
            </w:pPr>
            <w:r>
              <w:rPr/>
              <w:t>88.7</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bookmarkStart w:id="1048" w:name="xdx_98C_eus-gaap--ShareBasedCompensation"/>
            <w:bookmarkEnd w:id="1048"/>
          </w:p>
        </w:tc>
        <w:tc>
          <w:tcPr>
            <w:tcW w:w="1222" w:type="dxa"/>
            <w:tcBorders/>
            <w:shd w:fill="CCEEFF" w:val="clear"/>
            <w:vAlign w:val="center"/>
          </w:tcPr>
          <w:p>
            <w:pPr>
              <w:pStyle w:val="TableContents"/>
              <w:bidi w:val="0"/>
              <w:spacing w:before="0" w:after="283"/>
              <w:jc w:val="right"/>
              <w:rPr/>
            </w:pPr>
            <w:r>
              <w:rPr/>
              <w:t>3.77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bookmarkStart w:id="1049" w:name="xdx_985_eus-gaap--ShareBasedCompensation"/>
            <w:bookmarkEnd w:id="1049"/>
          </w:p>
        </w:tc>
        <w:tc>
          <w:tcPr>
            <w:tcW w:w="1484" w:type="dxa"/>
            <w:tcBorders/>
            <w:shd w:fill="CCEEFF" w:val="clear"/>
            <w:vAlign w:val="center"/>
          </w:tcPr>
          <w:p>
            <w:pPr>
              <w:pStyle w:val="TableContents"/>
              <w:bidi w:val="0"/>
              <w:spacing w:before="0" w:after="283"/>
              <w:jc w:val="right"/>
              <w:rPr/>
            </w:pPr>
            <w:r>
              <w:rPr/>
              <w:t>3.51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50" w:name="xdx_8AA_zBErAO5mHzd9"/>
      <w:bookmarkEnd w:id="105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Expected volatility is the estimate of the expected volatility of the Company’s Class A common stock, based on the Company’s weekly trading history then reduced by </w:t>
      </w:r>
      <w:bookmarkStart w:id="1051" w:name="xdx_905_eus-gaap--ShareBasedCompensation"/>
      <w:bookmarkEnd w:id="1051"/>
      <w:r>
        <w:rPr>
          <w:rFonts w:ascii="Times New Roman;Times;Serif" w:hAnsi="Times New Roman;Times;Serif"/>
          <w:b w:val="false"/>
          <w:i w:val="false"/>
          <w:caps w:val="false"/>
          <w:smallCaps w:val="false"/>
          <w:sz w:val="20"/>
        </w:rPr>
        <w:t>5% as it is generally accepted that market participants to not pay for the full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liability, which uses level 3 inputs, is to be measured at fair value each reporting period with the change in fair value being recognized in other income. The measured fair value may be uncertain due to the use of unobservable inputs. At March 31, 2026 and December 31, 2025, the fair value of the warrant liability was $</w:t>
      </w:r>
      <w:bookmarkStart w:id="1052" w:name="xdx_900_eus-gaap--DerivativeFairValueOfD"/>
      <w:bookmarkEnd w:id="1052"/>
      <w:r>
        <w:rPr>
          <w:rFonts w:ascii="Times New Roman;Times;Serif" w:hAnsi="Times New Roman;Times;Serif"/>
          <w:b w:val="false"/>
          <w:i w:val="false"/>
          <w:caps w:val="false"/>
          <w:smallCaps w:val="false"/>
          <w:sz w:val="20"/>
        </w:rPr>
        <w:t>301,679 and $</w:t>
      </w:r>
      <w:bookmarkStart w:id="1053" w:name="xdx_904_eus-gaap--DerivativeFairValueOfD"/>
      <w:bookmarkEnd w:id="1053"/>
      <w:r>
        <w:rPr>
          <w:rFonts w:ascii="Times New Roman;Times;Serif" w:hAnsi="Times New Roman;Times;Serif"/>
          <w:b w:val="false"/>
          <w:i w:val="false"/>
          <w:caps w:val="false"/>
          <w:smallCaps w:val="false"/>
          <w:sz w:val="20"/>
        </w:rPr>
        <w:t>632,876, respectively, and was included in the accrued expenses and other liabilities in the Company’s condensed consolidated balance sheets. The changes in fair value during the three months ended March 31, 2026 and 2025, respectively, amounted to an income of $</w:t>
      </w:r>
      <w:bookmarkStart w:id="1054" w:name="xdx_90D_eus-gaap--OtherIncome_c20260101_"/>
      <w:bookmarkEnd w:id="1054"/>
      <w:r>
        <w:rPr>
          <w:rFonts w:ascii="Times New Roman;Times;Serif" w:hAnsi="Times New Roman;Times;Serif"/>
          <w:b w:val="false"/>
          <w:i w:val="false"/>
          <w:caps w:val="false"/>
          <w:smallCaps w:val="false"/>
          <w:sz w:val="20"/>
        </w:rPr>
        <w:t>331,197 and $</w:t>
      </w:r>
      <w:bookmarkStart w:id="1055" w:name="xdx_902_eus-gaap--OtherIncome_c20250101_"/>
      <w:bookmarkEnd w:id="1055"/>
      <w:r>
        <w:rPr>
          <w:rFonts w:ascii="Times New Roman;Times;Serif" w:hAnsi="Times New Roman;Times;Serif"/>
          <w:b w:val="false"/>
          <w:i w:val="false"/>
          <w:caps w:val="false"/>
          <w:smallCaps w:val="false"/>
          <w:sz w:val="20"/>
        </w:rPr>
        <w:t>615,943 included in other income in our condensed consolidated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there have been no such exercises. During the three months ended March 31, 2025, the Investors exercised </w:t>
      </w:r>
      <w:bookmarkStart w:id="1056" w:name="xdx_904_eus-gaap--ClassOfWarrantOrRightN"/>
      <w:bookmarkEnd w:id="1056"/>
      <w:r>
        <w:rPr>
          <w:rFonts w:ascii="Times New Roman;Times;Serif" w:hAnsi="Times New Roman;Times;Serif"/>
          <w:b w:val="false"/>
          <w:i w:val="false"/>
          <w:caps w:val="false"/>
          <w:smallCaps w:val="false"/>
          <w:sz w:val="20"/>
        </w:rPr>
        <w:t>189,285 warrants, for which the Company received $</w:t>
      </w:r>
      <w:bookmarkStart w:id="1057" w:name="xdx_90D_eus-gaap--ProceedsFromWarrantExe"/>
      <w:bookmarkEnd w:id="1057"/>
      <w:r>
        <w:rPr>
          <w:rFonts w:ascii="Times New Roman;Times;Serif" w:hAnsi="Times New Roman;Times;Serif"/>
          <w:b w:val="false"/>
          <w:i w:val="false"/>
          <w:caps w:val="false"/>
          <w:smallCaps w:val="false"/>
          <w:sz w:val="20"/>
        </w:rPr>
        <w:t>159,000 in proceeds and recorded a loss of $</w:t>
      </w:r>
      <w:bookmarkStart w:id="1058" w:name="xdx_904_ecustom--GainLossOnRevaluationOf"/>
      <w:bookmarkEnd w:id="1058"/>
      <w:r>
        <w:rPr>
          <w:rFonts w:ascii="Times New Roman;Times;Serif" w:hAnsi="Times New Roman;Times;Serif"/>
          <w:b w:val="false"/>
          <w:i w:val="false"/>
          <w:caps w:val="false"/>
          <w:smallCaps w:val="false"/>
          <w:sz w:val="20"/>
        </w:rPr>
        <w:t xml:space="preserve">128,085 upon revaluation of the exercised warrants. The loss is included in other income in our condensed consolidated statements of operations and comprehensive loss. As of March 31, 2026, </w:t>
      </w:r>
      <w:bookmarkStart w:id="1059" w:name="xdx_901_eus-gaap--ClassOfWarrantOrRightN"/>
      <w:bookmarkEnd w:id="1059"/>
      <w:r>
        <w:rPr>
          <w:rFonts w:ascii="Times New Roman;Times;Serif" w:hAnsi="Times New Roman;Times;Serif"/>
          <w:b w:val="false"/>
          <w:i w:val="false"/>
          <w:caps w:val="false"/>
          <w:smallCaps w:val="false"/>
          <w:sz w:val="20"/>
        </w:rPr>
        <w:t>391,664 of the convertible notes warrants have been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60" w:name="xdx_89C_ecustom--ScheduleOfChangesInFair"/>
      <w:bookmarkEnd w:id="1060"/>
      <w:r>
        <w:rPr>
          <w:rFonts w:ascii="Times New Roman;Times;Serif" w:hAnsi="Times New Roman;Times;Serif"/>
          <w:b w:val="false"/>
          <w:i w:val="false"/>
          <w:caps w:val="false"/>
          <w:smallCaps w:val="false"/>
          <w:sz w:val="20"/>
        </w:rPr>
        <w:t>The Convertible Notes Warrants were initially measured at fair value and are being re-measured at fair value at each subsequent reporting date. The change in fair value during the three months ended March 31, 2026 and 2025, was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61" w:name="xdx_8B3_z7vgWngy35Zc"/>
      <w:bookmarkEnd w:id="1061"/>
      <w:r>
        <w:rPr>
          <w:rFonts w:ascii="Times New Roman;Times;Serif" w:hAnsi="Times New Roman;Times;Serif"/>
          <w:b w:val="false"/>
          <w:i w:val="false"/>
          <w:caps w:val="false"/>
          <w:smallCaps w:val="false"/>
          <w:sz w:val="20"/>
        </w:rPr>
        <w:t>SCHEDULE OF CHANGE IN FAIR VALUE OF WARRANTS </w:t>
      </w:r>
    </w:p>
    <w:tbl>
      <w:tblPr>
        <w:tblW w:w="5725" w:type="dxa"/>
        <w:jc w:val="left"/>
        <w:tblInd w:w="0" w:type="dxa"/>
        <w:tblLayout w:type="fixed"/>
        <w:tblCellMar>
          <w:top w:w="0" w:type="dxa"/>
          <w:left w:w="0" w:type="dxa"/>
          <w:bottom w:w="0" w:type="dxa"/>
          <w:right w:w="0" w:type="dxa"/>
        </w:tblCellMar>
      </w:tblPr>
      <w:tblGrid>
        <w:gridCol w:w="3380"/>
        <w:gridCol w:w="60"/>
        <w:gridCol w:w="140"/>
        <w:gridCol w:w="875"/>
        <w:gridCol w:w="95"/>
        <w:gridCol w:w="60"/>
        <w:gridCol w:w="60"/>
        <w:gridCol w:w="980"/>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62" w:name="xdx_4B1_z3ITf87PPcC9"/>
            <w:bookmarkEnd w:id="1062"/>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63" w:name="xdx_4B5_us-gaap--StatementEquityComponen"/>
            <w:bookmarkEnd w:id="1063"/>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064" w:name="xdx_985_eus-gaap--FairValueMeasurementWi"/>
            <w:bookmarkEnd w:id="1064"/>
          </w:p>
        </w:tc>
        <w:tc>
          <w:tcPr>
            <w:tcW w:w="875" w:type="dxa"/>
            <w:tcBorders/>
            <w:shd w:fill="CCEEFF" w:val="clear"/>
            <w:vAlign w:val="center"/>
          </w:tcPr>
          <w:p>
            <w:pPr>
              <w:pStyle w:val="TableContents"/>
              <w:bidi w:val="0"/>
              <w:spacing w:before="0" w:after="283"/>
              <w:jc w:val="right"/>
              <w:rPr/>
            </w:pPr>
            <w:r>
              <w:rPr/>
              <w:t>632,876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65" w:name="xdx_98F_eus-gaap--ShareBasedCompensation"/>
            <w:bookmarkEnd w:id="1065"/>
          </w:p>
        </w:tc>
        <w:tc>
          <w:tcPr>
            <w:tcW w:w="980" w:type="dxa"/>
            <w:tcBorders/>
            <w:shd w:fill="CCEEFF" w:val="clear"/>
            <w:vAlign w:val="center"/>
          </w:tcPr>
          <w:p>
            <w:pPr>
              <w:pStyle w:val="TableContents"/>
              <w:bidi w:val="0"/>
              <w:spacing w:before="0" w:after="283"/>
              <w:jc w:val="right"/>
              <w:rPr/>
            </w:pPr>
            <w:r>
              <w:rPr/>
              <w:t>1,216,185</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66" w:name="xdx_983_eus-gaap--FairValueAdjustmentOfW"/>
            <w:bookmarkEnd w:id="1066"/>
          </w:p>
        </w:tc>
        <w:tc>
          <w:tcPr>
            <w:tcW w:w="875" w:type="dxa"/>
            <w:tcBorders/>
            <w:shd w:fill="FFFFFF" w:val="clear"/>
            <w:vAlign w:val="center"/>
          </w:tcPr>
          <w:p>
            <w:pPr>
              <w:pStyle w:val="TableContents"/>
              <w:bidi w:val="0"/>
              <w:spacing w:before="0" w:after="283"/>
              <w:jc w:val="right"/>
              <w:rPr/>
            </w:pPr>
            <w:r>
              <w:rPr/>
              <w:t>(331,197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67" w:name="xdx_987_eus-gaap--ShareBasedCompensation"/>
            <w:bookmarkEnd w:id="1067"/>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68" w:name="xdx_98D_ecustom--FairValueMeasurementWit"/>
            <w:bookmarkEnd w:id="1068"/>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69" w:name="xdx_98B_eus-gaap--ShareBasedCompensation"/>
            <w:bookmarkEnd w:id="1069"/>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b/>
              </w:rPr>
            </w:pPr>
            <w:r>
              <w:rPr>
                <w:b/>
              </w:rPr>
              <w:t>Fair value, at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070" w:name="xdx_981_eus-gaap--FairValueMeasurementWi"/>
            <w:bookmarkEnd w:id="1070"/>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301,679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71" w:name="xdx_988_eus-gaap--ShareBasedCompensation"/>
            <w:bookmarkEnd w:id="107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1,216,185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865" w:type="dxa"/>
        <w:jc w:val="left"/>
        <w:tblInd w:w="0" w:type="dxa"/>
        <w:tblLayout w:type="fixed"/>
        <w:tblCellMar>
          <w:top w:w="0" w:type="dxa"/>
          <w:left w:w="0" w:type="dxa"/>
          <w:bottom w:w="0" w:type="dxa"/>
          <w:right w:w="0" w:type="dxa"/>
        </w:tblCellMar>
      </w:tblPr>
      <w:tblGrid>
        <w:gridCol w:w="3380"/>
        <w:gridCol w:w="60"/>
        <w:gridCol w:w="140"/>
        <w:gridCol w:w="980"/>
        <w:gridCol w:w="95"/>
        <w:gridCol w:w="60"/>
        <w:gridCol w:w="60"/>
        <w:gridCol w:w="980"/>
        <w:gridCol w:w="11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2" w:name="xdx_4B1_zDrQszAI4VY4"/>
            <w:bookmarkEnd w:id="1072"/>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3" w:name="xdx_4B5_us-gaap--StatementEquityComponen"/>
            <w:bookmarkEnd w:id="1073"/>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11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074" w:name="xdx_98C_eus-gaap--FairValueMeasurementWi"/>
            <w:bookmarkEnd w:id="1074"/>
          </w:p>
        </w:tc>
        <w:tc>
          <w:tcPr>
            <w:tcW w:w="980" w:type="dxa"/>
            <w:tcBorders/>
            <w:shd w:fill="CCEEFF" w:val="clear"/>
            <w:vAlign w:val="center"/>
          </w:tcPr>
          <w:p>
            <w:pPr>
              <w:pStyle w:val="TableContents"/>
              <w:bidi w:val="0"/>
              <w:spacing w:before="0" w:after="283"/>
              <w:jc w:val="right"/>
              <w:rPr/>
            </w:pPr>
            <w:r>
              <w:rPr/>
              <w:t>1,448,109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75" w:name="xdx_98A_eus-gaap--ShareBasedCompensation"/>
            <w:bookmarkEnd w:id="1075"/>
          </w:p>
        </w:tc>
        <w:tc>
          <w:tcPr>
            <w:tcW w:w="980" w:type="dxa"/>
            <w:tcBorders/>
            <w:shd w:fill="CCEEFF" w:val="clear"/>
            <w:vAlign w:val="center"/>
          </w:tcPr>
          <w:p>
            <w:pPr>
              <w:pStyle w:val="TableContents"/>
              <w:bidi w:val="0"/>
              <w:spacing w:before="0" w:after="283"/>
              <w:jc w:val="right"/>
              <w:rPr/>
            </w:pPr>
            <w:r>
              <w:rPr/>
              <w:t>1,405,470</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76" w:name="xdx_985_eus-gaap--FairValueAdjustmentOfW"/>
            <w:bookmarkEnd w:id="1076"/>
          </w:p>
        </w:tc>
        <w:tc>
          <w:tcPr>
            <w:tcW w:w="980" w:type="dxa"/>
            <w:tcBorders/>
            <w:shd w:fill="FFFFFF" w:val="clear"/>
            <w:vAlign w:val="center"/>
          </w:tcPr>
          <w:p>
            <w:pPr>
              <w:pStyle w:val="TableContents"/>
              <w:bidi w:val="0"/>
              <w:spacing w:before="0" w:after="283"/>
              <w:jc w:val="right"/>
              <w:rPr/>
            </w:pPr>
            <w:r>
              <w:rPr/>
              <w:t>(487,857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77" w:name="xdx_98A_eus-gaap--ShareBasedCompensation"/>
            <w:bookmarkEnd w:id="1077"/>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78" w:name="xdx_986_ecustom--FairValueMeasurementWit"/>
            <w:bookmarkEnd w:id="1078"/>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(323,113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79" w:name="xdx_987_eus-gaap--ShareBasedCompensation"/>
            <w:bookmarkEnd w:id="1079"/>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(189,285</w:t>
            </w:r>
          </w:p>
        </w:tc>
        <w:tc>
          <w:tcPr>
            <w:tcW w:w="110" w:type="dxa"/>
            <w:tcBorders/>
            <w:shd w:fill="CCEEFF" w:val="clear"/>
            <w:vAlign w:val="center"/>
          </w:tcPr>
          <w:p>
            <w:pPr>
              <w:pStyle w:val="TableContents"/>
              <w:bidi w:val="0"/>
              <w:spacing w:before="0" w:after="283"/>
              <w:jc w:val="left"/>
              <w:rPr/>
            </w:pPr>
            <w:r>
              <w:rPr/>
              <w:t>)</w:t>
            </w:r>
          </w:p>
        </w:tc>
      </w:tr>
      <w:tr>
        <w:trPr/>
        <w:tc>
          <w:tcPr>
            <w:tcW w:w="3380" w:type="dxa"/>
            <w:tcBorders/>
            <w:shd w:fill="FFFFFF" w:val="clear"/>
            <w:vAlign w:val="center"/>
          </w:tcPr>
          <w:p>
            <w:pPr>
              <w:pStyle w:val="TableContents"/>
              <w:bidi w:val="0"/>
              <w:spacing w:before="0" w:after="283"/>
              <w:jc w:val="left"/>
              <w:rPr>
                <w:b/>
              </w:rPr>
            </w:pPr>
            <w:r>
              <w:rPr>
                <w:b/>
              </w:rPr>
              <w:t>Fair value, at March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080" w:name="xdx_98A_eus-gaap--FairValueMeasurementWi"/>
            <w:bookmarkEnd w:id="1080"/>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637,139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81" w:name="xdx_98C_eus-gaap--ShareBasedCompensation"/>
            <w:bookmarkEnd w:id="108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1,216,185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82" w:name="xdx_8AE_z7FRxQZirutj"/>
      <w:bookmarkEnd w:id="108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Line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the Company entered into a common stock purchase agreement (the “Equity Line Purchase Agreement”) and a registration rights agreement (the “Registration Rights Agreement”) with an investor, pursuant to which the investor has committed to purchase up to $</w:t>
      </w:r>
      <w:bookmarkStart w:id="1083" w:name="xdx_90D_eus-gaap--SaleOfStockConsiderati"/>
      <w:bookmarkEnd w:id="1083"/>
      <w:r>
        <w:rPr>
          <w:rFonts w:ascii="Times New Roman;Times;Serif" w:hAnsi="Times New Roman;Times;Serif"/>
          <w:b w:val="false"/>
          <w:i w:val="false"/>
          <w:caps w:val="false"/>
          <w:smallCaps w:val="false"/>
          <w:sz w:val="20"/>
        </w:rPr>
        <w:t xml:space="preserve">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w:t>
      </w:r>
      <w:bookmarkStart w:id="1084" w:name="xdx_907_eus-gaap--SaleOfStockPercentageO"/>
      <w:bookmarkEnd w:id="1084"/>
      <w:r>
        <w:rPr>
          <w:rFonts w:ascii="Times New Roman;Times;Serif" w:hAnsi="Times New Roman;Times;Serif"/>
          <w:b w:val="false"/>
          <w:i w:val="false"/>
          <w:caps w:val="false"/>
          <w:smallCaps w:val="false"/>
          <w:sz w:val="20"/>
        </w:rPr>
        <w:t>9.99% of the Company’s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Concurrently with the signing of the Equity Line Purchase Agreement, the Company issued the equity line warrant to purchase </w:t>
      </w:r>
      <w:bookmarkStart w:id="1085" w:name="xdx_901_eus-gaap--ClassOfWarrantOrRightN"/>
      <w:bookmarkEnd w:id="1085"/>
      <w:r>
        <w:rPr>
          <w:rFonts w:ascii="Times New Roman;Times;Serif" w:hAnsi="Times New Roman;Times;Serif"/>
          <w:b w:val="false"/>
          <w:i w:val="false"/>
          <w:caps w:val="false"/>
          <w:smallCaps w:val="false"/>
          <w:sz w:val="20"/>
        </w:rPr>
        <w:t>367,647 shares of its Class A common stock to the investor as a commitment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registered shares for potential issuance on exercise of the warrants, or drawing of the equity line, on a Registration Statement on Form S-1 that was declared effective on October 30, 2023. As of December 31, 2025, we have not sold any Class A common stock under the Equity Line Purchase Agreement and the agreement has expired.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Line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24, 2023, the Company issued a warrant to an investor (the “Equity Line Warrant”) for the purchase of </w:t>
      </w:r>
      <w:bookmarkStart w:id="1086" w:name="xdx_901_eus-gaap--ClassOfWarrantOrRightN"/>
      <w:bookmarkEnd w:id="1086"/>
      <w:r>
        <w:rPr>
          <w:rFonts w:ascii="Times New Roman;Times;Serif" w:hAnsi="Times New Roman;Times;Serif"/>
          <w:b w:val="false"/>
          <w:i w:val="false"/>
          <w:caps w:val="false"/>
          <w:smallCaps w:val="false"/>
          <w:sz w:val="20"/>
        </w:rPr>
        <w:t>367,647 shares of Class A common stock in consideration of the investor’s commitment to purchase Class A common stock. The fair value of the Equity Line Warrant is recorded as a warrant liability and is included in the accrued expenses and other liabilities in the Company’s condensed consolidated balance sheets. The Equity Line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Investors warrants allow them to purchase the </w:t>
      </w:r>
      <w:bookmarkStart w:id="1087" w:name="xdx_901_eus-gaap--ClassOfWarrantOrRightN"/>
      <w:bookmarkEnd w:id="1087"/>
      <w:r>
        <w:rPr>
          <w:rFonts w:ascii="Times New Roman;Times;Serif" w:hAnsi="Times New Roman;Times;Serif"/>
          <w:b w:val="false"/>
          <w:i w:val="false"/>
          <w:caps w:val="false"/>
          <w:smallCaps w:val="false"/>
          <w:sz w:val="20"/>
        </w:rPr>
        <w:t>367,647 shares of the Company’s Class A common stock for an exercise price of $</w:t>
      </w:r>
      <w:bookmarkStart w:id="1088" w:name="xdx_904_eus-gaap--ClassOfWarrantOrRightE"/>
      <w:bookmarkEnd w:id="1088"/>
      <w:r>
        <w:rPr>
          <w:rFonts w:ascii="Times New Roman;Times;Serif" w:hAnsi="Times New Roman;Times;Serif"/>
          <w:b w:val="false"/>
          <w:i w:val="false"/>
          <w:caps w:val="false"/>
          <w:smallCaps w:val="false"/>
          <w:sz w:val="20"/>
        </w:rPr>
        <w:t>1.50. The warrants can be exercised, subject to certain ownership limitations, in whole or in part during the exercise period commencing on August 24, 2023 and ending on the date that is five years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of the warrants are subject to adjustment for standard anti-dilution provisions, for subsequent common share issuance at a price lower than the then exercise price of the warrants and adjustments to the strike price of other equity-linked instruments to a lower price than the then exercise price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adjustment provision, the warrants are classified as a liability on the consolidated balance sheet. The fair value of the warrants has been estimated using a Black-Scholes pricing model as of March 31, 2026 and December 31, 2025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89" w:name="xdx_8BB_zKUqtRPa1Hb6"/>
      <w:bookmarkStart w:id="1090" w:name="xdx_895_eus-gaap--ScheduleOfStockholders"/>
      <w:bookmarkEnd w:id="1089"/>
      <w:bookmarkEnd w:id="1090"/>
      <w:r>
        <w:rPr>
          <w:rFonts w:ascii="Times New Roman;Times;Serif" w:hAnsi="Times New Roman;Times;Serif"/>
          <w:b w:val="false"/>
          <w:i w:val="false"/>
          <w:caps w:val="false"/>
          <w:smallCaps w:val="false"/>
          <w:sz w:val="20"/>
        </w:rPr>
        <w:t>SCHEDULE OF FAIR VALUE OF WARRANTS ESTIMATION USING BLACK-SCHOLES PRICING MODEL </w:t>
      </w:r>
    </w:p>
    <w:tbl>
      <w:tblPr>
        <w:tblW w:w="6444" w:type="dxa"/>
        <w:jc w:val="left"/>
        <w:tblInd w:w="0" w:type="dxa"/>
        <w:tblLayout w:type="fixed"/>
        <w:tblCellMar>
          <w:top w:w="0" w:type="dxa"/>
          <w:left w:w="0" w:type="dxa"/>
          <w:bottom w:w="0" w:type="dxa"/>
          <w:right w:w="0" w:type="dxa"/>
        </w:tblCellMar>
      </w:tblPr>
      <w:tblGrid>
        <w:gridCol w:w="2315"/>
        <w:gridCol w:w="60"/>
        <w:gridCol w:w="322"/>
        <w:gridCol w:w="1288"/>
        <w:gridCol w:w="215"/>
        <w:gridCol w:w="60"/>
        <w:gridCol w:w="470"/>
        <w:gridCol w:w="1484"/>
        <w:gridCol w:w="23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3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bookmarkStart w:id="1091" w:name="xdx_982_eus-gaap--SharePrice_iI_c2026033"/>
            <w:bookmarkEnd w:id="1091"/>
          </w:p>
        </w:tc>
        <w:tc>
          <w:tcPr>
            <w:tcW w:w="1288" w:type="dxa"/>
            <w:tcBorders/>
            <w:shd w:fill="CCEEFF" w:val="clear"/>
            <w:vAlign w:val="center"/>
          </w:tcPr>
          <w:p>
            <w:pPr>
              <w:pStyle w:val="TableContents"/>
              <w:bidi w:val="0"/>
              <w:spacing w:before="0" w:after="283"/>
              <w:jc w:val="right"/>
              <w:rPr/>
            </w:pPr>
            <w:r>
              <w:rPr/>
              <w:t>0.51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w:t>
            </w:r>
            <w:bookmarkStart w:id="1092" w:name="xdx_987_eus-gaap--SharePrice_iI_c2025123"/>
            <w:bookmarkEnd w:id="1092"/>
          </w:p>
        </w:tc>
        <w:tc>
          <w:tcPr>
            <w:tcW w:w="1484" w:type="dxa"/>
            <w:tcBorders/>
            <w:shd w:fill="CCEEFF" w:val="clear"/>
            <w:vAlign w:val="center"/>
          </w:tcPr>
          <w:p>
            <w:pPr>
              <w:pStyle w:val="TableContents"/>
              <w:bidi w:val="0"/>
              <w:spacing w:before="0" w:after="283"/>
              <w:jc w:val="right"/>
              <w:rPr/>
            </w:pPr>
            <w:r>
              <w:rPr/>
              <w:t>0.89</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w:t>
            </w:r>
            <w:bookmarkStart w:id="1093" w:name="xdx_982_eus-gaap--ShareBasedCompensation"/>
            <w:bookmarkEnd w:id="1093"/>
          </w:p>
        </w:tc>
        <w:tc>
          <w:tcPr>
            <w:tcW w:w="1288" w:type="dxa"/>
            <w:tcBorders/>
            <w:shd w:fill="FFFFFF" w:val="clear"/>
            <w:vAlign w:val="center"/>
          </w:tcPr>
          <w:p>
            <w:pPr>
              <w:pStyle w:val="TableContents"/>
              <w:bidi w:val="0"/>
              <w:spacing w:before="0" w:after="283"/>
              <w:jc w:val="right"/>
              <w:rPr/>
            </w:pPr>
            <w:r>
              <w:rPr/>
              <w:t>1.50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w:t>
            </w:r>
            <w:bookmarkStart w:id="1094" w:name="xdx_982_eus-gaap--ShareBasedCompensation"/>
            <w:bookmarkEnd w:id="1094"/>
          </w:p>
        </w:tc>
        <w:tc>
          <w:tcPr>
            <w:tcW w:w="1484" w:type="dxa"/>
            <w:tcBorders/>
            <w:shd w:fill="FFFFFF" w:val="clear"/>
            <w:vAlign w:val="center"/>
          </w:tcPr>
          <w:p>
            <w:pPr>
              <w:pStyle w:val="TableContents"/>
              <w:bidi w:val="0"/>
              <w:spacing w:before="0" w:after="283"/>
              <w:jc w:val="right"/>
              <w:rPr/>
            </w:pPr>
            <w:r>
              <w:rPr/>
              <w:t>1.50</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Contractual term (years)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bookmarkStart w:id="1095" w:name="xdx_981_eus-gaap--SharebasedCompensation"/>
            <w:bookmarkEnd w:id="1095"/>
          </w:p>
        </w:tc>
        <w:tc>
          <w:tcPr>
            <w:tcW w:w="1288" w:type="dxa"/>
            <w:tcBorders/>
            <w:shd w:fill="CCEEFF" w:val="clear"/>
            <w:vAlign w:val="center"/>
          </w:tcPr>
          <w:p>
            <w:pPr>
              <w:pStyle w:val="TableContents"/>
              <w:bidi w:val="0"/>
              <w:spacing w:before="0" w:after="283"/>
              <w:jc w:val="right"/>
              <w:rPr/>
            </w:pPr>
            <w:r>
              <w:rPr/>
              <w:t>2.40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bookmarkStart w:id="1096" w:name="xdx_986_eus-gaap--SharebasedCompensation"/>
            <w:bookmarkEnd w:id="1096"/>
          </w:p>
        </w:tc>
        <w:tc>
          <w:tcPr>
            <w:tcW w:w="1484" w:type="dxa"/>
            <w:tcBorders/>
            <w:shd w:fill="CCEEFF" w:val="clear"/>
            <w:vAlign w:val="center"/>
          </w:tcPr>
          <w:p>
            <w:pPr>
              <w:pStyle w:val="TableContents"/>
              <w:bidi w:val="0"/>
              <w:spacing w:before="0" w:after="283"/>
              <w:jc w:val="right"/>
              <w:rPr/>
            </w:pPr>
            <w:r>
              <w:rPr/>
              <w:t>2.65</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bookmarkStart w:id="1097" w:name="xdx_98A_eus-gaap--ShareBasedCompensation"/>
            <w:bookmarkEnd w:id="1097"/>
          </w:p>
        </w:tc>
        <w:tc>
          <w:tcPr>
            <w:tcW w:w="1288" w:type="dxa"/>
            <w:tcBorders/>
            <w:shd w:fill="FFFFFF" w:val="clear"/>
            <w:vAlign w:val="center"/>
          </w:tcPr>
          <w:p>
            <w:pPr>
              <w:pStyle w:val="TableContents"/>
              <w:bidi w:val="0"/>
              <w:spacing w:before="0" w:after="283"/>
              <w:jc w:val="right"/>
              <w:rPr/>
            </w:pPr>
            <w:r>
              <w:rPr/>
              <w:t>105.4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bookmarkStart w:id="1098" w:name="xdx_989_eus-gaap--ShareBasedCompensation"/>
            <w:bookmarkEnd w:id="1098"/>
          </w:p>
        </w:tc>
        <w:tc>
          <w:tcPr>
            <w:tcW w:w="1484" w:type="dxa"/>
            <w:tcBorders/>
            <w:shd w:fill="FFFFFF" w:val="clear"/>
            <w:vAlign w:val="center"/>
          </w:tcPr>
          <w:p>
            <w:pPr>
              <w:pStyle w:val="TableContents"/>
              <w:bidi w:val="0"/>
              <w:spacing w:before="0" w:after="283"/>
              <w:jc w:val="right"/>
              <w:rPr/>
            </w:pPr>
            <w:r>
              <w:rPr/>
              <w:t>98.4</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bookmarkStart w:id="1099" w:name="xdx_98D_eus-gaap--ShareBasedCompensation"/>
            <w:bookmarkEnd w:id="1099"/>
          </w:p>
        </w:tc>
        <w:tc>
          <w:tcPr>
            <w:tcW w:w="1288" w:type="dxa"/>
            <w:tcBorders/>
            <w:shd w:fill="CCEEFF" w:val="clear"/>
            <w:vAlign w:val="center"/>
          </w:tcPr>
          <w:p>
            <w:pPr>
              <w:pStyle w:val="TableContents"/>
              <w:bidi w:val="0"/>
              <w:spacing w:before="0" w:after="283"/>
              <w:jc w:val="right"/>
              <w:rPr/>
            </w:pPr>
            <w:r>
              <w:rPr/>
              <w:t>3.76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bookmarkStart w:id="1100" w:name="xdx_98C_eus-gaap--ShareBasedCompensation"/>
            <w:bookmarkEnd w:id="1100"/>
          </w:p>
        </w:tc>
        <w:tc>
          <w:tcPr>
            <w:tcW w:w="1484" w:type="dxa"/>
            <w:tcBorders/>
            <w:shd w:fill="CCEEFF" w:val="clear"/>
            <w:vAlign w:val="center"/>
          </w:tcPr>
          <w:p>
            <w:pPr>
              <w:pStyle w:val="TableContents"/>
              <w:bidi w:val="0"/>
              <w:spacing w:before="0" w:after="283"/>
              <w:jc w:val="right"/>
              <w:rPr/>
            </w:pPr>
            <w:r>
              <w:rPr/>
              <w:t>3.49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101" w:name="xdx_8A8_zZLvZWaOH8Eh"/>
      <w:bookmarkEnd w:id="110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Expected volatility is the estimate of the expected volatility of the Company’s Class A common stock, based on the Company’s weekly trading history then reduced by </w:t>
      </w:r>
      <w:bookmarkStart w:id="1102" w:name="xdx_90D_eus-gaap--ShareBasedCompensation"/>
      <w:bookmarkEnd w:id="1102"/>
      <w:r>
        <w:rPr>
          <w:rFonts w:ascii="Times New Roman;Times;Serif" w:hAnsi="Times New Roman;Times;Serif"/>
          <w:b w:val="false"/>
          <w:i w:val="false"/>
          <w:caps w:val="false"/>
          <w:smallCaps w:val="false"/>
          <w:sz w:val="2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liability, which uses level 3 inputs, is to be measured at fair value at each reporting period and with the change in fair value being recognized in earnings. The measured fair value may be uncertain due to the use of unobservable inputs. At March 31, 2026 and December 31, 2025, the fair value of the warrant liability was $</w:t>
      </w:r>
      <w:bookmarkStart w:id="1103" w:name="xdx_900_eus-gaap--DerivativeFairValueOfD"/>
      <w:bookmarkEnd w:id="1103"/>
      <w:r>
        <w:rPr>
          <w:rFonts w:ascii="Times New Roman;Times;Serif" w:hAnsi="Times New Roman;Times;Serif"/>
          <w:b w:val="false"/>
          <w:i w:val="false"/>
          <w:caps w:val="false"/>
          <w:smallCaps w:val="false"/>
          <w:sz w:val="20"/>
        </w:rPr>
        <w:t>64,214 and $</w:t>
      </w:r>
      <w:bookmarkStart w:id="1104" w:name="xdx_904_eus-gaap--DerivativeFairValueOfD"/>
      <w:bookmarkEnd w:id="1104"/>
      <w:r>
        <w:rPr>
          <w:rFonts w:ascii="Times New Roman;Times;Serif" w:hAnsi="Times New Roman;Times;Serif"/>
          <w:b w:val="false"/>
          <w:i w:val="false"/>
          <w:caps w:val="false"/>
          <w:smallCaps w:val="false"/>
          <w:sz w:val="20"/>
        </w:rPr>
        <w:t>143,675 respectively, and included in the accrued expenses and other liabilities in the Company’s condensed consolidated balance sheets. The changes in fair value during the three months ended March 31, 2026 and 2025, amounted to income of $</w:t>
      </w:r>
      <w:bookmarkStart w:id="1105" w:name="xdx_90A_eus-gaap--OtherNonoperatingIncom"/>
      <w:bookmarkEnd w:id="1105"/>
      <w:r>
        <w:rPr>
          <w:rFonts w:ascii="Times New Roman;Times;Serif" w:hAnsi="Times New Roman;Times;Serif"/>
          <w:b w:val="false"/>
          <w:i w:val="false"/>
          <w:caps w:val="false"/>
          <w:smallCaps w:val="false"/>
          <w:sz w:val="20"/>
        </w:rPr>
        <w:t>79,461 and $</w:t>
      </w:r>
      <w:bookmarkStart w:id="1106" w:name="xdx_903_eus-gaap--OtherNonoperatingIncom"/>
      <w:bookmarkEnd w:id="1106"/>
      <w:r>
        <w:rPr>
          <w:rFonts w:ascii="Times New Roman;Times;Serif" w:hAnsi="Times New Roman;Times;Serif"/>
          <w:b w:val="false"/>
          <w:i w:val="false"/>
          <w:caps w:val="false"/>
          <w:smallCaps w:val="false"/>
          <w:sz w:val="20"/>
        </w:rPr>
        <w:t>151,661, respectively, and is included in other income in our condensed consolidated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w:t>
      </w:r>
      <w:bookmarkStart w:id="1107" w:name="xdx_904_eus-gaap--ClassOfWarrantOrRightN"/>
      <w:bookmarkEnd w:id="1107"/>
      <w:r>
        <w:rPr>
          <w:rFonts w:ascii="Times New Roman;Times;Serif" w:hAnsi="Times New Roman;Times;Serif"/>
          <w:b w:val="false"/>
          <w:i w:val="false"/>
          <w:caps w:val="false"/>
          <w:smallCaps w:val="false"/>
          <w:sz w:val="20"/>
        </w:rPr>
        <w:t>33,333 warrants have been exercised.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Line Warrants were initially measured at fair value and are being re-measured at fair value at each subsequent reporting date. The change in fair value during the three months ended March 31, 2026 and 2025, was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08" w:name="xdx_8B5_z0gEXCP0bjak"/>
      <w:bookmarkStart w:id="1109" w:name="xdx_894_ecustom--ScheduleOfChangesInFair"/>
      <w:bookmarkEnd w:id="1108"/>
      <w:bookmarkEnd w:id="1109"/>
      <w:r>
        <w:rPr>
          <w:rFonts w:ascii="Times New Roman;Times;Serif" w:hAnsi="Times New Roman;Times;Serif"/>
          <w:b w:val="false"/>
          <w:i w:val="false"/>
          <w:caps w:val="false"/>
          <w:smallCaps w:val="false"/>
          <w:sz w:val="20"/>
        </w:rPr>
        <w:t>SCHEDULE OF CHANGE IN FAIR VALUE OF WARRANTS </w:t>
      </w:r>
    </w:p>
    <w:tbl>
      <w:tblPr>
        <w:tblW w:w="5620" w:type="dxa"/>
        <w:jc w:val="left"/>
        <w:tblInd w:w="0" w:type="dxa"/>
        <w:tblLayout w:type="fixed"/>
        <w:tblCellMar>
          <w:top w:w="0" w:type="dxa"/>
          <w:left w:w="0" w:type="dxa"/>
          <w:bottom w:w="0" w:type="dxa"/>
          <w:right w:w="0" w:type="dxa"/>
        </w:tblCellMar>
      </w:tblPr>
      <w:tblGrid>
        <w:gridCol w:w="3380"/>
        <w:gridCol w:w="60"/>
        <w:gridCol w:w="140"/>
        <w:gridCol w:w="800"/>
        <w:gridCol w:w="95"/>
        <w:gridCol w:w="60"/>
        <w:gridCol w:w="70"/>
        <w:gridCol w:w="940"/>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0" w:name="xdx_4B1_ztGEt57DCkPa"/>
            <w:bookmarkEnd w:id="1110"/>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1" w:name="xdx_4B5_us-gaap--StatementEquityComponen"/>
            <w:bookmarkEnd w:id="1111"/>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112" w:name="xdx_98D_eus-gaap--FairValueMeasurementWi"/>
            <w:bookmarkEnd w:id="1112"/>
          </w:p>
        </w:tc>
        <w:tc>
          <w:tcPr>
            <w:tcW w:w="800" w:type="dxa"/>
            <w:tcBorders/>
            <w:shd w:fill="CCEEFF" w:val="clear"/>
            <w:vAlign w:val="center"/>
          </w:tcPr>
          <w:p>
            <w:pPr>
              <w:pStyle w:val="TableContents"/>
              <w:bidi w:val="0"/>
              <w:spacing w:before="0" w:after="283"/>
              <w:jc w:val="right"/>
              <w:rPr/>
            </w:pPr>
            <w:r>
              <w:rPr/>
              <w:t>143,675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113" w:name="xdx_988_eus-gaap--ShareBasedCompensation"/>
            <w:bookmarkEnd w:id="1113"/>
          </w:p>
        </w:tc>
        <w:tc>
          <w:tcPr>
            <w:tcW w:w="940" w:type="dxa"/>
            <w:tcBorders/>
            <w:shd w:fill="CCEEFF" w:val="clear"/>
            <w:vAlign w:val="center"/>
          </w:tcPr>
          <w:p>
            <w:pPr>
              <w:pStyle w:val="TableContents"/>
              <w:bidi w:val="0"/>
              <w:spacing w:before="0" w:after="283"/>
              <w:jc w:val="right"/>
              <w:rPr/>
            </w:pPr>
            <w:r>
              <w:rPr/>
              <w:t>334,314</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14" w:name="xdx_983_eus-gaap--FairValueAdjustmentOfW"/>
            <w:bookmarkEnd w:id="1114"/>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(79,461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15" w:name="xdx_98A_eus-gaap--ShareBasedCompensation"/>
            <w:bookmarkEnd w:id="1115"/>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116" w:name="xdx_98C_eus-gaap--FairValueMeasurementWi"/>
            <w:bookmarkEnd w:id="1116"/>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64,214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17" w:name="xdx_98F_eus-gaap--ShareBasedCompensation"/>
            <w:bookmarkEnd w:id="1117"/>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pPr>
            <w:r>
              <w:rPr/>
              <w:t>334,314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3380"/>
        <w:gridCol w:w="60"/>
        <w:gridCol w:w="140"/>
        <w:gridCol w:w="875"/>
        <w:gridCol w:w="95"/>
        <w:gridCol w:w="60"/>
        <w:gridCol w:w="70"/>
        <w:gridCol w:w="940"/>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8" w:name="xdx_4B1_zYBTDDPtfwXa"/>
            <w:bookmarkEnd w:id="1118"/>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bookmarkStart w:id="1119" w:name="xdx_4B5_us-gaap--StatementEquityComponen"/>
            <w:bookmarkEnd w:id="1119"/>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120" w:name="xdx_981_eus-gaap--FairValueMeasurementWi"/>
            <w:bookmarkEnd w:id="1120"/>
          </w:p>
        </w:tc>
        <w:tc>
          <w:tcPr>
            <w:tcW w:w="875" w:type="dxa"/>
            <w:tcBorders/>
            <w:shd w:fill="CCEEFF" w:val="clear"/>
            <w:vAlign w:val="center"/>
          </w:tcPr>
          <w:p>
            <w:pPr>
              <w:pStyle w:val="TableContents"/>
              <w:bidi w:val="0"/>
              <w:spacing w:before="0" w:after="283"/>
              <w:jc w:val="right"/>
              <w:rPr/>
            </w:pPr>
            <w:r>
              <w:rPr/>
              <w:t>292,004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121" w:name="xdx_98E_eus-gaap--ShareBasedCompensation"/>
            <w:bookmarkEnd w:id="1121"/>
          </w:p>
        </w:tc>
        <w:tc>
          <w:tcPr>
            <w:tcW w:w="940" w:type="dxa"/>
            <w:tcBorders/>
            <w:shd w:fill="CCEEFF" w:val="clear"/>
            <w:vAlign w:val="center"/>
          </w:tcPr>
          <w:p>
            <w:pPr>
              <w:pStyle w:val="TableContents"/>
              <w:bidi w:val="0"/>
              <w:spacing w:before="0" w:after="283"/>
              <w:jc w:val="right"/>
              <w:rPr/>
            </w:pPr>
            <w:r>
              <w:rPr/>
              <w:t>334,314</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22" w:name="xdx_984_eus-gaap--FairValueAdjustmentOfW"/>
            <w:bookmarkEnd w:id="1122"/>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(151,661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23" w:name="xdx_983_eus-gaap--ShareBasedCompensation"/>
            <w:bookmarkEnd w:id="1123"/>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March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124" w:name="xdx_98B_eus-gaap--FairValueMeasurementWi"/>
            <w:bookmarkEnd w:id="1124"/>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140,343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25" w:name="xdx_98E_eus-gaap--ShareBasedCompensation"/>
            <w:bookmarkEnd w:id="1125"/>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pPr>
            <w:r>
              <w:rPr/>
              <w:t>334,314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26" w:name="xdx_8A9_zxW3QDjUHG82"/>
      <w:bookmarkEnd w:id="1126"/>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RSUs granted to directors vest based on the directors’ continued employment with us through each applicable vest date, which is generally over </w:t>
      </w:r>
      <w:bookmarkStart w:id="1127" w:name="xdx_904_eus-gaap--ShareBasedCompensation"/>
      <w:bookmarkEnd w:id="1127"/>
      <w:r>
        <w:rPr>
          <w:rFonts w:ascii="Times New Roman;Times;Serif" w:hAnsi="Times New Roman;Times;Serif"/>
          <w:b w:val="false"/>
          <w:i w:val="false"/>
          <w:caps w:val="false"/>
          <w:smallCaps w:val="false"/>
          <w:sz w:val="20"/>
        </w:rPr>
        <w:t>one year. If the vesting conditions are not met, unvested RSUs will be forfeited. There was no RSU units’ activity with directors for the three months ended March 31, 2025. The following table summarizes our RSU units’ activity with directors for the three months ended March 31,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28" w:name="xdx_8B5_zTj6MlINqiZ"/>
      <w:bookmarkStart w:id="1129" w:name="xdx_898_eus-gaap--ScheduleOfShareBasedCo"/>
      <w:bookmarkEnd w:id="1128"/>
      <w:bookmarkEnd w:id="1129"/>
      <w:r>
        <w:rPr>
          <w:rFonts w:ascii="Times New Roman;Times;Serif" w:hAnsi="Times New Roman;Times;Serif"/>
          <w:b w:val="false"/>
          <w:i w:val="false"/>
          <w:caps w:val="false"/>
          <w:smallCaps w:val="false"/>
          <w:sz w:val="20"/>
        </w:rPr>
        <w:t>SCHEDULE OF RESTRICTED STOCK UNITS ACTIVITY </w:t>
      </w:r>
    </w:p>
    <w:tbl>
      <w:tblPr>
        <w:tblW w:w="5538" w:type="dxa"/>
        <w:jc w:val="left"/>
        <w:tblInd w:w="0" w:type="dxa"/>
        <w:tblLayout w:type="fixed"/>
        <w:tblCellMar>
          <w:top w:w="0" w:type="dxa"/>
          <w:left w:w="0" w:type="dxa"/>
          <w:bottom w:w="0" w:type="dxa"/>
          <w:right w:w="0" w:type="dxa"/>
        </w:tblCellMar>
      </w:tblPr>
      <w:tblGrid>
        <w:gridCol w:w="3275"/>
        <w:gridCol w:w="60"/>
        <w:gridCol w:w="70"/>
        <w:gridCol w:w="894"/>
        <w:gridCol w:w="95"/>
        <w:gridCol w:w="60"/>
        <w:gridCol w:w="243"/>
        <w:gridCol w:w="766"/>
        <w:gridCol w:w="75"/>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Outstanding as of January 1, 2026</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130" w:name="xdx_98A_eus-gaap--ShareBasedCompensation"/>
            <w:bookmarkEnd w:id="1130"/>
          </w:p>
        </w:tc>
        <w:tc>
          <w:tcPr>
            <w:tcW w:w="894" w:type="dxa"/>
            <w:tcBorders/>
            <w:shd w:fill="CCEEFF" w:val="clear"/>
            <w:vAlign w:val="center"/>
          </w:tcPr>
          <w:p>
            <w:pPr>
              <w:pStyle w:val="TableContents"/>
              <w:bidi w:val="0"/>
              <w:spacing w:before="0" w:after="283"/>
              <w:jc w:val="right"/>
              <w:rPr/>
            </w:pPr>
            <w:r>
              <w:rPr/>
              <w:t>66,666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bookmarkStart w:id="1131" w:name="xdx_989_eus-gaap--ShareBasedCompensation"/>
            <w:bookmarkEnd w:id="1131"/>
          </w:p>
        </w:tc>
        <w:tc>
          <w:tcPr>
            <w:tcW w:w="766" w:type="dxa"/>
            <w:tcBorders/>
            <w:shd w:fill="CCEEFF" w:val="clear"/>
            <w:vAlign w:val="center"/>
          </w:tcPr>
          <w:p>
            <w:pPr>
              <w:pStyle w:val="TableContents"/>
              <w:bidi w:val="0"/>
              <w:spacing w:before="0" w:after="283"/>
              <w:jc w:val="right"/>
              <w:rPr/>
            </w:pPr>
            <w:r>
              <w:rPr/>
              <w:t>1.35</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bookmarkStart w:id="1132" w:name="xdx_98C_eus-gaap--ShareBasedCompensation"/>
            <w:bookmarkEnd w:id="1132"/>
          </w:p>
        </w:tc>
        <w:tc>
          <w:tcPr>
            <w:tcW w:w="89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bookmarkStart w:id="1133" w:name="xdx_984_eus-gaap--ShareBasedCompensation"/>
            <w:bookmarkEnd w:id="1133"/>
          </w:p>
        </w:tc>
        <w:tc>
          <w:tcPr>
            <w:tcW w:w="76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134" w:name="xdx_983_eus-gaap--ShareBasedCompensation"/>
            <w:bookmarkEnd w:id="1134"/>
          </w:p>
        </w:tc>
        <w:tc>
          <w:tcPr>
            <w:tcW w:w="894" w:type="dxa"/>
            <w:tcBorders/>
            <w:shd w:fill="CCEEFF" w:val="clear"/>
            <w:vAlign w:val="center"/>
          </w:tcPr>
          <w:p>
            <w:pPr>
              <w:pStyle w:val="TableContents"/>
              <w:bidi w:val="0"/>
              <w:spacing w:before="0" w:after="283"/>
              <w:jc w:val="right"/>
              <w:rPr/>
            </w:pPr>
            <w:r>
              <w:rPr/>
              <w:t>(33,333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bookmarkStart w:id="1135" w:name="xdx_98B_eus-gaap--ShareBasedCompensation"/>
            <w:bookmarkEnd w:id="1135"/>
          </w:p>
        </w:tc>
        <w:tc>
          <w:tcPr>
            <w:tcW w:w="766" w:type="dxa"/>
            <w:tcBorders/>
            <w:shd w:fill="CCEEFF" w:val="clear"/>
            <w:vAlign w:val="center"/>
          </w:tcPr>
          <w:p>
            <w:pPr>
              <w:pStyle w:val="TableContents"/>
              <w:bidi w:val="0"/>
              <w:spacing w:before="0" w:after="283"/>
              <w:jc w:val="right"/>
              <w:rPr/>
            </w:pPr>
            <w:r>
              <w:rPr/>
              <w:t>1.35</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36" w:name="xdx_98C_eus-gaap--ShareBasedCompensation"/>
            <w:bookmarkEnd w:id="1136"/>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37" w:name="xdx_98C_eus-gaap--ShareBasedCompensation"/>
            <w:bookmarkEnd w:id="1137"/>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Outstanding as of March 31, 2026</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38" w:name="xdx_987_eus-gaap--ShareBasedCompensation"/>
            <w:bookmarkEnd w:id="1138"/>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pPr>
            <w:r>
              <w:rPr/>
              <w:t>33,333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139" w:name="xdx_984_eus-gaap--ShareBasedCompensation"/>
            <w:bookmarkEnd w:id="1139"/>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1.35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40" w:name="xdx_8A6_zytlxOtW2jY5"/>
      <w:bookmarkEnd w:id="114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RSUs granted to directors is based on the quoted market price of our common stock on the date of grant.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RSUs granted to employees vest upon the achievement of pre-determined performance-based milestones as well as service conditions (“PSUs”). The pre-determined performance-based milestones are based on specified percentages of the PSUs that would vest at each of the first five anniversaries of the IPO date if the Company’s average annual growth rate (“AAGR”) is calculated to be at a target percentage or above during the period between the Company’s IPO Date and the annual revenue for each of the anniversary year. If these performance-based milestones are not met but service conditions are met, the PSUs will not vest, in which case any compensation expense the Company has recognized to date will be reversed. Generally, the total aggregate measurement period of our PSUs is </w:t>
      </w:r>
      <w:bookmarkStart w:id="1141" w:name="xdx_903_eus-gaap--ShareBasedCompensation"/>
      <w:bookmarkEnd w:id="1141"/>
      <w:r>
        <w:rPr>
          <w:rFonts w:ascii="Times New Roman;Times;Serif" w:hAnsi="Times New Roman;Times;Serif"/>
          <w:b w:val="false"/>
          <w:i w:val="false"/>
          <w:caps w:val="false"/>
          <w:smallCaps w:val="false"/>
          <w:sz w:val="20"/>
        </w:rPr>
        <w:t>5 years, with awards cliff-vesting after each annual measurement period during the total aggregate measurement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quarter, the Company updates our assessment of the probability that the performance milestones will be achieved. The Company amortizes the fair values of PSUs over the requisite service period. Each performance-based milestone is weighted evenly and the number of shares that vest based on each performance-based milestone is independent from the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42" w:name="xdx_897_eus-gaap--ScheduleOfShareBasedCo"/>
      <w:bookmarkEnd w:id="1142"/>
      <w:r>
        <w:rPr>
          <w:rFonts w:ascii="Times New Roman;Times;Serif" w:hAnsi="Times New Roman;Times;Serif"/>
          <w:b w:val="false"/>
          <w:i w:val="false"/>
          <w:caps w:val="false"/>
          <w:smallCaps w:val="false"/>
          <w:sz w:val="20"/>
        </w:rPr>
        <w:t>The following table summarizes our PSU activity with employees, presented with the maximum number of shares that could potentially vest, for the three months ended March 31, 2026 and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43" w:name="xdx_8BA_zRCPjdUQAux3"/>
      <w:bookmarkEnd w:id="1143"/>
      <w:r>
        <w:rPr>
          <w:rFonts w:ascii="Times New Roman;Times;Serif" w:hAnsi="Times New Roman;Times;Serif"/>
          <w:b w:val="false"/>
          <w:i w:val="false"/>
          <w:caps w:val="false"/>
          <w:smallCaps w:val="false"/>
          <w:sz w:val="20"/>
        </w:rPr>
        <w:t>SCHEDULE OF RESTRICTED STOCK UNITS ACTIVITY </w:t>
      </w:r>
    </w:p>
    <w:tbl>
      <w:tblPr>
        <w:tblW w:w="5579" w:type="dxa"/>
        <w:jc w:val="left"/>
        <w:tblInd w:w="0" w:type="dxa"/>
        <w:tblLayout w:type="fixed"/>
        <w:tblCellMar>
          <w:top w:w="0" w:type="dxa"/>
          <w:left w:w="0" w:type="dxa"/>
          <w:bottom w:w="0" w:type="dxa"/>
          <w:right w:w="0" w:type="dxa"/>
        </w:tblCellMar>
      </w:tblPr>
      <w:tblGrid>
        <w:gridCol w:w="3275"/>
        <w:gridCol w:w="60"/>
        <w:gridCol w:w="60"/>
        <w:gridCol w:w="980"/>
        <w:gridCol w:w="60"/>
        <w:gridCol w:w="60"/>
        <w:gridCol w:w="243"/>
        <w:gridCol w:w="766"/>
        <w:gridCol w:w="75"/>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Outstanding as of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44" w:name="xdx_98A_eus-gaap--ShareBasedCompensation"/>
            <w:bookmarkEnd w:id="1144"/>
          </w:p>
        </w:tc>
        <w:tc>
          <w:tcPr>
            <w:tcW w:w="980" w:type="dxa"/>
            <w:tcBorders/>
            <w:shd w:fill="CCEEFF" w:val="clear"/>
            <w:vAlign w:val="center"/>
          </w:tcPr>
          <w:p>
            <w:pPr>
              <w:pStyle w:val="TableContents"/>
              <w:bidi w:val="0"/>
              <w:spacing w:before="0" w:after="283"/>
              <w:jc w:val="right"/>
              <w:rPr/>
            </w:pPr>
            <w:r>
              <w:rPr/>
              <w:t>1,127,358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bookmarkStart w:id="1145" w:name="xdx_98E_eus-gaap--ShareBasedCompensation"/>
            <w:bookmarkEnd w:id="1145"/>
          </w:p>
        </w:tc>
        <w:tc>
          <w:tcPr>
            <w:tcW w:w="766" w:type="dxa"/>
            <w:tcBorders/>
            <w:shd w:fill="CCEEFF" w:val="cle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46" w:name="xdx_981_eus-gaap--ShareBasedCompensation"/>
            <w:bookmarkEnd w:id="1146"/>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bookmarkStart w:id="1147" w:name="xdx_988_eus-gaap--ShareBasedCompensation"/>
            <w:bookmarkEnd w:id="1147"/>
          </w:p>
        </w:tc>
        <w:tc>
          <w:tcPr>
            <w:tcW w:w="76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48" w:name="xdx_98A_eus-gaap--ShareBasedCompensation"/>
            <w:bookmarkEnd w:id="1148"/>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bookmarkStart w:id="1149" w:name="xdx_987_eus-gaap--ShareBasedCompensation"/>
            <w:bookmarkEnd w:id="1149"/>
          </w:p>
        </w:tc>
        <w:tc>
          <w:tcPr>
            <w:tcW w:w="76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50" w:name="xdx_980_eus-gaap--ShareBasedCompensation"/>
            <w:bookmarkEnd w:id="1150"/>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51" w:name="xdx_980_eus-gaap--ShareBasedCompensation"/>
            <w:bookmarkEnd w:id="1151"/>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Outstanding 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52" w:name="xdx_986_eus-gaap--ShareBasedCompensation"/>
            <w:bookmarkEnd w:id="1152"/>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1,127,358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153" w:name="xdx_985_eus-gaap--ShareBasedCompensation"/>
            <w:bookmarkEnd w:id="1153"/>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649" w:type="dxa"/>
        <w:jc w:val="left"/>
        <w:tblInd w:w="0" w:type="dxa"/>
        <w:tblLayout w:type="fixed"/>
        <w:tblCellMar>
          <w:top w:w="0" w:type="dxa"/>
          <w:left w:w="0" w:type="dxa"/>
          <w:bottom w:w="0" w:type="dxa"/>
          <w:right w:w="0" w:type="dxa"/>
        </w:tblCellMar>
      </w:tblPr>
      <w:tblGrid>
        <w:gridCol w:w="3275"/>
        <w:gridCol w:w="60"/>
        <w:gridCol w:w="60"/>
        <w:gridCol w:w="980"/>
        <w:gridCol w:w="95"/>
        <w:gridCol w:w="60"/>
        <w:gridCol w:w="215"/>
        <w:gridCol w:w="794"/>
        <w:gridCol w:w="11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Outstanding as of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54" w:name="xdx_986_eus-gaap--ShareBasedCompensation"/>
            <w:bookmarkEnd w:id="1154"/>
          </w:p>
        </w:tc>
        <w:tc>
          <w:tcPr>
            <w:tcW w:w="980" w:type="dxa"/>
            <w:tcBorders/>
            <w:shd w:fill="CCEEFF" w:val="clear"/>
            <w:vAlign w:val="center"/>
          </w:tcPr>
          <w:p>
            <w:pPr>
              <w:pStyle w:val="TableContents"/>
              <w:bidi w:val="0"/>
              <w:spacing w:before="0" w:after="283"/>
              <w:jc w:val="right"/>
              <w:rPr/>
            </w:pPr>
            <w:r>
              <w:rPr/>
              <w:t>1,142,284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1155" w:name="xdx_982_eus-gaap--ShareBasedCompensation"/>
            <w:bookmarkEnd w:id="1155"/>
          </w:p>
        </w:tc>
        <w:tc>
          <w:tcPr>
            <w:tcW w:w="794" w:type="dxa"/>
            <w:tcBorders/>
            <w:shd w:fill="CCEEFF" w:val="clear"/>
            <w:vAlign w:val="center"/>
          </w:tcPr>
          <w:p>
            <w:pPr>
              <w:pStyle w:val="TableContents"/>
              <w:bidi w:val="0"/>
              <w:spacing w:before="0" w:after="283"/>
              <w:jc w:val="right"/>
              <w:rPr/>
            </w:pPr>
            <w:r>
              <w:rPr/>
              <w:t>5.00</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56" w:name="xdx_984_eus-gaap--ShareBasedCompensation"/>
            <w:bookmarkEnd w:id="1156"/>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bookmarkStart w:id="1157" w:name="xdx_985_eus-gaap--ShareBasedCompensation"/>
            <w:bookmarkEnd w:id="1157"/>
          </w:p>
        </w:tc>
        <w:tc>
          <w:tcPr>
            <w:tcW w:w="7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58" w:name="xdx_989_eus-gaap--ShareBasedCompensation"/>
            <w:bookmarkEnd w:id="1158"/>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bookmarkStart w:id="1159" w:name="xdx_98F_eus-gaap--ShareBasedCompensation"/>
            <w:bookmarkEnd w:id="1159"/>
          </w:p>
        </w:tc>
        <w:tc>
          <w:tcPr>
            <w:tcW w:w="7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60" w:name="xdx_98B_eus-gaap--ShareBasedCompensation"/>
            <w:bookmarkEnd w:id="1160"/>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(12,829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61" w:name="xdx_98A_eus-gaap--ShareBasedCompensation"/>
            <w:bookmarkEnd w:id="1161"/>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pPr>
            <w:r>
              <w:rPr/>
              <w:t>(5.00</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Outstanding as of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62" w:name="xdx_98E_eus-gaap--ShareBasedCompensation"/>
            <w:bookmarkEnd w:id="1162"/>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1,129,455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163" w:name="xdx_98D_eus-gaap--ShareBasedCompensation"/>
            <w:bookmarkEnd w:id="1163"/>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pPr>
            <w:r>
              <w:rPr/>
              <w:t>5.00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64" w:name="xdx_8AA_zJlp8ro1Sch8"/>
      <w:bookmarkEnd w:id="116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PSUs granted to employees is based on the quoted market price of our common stock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Repurchase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w:t>
      </w:r>
      <w:bookmarkStart w:id="1165" w:name="xdx_909_eus-gaap--TreasuryStockCommonSha"/>
      <w:bookmarkEnd w:id="1165"/>
      <w:r>
        <w:rPr>
          <w:rFonts w:ascii="Times New Roman;Times;Serif" w:hAnsi="Times New Roman;Times;Serif"/>
          <w:b w:val="false"/>
          <w:i w:val="false"/>
          <w:caps w:val="false"/>
          <w:smallCaps w:val="false"/>
          <w:sz w:val="20"/>
        </w:rPr>
        <w:t>1,350,275 shares of Class A common stock were repurchased pursuant to the Share Repurchase Program for an aggregate purchase price of approximately $</w:t>
      </w:r>
      <w:bookmarkStart w:id="1166" w:name="xdx_903_eus-gaap--TreasuryStockCommonVal"/>
      <w:bookmarkEnd w:id="1166"/>
      <w:r>
        <w:rPr>
          <w:rFonts w:ascii="Times New Roman;Times;Serif" w:hAnsi="Times New Roman;Times;Serif"/>
          <w:b w:val="false"/>
          <w:i w:val="false"/>
          <w:caps w:val="false"/>
          <w:smallCaps w:val="false"/>
          <w:sz w:val="20"/>
        </w:rPr>
        <w:t>3.7 million. The average price paid per share was $</w:t>
      </w:r>
      <w:bookmarkStart w:id="1167" w:name="xdx_902_eus-gaap--SharePrice_iI_pid_c202"/>
      <w:bookmarkEnd w:id="1167"/>
      <w:r>
        <w:rPr>
          <w:rFonts w:ascii="Times New Roman;Times;Serif" w:hAnsi="Times New Roman;Times;Serif"/>
          <w:b w:val="false"/>
          <w:i w:val="false"/>
          <w:caps w:val="false"/>
          <w:smallCaps w:val="false"/>
          <w:sz w:val="20"/>
        </w:rPr>
        <w:t>2.72 and approximately $</w:t>
      </w:r>
      <w:bookmarkStart w:id="1168" w:name="xdx_906_eus-gaap--StockRepurchaseProgram"/>
      <w:bookmarkEnd w:id="1168"/>
      <w:r>
        <w:rPr>
          <w:rFonts w:ascii="Times New Roman;Times;Serif" w:hAnsi="Times New Roman;Times;Serif"/>
          <w:b w:val="false"/>
          <w:i w:val="false"/>
          <w:caps w:val="false"/>
          <w:smallCaps w:val="false"/>
          <w:sz w:val="20"/>
        </w:rPr>
        <w:t>1.3 million aggregate amount of shares of Class A common stock remain available for repurchase under the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1169" w:name="xdx_902_eus-gaap--StockRepurchasedDuring"/>
      <w:bookmarkStart w:id="1170" w:name="xdx_905_eus-gaap--StockRepurchasedDuring"/>
      <w:bookmarkEnd w:id="1169"/>
      <w:bookmarkEnd w:id="1170"/>
      <w:r>
        <w:rPr>
          <w:rFonts w:ascii="Times New Roman;Times;Serif" w:hAnsi="Times New Roman;Times;Serif"/>
          <w:b w:val="false"/>
          <w:i w:val="false"/>
          <w:caps w:val="false"/>
          <w:smallCaps w:val="false"/>
          <w:sz w:val="20"/>
        </w:rPr>
        <w:t>no share repurchases made during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determined that it is probable that the Company will not meet the performance-based milestones required by the RSU’s granted to employees. During the three months ended March 31, 2025, the Company determined it is probable it will meet the performance-based milestones required by said RSU’s, then in the three months ended June 30, 2025, the milestone was reverted back to not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resulting from RSUs and PSUs of $</w:t>
      </w:r>
      <w:bookmarkStart w:id="1171" w:name="xdx_90E_eus-gaap--AllocatedShareBasedCom"/>
      <w:bookmarkEnd w:id="1171"/>
      <w:r>
        <w:rPr>
          <w:rFonts w:ascii="Times New Roman;Times;Serif" w:hAnsi="Times New Roman;Times;Serif"/>
          <w:b w:val="false"/>
          <w:i w:val="false"/>
          <w:caps w:val="false"/>
          <w:smallCaps w:val="false"/>
          <w:sz w:val="20"/>
        </w:rPr>
        <w:t>42,091 and $</w:t>
      </w:r>
      <w:bookmarkStart w:id="1172" w:name="xdx_90C_eus-gaap--AllocatedShareBasedCom"/>
      <w:bookmarkEnd w:id="1172"/>
      <w:r>
        <w:rPr>
          <w:rFonts w:ascii="Times New Roman;Times;Serif" w:hAnsi="Times New Roman;Times;Serif"/>
          <w:b w:val="false"/>
          <w:i w:val="false"/>
          <w:caps w:val="false"/>
          <w:smallCaps w:val="false"/>
          <w:sz w:val="20"/>
        </w:rPr>
        <w:t>788,177 are recorded under general and administrative expenses included in our condensed consolidated statements of operations and comprehensive income (loss) for the three months ended March 31, 2026 and 2025, respectively. Stock-based compensation expense resulting from PSUs of $</w:t>
      </w:r>
      <w:bookmarkStart w:id="1173" w:name="xdx_903_eus-gaap--AllocatedShareBasedCom"/>
      <w:bookmarkEnd w:id="1173"/>
      <w:r>
        <w:rPr>
          <w:rFonts w:ascii="Times New Roman;Times;Serif" w:hAnsi="Times New Roman;Times;Serif"/>
          <w:b w:val="false"/>
          <w:i w:val="false"/>
          <w:caps w:val="false"/>
          <w:smallCaps w:val="false"/>
          <w:sz w:val="20"/>
        </w:rPr>
        <w:t>2,789 and $</w:t>
      </w:r>
      <w:bookmarkStart w:id="1174" w:name="xdx_902_eus-gaap--AllocatedShareBasedCom"/>
      <w:bookmarkEnd w:id="1174"/>
      <w:r>
        <w:rPr>
          <w:rFonts w:ascii="Times New Roman;Times;Serif" w:hAnsi="Times New Roman;Times;Serif"/>
          <w:b w:val="false"/>
          <w:i w:val="false"/>
          <w:caps w:val="false"/>
          <w:smallCaps w:val="false"/>
          <w:sz w:val="20"/>
        </w:rPr>
        <w:t>55,442 are recorded under research and development expenses included in our condensed consolidated statements of operations and comprehensive income (loss) for the three months ended March 31, 2026 and 2025, respectively.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the Company recognized approximately $</w:t>
      </w:r>
      <w:bookmarkStart w:id="1175" w:name="xdx_90B_eus-gaap--EmployeeServiceShareBa"/>
      <w:bookmarkEnd w:id="1175"/>
      <w:r>
        <w:rPr>
          <w:rFonts w:ascii="Times New Roman;Times;Serif" w:hAnsi="Times New Roman;Times;Serif"/>
          <w:b w:val="false"/>
          <w:i w:val="false"/>
          <w:caps w:val="false"/>
          <w:smallCaps w:val="false"/>
          <w:sz w:val="20"/>
        </w:rPr>
        <w:t>9,775 of deferred income tax expense, and $</w:t>
      </w:r>
      <w:bookmarkStart w:id="1176" w:name="xdx_904_eus-gaap--EmployeeServiceShareBa"/>
      <w:bookmarkEnd w:id="1176"/>
      <w:r>
        <w:rPr>
          <w:rFonts w:ascii="Times New Roman;Times;Serif" w:hAnsi="Times New Roman;Times;Serif"/>
          <w:b w:val="false"/>
          <w:i w:val="false"/>
          <w:caps w:val="false"/>
          <w:smallCaps w:val="false"/>
          <w:sz w:val="20"/>
        </w:rPr>
        <w:t>175,291 of deferred income tax expense, respectively, related to our 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total unrecognized compensation cost related to RSUs and PSUs was approximately $</w:t>
      </w:r>
      <w:bookmarkStart w:id="1177" w:name="xdx_905_eus-gaap--EmployeeServiceShareBa"/>
      <w:bookmarkEnd w:id="1177"/>
      <w:r>
        <w:rPr>
          <w:rFonts w:ascii="Times New Roman;Times;Serif" w:hAnsi="Times New Roman;Times;Serif"/>
          <w:b w:val="false"/>
          <w:i w:val="false"/>
          <w:caps w:val="false"/>
          <w:smallCaps w:val="false"/>
          <w:sz w:val="20"/>
        </w:rPr>
        <w:t xml:space="preserve">0.6 million and is expected to be recognized over a weighted-average service period of </w:t>
      </w:r>
      <w:bookmarkStart w:id="1178" w:name="xdx_909_eus-gaap--EmployeeServiceShareBa"/>
      <w:bookmarkEnd w:id="1178"/>
      <w:r>
        <w:rPr>
          <w:rFonts w:ascii="Times New Roman;Times;Serif" w:hAnsi="Times New Roman;Times;Serif"/>
          <w:b w:val="false"/>
          <w:i w:val="false"/>
          <w:caps w:val="false"/>
          <w:smallCaps w:val="false"/>
          <w:sz w:val="20"/>
        </w:rPr>
        <w:t>1.1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79" w:name="xdx_807_eus-gaap--SegmentReportingDisclo"/>
      <w:bookmarkEnd w:id="1179"/>
      <w:r>
        <w:rPr>
          <w:rFonts w:ascii="Times New Roman;Times;Serif" w:hAnsi="Times New Roman;Times;Serif"/>
          <w:b/>
          <w:i w:val="false"/>
          <w:caps w:val="false"/>
          <w:smallCaps w:val="false"/>
          <w:sz w:val="20"/>
        </w:rPr>
        <w:t xml:space="preserve">NOTE 18 – </w:t>
      </w:r>
      <w:bookmarkStart w:id="1180" w:name="xdx_82A_zrdZC4LIIxfg"/>
      <w:bookmarkEnd w:id="1180"/>
      <w:r>
        <w:rPr>
          <w:rFonts w:ascii="Times New Roman;Times;Serif" w:hAnsi="Times New Roman;Times;Serif"/>
          <w:b/>
          <w:i w:val="false"/>
          <w:caps w:val="false"/>
          <w:smallCaps w:val="false"/>
          <w:sz w:val="20"/>
        </w:rPr>
        <w:t>OPERATING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 Maker (“CODM”) is our Founder, Chief Executive Officer, Chief Strategy Officer, and Chairman Mr. Hai Shi. The CODM assesses performance and decides how to allocate resources based on net income (loss) to evaluate operational efficiency and direct resources of the Company. Segment assets are reported on the condensed consolidated balance sheets as total assets. The table below presents segment revenue, operating profit and significant expenses for the three months ended March 31, 2026 and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81" w:name="xdx_8B9_zWIPLXheBdi8"/>
      <w:bookmarkStart w:id="1182" w:name="xdx_895_eus-gaap--ScheduleOfSegmentRepor"/>
      <w:bookmarkEnd w:id="1181"/>
      <w:bookmarkEnd w:id="1182"/>
      <w:r>
        <w:rPr>
          <w:rFonts w:ascii="Times New Roman;Times;Serif" w:hAnsi="Times New Roman;Times;Serif"/>
          <w:b w:val="false"/>
          <w:i w:val="false"/>
          <w:caps w:val="false"/>
          <w:smallCaps w:val="false"/>
          <w:sz w:val="20"/>
        </w:rPr>
        <w:t>SCHEDULE OF SEGMENT REVENUE, OPERATING PROFIT AND SIGNIFICANT EXPENSES </w:t>
      </w:r>
    </w:p>
    <w:tbl>
      <w:tblPr>
        <w:tblW w:w="8670" w:type="dxa"/>
        <w:jc w:val="left"/>
        <w:tblInd w:w="0" w:type="dxa"/>
        <w:tblLayout w:type="fixed"/>
        <w:tblCellMar>
          <w:top w:w="0" w:type="dxa"/>
          <w:left w:w="0" w:type="dxa"/>
          <w:bottom w:w="0" w:type="dxa"/>
          <w:right w:w="0" w:type="dxa"/>
        </w:tblCellMar>
      </w:tblPr>
      <w:tblGrid>
        <w:gridCol w:w="5900"/>
        <w:gridCol w:w="60"/>
        <w:gridCol w:w="140"/>
        <w:gridCol w:w="1100"/>
        <w:gridCol w:w="60"/>
        <w:gridCol w:w="60"/>
        <w:gridCol w:w="140"/>
        <w:gridCol w:w="1100"/>
        <w:gridCol w:w="110"/>
      </w:tblGrid>
      <w:tr>
        <w:trPr/>
        <w:tc>
          <w:tcPr>
            <w:tcW w:w="59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bookmarkStart w:id="1183" w:name="xdx_49F_20260101__20260331__srt--Consoli"/>
            <w:bookmarkEnd w:id="1183"/>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4" w:name="xdx_495_20250101__20250331__srt--Consoli"/>
            <w:bookmarkEnd w:id="1184"/>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0"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185" w:name="xdx_40B_eus-gaap--RevenueFromContractWit"/>
            <w:bookmarkEnd w:id="1185"/>
          </w:p>
        </w:tc>
      </w:tr>
      <w:tr>
        <w:trPr/>
        <w:tc>
          <w:tcPr>
            <w:tcW w:w="5900"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27,294,654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20,110,872</w:t>
            </w:r>
          </w:p>
        </w:tc>
        <w:tc>
          <w:tcPr>
            <w:tcW w:w="110" w:type="dxa"/>
            <w:tcBorders/>
            <w:shd w:fill="CCEEFF" w:val="clear"/>
            <w:vAlign w:val="center"/>
          </w:tcPr>
          <w:p>
            <w:pPr>
              <w:pStyle w:val="TableContents"/>
              <w:bidi w:val="0"/>
              <w:spacing w:before="0" w:after="283"/>
              <w:jc w:val="left"/>
              <w:rPr/>
            </w:pPr>
            <w:r>
              <w:rPr/>
              <w:t> </w:t>
            </w:r>
            <w:bookmarkStart w:id="1186" w:name="xdx_40E_eus-gaap--CostOfGoodsAndServices"/>
            <w:bookmarkEnd w:id="1186"/>
          </w:p>
        </w:tc>
      </w:tr>
      <w:tr>
        <w:trPr/>
        <w:tc>
          <w:tcPr>
            <w:tcW w:w="590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15,638,213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14,263,345</w:t>
            </w:r>
          </w:p>
        </w:tc>
        <w:tc>
          <w:tcPr>
            <w:tcW w:w="11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87" w:name="xdx_400_eus-gaap--GrossProfit_iT_mtGPzvV"/>
            <w:bookmarkEnd w:id="1187"/>
          </w:p>
        </w:tc>
      </w:tr>
      <w:tr>
        <w:trPr/>
        <w:tc>
          <w:tcPr>
            <w:tcW w:w="590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11,656,441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5,847,527</w:t>
            </w:r>
          </w:p>
        </w:tc>
        <w:tc>
          <w:tcPr>
            <w:tcW w:w="11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88" w:name="xdx_402_eus-gaap--OperatingExpensesAbstr"/>
            <w:bookmarkEnd w:id="1188"/>
          </w:p>
        </w:tc>
      </w:tr>
      <w:tr>
        <w:trPr/>
        <w:tc>
          <w:tcPr>
            <w:tcW w:w="590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89" w:name="xdx_405_eus-gaap--LaborAndRelatedExpense"/>
            <w:bookmarkEnd w:id="1189"/>
          </w:p>
        </w:tc>
      </w:tr>
      <w:tr>
        <w:trPr/>
        <w:tc>
          <w:tcPr>
            <w:tcW w:w="5900" w:type="dxa"/>
            <w:tcBorders/>
            <w:shd w:fill="CCEEFF" w:val="clear"/>
            <w:vAlign w:val="center"/>
          </w:tcPr>
          <w:p>
            <w:pPr>
              <w:pStyle w:val="TableContents"/>
              <w:bidi w:val="0"/>
              <w:spacing w:before="0" w:after="283"/>
              <w:jc w:val="left"/>
              <w:rPr/>
            </w:pPr>
            <w:r>
              <w:rPr/>
              <w:t>Salaries and Wages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2,019,741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2,599,493</w:t>
            </w:r>
          </w:p>
        </w:tc>
        <w:tc>
          <w:tcPr>
            <w:tcW w:w="110" w:type="dxa"/>
            <w:tcBorders/>
            <w:shd w:fill="CCEEFF" w:val="clear"/>
            <w:vAlign w:val="center"/>
          </w:tcPr>
          <w:p>
            <w:pPr>
              <w:pStyle w:val="TableContents"/>
              <w:bidi w:val="0"/>
              <w:spacing w:before="0" w:after="283"/>
              <w:jc w:val="left"/>
              <w:rPr/>
            </w:pPr>
            <w:r>
              <w:rPr/>
              <w:t> </w:t>
            </w:r>
            <w:bookmarkStart w:id="1190" w:name="xdx_402_eus-gaap--OtherExpenses_maOEzI8u"/>
            <w:bookmarkEnd w:id="1190"/>
          </w:p>
        </w:tc>
      </w:tr>
      <w:tr>
        <w:trPr/>
        <w:tc>
          <w:tcPr>
            <w:tcW w:w="5900" w:type="dxa"/>
            <w:tcBorders/>
            <w:shd w:fill="FFFFFF" w:val="clear"/>
            <w:vAlign w:val="center"/>
          </w:tcPr>
          <w:p>
            <w:pPr>
              <w:pStyle w:val="TableContents"/>
              <w:bidi w:val="0"/>
              <w:spacing w:before="0" w:after="283"/>
              <w:jc w:val="left"/>
              <w:rPr/>
            </w:pPr>
            <w:r>
              <w:rPr/>
              <w:t>Public Company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169,829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163,506</w:t>
            </w:r>
          </w:p>
        </w:tc>
        <w:tc>
          <w:tcPr>
            <w:tcW w:w="110" w:type="dxa"/>
            <w:tcBorders/>
            <w:shd w:fill="FFFFFF" w:val="clear"/>
            <w:vAlign w:val="center"/>
          </w:tcPr>
          <w:p>
            <w:pPr>
              <w:pStyle w:val="TableContents"/>
              <w:bidi w:val="0"/>
              <w:spacing w:before="0" w:after="283"/>
              <w:jc w:val="left"/>
              <w:rPr/>
            </w:pPr>
            <w:r>
              <w:rPr/>
              <w:t> </w:t>
            </w:r>
            <w:bookmarkStart w:id="1191" w:name="xdx_407_eus-gaap--GeneralAndAdministrati"/>
            <w:bookmarkEnd w:id="1191"/>
          </w:p>
        </w:tc>
      </w:tr>
      <w:tr>
        <w:trPr/>
        <w:tc>
          <w:tcPr>
            <w:tcW w:w="59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2,461,187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2,201,352</w:t>
            </w:r>
          </w:p>
        </w:tc>
        <w:tc>
          <w:tcPr>
            <w:tcW w:w="110" w:type="dxa"/>
            <w:tcBorders/>
            <w:shd w:fill="CCEEFF" w:val="clear"/>
            <w:vAlign w:val="center"/>
          </w:tcPr>
          <w:p>
            <w:pPr>
              <w:pStyle w:val="TableContents"/>
              <w:bidi w:val="0"/>
              <w:spacing w:before="0" w:after="283"/>
              <w:jc w:val="left"/>
              <w:rPr/>
            </w:pPr>
            <w:r>
              <w:rPr/>
              <w:t> </w:t>
            </w:r>
            <w:bookmarkStart w:id="1192" w:name="xdx_405_eus-gaap--ResearchAndDevelopment"/>
            <w:bookmarkEnd w:id="1192"/>
          </w:p>
        </w:tc>
      </w:tr>
      <w:tr>
        <w:trPr/>
        <w:tc>
          <w:tcPr>
            <w:tcW w:w="590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4,014,669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3,609,745</w:t>
            </w:r>
          </w:p>
        </w:tc>
        <w:tc>
          <w:tcPr>
            <w:tcW w:w="110" w:type="dxa"/>
            <w:tcBorders/>
            <w:shd w:fill="FFFFFF" w:val="clear"/>
            <w:vAlign w:val="center"/>
          </w:tcPr>
          <w:p>
            <w:pPr>
              <w:pStyle w:val="TableContents"/>
              <w:bidi w:val="0"/>
              <w:spacing w:before="0" w:after="283"/>
              <w:jc w:val="left"/>
              <w:rPr/>
            </w:pPr>
            <w:r>
              <w:rPr/>
              <w:t> </w:t>
            </w:r>
            <w:bookmarkStart w:id="1193" w:name="xdx_405_eus-gaap--MarketingAndAdvertisin"/>
            <w:bookmarkEnd w:id="1193"/>
          </w:p>
        </w:tc>
      </w:tr>
      <w:tr>
        <w:trPr/>
        <w:tc>
          <w:tcPr>
            <w:tcW w:w="5900"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868,789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1,306,365</w:t>
            </w:r>
          </w:p>
        </w:tc>
        <w:tc>
          <w:tcPr>
            <w:tcW w:w="110" w:type="dxa"/>
            <w:tcBorders/>
            <w:shd w:fill="CCEEFF" w:val="clear"/>
            <w:vAlign w:val="center"/>
          </w:tcPr>
          <w:p>
            <w:pPr>
              <w:pStyle w:val="TableContents"/>
              <w:bidi w:val="0"/>
              <w:spacing w:before="0" w:after="283"/>
              <w:jc w:val="left"/>
              <w:rPr/>
            </w:pPr>
            <w:r>
              <w:rPr/>
              <w:t> </w:t>
            </w:r>
            <w:bookmarkStart w:id="1194" w:name="xdx_400_eus-gaap--Depreciation_maOEzI8u_"/>
            <w:bookmarkEnd w:id="1194"/>
          </w:p>
        </w:tc>
      </w:tr>
      <w:tr>
        <w:trPr/>
        <w:tc>
          <w:tcPr>
            <w:tcW w:w="590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67,904</w:t>
            </w:r>
          </w:p>
        </w:tc>
        <w:tc>
          <w:tcPr>
            <w:tcW w:w="110" w:type="dxa"/>
            <w:tcBorders/>
            <w:shd w:fill="FFFFFF" w:val="clear"/>
            <w:vAlign w:val="center"/>
          </w:tcPr>
          <w:p>
            <w:pPr>
              <w:pStyle w:val="TableContents"/>
              <w:bidi w:val="0"/>
              <w:spacing w:before="0" w:after="283"/>
              <w:jc w:val="left"/>
              <w:rPr/>
            </w:pPr>
            <w:r>
              <w:rPr/>
              <w:t> </w:t>
            </w:r>
            <w:bookmarkStart w:id="1195" w:name="xdx_401_eus-gaap--AssetImpairmentCharges"/>
            <w:bookmarkEnd w:id="1195"/>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Impairment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96" w:name="xdx_40F_eus-gaap--OperatingExpenses_iT_m"/>
            <w:bookmarkEnd w:id="1196"/>
          </w:p>
        </w:tc>
      </w:tr>
      <w:tr>
        <w:trPr/>
        <w:tc>
          <w:tcPr>
            <w:tcW w:w="590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9,616,098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9,948,365</w:t>
            </w:r>
          </w:p>
        </w:tc>
        <w:tc>
          <w:tcPr>
            <w:tcW w:w="11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97" w:name="xdx_404_eus-gaap--OperatingIncomeLoss_iT"/>
            <w:bookmarkEnd w:id="1197"/>
          </w:p>
        </w:tc>
      </w:tr>
      <w:tr>
        <w:trPr/>
        <w:tc>
          <w:tcPr>
            <w:tcW w:w="5900"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2,040,343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(4,100,838</w:t>
            </w:r>
          </w:p>
        </w:tc>
        <w:tc>
          <w:tcPr>
            <w:tcW w:w="110" w:type="dxa"/>
            <w:tcBorders/>
            <w:shd w:fill="FFFFFF" w:val="clear"/>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98" w:name="xdx_40D_eus-gaap--NonoperatingIncomeExpe"/>
            <w:bookmarkEnd w:id="1198"/>
          </w:p>
        </w:tc>
      </w:tr>
      <w:tr>
        <w:trPr/>
        <w:tc>
          <w:tcPr>
            <w:tcW w:w="590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201,037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683,045</w:t>
            </w:r>
          </w:p>
        </w:tc>
        <w:tc>
          <w:tcPr>
            <w:tcW w:w="11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99" w:name="xdx_40F_eus-gaap--IncomeLossFromContinui"/>
            <w:bookmarkEnd w:id="1199"/>
          </w:p>
        </w:tc>
      </w:tr>
      <w:tr>
        <w:trPr/>
        <w:tc>
          <w:tcPr>
            <w:tcW w:w="5900" w:type="dxa"/>
            <w:tcBorders/>
            <w:shd w:fill="FFFFFF" w:val="clear"/>
            <w:vAlign w:val="center"/>
          </w:tcPr>
          <w:p>
            <w:pPr>
              <w:pStyle w:val="TableContents"/>
              <w:bidi w:val="0"/>
              <w:spacing w:before="0" w:after="283"/>
              <w:jc w:val="left"/>
              <w:rPr/>
            </w:pPr>
            <w:r>
              <w:rPr/>
              <w:t>Income (loss) before 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2,241,380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(3,417,793</w:t>
            </w:r>
          </w:p>
        </w:tc>
        <w:tc>
          <w:tcPr>
            <w:tcW w:w="110" w:type="dxa"/>
            <w:tcBorders/>
            <w:shd w:fill="FFFFFF" w:val="clear"/>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00" w:name="xdx_401_eus-gaap--IncomeTaxExpenseBenefi"/>
            <w:bookmarkEnd w:id="1200"/>
          </w:p>
        </w:tc>
      </w:tr>
      <w:tr>
        <w:trPr/>
        <w:tc>
          <w:tcPr>
            <w:tcW w:w="5900" w:type="dxa"/>
            <w:tcBorders/>
            <w:shd w:fill="FFFFFF" w:val="clear"/>
            <w:vAlign w:val="center"/>
          </w:tcPr>
          <w:p>
            <w:pPr>
              <w:pStyle w:val="TableContents"/>
              <w:bidi w:val="0"/>
              <w:spacing w:before="0" w:after="283"/>
              <w:jc w:val="left"/>
              <w:rPr/>
            </w:pPr>
            <w:r>
              <w:rPr/>
              <w:t>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106,824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(1,470,830</w:t>
            </w:r>
          </w:p>
        </w:tc>
        <w:tc>
          <w:tcPr>
            <w:tcW w:w="110" w:type="dxa"/>
            <w:tcBorders/>
            <w:shd w:fill="FFFFFF" w:val="clear"/>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01" w:name="xdx_403_eus-gaap--ProfitLoss_mtPLzQFg_zG"/>
            <w:bookmarkEnd w:id="1201"/>
          </w:p>
        </w:tc>
      </w:tr>
      <w:tr>
        <w:trPr/>
        <w:tc>
          <w:tcPr>
            <w:tcW w:w="590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2,134,556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(1,946,963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202" w:name="xdx_8A2_zv1wdoDGfNP3"/>
      <w:bookmarkEnd w:id="120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is consistent with those presented in the condensed consolidated statements of cash flows. There are no additional segment items requiring separate disclosure. Interest income, interest expense, other income and foreign currency transactions are captured in the total other income, net line item. The Company continues to report revenue by geographic region as part of its revenue disclosures, see Note 3 –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The CFO provides reports to the CODM for key decision making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03" w:name="xdx_80E_eus-gaap--SubsequentEventsTextBl"/>
      <w:bookmarkEnd w:id="1203"/>
      <w:r>
        <w:rPr>
          <w:rFonts w:ascii="Times New Roman;Times;Serif" w:hAnsi="Times New Roman;Times;Serif"/>
          <w:b/>
          <w:i w:val="false"/>
          <w:caps w:val="false"/>
          <w:smallCaps w:val="false"/>
          <w:sz w:val="20"/>
        </w:rPr>
        <w:t xml:space="preserve">NOTE 19 – </w:t>
      </w:r>
      <w:bookmarkStart w:id="1204" w:name="xdx_827_zOiGg8FD4hbd"/>
      <w:bookmarkEnd w:id="1204"/>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April 6, 2026, the Company entered into Exclusive Software License Agreement with SDE Inc., reducing monthly licensing fees from $</w:t>
            </w:r>
            <w:bookmarkStart w:id="1205" w:name="xdx_900_eus-gaap--PaymentsForFees_pn5n6_"/>
            <w:bookmarkEnd w:id="1205"/>
            <w:r>
              <w:rPr>
                <w:rFonts w:ascii="Times New Roman;Times;Serif" w:hAnsi="Times New Roman;Times;Serif"/>
                <w:sz w:val="20"/>
              </w:rPr>
              <w:t>2.0 million to $</w:t>
            </w:r>
            <w:bookmarkStart w:id="1206" w:name="xdx_907_eus-gaap--PaymentsForFees_pn5n6_"/>
            <w:bookmarkEnd w:id="1206"/>
            <w:r>
              <w:rPr>
                <w:rFonts w:ascii="Times New Roman;Times;Serif" w:hAnsi="Times New Roman;Times;Serif"/>
                <w:sz w:val="20"/>
              </w:rPr>
              <w:t>1.5 million effective April 1, 2026, and a Software Development Outsourcing Agreement with Suzhou Snail Digital Technology Co., Ltd., effective April 1, 2026, for development services for an aggregate consideration of $</w:t>
            </w:r>
            <w:bookmarkStart w:id="1207" w:name="xdx_906_eus-gaap--CapitalizedComputerSof"/>
            <w:bookmarkEnd w:id="1207"/>
            <w:r>
              <w:rPr>
                <w:rFonts w:ascii="Times New Roman;Times;Serif" w:hAnsi="Times New Roman;Times;Serif"/>
                <w:sz w:val="20"/>
              </w:rPr>
              <w:t>1.97 million, both with related parties of the Company.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Between April 7, 2026 and April 14, 2026 our convertible note holders converted $</w:t>
            </w:r>
            <w:bookmarkStart w:id="1208" w:name="xdx_903_eus-gaap--StockIssuedDuringPerio"/>
            <w:bookmarkEnd w:id="1208"/>
            <w:r>
              <w:rPr>
                <w:rFonts w:ascii="Times New Roman;Times;Serif" w:hAnsi="Times New Roman;Times;Serif"/>
                <w:sz w:val="20"/>
              </w:rPr>
              <w:t xml:space="preserve">867,250 of principal to </w:t>
            </w:r>
            <w:bookmarkStart w:id="1209" w:name="xdx_90B_eus-gaap--StockIssuedDuringPerio"/>
            <w:bookmarkEnd w:id="1209"/>
            <w:r>
              <w:rPr>
                <w:rFonts w:ascii="Times New Roman;Times;Serif" w:hAnsi="Times New Roman;Times;Serif"/>
                <w:sz w:val="20"/>
              </w:rPr>
              <w:t>2,140,660 shares of our Class A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On April 14, 2026, the Company sold </w:t>
            </w:r>
            <w:bookmarkStart w:id="1210" w:name="xdx_902_eus-gaap--SaleOfStockNumberOfSha"/>
            <w:bookmarkEnd w:id="1210"/>
            <w:r>
              <w:rPr>
                <w:rFonts w:ascii="Times New Roman;Times;Serif" w:hAnsi="Times New Roman;Times;Serif"/>
                <w:sz w:val="20"/>
              </w:rPr>
              <w:t>2,478,068 shares of Class A common stock at an average price of $</w:t>
            </w:r>
            <w:bookmarkStart w:id="1211" w:name="xdx_904_eus-gaap--SaleOfStockPricePerSha"/>
            <w:bookmarkEnd w:id="1211"/>
            <w:r>
              <w:rPr>
                <w:rFonts w:ascii="Times New Roman;Times;Serif" w:hAnsi="Times New Roman;Times;Serif"/>
                <w:sz w:val="20"/>
              </w:rPr>
              <w:t>1.37 per share through its ATM offering with H.C. Wainwright &amp; Co.</w:t>
            </w:r>
          </w:p>
        </w:tc>
      </w:tr>
    </w:tbl>
    <w:p>
      <w:pPr>
        <w:pStyle w:val="TextBody"/>
        <w:bidi w:val="0"/>
        <w:spacing w:before="0" w:after="0"/>
        <w:ind w:left="0" w:right="0" w:hanging="0"/>
        <w:jc w:val="both"/>
        <w:rPr>
          <w:caps w:val="false"/>
          <w:smallCaps w:val="false"/>
        </w:rPr>
      </w:pPr>
      <w:bookmarkStart w:id="1212" w:name="xdx_81C_zgck4X1Hu9kc"/>
      <w:bookmarkEnd w:id="121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13" w:name="vr_009"/>
      <w:bookmarkEnd w:id="1213"/>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our condensed consolidated financial statements and the related notes included elsewhere in this Quarterly Report on Form 10-Q (the “Quarterly Report”).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Quarterly Report, particularly under “Risk Factors,” in Part II, Item 1A of this Quarterly Report and Part 1A of the Company’s Form 10-K for the year ended December 31, 2025, and the “Cautionary Statement Regarding Forward-Looking Statements” section of this Quarterly Report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Times New Roman;Times;Serif" w:hAnsi="Times New Roman;Times;Serif"/>
          <w:b w:val="false"/>
          <w:i/>
          <w:caps w:val="false"/>
          <w:smallCaps w:val="false"/>
          <w:sz w:val="20"/>
        </w:rPr>
        <w:t xml:space="preserve">ARK: Survival Evolved, </w:t>
      </w:r>
      <w:r>
        <w:rPr>
          <w:rFonts w:ascii="Times New Roman;Times;Serif" w:hAnsi="Times New Roman;Times;Serif"/>
          <w:b w:val="false"/>
          <w:i w:val="false"/>
          <w:caps w:val="false"/>
          <w:smallCaps w:val="false"/>
          <w:sz w:val="20"/>
        </w:rPr>
        <w:t xml:space="preserve">which has consistently ranked among top-grossing titles on Steam.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is a leader within the sandbox survival genre with 110.6 million console and PC installs through March 31, 2026. See below for discussion of key performance metrics and non-GAAP measures. In the three months ended March 31, 2026,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combined for an average total of 244,000 daily active users (“DAUs”) on the Steam and Epic platforms, as compared to 243,000 in the three months ended March 31, 2025. We define “daily active users” as the number of unique users who play any given game on any given day. For the three months ended March 31, 2026 and 2025, we generated 85.7% and 91.6%, respectively, of our revenues from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dedication to providing audiences with high-quality entertainment experiences utilizing the latest gaming technology has produced strong user engagement, continued revenue growth, and increased cash flows. Through March 31, 2026,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game has been played for 4.4 billion hours with an average playing time per user of 160 hours and with the top 21.3% of all players spending over 100 hours in the game, according to data from the Steam platform. For the three months ended March 31, 2026 and 2025, our net revenue was $27.3 million and $20.1 million, respectively. During the three months ended March 31, 2026, approximately 30.3% of our revenue came from consoles, 62.9% from PC and 5.3% from mobile as compared to 41.3% from consoles, 44.8% from PC and 11.7% from mobile during the three months ended March 31, 2025. We had a net income of $2.1 million compared to a net loss of $1.9 million,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factors that affect the performance of our business, and the comparability of our results from period to period, including: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our content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continuously evaluate and invest in content strategy to improve and innovate our games and features and to develop current technological platforms. We are currently actively investing in expanding our gaming pipeline as well as developing media related to our gaming intellectual property. We also continue to invest to grow our micro-influencer platform,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xml:space="preserve">, by attracting new influencers and brand customers. We have established a new division internally under the Interactive Films brand. This division will focus on creating content in the vertical short film segment of the digital entertainment market. The mobile application has already launched on iOS and Android platforms. As of March 31, 2026, we have released over 250 short film dramas on the </w:t>
      </w:r>
      <w:r>
        <w:rPr>
          <w:rFonts w:ascii="Times New Roman;Times;Serif" w:hAnsi="Times New Roman;Times;Serif"/>
          <w:b w:val="false"/>
          <w:i/>
          <w:caps w:val="false"/>
          <w:smallCaps w:val="false"/>
          <w:sz w:val="20"/>
        </w:rPr>
        <w:t xml:space="preserve">SaltyTV </w:t>
      </w:r>
      <w:r>
        <w:rPr>
          <w:rFonts w:ascii="Times New Roman;Times;Serif" w:hAnsi="Times New Roman;Times;Serif"/>
          <w:b w:val="false"/>
          <w:i w:val="false"/>
          <w:caps w:val="false"/>
          <w:smallCaps w:val="false"/>
          <w:sz w:val="20"/>
        </w:rPr>
        <w:t>app. We expect a consistent roll out of new short film dramas. Short film dramas include internally produced and licensed films from external organizations.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of user base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experienced significant growth in our number of downloads over the last several years. We have sold 58.4 million units between January 1, 2016 and March 31, 2026. During the three months ended March 31, 2026, we sold 2.2 million units compared to 1.5 million in the three months ended March 31, 2025. Our video games provide highly engaging, differentiated entertainment experiences where the combination of challenge and progress drives player engagement, high average player times, and long-term franchise value. The success of our franchise hinges on our ability to keep our current players engaged while also growing our user base by innovating our platform and monetizing new offerings. The degree to which gamers are willing to engage with our platform is driven by our ability to create interactive and unique content that will enhance the game-play experience. We sell DLCs which are supplementary to our master games and expand the gaming universe to continuously evolve the game and retain players. Our master games are the base versions of a specific title, for example,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is our master game and </w:t>
      </w:r>
      <w:r>
        <w:rPr>
          <w:rFonts w:ascii="Times New Roman;Times;Serif" w:hAnsi="Times New Roman;Times;Serif"/>
          <w:b w:val="false"/>
          <w:i/>
          <w:caps w:val="false"/>
          <w:smallCaps w:val="false"/>
          <w:sz w:val="20"/>
        </w:rPr>
        <w:t>ARK: Genesis</w:t>
      </w:r>
      <w:r>
        <w:rPr>
          <w:rFonts w:ascii="Times New Roman;Times;Serif" w:hAnsi="Times New Roman;Times;Serif"/>
          <w:b w:val="false"/>
          <w:i w:val="false"/>
          <w:caps w:val="false"/>
          <w:smallCaps w:val="false"/>
          <w:sz w:val="20"/>
        </w:rPr>
        <w:t xml:space="preserve"> is a DLC.</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we have a significant opportunity to grow our installed base, we anticipate that our overall user growth rate will fluctuate over time as we continue to release new master games and companion DLCs. Download rates and user engagement may increase or decrease based on other factors such as growth in console, PC and mobile games, ability to release content, market effectively and distribute to users.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our technology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focused on innovation and technology leadership in order to maintain our competitive advantage. We spend a portion of our capital on our research and development platform to continuously improve our technological offerings and gaming platform. Our proprietary video game technology includes a versatile game engine, development pipeline tools, advanced rendering technology and advanced server and network operations. Continued investment in improving the technology behind our existing gaming platforms as well as developing new software tools for new product offerings is important to maintaining our strategic goals, developer and creator talent, and financial objectives. For us to continue providing cutting-edge technology to our users and bringing digital interactive entertainment to market, we must also continue to invest in developmental and creative resources. For our users, we regularly invest in user-friendly features and enhance user experience in our games and platforms. As our industry moves towards increased use of cloud gaming and gaming as a service technology, our ability to bring interactive technologies to market will be an increasingly important part of our business. Furthermore, to accompany our entry into the vertical short film market, we have developed a distribution platform, the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mobile application that allows users to access the content 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release content, market effectively through cross media and expand the gaming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a loyal network of players for our premium games is vital for our business and drives revenue growth. To grow and maintain our player base, we invest in developing new games to attract and engage players, and in providing existing audiences with proven content in the form of new DLCs. In the near-term, we may increase spending on original content creation with new studios, and on sales and marketing as a percentage of revenue to grow our player network. The scale of our player base is determined by a number of factors, including our ability to strengthen player engagement by producing content that players play regularly and our effectiveness in attracting new players, both of which may in turn affect our 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relationship with developers, Studio Wildcard &amp; Suzhou Snail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grown and expect to continue to grow our business by collaborating with game studios that we believe can benefit from our team’s decades of experience developing successful games. We have strategic relationships with many developer studios that create original content for us. The relationships allow for valuable knowledge sharing between Suzhou Snail, a related party, and the developer studios. We enjoy a long-term relationship with Studio Wildcard, a related party, which develops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We have an exclusive license with Studio Wildcard for rights to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and we work with them and our other studio developer partners to provide ongoing support across numerous aspects of game development. Our financial results may be affected by our relationship with game studios, including Studio Wildcard, and our ability to create self-developed titles.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Relationship with third party distribution platforms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nearly all of our revenue from third-party distribution platforms, these include but are not limited to, Xbox Live and Game Pass, PlayStation Network, Steam, Epic Games Store, the Apple App Store, the Google Play Store and My Nintendo Store. These digital distribution platforms have policies that may impact our reachability to our potential audience, including the discretion to amend their terms of service, which could affect our current operations and our financial performance. As we expand to new markets, we anticipate similar relationships with additional distribution partners that could similarly impact our performance.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Seasonality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 fluctuations in quarterly and annual operating results as a result of the timing of the introduction of new titles, variations in sales of titles developed for particular platforms, market acceptance of our titles, development and promotional activities relating to the introduction of new titles, releases of expansion packs and DLCs, and to coincide with the global holiday season in the fourth and first quarters of each year. Seasonality in our revenue also tends to coincide with promotional cycles on platforms, typically on a quarterly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Gaming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first quarter of 2026, we continued to execute on our multi-year expansion strategy for our foundational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Building upon the successful launch and reception of </w:t>
      </w:r>
      <w:r>
        <w:rPr>
          <w:rFonts w:ascii="Times New Roman;Times;Serif" w:hAnsi="Times New Roman;Times;Serif"/>
          <w:b w:val="false"/>
          <w:i/>
          <w:caps w:val="false"/>
          <w:smallCaps w:val="false"/>
          <w:sz w:val="20"/>
        </w:rPr>
        <w:t>ARK: Lost Colony</w:t>
      </w:r>
      <w:r>
        <w:rPr>
          <w:rFonts w:ascii="Times New Roman;Times;Serif" w:hAnsi="Times New Roman;Times;Serif"/>
          <w:b w:val="false"/>
          <w:i w:val="false"/>
          <w:caps w:val="false"/>
          <w:smallCaps w:val="false"/>
          <w:sz w:val="20"/>
        </w:rPr>
        <w:t xml:space="preserve"> late last year, we outlined an ambitious roadmap consisting of four major downloadable content (DLC) expansions for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in 2026 and three subsequent releases planned for 2027. We anticipate this cadence will provide significant revenue visibility. Upcoming scheduled releases in 2026 include </w:t>
      </w:r>
      <w:r>
        <w:rPr>
          <w:rFonts w:ascii="Times New Roman;Times;Serif" w:hAnsi="Times New Roman;Times;Serif"/>
          <w:b w:val="false"/>
          <w:i/>
          <w:caps w:val="false"/>
          <w:smallCaps w:val="false"/>
          <w:sz w:val="20"/>
        </w:rPr>
        <w:t>ARK: Survival of the Fittest, ARK: Bob’s True Tales – Tides of Fortune, ARK: World Creator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ARK: Dragontopia</w:t>
      </w:r>
      <w:r>
        <w:rPr>
          <w:rFonts w:ascii="Times New Roman;Times;Serif" w:hAnsi="Times New Roman;Times;Serif"/>
          <w:b w:val="false"/>
          <w:i w:val="false"/>
          <w:caps w:val="false"/>
          <w:smallCaps w:val="false"/>
          <w:sz w:val="20"/>
        </w:rPr>
        <w: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core component of our long-term growth strategy is diversifying our revenue profile beyond the ARK ecosystem by investing in internally developed.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 our medieval survival/strategy title, maintained strong momentum through the Steam Spring Sale and has officially surpassed 1 million units sold. We are actively developing console ports to further monetize this IP. As part of our ongoing initiative to expand our third-party publishing portfolio and diversify our revenue profile, on January 27, 2026, the Company, in partnership with developer Loric Games, successfully launched </w:t>
      </w:r>
      <w:r>
        <w:rPr>
          <w:rFonts w:ascii="Times New Roman;Times;Serif" w:hAnsi="Times New Roman;Times;Serif"/>
          <w:b w:val="false"/>
          <w:i/>
          <w:caps w:val="false"/>
          <w:smallCaps w:val="false"/>
          <w:sz w:val="20"/>
        </w:rPr>
        <w:t>Echoes of Elysium</w:t>
      </w:r>
      <w:r>
        <w:rPr>
          <w:rFonts w:ascii="Times New Roman;Times;Serif" w:hAnsi="Times New Roman;Times;Serif"/>
          <w:b w:val="false"/>
          <w:i w:val="false"/>
          <w:caps w:val="false"/>
          <w:smallCaps w:val="false"/>
          <w:sz w:val="20"/>
        </w:rPr>
        <w:t xml:space="preserve"> into Early Access on the Steam platform.</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GDC 2026, we provided key updates regarding our product pipeline and unveiled new intellectual property. We provided an exclusive look at For the Stars, our upcoming open-universe AAA space survival RPG. The title continues to progress, with demonstrations of its open-ended exploration and player-driven research systems presented at the GDC Tech Demo Stage. We introduced PixARK Worlds, a new title in development by Studio Sirens and Snail Games, created with guidance from Studio Wildcard, featuring revolutionary user-generated content designed. In broadening our indie portfolio, we officially announced Gobby Gang, a new cooperative multiplayer party game on the Steam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Film and TV</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continue to build on our short film mobile application,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to bring more exclusive, original stories from heart-racing thrillers to jaw-dropping romances to our viewers. We have released over 250 short film dramas through March 31, 2026, on the </w:t>
      </w:r>
      <w:r>
        <w:rPr>
          <w:rFonts w:ascii="Times New Roman;Times;Serif" w:hAnsi="Times New Roman;Times;Serif"/>
          <w:b w:val="false"/>
          <w:i/>
          <w:caps w:val="false"/>
          <w:smallCaps w:val="false"/>
          <w:sz w:val="20"/>
        </w:rPr>
        <w:t xml:space="preserve">SaltyTV </w:t>
      </w:r>
      <w:r>
        <w:rPr>
          <w:rFonts w:ascii="Times New Roman;Times;Serif" w:hAnsi="Times New Roman;Times;Serif"/>
          <w:b w:val="false"/>
          <w:i w:val="false"/>
          <w:caps w:val="false"/>
          <w:smallCaps w:val="false"/>
          <w:sz w:val="20"/>
        </w:rPr>
        <w:t>app. We expect a consistent roll out of new short film dramas throughout 2026 and beyond.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strategy to explore adjacent digital entertainment markets, we introduced our new “Interactive Films” publishing initiative at GDC 2026. This experimental approach is designed to transform high-engagement, vertical narrative content into interactive Full Motion Video (FMV) RPG experiences, bridging modern digital storytelling formats with gameplay-driven interactivity.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Corporate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2026, we entered into Amendment No. 3 to the Amended and Restated Exclusive Software License Agreement (the “Amendment”) with SDE Inc., a California corporation (“SDE”) through our wholly-owned subsidiary, Snail Games USA, Inc. SDE is controlled by Ying Zhou, our director and the spouse of Hai Shi, our Chief Executive Officer, Chief Strategy Officer, Chairman of the Board and Founder. The Amendment amends that certain Amended and Restated Exclusive Software License Agreement, dated January 1, 2022, which was previously amended on December 13, 2022, March 10, 2023, and October 1, 2023 (as amended, the “ARK1 License Agreement”) pursuant to which we hold an exclusive worldwide license from SDE to publish and sell ARK: Survival Evolved (“ASE Game”) and ARK: Survival Ascended (“ASA Game”). The Amendment is effective as of April 1, 2026. Prior to the Amendment, the ARK1 License Agreement provided for us to pay to SDE (i) licensing fees of $2 million per month, provided that such obligation shall cease upon the public release of the sequel ARK 2; (ii) following the ASA Launch Date (as defined in the ARK1 License Agreement), royalties of 25% of our total revenue related to ASA Game and 40% of our total revenue related to ASE Game; and (iii) a one-time payment of $5 million upon the release of any DLC after October 1, 2023. The Amendment reduces the licensing fees to $1.5 million per month, provided that such obligation shall cease upon the public release of the sequel ARK 2, and replaces the one-time payment set forth above for each DLC with a one-time payment of $5 million upon the release of certain DLCs after October 1, 2023, excluding, among others, DLCs that were originally included in ASA Game.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2026, we entered into a Software Development Outsourcing Agreement (the “Development Agreement”) with Suzhou Snail Digital Technology Co., Ltd. (“Suzhou Snail”) through our subsidiary Snail Games USA, Inc. Mr. Shi is the founder and a director of Suzhou Snail, and Ms. Zhou is a vice president and director of Suzhou Snail. The Development Agreement provides for Suzhou Snail to carry out technical development for our Project Aether game. We agreed to pay to Suzhou Snail an aggregate of $1.966 million in four quarterly installments of $491,500, beginning in the second quarter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Nasdaq 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2025, we received written notice from the Listing Qualifications Department (the “Staff”) of The Nasdaq Stock Market LLC (“Nasdaq”) notifying us that for thirty (30) consecutive business days from November 11, 2025 through December 29, 2025, our Class A common stock did not maintain a minimum closing bid price of $1.00 per share (the “Minimum Bid Price Requirement”) as required by Nasdaq Listing Rule 5550(a)(2). The notice had no immediate effect on the listing or trading of our Class A common stock, and the Class A common stock continues to trade on The Nasdaq Capital Market under the symbol “SNAL.”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Listing Rule 5810(c)(3)(A), we have a compliance period of 180 calendar days, or until June 29, 2026, to regain compliance with Nasdaq Listing Rule 5550(a)(2). Compliance may be achieved without further action if the closing bid price of our Class A common stock is at or above $1.00 for a minimum of ten (10) consecutive business days at any time during the 180-day compliance period, in which case Nasdaq will notify us if it determines it is in compliance and the matter will be closed; however, Nasdaq may require the closing bid price to equal or to exceed the $1.00 minimum bid price requirement for more than ten (10) consecutive business days before determining that a company complies.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achieve compliance with the Minimum Bid Price Requirement by June 29, 2026, we will not be eligible for additional time to comply because of the second Nasdaq deficiency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we received another deficiency letter (the “Letter”) from the Nasdaq Staff notifying us that we were not in compliance with the requirement to maintain a minimum of $500,000 in net income from continuing operations in the most recently completed fiscal year, or two of the last three fiscal years (the “Net Income Requirement”). In our Annual Reports on Form 10-K for the year ended December 31, 2023, 2024, and 2025, we reported net income from continuing operations in 2024 and net loss from continuing operations in 2025 and 2023. Additionally, we did not meet either of the alternative Nasdaq continued listing standards under the Nasdaq Listing Rules, which include (i) a market value of listed securities of at least $35 million or (ii) a minimum stockholders’ equity requirement of at least $2,500,000 (collectively with the Net Income Requirement, the “Nasdaq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rules, we had 45 calendar days, or until May 11, 2026, to submit a plan to the Staff to regain compliance (the “Compliance Plan”) with the Nasdaq Requirements. We submitted the Compliance Plan on May 11, 2026, and it is currently under Nasdaq review. If the Compliance Plan is accepted, Nasdaq can grant an extension of up to 180 calendar days from the date of the Letter for us to evidence compliance.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derive revenue from the sale of our games through various gaming platforms. Through these platforms, users can download our games and, for certain games, purchase virtual items to enhance their game-playing experience. We offer certain software products through third-party digital storefronts, such as Xbox Live and Game Pass, PlayStation Network, Steam, Epic Games Store, the Apple App Store, the Google Play Store and My Nintendo Store, and certain retail distributors.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deferred revenue when payments are due or received in advance of the fulfillment of our associated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revenues includes license royalty fees, merchant fees, engine fees, server and database cost centers, game licenses and license right amortization. For a description of our licensing arrangements, please see Note 2 - </w:t>
      </w:r>
      <w:r>
        <w:rPr>
          <w:rFonts w:ascii="Times New Roman;Times;Serif" w:hAnsi="Times New Roman;Times;Serif"/>
          <w:b w:val="false"/>
          <w:i/>
          <w:caps w:val="false"/>
          <w:smallCaps w:val="false"/>
          <w:sz w:val="20"/>
        </w:rPr>
        <w:t xml:space="preserve">Summary of Significant Accounting Policies </w:t>
      </w:r>
      <w:r>
        <w:rPr>
          <w:rFonts w:ascii="Times New Roman;Times;Serif" w:hAnsi="Times New Roman;Times;Serif"/>
          <w:b w:val="false"/>
          <w:i w:val="false"/>
          <w:caps w:val="false"/>
          <w:smallCaps w:val="false"/>
          <w:sz w:val="20"/>
        </w:rPr>
        <w:t>to our unaudited condensed consolidated financial statements included in this Quarterly Report. We generally expect cost of revenues to fluctuate proportionately with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rent expense, salaries, stock-based compensation, legal and professional expenses, administrative internet and server expenses, contract costs, insurance expenses, license and permits, other taxes and travel expenses. We expect salaries and wages to increase as we increase headcount when expanding our product offerings. Stock-based compensation will be recorded within research and development and general and administrative expense. We also record legal settlement expenses as components of general and administrative expenses. We expect general and administrative expenses will increase in absolute dollars due to the additional administrative and regulatory burden of becoming and operating as a public company and the inflationary pressures of recent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consists primarily of consulting expenses and salaries and wages devoted towards the development of new games and related technologies and development costs outsourced through Suzhou Snail. We expect our research and development to increase as we develop new content, games or technologies.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marketing consists of costs related to advertising and user acquisition efforts, including payments to third-party marketing agencies. We occasionally offer our early access trial, through which we sell our games that are in development and testing. The early access trial allows us to both monetize and receive feedback on how to improve our games over time. We plan to continue to invest in advertising and marketing to retain and acquire players. However, sales and marketing expenses may fluctuate as a percentage of revenues depending on the timing and efficiency of our marketing efforts.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film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expenses consists of costs related to short films and game titles produced or licensed by Snail. When projected future cash flows were no longer expected to recover from the carrying value of film projects and game licenses, we recognize an impairment charge to write down the assets in full, or in part, to their estimated fair value. Impairments during the period primarily resulted from changes in marketing strategies, underperformance of certain titles, or shifts in market demand. These charges negatively impact operating income and reflect our continuous assessment of content performance in a rapidly evolving landscape.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consists of current income taxes in the various jurisdictions where we are subject to taxation, primarily the United States,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of 5% differed from the federal statutory tax rate of 21% primarily due to state income taxes, permanent differences, and change in valuation allowance.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March 31, 2026 versus the three months ended March 31, 2025</w:t>
      </w:r>
    </w:p>
    <w:p>
      <w:pPr>
        <w:pStyle w:val="TextBody"/>
        <w:bidi w:val="0"/>
        <w:spacing w:before="0" w:after="0"/>
        <w:ind w:left="0" w:right="0" w:hanging="0"/>
        <w:jc w:val="center"/>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035"/>
        <w:gridCol w:w="60"/>
        <w:gridCol w:w="353"/>
        <w:gridCol w:w="1110"/>
        <w:gridCol w:w="151"/>
        <w:gridCol w:w="151"/>
        <w:gridCol w:w="353"/>
        <w:gridCol w:w="1110"/>
        <w:gridCol w:w="95"/>
        <w:gridCol w:w="60"/>
        <w:gridCol w:w="260"/>
        <w:gridCol w:w="735"/>
        <w:gridCol w:w="95"/>
        <w:gridCol w:w="60"/>
        <w:gridCol w:w="96"/>
        <w:gridCol w:w="1019"/>
        <w:gridCol w:w="350"/>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5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8" w:type="dxa"/>
            <w:gridSpan w:val="14"/>
            <w:tcBorders/>
            <w:vAlign w:val="center"/>
          </w:tcPr>
          <w:p>
            <w:pPr>
              <w:pStyle w:val="TableContents"/>
              <w:bidi w:val="0"/>
              <w:spacing w:before="0" w:after="283"/>
              <w:jc w:val="center"/>
              <w:rPr>
                <w:b/>
              </w:rPr>
            </w:pPr>
            <w:r>
              <w:rPr>
                <w:b/>
              </w:rPr>
              <w:t>(in millions)</w:t>
            </w:r>
          </w:p>
        </w:tc>
        <w:tc>
          <w:tcPr>
            <w:tcW w:w="35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27.3</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20.1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35.7</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pPr>
            <w:r>
              <w:rPr/>
              <w:t>15.6</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pPr>
            <w:r>
              <w:rPr/>
              <w:t>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9.6</w:t>
            </w:r>
          </w:p>
        </w:tc>
        <w:tc>
          <w:tcPr>
            <w:tcW w:w="35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pPr>
            <w:r>
              <w:rPr/>
              <w:t>11.7</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pPr>
            <w:r>
              <w:rPr/>
              <w:t>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5.8</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99.3</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4.7</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(6.3</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4.0</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11.2</w:t>
            </w:r>
          </w:p>
        </w:tc>
        <w:tc>
          <w:tcPr>
            <w:tcW w:w="35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0.9</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(33.5</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(81.2</w:t>
            </w:r>
          </w:p>
        </w:tc>
        <w:tc>
          <w:tcPr>
            <w:tcW w:w="35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Impairment expenses</w:t>
            </w:r>
          </w:p>
        </w:tc>
        <w:tc>
          <w:tcPr>
            <w:tcW w:w="60" w:type="dxa"/>
            <w:tcBorders/>
            <w:shd w:fill="CCEEFF" w:val="cle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pPr>
            <w:r>
              <w:rPr/>
              <w:t>9.7</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pPr>
            <w:r>
              <w:rPr/>
              <w:t>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(3.3</w:t>
            </w:r>
          </w:p>
        </w:tc>
        <w:tc>
          <w:tcPr>
            <w:tcW w:w="35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b/>
              </w:rPr>
            </w:pPr>
            <w:r>
              <w:rPr>
                <w:b/>
              </w:rPr>
              <w:t>Income (loss) from operations</w:t>
            </w:r>
          </w:p>
        </w:tc>
        <w:tc>
          <w:tcPr>
            <w:tcW w:w="60" w:type="dxa"/>
            <w:tcBorders/>
            <w:shd w:fill="CCEEFF" w:val="clear"/>
            <w:vAlign w:val="center"/>
          </w:tcPr>
          <w:p>
            <w:pPr>
              <w:pStyle w:val="TableContents"/>
              <w:bidi w:val="0"/>
              <w:spacing w:before="0" w:after="283"/>
              <w:jc w:val="left"/>
              <w:rPr/>
            </w:pPr>
            <w:r>
              <w:rPr/>
              <w:t> </w:t>
            </w:r>
          </w:p>
        </w:tc>
        <w:tc>
          <w:tcPr>
            <w:tcW w:w="35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(149.8</w:t>
            </w:r>
          </w:p>
        </w:tc>
        <w:tc>
          <w:tcPr>
            <w:tcW w:w="35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revenues for the three months ended March 31, 2026 increased by $7.2 million, or 35.7%, compared to the three months ended March 31, 2025. Total revenue increased by $7.2 million primarily attributed to a $4.2 million increase from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an increase in revenues related to </w:t>
      </w:r>
      <w:r>
        <w:rPr>
          <w:rFonts w:ascii="Times New Roman;Times;Serif" w:hAnsi="Times New Roman;Times;Serif"/>
          <w:b w:val="false"/>
          <w:i/>
          <w:caps w:val="false"/>
          <w:smallCaps w:val="false"/>
          <w:sz w:val="20"/>
        </w:rPr>
        <w:t xml:space="preserve">Bellwright </w:t>
      </w:r>
      <w:r>
        <w:rPr>
          <w:rFonts w:ascii="Times New Roman;Times;Serif" w:hAnsi="Times New Roman;Times;Serif"/>
          <w:b w:val="false"/>
          <w:i w:val="false"/>
          <w:caps w:val="false"/>
          <w:smallCaps w:val="false"/>
          <w:sz w:val="20"/>
        </w:rPr>
        <w:t xml:space="preserve">of $2.1 million, and an increase in deferred revenues recognized of $2.5 million for the three months ended March 31, 2026 as compared to the three months ended March 31, 2025. The increase in revenue was partially offset by a decrease in revenue from </w:t>
      </w:r>
      <w:r>
        <w:rPr>
          <w:rFonts w:ascii="Times New Roman;Times;Serif" w:hAnsi="Times New Roman;Times;Serif"/>
          <w:b w:val="false"/>
          <w:i/>
          <w:caps w:val="false"/>
          <w:smallCaps w:val="false"/>
          <w:sz w:val="20"/>
        </w:rPr>
        <w:t xml:space="preserve">ARK: Ultimate Mobile Edition </w:t>
      </w:r>
      <w:r>
        <w:rPr>
          <w:rFonts w:ascii="Times New Roman;Times;Serif" w:hAnsi="Times New Roman;Times;Serif"/>
          <w:b w:val="false"/>
          <w:i w:val="false"/>
          <w:caps w:val="false"/>
          <w:smallCaps w:val="false"/>
          <w:sz w:val="20"/>
        </w:rPr>
        <w:t xml:space="preserve">of $0.8 million and a decrease in revenue from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of $0.8 million in the three months ended March 31, 2026 compared to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March 31, 2026 increased by $1.4 million, or 9.6% when compared to the three months ended March 31, 2025, primarily due to higher licensed royalties costs driven by a growth in revenue during the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March 31, 2026 and 2025 comprised the following:</w:t>
      </w:r>
    </w:p>
    <w:p>
      <w:pPr>
        <w:pStyle w:val="TextBody"/>
        <w:bidi w:val="0"/>
        <w:spacing w:before="0" w:after="0"/>
        <w:ind w:left="0" w:right="0" w:firstLine="360"/>
        <w:jc w:val="both"/>
        <w:rPr>
          <w:caps w:val="false"/>
          <w:smallCaps w:val="false"/>
        </w:rPr>
      </w:pPr>
      <w:r>
        <w:rPr>
          <w:caps w:val="false"/>
          <w:smallCaps w:val="false"/>
        </w:rPr>
        <w:t> </w:t>
      </w:r>
    </w:p>
    <w:tbl>
      <w:tblPr>
        <w:tblW w:w="9973" w:type="dxa"/>
        <w:jc w:val="left"/>
        <w:tblInd w:w="0" w:type="dxa"/>
        <w:tblLayout w:type="fixed"/>
        <w:tblCellMar>
          <w:top w:w="0" w:type="dxa"/>
          <w:left w:w="0" w:type="dxa"/>
          <w:bottom w:w="0" w:type="dxa"/>
          <w:right w:w="0" w:type="dxa"/>
        </w:tblCellMar>
      </w:tblPr>
      <w:tblGrid>
        <w:gridCol w:w="3995"/>
        <w:gridCol w:w="60"/>
        <w:gridCol w:w="353"/>
        <w:gridCol w:w="1110"/>
        <w:gridCol w:w="151"/>
        <w:gridCol w:w="151"/>
        <w:gridCol w:w="353"/>
        <w:gridCol w:w="1110"/>
        <w:gridCol w:w="60"/>
        <w:gridCol w:w="60"/>
        <w:gridCol w:w="260"/>
        <w:gridCol w:w="735"/>
        <w:gridCol w:w="95"/>
        <w:gridCol w:w="60"/>
        <w:gridCol w:w="116"/>
        <w:gridCol w:w="999"/>
        <w:gridCol w:w="305"/>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3"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Software license royalties – related parties</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6.3</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20.1</w:t>
            </w:r>
          </w:p>
        </w:tc>
        <w:tc>
          <w:tcPr>
            <w:tcW w:w="305"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Software license royalties</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0.1</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39.7</w:t>
            </w:r>
          </w:p>
        </w:tc>
        <w:tc>
          <w:tcPr>
            <w:tcW w:w="305"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License and amortization – related party</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6.3</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4.2</w:t>
            </w:r>
          </w:p>
        </w:tc>
        <w:tc>
          <w:tcPr>
            <w:tcW w:w="305"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License and amortization</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0.3</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27.3</w:t>
            </w:r>
          </w:p>
        </w:tc>
        <w:tc>
          <w:tcPr>
            <w:tcW w:w="305"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Merchant fees</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0.3</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(40.7</w:t>
            </w:r>
          </w:p>
        </w:tc>
        <w:tc>
          <w:tcPr>
            <w:tcW w:w="305"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Engine fees</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1.0</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24.3</w:t>
            </w:r>
          </w:p>
        </w:tc>
        <w:tc>
          <w:tcPr>
            <w:tcW w:w="305"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Internet, server and data center</w:t>
            </w:r>
          </w:p>
        </w:tc>
        <w:tc>
          <w:tcPr>
            <w:tcW w:w="60" w:type="dxa"/>
            <w:tcBorders/>
            <w:shd w:fill="CCEEFF" w:val="cle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(0.4</w:t>
            </w:r>
          </w:p>
        </w:tc>
        <w:tc>
          <w:tcPr>
            <w:tcW w:w="305"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jc w:val="right"/>
              <w:rPr/>
            </w:pPr>
            <w:r>
              <w:rPr/>
              <w:t>15.6</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jc w:val="right"/>
              <w:rPr/>
            </w:pPr>
            <w:r>
              <w:rPr/>
              <w:t>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double" w:sz="6" w:space="0" w:color="000000"/>
            </w:tcBorders>
            <w:shd w:fill="FFFFFF" w:val="clear"/>
            <w:tcMar>
              <w:bottom w:w="28" w:type="dxa"/>
            </w:tcMar>
            <w:vAlign w:val="center"/>
          </w:tcPr>
          <w:p>
            <w:pPr>
              <w:pStyle w:val="TableContents"/>
              <w:bidi w:val="0"/>
              <w:spacing w:before="0" w:after="283"/>
              <w:jc w:val="right"/>
              <w:rPr/>
            </w:pPr>
            <w:r>
              <w:rPr/>
              <w:t>9.6</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revenues for the three months ended March 31, 2026 was due to an increase of $1.1 million in software license royalties – related parties, resulting from increased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 xml:space="preserve">sales, an increase in license and amortization – related party of $0.3 million due to the release of DLC </w:t>
      </w:r>
      <w:r>
        <w:rPr>
          <w:rFonts w:ascii="Times New Roman;Times;Serif" w:hAnsi="Times New Roman;Times;Serif"/>
          <w:b w:val="false"/>
          <w:i/>
          <w:caps w:val="false"/>
          <w:smallCaps w:val="false"/>
          <w:sz w:val="20"/>
        </w:rPr>
        <w:t>Lost Colony,</w:t>
      </w:r>
      <w:r>
        <w:rPr>
          <w:rFonts w:ascii="Times New Roman;Times;Serif" w:hAnsi="Times New Roman;Times;Serif"/>
          <w:b w:val="false"/>
          <w:i w:val="false"/>
          <w:caps w:val="false"/>
          <w:smallCaps w:val="false"/>
          <w:sz w:val="20"/>
        </w:rPr>
        <w:t xml:space="preserve"> an increase in license and amortization of $0.1 million primarily due to a larger depreciable base, and an increase in engine fees of $0.2 million, partially offset by a decrease in merchant fees of $0.2 million related to </w:t>
      </w:r>
      <w:r>
        <w:rPr>
          <w:rFonts w:ascii="Times New Roman;Times;Serif" w:hAnsi="Times New Roman;Times;Serif"/>
          <w:b w:val="false"/>
          <w:i/>
          <w:caps w:val="false"/>
          <w:smallCaps w:val="false"/>
          <w:sz w:val="20"/>
        </w:rPr>
        <w:t xml:space="preserve">ARK: Ultimate Mobile Edition </w:t>
      </w:r>
      <w:r>
        <w:rPr>
          <w:rFonts w:ascii="Times New Roman;Times;Serif" w:hAnsi="Times New Roman;Times;Serif"/>
          <w:b w:val="false"/>
          <w:i w:val="false"/>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three months ended March 31, 2026 decreased by $0.3 million, or 6.3%, compared to the three months ended March 31, 2025. The decrease in general and administrative expenses was due to a decrease in salaries and wages of $0.6 million and a decrease in rent expense of $0.1 million, partially offset by an increase in contractors expense of $0.4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three months ended March 31, 2026 increased by $0.4 million, or 11.2%, compared to the three months ended March 31, 2025. The increase in research and development expenses was due to an increase in internal research and development salaries as the Company continues to expand its internal development team</w:t>
      </w:r>
      <w:r>
        <w:rPr>
          <w:rFonts w:ascii="Times New Roman;Times;Serif" w:hAnsi="Times New Roman;Times;Serif"/>
          <w:b w:val="false"/>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marketing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marketing expenses for the three months ended March 31, 2026 decreased by $0.4 million, or 33.5%, compared to the three months ended March 31, 2025. The decrease in advertising and marketing expenses was primarily attributable to lower costs associated with the Company’s presence at Game Developers Conference (“GDC”).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film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film assets for the three months ended March 31, 2026 increased by $0.1 million, or 100.0%, compared to the three months ended March 31, 2025. The increase in impairment of film assets was due to the underperformance of specific film assets and changes in the market conditions affecting expected future cash flow during the three months ended March 31, 2026.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Factors Affecting Net Income (Loss)</w:t>
      </w:r>
    </w:p>
    <w:p>
      <w:pPr>
        <w:pStyle w:val="TextBody"/>
        <w:bidi w:val="0"/>
        <w:spacing w:before="0" w:after="0"/>
        <w:ind w:left="0" w:right="0" w:hanging="0"/>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2885"/>
        <w:gridCol w:w="60"/>
        <w:gridCol w:w="369"/>
        <w:gridCol w:w="1041"/>
        <w:gridCol w:w="250"/>
        <w:gridCol w:w="158"/>
        <w:gridCol w:w="369"/>
        <w:gridCol w:w="1041"/>
        <w:gridCol w:w="95"/>
        <w:gridCol w:w="60"/>
        <w:gridCol w:w="260"/>
        <w:gridCol w:w="735"/>
        <w:gridCol w:w="95"/>
        <w:gridCol w:w="60"/>
        <w:gridCol w:w="96"/>
        <w:gridCol w:w="1019"/>
        <w:gridCol w:w="30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5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4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8"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w:t>
            </w:r>
          </w:p>
        </w:tc>
        <w:tc>
          <w:tcPr>
            <w:tcW w:w="1041" w:type="dxa"/>
            <w:tcBorders/>
            <w:shd w:fill="CCEEFF" w:val="clear"/>
            <w:vAlign w:val="center"/>
          </w:tcPr>
          <w:p>
            <w:pPr>
              <w:pStyle w:val="TableContents"/>
              <w:bidi w:val="0"/>
              <w:spacing w:before="0" w:after="283"/>
              <w:jc w:val="right"/>
              <w:rPr/>
            </w:pPr>
            <w:r>
              <w:rPr/>
              <w:t>(0.2</w:t>
            </w:r>
          </w:p>
        </w:tc>
        <w:tc>
          <w:tcPr>
            <w:tcW w:w="250" w:type="dxa"/>
            <w:tcBorders/>
            <w:shd w:fill="CCEEFF" w:val="clear"/>
            <w:vAlign w:val="center"/>
          </w:tcPr>
          <w:p>
            <w:pPr>
              <w:pStyle w:val="TableContents"/>
              <w:bidi w:val="0"/>
              <w:spacing w:before="0" w:after="283"/>
              <w:jc w:val="left"/>
              <w:rPr/>
            </w:pPr>
            <w:r>
              <w:rPr/>
              <w:t>)</w:t>
            </w:r>
          </w:p>
        </w:tc>
        <w:tc>
          <w:tcPr>
            <w:tcW w:w="158"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w:t>
            </w:r>
          </w:p>
        </w:tc>
        <w:tc>
          <w:tcPr>
            <w:tcW w:w="1041"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154.9</w:t>
            </w:r>
          </w:p>
        </w:tc>
        <w:tc>
          <w:tcPr>
            <w:tcW w:w="305"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0.4</w:t>
            </w:r>
          </w:p>
        </w:tc>
        <w:tc>
          <w:tcPr>
            <w:tcW w:w="25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(53.9</w:t>
            </w:r>
          </w:p>
        </w:tc>
        <w:tc>
          <w:tcPr>
            <w:tcW w:w="305"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Income tax (provision) benefit</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(0.1</w:t>
            </w:r>
          </w:p>
        </w:tc>
        <w:tc>
          <w:tcPr>
            <w:tcW w:w="250" w:type="dxa"/>
            <w:tcBorders/>
            <w:shd w:fill="CCEEFF" w:val="clear"/>
            <w:vAlign w:val="center"/>
          </w:tcPr>
          <w:p>
            <w:pPr>
              <w:pStyle w:val="TableContents"/>
              <w:bidi w:val="0"/>
              <w:spacing w:before="0" w:after="283"/>
              <w:jc w:val="left"/>
              <w:rPr/>
            </w:pPr>
            <w:r>
              <w:rPr/>
              <w:t>)</w:t>
            </w:r>
          </w:p>
        </w:tc>
        <w:tc>
          <w:tcPr>
            <w:tcW w:w="158"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(107.3</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related to our outstanding indebtedness with third-party lenders. Interest expense increased slightly for the three months ended March 31, 2026 due to the increased average debt during the three months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$0.4 million and $0.8 million for the three months ended March 31, 2026 and 2025, respectively. There was a decrease in the revaluation of convertible notes of $0.2 million and a decrease in the revaluation of warrant liabilities of $0.2 million in the three months ended March 31, 2026 compared to the three months ended March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benefit from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an income tax provision of $0.1 million and an income tax benefit of $1.5 million for the three months ended March 31, 2026 and 2025, respectively. This is primarily due to the utilization of net operating loss carryforwards during three months ended March 31, 2026, compared to being in a net loss position during the three months ended March 31, 2025. Our effective income tax rate was 5% and 43% during the three months ended March 31, 2026 and 2025, respectively.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Units Sold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Units Sold as a key performance metric in evaluating the performance of our console and PC game business. We define Units Sold as the number of game titles purchased through digital channels by an individual end user. Under this metric, the purchase of a standalone game, DLC, Season Pass or bundle on a specific platform are individually counted as a unit. For example, an individual who purchases a standalone game and DLC on one platform, a Season Pass on another platform, and a bundle on a third platform would count as four Units Sold. Similarly, an individual who purchases three standalone game titles on the same platform would count as three Units Sold.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Sold may be impacted by several factors that could cause fluctuations on a quarterly basis, such as game releases, our promotional activities, which most often coincide with the global holiday season in the fourth and first quarters of each year, promotional sales on digital platforms, console release cycles and new digital platforms. Future growth in Units Sold will depend on our ability to launch new games and features and the effectiveness of marketing strategies.</w:t>
      </w:r>
    </w:p>
    <w:p>
      <w:pPr>
        <w:pStyle w:val="TextBody"/>
        <w:bidi w:val="0"/>
        <w:spacing w:before="0" w:after="0"/>
        <w:ind w:left="0" w:right="0" w:hanging="0"/>
        <w:jc w:val="both"/>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1265"/>
        <w:gridCol w:w="60"/>
        <w:gridCol w:w="96"/>
        <w:gridCol w:w="516"/>
        <w:gridCol w:w="96"/>
        <w:gridCol w:w="96"/>
        <w:gridCol w:w="96"/>
        <w:gridCol w:w="516"/>
        <w:gridCol w:w="96"/>
        <w:gridCol w:w="96"/>
        <w:gridCol w:w="128"/>
        <w:gridCol w:w="687"/>
        <w:gridCol w:w="96"/>
        <w:gridCol w:w="96"/>
        <w:gridCol w:w="133"/>
        <w:gridCol w:w="982"/>
        <w:gridCol w:w="230"/>
      </w:tblGrid>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3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23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30" w:type="dxa"/>
            <w:gridSpan w:val="14"/>
            <w:tcBorders/>
            <w:vAlign w:val="center"/>
          </w:tcPr>
          <w:p>
            <w:pPr>
              <w:pStyle w:val="TableContents"/>
              <w:bidi w:val="0"/>
              <w:spacing w:before="0" w:after="283"/>
              <w:jc w:val="center"/>
              <w:rPr>
                <w:b/>
              </w:rPr>
            </w:pPr>
            <w:r>
              <w:rPr>
                <w:b/>
              </w:rPr>
              <w:t>(in millions)</w:t>
            </w:r>
          </w:p>
        </w:tc>
        <w:tc>
          <w:tcPr>
            <w:tcW w:w="23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pPr>
            <w:r>
              <w:rPr/>
              <w:t>Units Sold</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2.2</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1.5</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0.7</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42.6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260"/>
        <w:gridCol w:w="884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Units include master games, DLCs, season pass and bundles and excludes skins, soundtracks and other items.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Units sold increased during the three months ended March 31, 2026, by 0.7 million units or 42.6%, as compared to the three months ended March 31, 2025. The Company’s units sold increased due to sales of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IPs by 0.5 million units and an increase in sales of </w:t>
      </w:r>
      <w:r>
        <w:rPr>
          <w:rFonts w:ascii="Times New Roman;Times;Serif" w:hAnsi="Times New Roman;Times;Serif"/>
          <w:b w:val="false"/>
          <w:i/>
          <w:caps w:val="false"/>
          <w:smallCaps w:val="false"/>
          <w:sz w:val="20"/>
        </w:rPr>
        <w:t xml:space="preserve">Bellwright </w:t>
      </w:r>
      <w:r>
        <w:rPr>
          <w:rFonts w:ascii="Times New Roman;Times;Serif" w:hAnsi="Times New Roman;Times;Serif"/>
          <w:b w:val="false"/>
          <w:i w:val="false"/>
          <w:caps w:val="false"/>
          <w:smallCaps w:val="false"/>
          <w:sz w:val="20"/>
        </w:rPr>
        <w:t>of 0.2 million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Bookings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Bookings is a key operating metric in assessing our financial performance. Bookings adjusts for the impact of deferrals and, we believe, provides a useful indicator of sales in a given period. It reflects the net amount of products and services sold digitally or physically in a given period, excluding the impact of revenue deferrals. Bookings is used by management to understand sales trends and assess the volume of our sales activity over time. Bookings should not be considered as alternatives to net loss, as measures of financial performance or any other performance measure derived in accordance with GAAP. Below is a reconciliation of total net revenue to Bookings, the closest GAAP financial measure.</w:t>
      </w:r>
    </w:p>
    <w:p>
      <w:pPr>
        <w:pStyle w:val="TextBody"/>
        <w:bidi w:val="0"/>
        <w:spacing w:before="0" w:after="0"/>
        <w:ind w:left="0" w:right="0" w:firstLine="360"/>
        <w:jc w:val="both"/>
        <w:rPr>
          <w:caps w:val="false"/>
          <w:smallCaps w:val="false"/>
        </w:rPr>
      </w:pPr>
      <w:r>
        <w:rPr>
          <w:caps w:val="false"/>
          <w:smallCaps w:val="false"/>
        </w:rPr>
        <w:t> </w:t>
      </w:r>
    </w:p>
    <w:tbl>
      <w:tblPr>
        <w:tblW w:w="7481" w:type="dxa"/>
        <w:jc w:val="left"/>
        <w:tblInd w:w="0" w:type="dxa"/>
        <w:tblLayout w:type="fixed"/>
        <w:tblCellMar>
          <w:top w:w="0" w:type="dxa"/>
          <w:left w:w="0" w:type="dxa"/>
          <w:bottom w:w="0" w:type="dxa"/>
          <w:right w:w="0" w:type="dxa"/>
        </w:tblCellMar>
      </w:tblPr>
      <w:tblGrid>
        <w:gridCol w:w="3005"/>
        <w:gridCol w:w="60"/>
        <w:gridCol w:w="184"/>
        <w:gridCol w:w="578"/>
        <w:gridCol w:w="124"/>
        <w:gridCol w:w="78"/>
        <w:gridCol w:w="184"/>
        <w:gridCol w:w="578"/>
        <w:gridCol w:w="60"/>
        <w:gridCol w:w="60"/>
        <w:gridCol w:w="260"/>
        <w:gridCol w:w="735"/>
        <w:gridCol w:w="95"/>
        <w:gridCol w:w="60"/>
        <w:gridCol w:w="96"/>
        <w:gridCol w:w="1019"/>
        <w:gridCol w:w="305"/>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6"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1"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Total net revenue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578" w:type="dxa"/>
            <w:tcBorders/>
            <w:shd w:fill="CCEEFF" w:val="clear"/>
            <w:vAlign w:val="center"/>
          </w:tcPr>
          <w:p>
            <w:pPr>
              <w:pStyle w:val="TableContents"/>
              <w:bidi w:val="0"/>
              <w:spacing w:before="0" w:after="283"/>
              <w:jc w:val="right"/>
              <w:rPr/>
            </w:pPr>
            <w:r>
              <w:rPr/>
              <w:t>27.3</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578" w:type="dxa"/>
            <w:tcBorders/>
            <w:shd w:fill="CCEEFF" w:val="clear"/>
            <w:vAlign w:val="center"/>
          </w:tcPr>
          <w:p>
            <w:pPr>
              <w:pStyle w:val="TableContents"/>
              <w:bidi w:val="0"/>
              <w:spacing w:before="0" w:after="283"/>
              <w:jc w:val="right"/>
              <w:rPr/>
            </w:pPr>
            <w:r>
              <w:rPr/>
              <w:t>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35.7</w:t>
            </w:r>
          </w:p>
        </w:tc>
        <w:tc>
          <w:tcPr>
            <w:tcW w:w="305" w:type="dxa"/>
            <w:tcBorders/>
            <w:shd w:fill="CCEEFF" w:val="clear"/>
            <w:vAlign w:val="center"/>
          </w:tcPr>
          <w:p>
            <w:pPr>
              <w:pStyle w:val="TableContents"/>
              <w:bidi w:val="0"/>
              <w:spacing w:before="0" w:after="283"/>
              <w:jc w:val="left"/>
              <w:rPr/>
            </w:pPr>
            <w:r>
              <w:rPr/>
              <w:t>%</w:t>
            </w:r>
          </w:p>
        </w:tc>
      </w:tr>
      <w:tr>
        <w:trPr/>
        <w:tc>
          <w:tcPr>
            <w:tcW w:w="3005" w:type="dxa"/>
            <w:tcBorders/>
            <w:shd w:fill="FFFFFF" w:val="clear"/>
            <w:vAlign w:val="center"/>
          </w:tcPr>
          <w:p>
            <w:pPr>
              <w:pStyle w:val="TableContents"/>
              <w:bidi w:val="0"/>
              <w:spacing w:before="0" w:after="283"/>
              <w:jc w:val="left"/>
              <w:rPr/>
            </w:pPr>
            <w:r>
              <w:rPr/>
              <w:t>Change in deferred net revenue</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8" w:type="dxa"/>
            <w:tcBorders>
              <w:bottom w:val="single" w:sz="8" w:space="0" w:color="000000"/>
            </w:tcBorders>
            <w:shd w:fill="FFFFFF" w:val="clear"/>
            <w:tcMar>
              <w:bottom w:w="28" w:type="dxa"/>
            </w:tcMar>
            <w:vAlign w:val="center"/>
          </w:tcPr>
          <w:p>
            <w:pPr>
              <w:pStyle w:val="TableContents"/>
              <w:bidi w:val="0"/>
              <w:spacing w:before="0" w:after="283"/>
              <w:jc w:val="right"/>
              <w:rPr/>
            </w:pPr>
            <w:r>
              <w:rPr/>
              <w:t>(0.4</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8" w:type="dxa"/>
            <w:tcBorders>
              <w:bottom w:val="single" w:sz="8" w:space="0" w:color="000000"/>
            </w:tcBorders>
            <w:shd w:fill="FFFFFF" w:val="clear"/>
            <w:tcMar>
              <w:bottom w:w="28" w:type="dxa"/>
            </w:tcMar>
            <w:vAlign w:val="center"/>
          </w:tcPr>
          <w:p>
            <w:pPr>
              <w:pStyle w:val="TableContents"/>
              <w:bidi w:val="0"/>
              <w:spacing w:before="0" w:after="283"/>
              <w:jc w:val="right"/>
              <w:rPr/>
            </w:pPr>
            <w:r>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(116.8</w:t>
            </w:r>
          </w:p>
        </w:tc>
        <w:tc>
          <w:tcPr>
            <w:tcW w:w="305" w:type="dxa"/>
            <w:tcBorders/>
            <w:shd w:fill="FFFFFF" w:val="clear"/>
            <w:vAlign w:val="center"/>
          </w:tcPr>
          <w:p>
            <w:pPr>
              <w:pStyle w:val="TableContents"/>
              <w:bidi w:val="0"/>
              <w:spacing w:before="0" w:after="283"/>
              <w:jc w:val="left"/>
              <w:rPr/>
            </w:pPr>
            <w:r>
              <w:rPr/>
              <w:t>)%</w:t>
            </w:r>
          </w:p>
        </w:tc>
      </w:tr>
      <w:tr>
        <w:trPr/>
        <w:tc>
          <w:tcPr>
            <w:tcW w:w="3005" w:type="dxa"/>
            <w:tcBorders/>
            <w:shd w:fill="CCEEFF" w:val="clear"/>
            <w:vAlign w:val="center"/>
          </w:tcPr>
          <w:p>
            <w:pPr>
              <w:pStyle w:val="TableContents"/>
              <w:bidi w:val="0"/>
              <w:spacing w:before="0" w:after="283"/>
              <w:jc w:val="left"/>
              <w:rPr/>
            </w:pPr>
            <w:r>
              <w:rPr/>
              <w:t>Bookings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78" w:type="dxa"/>
            <w:tcBorders>
              <w:bottom w:val="double" w:sz="6" w:space="0" w:color="000000"/>
            </w:tcBorders>
            <w:shd w:fill="CCEEFF" w:val="clear"/>
            <w:tcMar>
              <w:bottom w:w="28" w:type="dxa"/>
            </w:tcMar>
            <w:vAlign w:val="center"/>
          </w:tcPr>
          <w:p>
            <w:pPr>
              <w:pStyle w:val="TableContents"/>
              <w:bidi w:val="0"/>
              <w:spacing w:before="0" w:after="283"/>
              <w:jc w:val="right"/>
              <w:rPr/>
            </w:pPr>
            <w:r>
              <w:rPr/>
              <w:t>26.9</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78" w:type="dxa"/>
            <w:tcBorders>
              <w:bottom w:val="double" w:sz="6" w:space="0" w:color="000000"/>
            </w:tcBorders>
            <w:shd w:fill="CCEEFF" w:val="clear"/>
            <w:tcMar>
              <w:bottom w:w="28" w:type="dxa"/>
            </w:tcMar>
            <w:vAlign w:val="center"/>
          </w:tcPr>
          <w:p>
            <w:pPr>
              <w:pStyle w:val="TableContents"/>
              <w:bidi w:val="0"/>
              <w:spacing w:before="0" w:after="283"/>
              <w:jc w:val="right"/>
              <w:rPr/>
            </w:pPr>
            <w:r>
              <w:rPr/>
              <w:t>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pPr>
            <w:r>
              <w:rPr/>
              <w:t>21.1</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March 31, 2026, bookings increased by $4.7 million or 21.1%, compared to the three months ended March 31, 2025, driven by improved sales promotions in 2026 compared to 2025, continued benefit from the December 2025 </w:t>
      </w:r>
      <w:r>
        <w:rPr>
          <w:rFonts w:ascii="Times New Roman;Times;Serif" w:hAnsi="Times New Roman;Times;Serif"/>
          <w:b w:val="false"/>
          <w:i/>
          <w:caps w:val="false"/>
          <w:smallCaps w:val="false"/>
          <w:sz w:val="20"/>
        </w:rPr>
        <w:t xml:space="preserve">ARK: Lost Colony DLC </w:t>
      </w:r>
      <w:r>
        <w:rPr>
          <w:rFonts w:ascii="Times New Roman;Times;Serif" w:hAnsi="Times New Roman;Times;Serif"/>
          <w:b w:val="false"/>
          <w:i w:val="false"/>
          <w:caps w:val="false"/>
          <w:smallCaps w:val="false"/>
          <w:sz w:val="20"/>
        </w:rPr>
        <w:t xml:space="preserve">release and </w:t>
      </w:r>
      <w:r>
        <w:rPr>
          <w:rFonts w:ascii="Times New Roman;Times;Serif" w:hAnsi="Times New Roman;Times;Serif"/>
          <w:b w:val="false"/>
          <w:i/>
          <w:caps w:val="false"/>
          <w:smallCaps w:val="false"/>
          <w:sz w:val="20"/>
        </w:rPr>
        <w:t xml:space="preserve">Bellwright’s </w:t>
      </w:r>
      <w:r>
        <w:rPr>
          <w:rFonts w:ascii="Times New Roman;Times;Serif" w:hAnsi="Times New Roman;Times;Serif"/>
          <w:b w:val="false"/>
          <w:i w:val="false"/>
          <w:caps w:val="false"/>
          <w:smallCaps w:val="false"/>
          <w:sz w:val="20"/>
        </w:rPr>
        <w:t>highly regarded content update in late 2025.</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Non-GAAP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financial results determined in accordance with U.S. generally accepted accounting principles (“U.S. GAAP” or “GAAP”), we believe EBITDA, as a non-GAAP measure, is useful in evaluating our operating performance. EBITDA, as used in this Quarterly Report on Form 10-Q, is a non-GAAP financial measure that is presented as supplemental disclosures and should not be construed as an alternative to net loss or any other GAAP measure as an indicator of operating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EBITDA because it is used by management to assess our financial performance, excluding certain expenses that management believes do not reflect the ongoing operating performance of the business. Management uses EBITDA to supplement GAAP measures of performance when evaluating our business strategies, making budgeting decisions and comparing performance against peer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EBITDA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EBITDA as net income (loss) before (i) interest expense, (ii) provision for (benefit from) income taxes, and (iii) depreciation expense, 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as calculated herein may not be comparable to similarly titled measures reported by other companies within the industry and is not determined in accordance with GAAP. Our presentation of EBITDA should not be construed as an inference that our future results will be unaffected by unusual or unexpected items. We may also incur expenses that are the same, or similar to, some of the adjustments in this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reconciliation of net income (loss) to EBITDA, the closest GAAP financial measure.</w:t>
      </w:r>
    </w:p>
    <w:p>
      <w:pPr>
        <w:pStyle w:val="TextBody"/>
        <w:bidi w:val="0"/>
        <w:spacing w:before="0" w:after="0"/>
        <w:ind w:left="0" w:right="0" w:firstLine="360"/>
        <w:jc w:val="both"/>
        <w:rPr>
          <w:caps w:val="false"/>
          <w:smallCaps w:val="false"/>
        </w:rPr>
      </w:pPr>
      <w:r>
        <w:rPr>
          <w:caps w:val="false"/>
          <w:smallCaps w:val="false"/>
        </w:rPr>
        <w:t> </w:t>
      </w:r>
    </w:p>
    <w:tbl>
      <w:tblPr>
        <w:tblW w:w="8122" w:type="dxa"/>
        <w:jc w:val="left"/>
        <w:tblInd w:w="0" w:type="dxa"/>
        <w:tblLayout w:type="fixed"/>
        <w:tblCellMar>
          <w:top w:w="0" w:type="dxa"/>
          <w:left w:w="0" w:type="dxa"/>
          <w:bottom w:w="0" w:type="dxa"/>
          <w:right w:w="0" w:type="dxa"/>
        </w:tblCellMar>
      </w:tblPr>
      <w:tblGrid>
        <w:gridCol w:w="3920"/>
        <w:gridCol w:w="60"/>
        <w:gridCol w:w="170"/>
        <w:gridCol w:w="389"/>
        <w:gridCol w:w="72"/>
        <w:gridCol w:w="72"/>
        <w:gridCol w:w="170"/>
        <w:gridCol w:w="480"/>
        <w:gridCol w:w="115"/>
        <w:gridCol w:w="72"/>
        <w:gridCol w:w="260"/>
        <w:gridCol w:w="735"/>
        <w:gridCol w:w="115"/>
        <w:gridCol w:w="72"/>
        <w:gridCol w:w="96"/>
        <w:gridCol w:w="1019"/>
        <w:gridCol w:w="30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30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7"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389" w:type="dxa"/>
            <w:tcBorders/>
            <w:shd w:fill="CCEEFF" w:val="clear"/>
            <w:vAlign w:val="center"/>
          </w:tcPr>
          <w:p>
            <w:pPr>
              <w:pStyle w:val="TableContents"/>
              <w:bidi w:val="0"/>
              <w:spacing w:before="0" w:after="283"/>
              <w:jc w:val="right"/>
              <w:rPr/>
            </w:pPr>
            <w:r>
              <w:rPr/>
              <w:t>2.1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80" w:type="dxa"/>
            <w:tcBorders/>
            <w:shd w:fill="CCEEFF" w:val="clear"/>
            <w:vAlign w:val="center"/>
          </w:tcPr>
          <w:p>
            <w:pPr>
              <w:pStyle w:val="TableContents"/>
              <w:bidi w:val="0"/>
              <w:spacing w:before="0" w:after="283"/>
              <w:jc w:val="right"/>
              <w:rPr/>
            </w:pPr>
            <w:r>
              <w:rPr/>
              <w:t>(1.9</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4.1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(209.6</w:t>
            </w:r>
          </w:p>
        </w:tc>
        <w:tc>
          <w:tcPr>
            <w:tcW w:w="305" w:type="dxa"/>
            <w:tcBorders/>
            <w:shd w:fill="CCEEFF" w:val="clear"/>
            <w:vAlign w:val="center"/>
          </w:tcPr>
          <w:p>
            <w:pPr>
              <w:pStyle w:val="TableContents"/>
              <w:bidi w:val="0"/>
              <w:spacing w:before="0" w:after="283"/>
              <w:jc w:val="left"/>
              <w:rPr/>
            </w:pPr>
            <w:r>
              <w:rPr/>
              <w:t>)%</w:t>
            </w:r>
          </w:p>
        </w:tc>
      </w:tr>
      <w:tr>
        <w:trPr/>
        <w:tc>
          <w:tcPr>
            <w:tcW w:w="392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right"/>
              <w:rPr/>
            </w:pPr>
            <w:r>
              <w:rPr/>
              <w:t>0.2</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0.1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154.9</w:t>
            </w:r>
          </w:p>
        </w:tc>
        <w:tc>
          <w:tcPr>
            <w:tcW w:w="305" w:type="dxa"/>
            <w:tcBorders/>
            <w:shd w:fill="FFFFFF" w:val="clear"/>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Provision for (benefit from) income taxes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right"/>
              <w:rPr/>
            </w:pPr>
            <w:r>
              <w:rPr/>
              <w:t>0.1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(1.5</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(107.3</w:t>
            </w:r>
          </w:p>
        </w:tc>
        <w:tc>
          <w:tcPr>
            <w:tcW w:w="305" w:type="dxa"/>
            <w:tcBorders/>
            <w:shd w:fill="CCEEFF" w:val="clear"/>
            <w:vAlign w:val="center"/>
          </w:tcPr>
          <w:p>
            <w:pPr>
              <w:pStyle w:val="TableContents"/>
              <w:bidi w:val="0"/>
              <w:spacing w:before="0" w:after="283"/>
              <w:jc w:val="left"/>
              <w:rPr/>
            </w:pPr>
            <w:r>
              <w:rPr/>
              <w:t>)%</w:t>
            </w:r>
          </w:p>
        </w:tc>
      </w:tr>
      <w:tr>
        <w:trPr/>
        <w:tc>
          <w:tcPr>
            <w:tcW w:w="3920" w:type="dxa"/>
            <w:tcBorders/>
            <w:shd w:fill="FFFFFF" w:val="clear"/>
            <w:vAlign w:val="center"/>
          </w:tcPr>
          <w:p>
            <w:pPr>
              <w:pStyle w:val="TableContents"/>
              <w:bidi w:val="0"/>
              <w:spacing w:before="0" w:after="283"/>
              <w:jc w:val="left"/>
              <w:rPr/>
            </w:pPr>
            <w:r>
              <w:rPr/>
              <w:t>Depreciation expense</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0"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(81.2</w:t>
            </w:r>
          </w:p>
        </w:tc>
        <w:tc>
          <w:tcPr>
            <w:tcW w:w="305" w:type="dxa"/>
            <w:tcBorders/>
            <w:shd w:fill="FFFFFF" w:val="clear"/>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b/>
              </w:rPr>
            </w:pPr>
            <w:r>
              <w:rPr>
                <w:b/>
              </w:rPr>
              <w:t>EBITDA</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9" w:type="dxa"/>
            <w:tcBorders>
              <w:bottom w:val="double" w:sz="6" w:space="0" w:color="000000"/>
            </w:tcBorders>
            <w:shd w:fill="CCEEFF" w:val="clear"/>
            <w:tcMar>
              <w:bottom w:w="28" w:type="dxa"/>
            </w:tcMar>
            <w:vAlign w:val="center"/>
          </w:tcPr>
          <w:p>
            <w:pPr>
              <w:pStyle w:val="TableContents"/>
              <w:bidi w:val="0"/>
              <w:spacing w:before="0" w:after="283"/>
              <w:jc w:val="right"/>
              <w:rPr/>
            </w:pPr>
            <w:r>
              <w:rPr/>
              <w:t>2.4</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0" w:type="dxa"/>
            <w:tcBorders>
              <w:bottom w:val="double" w:sz="6" w:space="0" w:color="000000"/>
            </w:tcBorders>
            <w:shd w:fill="CCEEFF" w:val="clear"/>
            <w:tcMar>
              <w:bottom w:w="28" w:type="dxa"/>
            </w:tcMar>
            <w:vAlign w:val="center"/>
          </w:tcPr>
          <w:p>
            <w:pPr>
              <w:pStyle w:val="TableContents"/>
              <w:bidi w:val="0"/>
              <w:spacing w:before="0" w:after="283"/>
              <w:jc w:val="right"/>
              <w:rPr/>
            </w:pPr>
            <w:r>
              <w:rPr/>
              <w:t>(3.2</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pPr>
            <w:r>
              <w:rPr/>
              <w:t>5.7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pPr>
            <w:r>
              <w:rPr/>
              <w:t>(173.3</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EBITDA increased by $5.7 million, or 173.3%, compared to the three months ended March 31, 2025, primarily because of an increase in net income of $4.1 million and a decrease in the benefit from income taxes of $1.6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spending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games that meet our strategic and return on investment criteria. Capital needs for investment opportunities are evaluated on an individual opportunity basis and may require significant capital commitments.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are the cash flows generated from our operations, that are currently available as unrestricted cash. Our unrestricted cash was $14.3 million and $8.6 million as of March 31, 2026 and December 31,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restricted cash and cash equivalents were $1.9 and $1.9 million as of March 31, 2026 and December 31, 2025, respectively. Our restricted cash primarily consists of time deposits and is used to secure standby letters of credit with certain of our landlords and hold collateral in reserve related to our revolving line of credit.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2021 Revolving Loan has a balance of $2.5 million and is due and payable in March 2030. Additionally, in February 2025 we issued convertible notes with a stated value of $3.3 million which matured in February 2026 and have been fully repaid as of March 31, 2026. We obtained a term loan note of $3.5 million in June 2025 with a maturity date of June 2028. In October 2025, we issued a convertible note with a stated value of $2.2 million, which matures in October 2026; and in November 2025, we issued a convertible note with a par value of $1.1 million, which matures in November 2026. Additionally, we have available to issue up to $4.4 million of convertible notes to our existing noteholders. We are in compliance with our debt covenants related to the 2021 Revolving Loan, 2021 Promissory note and 2025 Term Loan for the trailing twelve months ended March 31, 2026. For the trailing twelve months ended December 31, 2025, the Company was in compliance with its debt covenants related to the 2021 Revolving Note, 2021 Promissory Note and 2025 Term Loan. There is no guarantee we will receive a waiver from the applicable lender if the covenants of the loans are breached in the future. In the event of a future breach of the debt covenants the lender has the right, but not the obligation, to declare all or any part of the debt as due immediately and cease making any advances or extend any further credit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raised capital through the issuance of the convertible notes and the distribution agreement entered into with our retail partner which provided advanced royalties. We may need to raise additional capital and issue registered shares to draw on an equity line of credit if needed. The need for additional capital depends on many factors, including, among other things, whether we can successfully renegotiate the terms of our debt arrangements, the rate at which our business grows, demands for working capital, revenue generated from existing DLCs and game titles and launches of new DLCs and new game titles, and any acquisitions that we may pursue. From time to time, we could be required, or may otherwise attempt, to seek additional sources of capital, including, but not limited to, equity and/or debt financings. We cannot provide assurance that we will be able to successfully access any such equity or debt financings, that the required equity or debt financings would be available on terms acceptable to us, if at all, or that any such financings would not be dilutive to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unrestricted cash position of approximately $14.3 million, and our expected revenue receipts will allow the Company to continue operations beyond the next 12 months and service its current debts.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a summary of our cash flows for the periods indicated: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24"/>
        <w:gridCol w:w="60"/>
        <w:gridCol w:w="267"/>
        <w:gridCol w:w="840"/>
        <w:gridCol w:w="181"/>
        <w:gridCol w:w="114"/>
        <w:gridCol w:w="267"/>
        <w:gridCol w:w="754"/>
        <w:gridCol w:w="95"/>
        <w:gridCol w:w="60"/>
        <w:gridCol w:w="260"/>
        <w:gridCol w:w="735"/>
        <w:gridCol w:w="95"/>
        <w:gridCol w:w="60"/>
        <w:gridCol w:w="83"/>
        <w:gridCol w:w="1032"/>
        <w:gridCol w:w="278"/>
      </w:tblGrid>
      <w:tr>
        <w:trPr/>
        <w:tc>
          <w:tcPr>
            <w:tcW w:w="50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78" w:type="dxa"/>
            <w:tcBorders/>
            <w:vAlign w:val="center"/>
          </w:tcPr>
          <w:p>
            <w:pPr>
              <w:pStyle w:val="TableContents"/>
              <w:bidi w:val="0"/>
              <w:spacing w:before="0" w:after="283"/>
              <w:jc w:val="left"/>
              <w:rPr/>
            </w:pPr>
            <w:r>
              <w:rPr/>
              <w:t> </w:t>
            </w:r>
          </w:p>
        </w:tc>
      </w:tr>
      <w:tr>
        <w:trPr/>
        <w:tc>
          <w:tcPr>
            <w:tcW w:w="50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81"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0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78" w:type="dxa"/>
            <w:tcBorders/>
            <w:vAlign w:val="center"/>
          </w:tcPr>
          <w:p>
            <w:pPr>
              <w:pStyle w:val="TableContents"/>
              <w:bidi w:val="0"/>
              <w:spacing w:before="0" w:after="283"/>
              <w:jc w:val="left"/>
              <w:rPr/>
            </w:pPr>
            <w:r>
              <w:rPr/>
              <w:t> </w:t>
            </w:r>
          </w:p>
        </w:tc>
      </w:tr>
      <w:tr>
        <w:trPr/>
        <w:tc>
          <w:tcPr>
            <w:tcW w:w="50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43" w:type="dxa"/>
            <w:gridSpan w:val="14"/>
            <w:tcBorders/>
            <w:vAlign w:val="center"/>
          </w:tcPr>
          <w:p>
            <w:pPr>
              <w:pStyle w:val="TableContents"/>
              <w:bidi w:val="0"/>
              <w:spacing w:before="0" w:after="283"/>
              <w:jc w:val="center"/>
              <w:rPr>
                <w:b/>
              </w:rPr>
            </w:pPr>
            <w:r>
              <w:rPr>
                <w:b/>
              </w:rPr>
              <w:t>(in millions)</w:t>
            </w:r>
          </w:p>
        </w:tc>
        <w:tc>
          <w:tcPr>
            <w:tcW w:w="278" w:type="dxa"/>
            <w:tcBorders/>
            <w:vAlign w:val="center"/>
          </w:tcPr>
          <w:p>
            <w:pPr>
              <w:pStyle w:val="TableContents"/>
              <w:bidi w:val="0"/>
              <w:spacing w:before="0" w:after="283"/>
              <w:jc w:val="left"/>
              <w:rPr/>
            </w:pPr>
            <w:r>
              <w:rPr/>
              <w:t> </w:t>
            </w:r>
          </w:p>
        </w:tc>
      </w:tr>
      <w:tr>
        <w:trPr/>
        <w:tc>
          <w:tcPr>
            <w:tcW w:w="5024" w:type="dxa"/>
            <w:tcBorders/>
            <w:shd w:fill="CCEEFF" w:val="clear"/>
            <w:vAlign w:val="center"/>
          </w:tcPr>
          <w:p>
            <w:pPr>
              <w:pStyle w:val="TableContents"/>
              <w:bidi w:val="0"/>
              <w:spacing w:before="0" w:after="283"/>
              <w:jc w:val="left"/>
              <w:rPr/>
            </w:pPr>
            <w:r>
              <w:rPr/>
              <w:t>Net cash flows provided by operating activities</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10.2</w:t>
            </w:r>
          </w:p>
        </w:tc>
        <w:tc>
          <w:tcPr>
            <w:tcW w:w="18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754" w:type="dxa"/>
            <w:tcBorders/>
            <w:shd w:fill="CCEEFF" w:val="clear"/>
            <w:vAlign w:val="center"/>
          </w:tcPr>
          <w:p>
            <w:pPr>
              <w:pStyle w:val="TableContents"/>
              <w:bidi w:val="0"/>
              <w:spacing w:before="0" w:after="283"/>
              <w:jc w:val="right"/>
              <w:rPr/>
            </w:pPr>
            <w:r>
              <w:rPr/>
              <w:t>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1,235.1</w:t>
            </w:r>
          </w:p>
        </w:tc>
        <w:tc>
          <w:tcPr>
            <w:tcW w:w="278" w:type="dxa"/>
            <w:tcBorders/>
            <w:shd w:fill="CCEEFF" w:val="clear"/>
            <w:vAlign w:val="center"/>
          </w:tcPr>
          <w:p>
            <w:pPr>
              <w:pStyle w:val="TableContents"/>
              <w:bidi w:val="0"/>
              <w:spacing w:before="0" w:after="283"/>
              <w:jc w:val="left"/>
              <w:rPr/>
            </w:pPr>
            <w:r>
              <w:rPr/>
              <w:t>%</w:t>
            </w:r>
          </w:p>
        </w:tc>
      </w:tr>
      <w:tr>
        <w:trPr/>
        <w:tc>
          <w:tcPr>
            <w:tcW w:w="5024" w:type="dxa"/>
            <w:tcBorders/>
            <w:shd w:fill="FFFFFF" w:val="clear"/>
            <w:vAlign w:val="center"/>
          </w:tcPr>
          <w:p>
            <w:pPr>
              <w:pStyle w:val="TableContents"/>
              <w:bidi w:val="0"/>
              <w:spacing w:before="0" w:after="283"/>
              <w:jc w:val="left"/>
              <w:rPr/>
            </w:pPr>
            <w:r>
              <w:rPr/>
              <w:t>Net cash flows used in investing activities</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(0.2</w:t>
            </w:r>
          </w:p>
        </w:tc>
        <w:tc>
          <w:tcPr>
            <w:tcW w:w="181" w:type="dxa"/>
            <w:tcBorders/>
            <w:shd w:fill="FFFFFF" w:val="clear"/>
            <w:vAlign w:val="center"/>
          </w:tcPr>
          <w:p>
            <w:pPr>
              <w:pStyle w:val="TableContents"/>
              <w:bidi w:val="0"/>
              <w:spacing w:before="0" w:after="283"/>
              <w:jc w:val="left"/>
              <w:rPr/>
            </w:pPr>
            <w:r>
              <w:rPr/>
              <w:t>)</w:t>
            </w:r>
          </w:p>
        </w:tc>
        <w:tc>
          <w:tcPr>
            <w:tcW w:w="114"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(91.4</w:t>
            </w:r>
          </w:p>
        </w:tc>
        <w:tc>
          <w:tcPr>
            <w:tcW w:w="278" w:type="dxa"/>
            <w:tcBorders/>
            <w:shd w:fill="FFFFFF" w:val="clear"/>
            <w:vAlign w:val="center"/>
          </w:tcPr>
          <w:p>
            <w:pPr>
              <w:pStyle w:val="TableContents"/>
              <w:bidi w:val="0"/>
              <w:spacing w:before="0" w:after="283"/>
              <w:jc w:val="left"/>
              <w:rPr/>
            </w:pPr>
            <w:r>
              <w:rPr/>
              <w:t>)%</w:t>
            </w:r>
          </w:p>
        </w:tc>
      </w:tr>
      <w:tr>
        <w:trPr/>
        <w:tc>
          <w:tcPr>
            <w:tcW w:w="5024" w:type="dxa"/>
            <w:tcBorders/>
            <w:shd w:fill="CCEEFF" w:val="clear"/>
            <w:vAlign w:val="center"/>
          </w:tcPr>
          <w:p>
            <w:pPr>
              <w:pStyle w:val="TableContents"/>
              <w:bidi w:val="0"/>
              <w:spacing w:before="0" w:after="283"/>
              <w:jc w:val="left"/>
              <w:rPr/>
            </w:pPr>
            <w:r>
              <w:rPr/>
              <w:t>Net cash flows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181"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single" w:sz="8" w:space="0" w:color="000000"/>
            </w:tcBorders>
            <w:shd w:fill="CCEEFF" w:val="clear"/>
            <w:tcMar>
              <w:bottom w:w="28" w:type="dxa"/>
            </w:tcMar>
            <w:vAlign w:val="center"/>
          </w:tcPr>
          <w:p>
            <w:pPr>
              <w:pStyle w:val="TableContents"/>
              <w:bidi w:val="0"/>
              <w:spacing w:before="0" w:after="283"/>
              <w:jc w:val="right"/>
              <w:rPr/>
            </w:pPr>
            <w:r>
              <w:rPr/>
              <w:t>(236.5</w:t>
            </w:r>
          </w:p>
        </w:tc>
        <w:tc>
          <w:tcPr>
            <w:tcW w:w="278" w:type="dxa"/>
            <w:tcBorders/>
            <w:shd w:fill="CCEEFF" w:val="clear"/>
            <w:vAlign w:val="center"/>
          </w:tcPr>
          <w:p>
            <w:pPr>
              <w:pStyle w:val="TableContents"/>
              <w:bidi w:val="0"/>
              <w:spacing w:before="0" w:after="283"/>
              <w:jc w:val="left"/>
              <w:rPr/>
            </w:pPr>
            <w:r>
              <w:rPr/>
              <w:t>)%</w:t>
            </w:r>
          </w:p>
        </w:tc>
      </w:tr>
      <w:tr>
        <w:trPr/>
        <w:tc>
          <w:tcPr>
            <w:tcW w:w="5024" w:type="dxa"/>
            <w:tcBorders/>
            <w:shd w:fill="FFFFFF" w:val="clear"/>
            <w:vAlign w:val="center"/>
          </w:tcPr>
          <w:p>
            <w:pPr>
              <w:pStyle w:val="TableContents"/>
              <w:bidi w:val="0"/>
              <w:spacing w:before="0" w:after="283"/>
              <w:jc w:val="left"/>
              <w:rPr/>
            </w:pPr>
            <w:r>
              <w:rPr/>
              <w:t>Net increase in cash and cash equivalents and restricted cash and cash equivalents</w:t>
            </w:r>
          </w:p>
        </w:tc>
        <w:tc>
          <w:tcPr>
            <w:tcW w:w="60"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0" w:type="dxa"/>
            <w:tcBorders>
              <w:bottom w:val="double" w:sz="6" w:space="0" w:color="000000"/>
            </w:tcBorders>
            <w:shd w:fill="FFFFFF" w:val="clear"/>
            <w:tcMar>
              <w:bottom w:w="28" w:type="dxa"/>
            </w:tcMar>
            <w:vAlign w:val="center"/>
          </w:tcPr>
          <w:p>
            <w:pPr>
              <w:pStyle w:val="TableContents"/>
              <w:bidi w:val="0"/>
              <w:spacing w:before="0" w:after="283"/>
              <w:jc w:val="right"/>
              <w:rPr/>
            </w:pPr>
            <w:r>
              <w:rPr/>
              <w:t>5.7</w:t>
            </w:r>
          </w:p>
        </w:tc>
        <w:tc>
          <w:tcPr>
            <w:tcW w:w="18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double" w:sz="6" w:space="0" w:color="000000"/>
            </w:tcBorders>
            <w:shd w:fill="FFFFFF" w:val="clear"/>
            <w:tcMar>
              <w:bottom w:w="28" w:type="dxa"/>
            </w:tcMar>
            <w:vAlign w:val="center"/>
          </w:tcPr>
          <w:p>
            <w:pPr>
              <w:pStyle w:val="TableContents"/>
              <w:bidi w:val="0"/>
              <w:spacing w:before="0" w:after="283"/>
              <w:jc w:val="right"/>
              <w:rPr/>
            </w:pPr>
            <w:r>
              <w:rPr/>
              <w:t>178.2</w:t>
            </w:r>
          </w:p>
        </w:tc>
        <w:tc>
          <w:tcPr>
            <w:tcW w:w="278"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provided by operating activities for the three months ended March 31, 2026 increased by $9.4 million as compared to the three months ended March 31, 2025, which resulted primarily from an increase in net income of $4.2 million, an increase in prepaid taxes of $3.6 million, an increase in deferred taxes of $2.0 million, an increase in accrued expenses and other liabilities of $1.1 million and an increase in prepaid expenses related party and prepaid expenses and other current assets of $1.0 million, partially offset by a decrease in deferred revenue of $2.5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 net income of $2.1 million and net loss of $1.9 million, for the three months ended March 31, 2026 and 2025, respectively, representing an increase of $4.0 million. The increase was primarily due to an increase in revenue of $7.2 million and a decrease in total operating expense of $0.3 million, partially offset by an increase in provision for income taxes of $1.6 million, an increase in cost of revenues of $1.4 million and a decrease in total other income of $0.5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reconciling items were $0.3 million and ($1.6) million for the three months ended March 31, 2026 and 2025, respectively, representing an increase of $1.9 million. The increase in the non-cash reconciling items was due to an increase in deferred taxes of $2.0 million, an increase in amortization expense of $0.3 million, a decrease in the gain of change in fair value of warrant liabilities of $0.2 million and an increase in the loss on change in fair value of convertible notes of $0.2 million, partially offset by a decrease in stock compensation expense of $0.8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accounts receivable – related party represent revenues attributable to certain mobile games that, for administrative reasons, were collected on our behalf by SDE Inc. (“SDE”), an affiliated entity, from fiscal year 2018 through 2021. SDE no longer collects such payments on our behalf; all such payments are received directly from the platforms through which we offer the relevant games. As of March 31, 2026 and December 31, 2025, the net outstanding balances of receivables due from SDE were $0.0 million and $1.5 million, respectively. The Company and SDE have entered into an agreement to offset uncollected amounts against monthly payments due to SDE for operating expenses and costs of revenue. See Note 5- </w:t>
      </w:r>
      <w:r>
        <w:rPr>
          <w:rFonts w:ascii="Times New Roman;Times;Serif" w:hAnsi="Times New Roman;Times;Serif"/>
          <w:b w:val="false"/>
          <w:i/>
          <w:caps w:val="false"/>
          <w:smallCaps w:val="false"/>
          <w:sz w:val="20"/>
        </w:rPr>
        <w:t>Accounts (Payable) Receivable - Related Party</w:t>
      </w:r>
      <w:r>
        <w:rPr>
          <w:rFonts w:ascii="Times New Roman;Times;Serif" w:hAnsi="Times New Roman;Times;Serif"/>
          <w:b w:val="false"/>
          <w:i w:val="false"/>
          <w:caps w:val="false"/>
          <w:smallCaps w:val="false"/>
          <w:sz w:val="20"/>
        </w:rPr>
        <w:t xml:space="preserve"> to our unaudited condensed consolidated financial statements included in this Quarterly Report.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investing activities for the three months ended March 31, 2026 were $0.2 million compared to $1.9 million in the three months ended March 31, 2025. Investing activities for the three months ended March 31, 2026 included $0.2 million for the acquisition of license rights to certain titles that are capitalized as research and development expenditures to be sold or marketed. Investing activities for the three months ended March 31, 2025 included $0.3 million for the acquisition of software applications, $1.4 million for the acquisition of license rights to certain titles, and $0.2 million in capitalized research and development expenditures for the development of software to be sold or marketed.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provided by financing activities for the three months ended March 31, 2026 were ($4.3) million compared to $3.1 million for the three months ended March 31, 2025. Financing activities for the three months ended March 31, 2026 included a $2.5 million repayment on the 2021 Revolving Loan, $1.5 million repayment on the February 2025, October 2025 and November 2025 Convertible Notes and a $0.3 million repayment on the 2021 Promissory Note and 2025 Term Loan. Financing activities for the three months ended March 31, 2025 included $3.0 million from the issuance of convertible notes and $0.2 million received upon the exercise of warrants during the period.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Registered Offerings and Registration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filed a Registration Statement on Form S-1 with the SEC in connection with our issuance of convertible note, equity line of credit and warrants related to each financing as noted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we filed a universal shelf Registration Statement on Form S-3 that registered $50,000,000 of any combination of our Class A common stock, preferred stock, debt securities, warrants or units described therein, either individually or in combination with other securities. The “shelf” Registration Statement was declared effective on September 20, 2024 and was used to register pursuant to a prospectus supplement, dated August 7, 2025, to the “shelf” Registration Statement for the potential sale of up to $4.5 million of shares of our Class A common stock in the “at the market offering” program with Wainwright.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we filed a Registration Statement on Form S-1 with the SEC registering shares of our Class A common stock underlying two convertible notes issued in the aggregate principal amount of $3.3 million. The first note, issued October 24, 2025, has a principal amount of $2.2 million for proceeds of $2.0 million, bears a 5% interest rate, repayable in 10 monthly installments starting January 24, 2026 and maturing October 24, 2026. The second note, issued November 26, 2025, has a principal amount of $1.1 million for proceeds of $1.0 million, bears a 5% interest rate, repayable in 10 monthly installments starting February 26, 2026 and maturing November 26, 2026. These notes are convertible into Class A common stock at $5.00 per share, subject to certain exceptions as discussed below.</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fund our operations from our net cash flows provided by operating activities as well as through public and private sales of our securities, and we expect to continue to seek and obtain additional capital in a similar manner. In addition to these cash flows, we have entered into certain debt arrangements to provide additional liquidity and to finance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Revolving Loan and First Term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outstanding borrowings pursuant to a Third Amended and Restated Loan and Security Agreement dated June 21, 2023, with Cathay Bank, as subsequently amended on December 28, 2023, December 31, 2024, June 10, 2025, January 2, 2026, and March 16, 2026 (as so amended, the “2023 Loan Agreement”), consisting of (i) a term loan in the original principal amount of Ten Million and No/100 Dollars ($10,000,000) (the “First Term Loan”), and (ii) a revolving line of credit in the maximum principal amount of Six Million and No/100 Dollars ($6,000,000.00) (the “Revolving Loan”). As of March 31, 2026, there is no outstanding balance under the First Term Loan, and the outstanding balance under the Revolving Loan is $2,500,000. The Revolving Loan has a maximum principal balance of $5,000,000 and bears interest at a rate equal to the prime rate less 0.25% and a floor rate of 6.50%. Interest is due and payable under the Revolving Loan on a monthly basis. On and after March 31, 2027, we will no longer be permitted to borrow any further amounts under the Revolving Loan. At such time, the revolving Loan will be converted to a term loan with maturity date of March 31, 2030, and we will be required to repay any principal balance then outstanding in monthly installments.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we entered into a loan agreement with a financial institution providing for a term loan in an aggregate principal amount of $3.0 million (the “Term Loan”). The Term Loan, which was originally set to mature in June 2031, bears interest at a fixed rate of 3.5% for the first five years and then at a floating rate of the Wall Street Journal prime rate until maturity. The Term Loan is secured by our principal headquarters.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Term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entered into a loan agreement with a financial institution providing for a term loan (the “2025 Term Loan”) in an aggregate principal amount of $3.5 million. This loan is set to mature in June 2028, bears interest at a floating rate of 0.50% in excess of Wall Street Journal prime rate or a floor of 6.50% rate until maturity.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we issued convertible notes (the “February 2025 Convertible Notes”) with an aggregate principal amount of $3,300,000 for gross proceeds of $3,000,000. The February 2025 Convertible Notes, which matured on February 21, 2026, carried an original issue discount of 10%, and were subject to a guaranteed interest equal to 5% of the principal amount. The principal and interest charges were payable in 10 equal monthly payments starting May 21, 2025. We have accounted for the convertible notes at fair value. As of February 28, 2026, the February 2025 Convertible Notes have been fully repaid and no amounts remain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issued a convertible note (the “October 2025 Convertible Note”) with an aggregate principal amount of $2,200,000 for gross proceeds of $2,000,000. The October 2025 Convertible Note, which matures on October 24, 2026, carries an original issue discount of 10%, and is subject to a guaranteed interest equal to 5% of the principal amount. The principal and interest charges are payable in 10 equal monthly payments starting January 24, 2026. We are accounting for the convertible note at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we issued a convertible note (the “November 2025 Convertible Note” and, together with the February 2025 Convertible Notes, and the October 2025 Convertible Note, and the “2025 Convertible Notes”) with an aggregate principal amount of $1,100,000 for gross proceeds of $1,000,000. The November 2025 Convertible Note, which matures on November 26, 2026, carries an original issue discount of 10%, and is subject to a guaranteed interest equal to 5% of the principal amount. The principal and interest charges are payable in 10 equal monthly payments starting February 26, 2026. We are accounting for the convertible note at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Convertible Notes are ranked as a senior unsecured obligation of the Company with priority over all existing and future unsecured indebtedness. Subject to certain ownership limitations, all or portion of the then outstanding and unpaid principal and interest of the 2025 Convertible Notes can be converted at the option of the holder at any time into shares of our Class A common stock, at a conversion price of $5.00 per share, except that, for an aggregate of $577,500 of the conversion amount with respect to the October 2025 Convertible Note, and an aggregate of $288,750 of the conversion amount with respect to the November 2025 Convertible Note, the conversion price will be equal to the lesser of $5.00 per share or 92% of the lowest daily volume weighted average price of the Class A common stock during the 5 trading days period prior the receipt of the notice of conversion. The conversion price may be adjusted for certain customary dilutive events. We have registered the resale by the holders of the October 2025 Convertible Note and the November 2025 Convertible Note of an aggregate of 5,414,991 shares of Class A common stock issuable upon the conversion of such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Line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we entered into a common stock purchase agreement (the “Equity Line Purchase Agreement”) and a registration rights agreement (the “Registration Rights Agreement”) with an investor, pursuant to which the investor has committed to purchase up to $5,000,000 in shares of the Class A common stock, subject to certain limitations and conditions set forth in the Equity Line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registered shares for potential issuance on exercise of the warrants, or drawing of the equity line, on a Registration Statement on Form S-1 that was declared effective on October 30, 2023. As of March 31, 2026, we have not sold any Class A common stock under the Equity Line Purchase Agreement and the agreement has expired. The investor has exercised 33,333 warrants.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2025, we entered into an At The Market Offering Agreement (the “ATM Sales Agreement”) with H.C. Wainwright &amp; Co., LLC, as sales agent (the “Sales Agent” or “Wainwright”) to sell shares of our Class A common stock from time to time, in an “at the market offering” program through Wainwright, with certain limitations on the amount of Class A common stock that may be offered and sold thereunder. The sales, if any, of the shares of Class A common stock made under the ATM Sales Agreement will be made by any method permitted by law deemed to be an “at the market offering” as defined in Rule 415(a)(4) promulgated under the Securities Act, including sales made directly on or through the Nasdaq or on any other existing trading market for the Class A common stock, directly to Wainwright as principal, in negotiated transactions at market prices prevailing at the time of sale or at prices related to such prevailing market prices, and/or in any other method permitted by law. Offers and sales of shares of Class A common stock by the Company, if any, under the ATM Sales Agreement, will be made through a prospectus supplement, dated August 7, 2025 and an accompanying base prospectus, dated September 20, 2024, contained therein (the “ATM Prospectus Supplement”), which ATM Prospectus Supplement forms a part of our shelf registration statement on Form S-3 (File 333-282030), initially filed by the Company with the SEC on September 11, 2024, and declared effective by the SEC on September 20, 2024. The aggregate market value of the shares of Class A common stock that were initially registered for sale under the ATM Prospectus Supplement was $4,500,000, which was based on the limitations of General Instruction I.B.6 of Form S-3. During the three months ended March 31, 2026, there were no sales of Class A common stock under the ATM Sales Agreement. Subsequent to March 31, 2026, we have sold 2,478,068 shares of Class A common stock under the ATM Sales Agreement for gross proceeds of $3.4 million, and approximately $1.1 million shares of Class A common stock remain available for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covenants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agreements governing the Revolving Loan, the First Term Loan, and the 2025 Term Loan require us to maintain a minimum debt service coverage ratio of 1.5 to 1.0. Additionally, the Revolving Loan requires us to maintain an outstanding principal balance of no more than $2.5 million for 30 consecutive days during any twelve-month period. For the trailing twelve months ended March 31, 2026, the Company has met the minimum debt service coverage ratio required by its debt covenants. Any failure to comply with the covenants, or receive waivers for the covenants, could lead to the acceleration of payments due under the debt facilities with the lender, cause the lender to cease making advances under the revolving agreement, or allow the lender to take possession of collateral.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additional information regarding our indebtedness, see Note 12, </w:t>
      </w:r>
      <w:r>
        <w:rPr>
          <w:rFonts w:ascii="Times New Roman;Times;Serif" w:hAnsi="Times New Roman;Times;Serif"/>
          <w:b w:val="false"/>
          <w:i/>
          <w:caps w:val="false"/>
          <w:smallCaps w:val="false"/>
          <w:sz w:val="20"/>
        </w:rPr>
        <w:t xml:space="preserve">Revolving Loan, Short Term Note and Long-Term Debt </w:t>
      </w:r>
      <w:r>
        <w:rPr>
          <w:rFonts w:ascii="Times New Roman;Times;Serif" w:hAnsi="Times New Roman;Times;Serif"/>
          <w:b w:val="false"/>
          <w:i w:val="false"/>
          <w:caps w:val="false"/>
          <w:smallCaps w:val="false"/>
          <w:sz w:val="20"/>
        </w:rPr>
        <w:t>to our unaudited condensed consolidated financial statements included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discussion and analysis of results of operations, financial condition, and liquidity are based upon our condensed consolidated financial statements, which have been prepared in accordance with U.S. GAAP. The preparation of these condensed consolidated financial statements requires us to make estimates and judgements that affect the reported amounts of assets and liabilities and disclosure of contingent assets and liabilities at the date of the condensed consolidated financial statements and the reported amounts of revenues and expenses during the reporting period. We based our estimates on historical experience and on various other assumptions that are believed to be reasonable under the circumstances. Actual results may materially differ from these estimates under different assumptions or conditions. On an on-going basis, we review our estimates to ensure that they appropriately reflect changes in our business or new information as it becomes available. For additional information on our significant accounting policies, please refer to Note 2 - </w:t>
      </w:r>
      <w:r>
        <w:rPr>
          <w:rFonts w:ascii="Times New Roman;Times;Serif" w:hAnsi="Times New Roman;Times;Serif"/>
          <w:b w:val="false"/>
          <w:i/>
          <w:caps w:val="false"/>
          <w:smallCaps w:val="false"/>
          <w:sz w:val="20"/>
        </w:rPr>
        <w:t>Summary of Significant Accounting Policies</w:t>
      </w:r>
      <w:r>
        <w:rPr>
          <w:rFonts w:ascii="Times New Roman;Times;Serif" w:hAnsi="Times New Roman;Times;Serif"/>
          <w:b w:val="false"/>
          <w:i w:val="false"/>
          <w:caps w:val="false"/>
          <w:smallCaps w:val="false"/>
          <w:sz w:val="20"/>
        </w:rPr>
        <w:t xml:space="preserve"> to our condensed consolidated financial statements included in this Quarterly Report. We believe that the following critical accounting policies and estimates have the greatest potential impact on our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Determining the Fair Value of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debt instruments for which we have elected the fair value option is estimated using an industry-standard binomial lattice framework incorporating unobservable inputs — including our own credit spread, equity volatility derived from historical stock prices, and risk-free rates — resulting in a Level 3 classification within the fair value hierarchy. These estimates are affected by fluctuations in our stock price, changes in our creditworthiness, shifts in market interest rates, and the probability and timing of conversion, prepayment and other settlement events. While most of these inputs are derived from objective market data or contractual terms, expected volatility requires significant management judgement as it is not directly observable. Changes in these inputs, including our credit spread or assumed equity volatility, could result in material fluctuations in the reported fair value of these liabilities, with corresponding gains or losses recognized in earnings.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deferred income tax assets reflect the net tax effects of temporary differences between the carrying amounts of assets and liabilities for financial reporting purposes and the amounts used for income tax purposes. Changes in tax laws or the level of future taxable income could affect the realizability of deferred income tax assets. We recognize deferred income taxes based on estimates of future taxable income and the utilization of tax loss carryforwards. In evaluating the realizability of deferred taxes, we evaluate all available positive and negative evidence of whether sufficient future taxable income will be generated to realize the deferred tax assets, including the results of recent operations and projections of future taxable income. The weighing of positive and negative evidence and the projection of future taxable income requires significant judgment and estimates. In addition, changes in these estimates may have a material impact on our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description of recently issued and adopted accounting pronouncements, including the respective dates of adoption and expected effects on our results of operations and financial condition, please see Note 2 - </w:t>
      </w:r>
      <w:r>
        <w:rPr>
          <w:rFonts w:ascii="Times New Roman;Times;Serif" w:hAnsi="Times New Roman;Times;Serif"/>
          <w:b w:val="false"/>
          <w:i/>
          <w:caps w:val="false"/>
          <w:smallCaps w:val="false"/>
          <w:sz w:val="20"/>
        </w:rPr>
        <w:t xml:space="preserve">Summary of Significant Accounting Policies </w:t>
      </w:r>
      <w:r>
        <w:rPr>
          <w:rFonts w:ascii="Times New Roman;Times;Serif" w:hAnsi="Times New Roman;Times;Serif"/>
          <w:b w:val="false"/>
          <w:i w:val="false"/>
          <w:caps w:val="false"/>
          <w:smallCaps w:val="false"/>
          <w:sz w:val="20"/>
        </w:rPr>
        <w:t>to our Condensed Consolidated Financial Statements included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and Smaller Reporting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(a)(i) the last day of the fiscal year following the fifth anniversary of the closing of our initial public offering; (ii) the last day of the fiscal year in which we have total annual gross revenue of at least $1.235 billion; or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and (b) the date on which we have issued more than $1.0 billion in non-convertible debt securities during the prior three-year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14" w:name="vr_010"/>
      <w:bookmarkEnd w:id="1214"/>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Item 10 of Regulation S-K, the Company is not required to provide the information required by this item.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15" w:name="vr_011"/>
      <w:bookmarkEnd w:id="1215"/>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defined in Rule 13a-15(e) under the Exchange Act) that are designed to ensure that information required to be disclosed in our reports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as appropriate, to allow timely decisions regarding required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the Chief Executive Officer and Chief Financial Officer, we have evaluated the effectiveness of our disclosure controls and procedures (as defined in Rules 13a-15(e) and 15d-15(e) under the Exchange Act), as of March 31, 2026. Based on this evaluation, our Company’s Chief Executive Officer and Chief Financial Officer have concluded that our disclosure controls and procedures were effective as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made changes in our internal control over financial reporting (as defined in Rules 13a-15(f) and 15d-15(f) under the Exchange Act) during the quarter ended March 31, 2026, which have materially affected, or are reasonably likely to materially affect, our internal control over financial reporting other than the remediation efforts described above.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16" w:name="vr_012"/>
      <w:bookmarkEnd w:id="1216"/>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17" w:name="vr_013"/>
      <w:bookmarkEnd w:id="1217"/>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 of Part I, “Unaudited Condensed Consolidated Financial Statements - Note 15 - Commitments and Contingencies-Litigation.”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18" w:name="vr_014"/>
      <w:bookmarkEnd w:id="1218"/>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making an investment decision, you should carefully consider the risk factors described below as well as under the “Risk Factors” section in Part I – Item 1A of our Annual Report on Form 10-K for the year ended December 31, 2025 (the “2025 Annual Report”), and any other periodic or current report that we file with the SEC, together with all of the related financial statements and notes thereto. Other than as set forth below, we have not identified any material changes to the risk factors previously disclosed in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meet Nasdaq’s continued listing requirements could result in the delisting of our Class common stock, negatively impact the price of our Class A common stock and negatively impact our ability to raise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Nasdaq Stock Market (“Nasdaq”). If we fail to satisfy the continued listing requirements of The Nasdaq Capital Market such as the corporate governance requirements, the stockholder’s equity requirement or the minimum closing bid price requirement, The Nasdaq Capital Market may take steps to de-list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2025, we received a deficiency letter from the Listing Qualifications Department (the “Staff”) of the Nasdaq Stock Market (“Nasdaq”) notifying us that, for thirty (30) consecutive business days from November 11, 2025 through December 29, 2025, the bid price for our Class A common stock had closed below the minimum $1.00 per share requirement for continued inclusion on the Nasdaq Capital Market pursuant to Nasdaq Listing Rule 5550(a)(2) (the “Bid Price Rule”). In accordance with Nasdaq rules, we have a compliance period of 180 calendar days, or until June 29, 2026 (the “Compliance Date”), to regain compliance with the Bid Price Rule. The Staff informed us that if, at any time before the Compliance Date, the bid price for our Class A common stock closed at $1.00 or more for a minimum of ten (10) consecutive business days (or such additional number of days as Nasdaq may require), the Staff would provide written notification to us that it complied with the Bid Price Rule and the matter will be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actively monitor the closing bid price of the Class A common stock and, as appropriate, will consider available options to regain compliance with the Minimum Bid Price Requirement, including considering seeking to effect a reverse stock split, if necessary. While we plan to review all available options, there can be no assurance that we will be able to regain compliance with the Minimum Bid Price Requirement during the 180-calendar day compliance period. We will not be eligible for an extension of the compliance period. If at any time we do not satisfy the continued listing requirements of the Nasdaq, including compliance with the Bid Price Rule, within the time frame granted by Nasdaq, our Class A common stock will be delisted from the Nasdaq. Any perception that we may not regain compliance or a delisting of our Class A common stock by Nasdaq could adversely affect our ability to attract new investors, decrease the liquidity of the outstanding shares of our Class A common stock, reduce the price at which such shares trade and increase the transaction costs inherent in trading such shares with overall negative effects for our stockholder. In addition, delisting of our Class A common stock from Nasdaq could deter broker-dealers from making a market in or otherwise seeking or generating interest in our Class A common stock, and might deter certain institutions and persons from investing in our Class A common stock. In addition, if our Class A common stock was delisted, our Class A common stock would be subject to rules that impose additional sales practice requirements on broker-dealers who sell our securities. The additional burdens imposed upon broker-dealers by these requirements could discourage broker-dealers from effecting transactions in our Class A common stock. This would adversely affect the ability of investors to trade our Class A common stock and would adversely affect the value of our Class A common stock. These factors could contribute to lower prices and larger spreads in the bid and ask prices for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we received a deficiency letter (the “Letter”) from the Nasdaq Staff notifying us that we are not in compliance with the requirement to maintain a minimum of $500,000 in net income from continuing operations in the most recently completed fiscal year, or two of the last three fiscal years (the “Net Income Requirement”). In our Annual Reports on Form 10-K for the year ended December 31, 2023, 2024, and 2025, we reported net income from continuing operations in 2024 and net loss from continuing operations in 2025 and 2023. Additionally, we did not meet either of the alternative Nasdaq continued listing standards under the Nasdaq Listing Rules, which include (i) a market value of listed securities of at least $35 million or (ii) a minimum stockholders’ equity requirement of at least $2,500,000 (collectively with the Net Income Requirement, the “Nasdaq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rules, we had 45 calendar days, or until May 11, 2026, to submit a plan to the Staff to regain compliance (the “Compliance Plan”) with the Nasdaq Requirements, which Compliance Plan we submitted within the time provided. If the Compliance Plan is accepted, Nasdaq can grant an extension of up to 180 calendar days from the date of the Letter for us to evidence compliance. Executing the Compliance Plan may include, but is not limited to, pursuing potential equity and/or debt financing arrangements or similar transactions. However, there is no assurance that the Compliance Plan will be accepted by Nasdaq, or even if it is accepted, that we will ultimately be able to regain compliance with the Nasdaq Requirements within the allotted extension period, which may be less than 180 calendar days.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has recently proposed a new rule change to (i) adopt Listing Rules 5450(a)(3) and 5550(a)(6) to require issuers listed on the Nasdaq Global and Capital Markets, respectively, to maintain a minimum Market Value of Listed Securities (as defined in Nasdaq Listing Rule 5005(a)(23)) of at least $5 million for a period of thirty (30) consecutive business days, and (ii) amend Rule5810 to suspend trading and immediately delist from Nasdaq securities of issuers that do not satisfy the proposed new requirements, and Rule 5815 to set forth the procedures for requesting a hearing before a Hearings Panel and the scope of the Panel’s discretion (collectively, the “Proposed $5 Million MVLS Rule”). As of the date of the filing of this Quarterly Report the market value of our listed securities is less than $5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Because our Class A common stock is listed on Nasdaq, our shares of Class A common stock are “covered securities”.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Further, if we were to be delisted from Nasdaq, our shares of Class A common stock would cease to be recognized as covered securities and we would be subject to regulation in each state in which we offer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mentioned above, in the event of a delisting, we would take actions to restore our compliance with the Nasdaq listing requirements, but we can provide no assurance that any such action taken by us would allow our Class A common stock to become listed again, stabilize the market price or improve the liquidity of our Class A common stock or prevent our Class A common stock from meeting the mandatory Nasdaq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the future success of our ARK franchise, and we must continue to publish “hit” titles or sequels to such “hit” titles in order to compete successfully in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 xml:space="preserve">is a “hit” product and has historically accounted for a substantial portion of our revenue.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contributed 85.7% of our net revenue for the three months ended March 31, 2026, and our five best-selling franchises (including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which may change year over year, in the aggregate accounted for 97.8% of our net revenue for the three months ended March 31, 2026.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high-quality and well-received products and services, our revenue and profitability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derive a significant portion of our revenue from a limited number of customers, and therefore are subject to customer concentration and collectability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two customers as of March 31, 2026 and December 31, 2025, who accounted for approximately 71% and 73% of our consolidated gross receivables, respectively. Among the two customers as of March 31, 2026, one accounted for 53% and another accounted for 18%, of the consolidated gross receivables. Among the two customers as of December 31, 2025, one accounted for 56% and another accounted for 17%, of the consolidated gross receivables outstanding. We had two customers in the three months ended March 31, 2026 and four customers as of March 31, 2025, that accounted for 62% and 11% and 44%, 14%, 14% and 12% of our net revenue, respectively. Management monitors customer creditworthiness and payment trends on an ongoing basis; however, there can be no assurance that such measures will fully mitigate the risks associated with customer concentration. We continue to evaluate opportunities to diversify our customer base, although there can be no assurance that these efforts will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license agreements to publish certain games, including games in our ARK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license certain intellectual property rights from third parties, including related parties, and in the future, we may enter into additional agreements that provide us with licenses to valuable intellectual property rights or technology. In particular, we license intellectual property rights related to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from SDE, the parent company of Studio Wildcard, which is also an entity that is owned and controlled by the spouse of our Founder, Chief Executive Officer, Chief Strategy Officer and Chairman, Mr. Shi. We entered into an original exclusive software license agreement with SDE in November 2015, for the rights to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which ARK1 License Agreement was subsequently amended and restated ARK1 License in December 2022 and further amended on multiple occasions. As amended, the ARK1 License Agreement expires in 2035, with provisions for automatic renewal for three-year terms unless either party elects not to renew. The ARK 1 License Agreement may also be terminated early for material breach or insolvency by either party. The terms of our license agreements with SDE may differ from those terms which would be negotiated with independent parties. In addition, we may have disputes with SDE that may impact our business, results of operations, financial condition and/or prospects.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contributed 85.7% of our net revenue for the three months ended March 31, 2026. Even if our games that are dependent on third-party license agreements remain popular, any of our licensors could decide not to renew our existing license agreements or not to license additional intellectual property rights to us and instead license to our competitors or develop and publish its own games or other applications, competing with us in the marketplace. Moreover, many of our licensors develop games for other platforms and may have significant experience and development resources available to them should they decide to compete with us rather than license to us. For additional information concerning our license arrangements, including licensing agreements with affiliated third parties, see Item 1 of Part I, “Business — Intellectual Property,” included in the Annual Report.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maintain or renew our existing material licenses or to obtain additional licenses could impair our ability to introduce new games and new content or to continue to offer our current games, which could materially harm our business, results of operations and financial condition. If we breach our obligations under existing or future licenses, we may be required to pay damages and our licensors may have the right to terminate the license or change an exclusive license to a non-exclusive license. Termination of our license agreements by a material licensor, such as SDE, would cause us to lose valuable rights, such as the rights to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and would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would be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and related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third-party platforms, such as Xbox Live and Game Pass, PlayStation Network, Steam, Epic Games Store, My Nintendo Store, the Apple App Store and the Google Play Store, to distribute our games and collect revenues generated on such platforms and rely on third-party payment service providers to collect revenues generated on our own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games are primarily purchased, accessed and operated through Xbox Live and Game Pass, PlayStation Network, Steam, Epic Games Store, My Nintendo Store, and in the case of our mobile games, the Apple App Store and the Google Play Store. Substantially all of the games, DLC and in-game virtual items that we sell are purchased using the payment processing systems of these platforms and, for the three months ended March 31, 2026, 96.8% of our revenues were generated through Xbox Live and Game Pass, PlayStation Network, Steam, Epic Games Store, My Nintendo Store, the Apple App Store, and the Google Play Store. Consequently, our expansion and prospects depend on our continued relationships with these providers, and any other emerging platform providers that are widely adopted by our target players. In addition, having such a large portion of our total net revenues concentrated in a few counterparties reduces our negotiating leverage. We are subject to the standard terms and conditions that these platform providers have for game developers, which govern the content, promotion, distribution, operation of games and other applications on their platforms, as well as the terms of the payment processing services provided by the platforms, and which the platform providers can change unilaterally on short notice or without notice. As such, our business would be harmed if:</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platform providers discontinue or limit our access to their platforms;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governments or private parties, such as internet providers, impose bandwidth restrictions, increase charges or restrict or prohibit access to those platforms;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platforms increase the fees they charge 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platforms modify their algorithms, communication channels available to developers, respective terms of service or other policies;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platforms decline in popularity;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platforms adopt changes or updates to their technology that impede integration with other software systems or otherwise require us to modify our technology or update our games in order to ensure players can continue to access our games and content with ease;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platforms elect or are required to change how they label free-to-play games or take payment for in-game purchases;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platforms block or limit access to the genres of games that we provide in any jurisdiction;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platform experiences a bankruptcy or other form of insolvency event;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unable to comply with the platform providers’ terms of service.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if our platform providers do not perform their obligations in accordance with our platform agreements or otherwise meet our business requirements, we could be adversely impacted. For example, in the past, some of these platform providers have experienced outages for short periods of time, unexpectedly changed their terms or conditions, or experienced issues with their features that permit our players to purchase games or in-game virtual items.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sought monetary damages to recover funds made while the updated version of Fortnite was active.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most of our revenue from publishing video games on third-party platform providers, such as Xbox Live and Game Pass, PlayStation Network, Steam, Epic Games Store, the Apple App Store, the Google Play Store and My Nintendo Store, which, in the aggregate, comprised 96.8% of our net revenue by product platform for the three months ended March 31, 2026. The success of our business is subject to the continued popularity of these platforms and our ability to develop commercially successful products for these platforms.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DLC, amplifying the impact on our revenues. This decline may not be offset by increased sales of products for the next-generation consoles. Moreover, it typically takes time before we have products available on next 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law or tax rate changes could affect our effective tax rate and future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effective tax rate was 5% and 43% for the three month periods ended March 31, 2026 and 2025, respectively. In general, changes in applicable U.S. federal and state and foreign tax laws and regulations, or their interpretation and application, including the possibility of retroactive effect, could affect our tax expense. In addition, taxing authorities in many jurisdictions in which we operate may propose changes to their tax laws and regulations. These potential changes could have a material impact on our effective tax rate, long-term tax planning and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Tariffs may cause cost increases and disruptions in technical R&amp;D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substantially on third-party providers located in China and Europe to support our technical research and development initiatives. As a result, a significant portion of our R&amp;D functions, including critical technical development and software engineering, are outsourced internationally. Recent and potential future trade policy changes, including the imposition or extension of tariffs on imported goods and services from China and Europe pose a material risk to our cost structure. Such tariffs may increase the costs of components, services, and skilled labor sourced from these regions, potentially resulting in higher operating expenses and reduced profit margins. In addition, tariff-induced supply chain disruptions could delay project timelines and necessitate a re-evaluation of our global outsourcing strategy, thereby adversely affecting our competitive position and financial performance.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financing to sustain our operations, without which we may not be able to continue operations, and the terms of subsequent financings may adversely impact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convertible notes to certain investors in the aggregate principal amount of $6.6 million, and we may seek to issue an additional $4.4 million in convertible notes to such investors in the future. In addition, on August 7, 2025, we entered into an At The Market Offering Agreement (the “Sales Agreement”) with H.C. Wainwright &amp; Co. as sales agent to sell shares of our Class A common stock from time to time in an at the market offering (“the ATM Offering”). Pursuant to a prospectus supplement, dated August 7, 2025, and accompanying base prospectus, we may offer and sell shares of our Class A Common Stock from time to time under the Sales Agreement having an aggregate offering price of up to $4,500,000 in the ATM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issue an additional $4.4 million in convertible notes, we may still need additional capital to finance our future plans and working capital needs, and we may have to raise funds through the issuance of equity or debt securities. Depending on the type and the terms of any financing we pursue, stockholders’ rights and the value of their investment in our Class A common stock could be reduced. A financing could involve one or more types of securities including Class A common stock, convertible debt, or warrants to acquire Class A common stock. These securities could be issued at or below the then prevailing market price for our Class A common stock. If the issuance of new securities results in diminished rights to holders of our Class A common stock, the market price of our Class A common stock could be negatively impacted. The Securities Purchase Agreements applicable to the convertible notes prohibit us from entering into certain variable rate transactions so long as the convertible notes remain outstanding and provide that. To the extent we require additional funding, we will therefore be limited in the types of fundraising that we are able to pursue in compliance with these Securities Purchase Agreements so long as the convertible notes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placement notices to the Sales Agent in the ATM Offering at any time throughout the term of the sales agreement. The number of shares of Class A common stock that are sold by the Sales Agent as our Sales Agent after we deliver a placement notice will fluctuate based on the market price of the Class A common stock and the trading volume of our Class A common stock during the sales period and limits we set with the Sales Agent. In addition, we may issue and sell shares of our Class A common stock having aggregate gross proceeds of up to $4,500,000 from time to time in the ATM Offering. Because there is no minimum offering amount required as a condition of the ATM Offering, the actual total offering amount in such offering, commissions and proceeds to us, if any, are not determinable at this time. The amount of proceeds from the ATM Offering will depend upon the number of shares of our Class A common stock sold and the market price at which they are sold. There can be no assurance that we will be able to sell any shares of our Class A common stock under or fully utilize the Sales Agreement with the Sales Agent as a source of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financing we require to sustain our working capital needs be unavailable or prohibitively expensive when we require it, the consequences could be a material adverse effect on our business, operating results,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Stablecoins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capital to support our strategic digital asset initiative, and implementing such initiative may subject us to various licensing requirements and significant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recently announced our intention to explore a strategic digital asset initiative that includes the evaluation and feasibility of our own proprietary stablecoin backed by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for stablecoins and digital assets is rapidly evolving in the United States and globally. There is a significant uncertainty regarding how federal and state regulators will apply existing laws, implement Guiding and Establishing National Innovation for U.S. Stablecoins Act of 2025 (GENIUS Act of 2025) or adopt new regulations with respect to stablecoin issuances. Changes in laws, regulations, or interpretations could require us to modify or cease our strategic digital asset or stablecoin initiative, subject us to possible enforcement actions, or result in significant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seek additional capital to implement our strategic digital asset and stablecoin initiative as we may be required to be licensed as a money transmitter, payment services provider, bank, financial institution, custodian, broker-dealer, exchange, or otherwise in the United States or other jurisdictions which could result in significant costs and have a negative impact on our business, operational result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negative publicity regarding stablecoins or the broader digital asset industry may have an outsized negative effect on consumer confidence in our proposed proprietary stablecoins.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 the case with other novel technology, compared to more established and well-known industries, any negative publicity regarding blockchain technology and digital assets companies could have an outsized negative effect on confidence in blockchain technology in general and our proposed proprietary stablecoins in particular. For example, since the inception of blockchain technology, there have been incidents of smart contract developers acting maliciously and misappropriating funds, and numerous digital assets businesses and platforms have been sued, investigated, or shut down due to fraud, illegal activities, the sale or issuance of unregistered securities, manipulative practices, business failure, and cyberattacks or security breaches. In addition, the energy usage and environmental impact of certain blockchains have attracted considerable attention, which could potentially create a negative consumer sentiment and perception of digital assets and delay a wider acceptance and use of our proposed proprietary stablecoins, whether or not our proposed stablecoins are available on those blockchains.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19" w:name="vr_015"/>
      <w:bookmarkEnd w:id="1219"/>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Unregistered Sales of Equity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issue any securities that were not registered under the Securities Act during the three months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Use of Proceeds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Purchases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4"/>
        <w:gridCol w:w="60"/>
        <w:gridCol w:w="60"/>
        <w:gridCol w:w="1458"/>
        <w:gridCol w:w="60"/>
        <w:gridCol w:w="60"/>
        <w:gridCol w:w="140"/>
        <w:gridCol w:w="1220"/>
        <w:gridCol w:w="60"/>
        <w:gridCol w:w="60"/>
        <w:gridCol w:w="60"/>
        <w:gridCol w:w="2636"/>
        <w:gridCol w:w="60"/>
        <w:gridCol w:w="60"/>
        <w:gridCol w:w="140"/>
        <w:gridCol w:w="2960"/>
        <w:gridCol w:w="77"/>
      </w:tblGrid>
      <w:tr>
        <w:trPr/>
        <w:tc>
          <w:tcPr>
            <w:tcW w:w="103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Number of Shares Purchased</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Price Paid per Share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263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Number of Shares Purchased as Part of Publicly Announced Plans or Programs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296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Approximate Dollar Value of Shares that May Yet Be Purchased under the Plans or Programs</w:t>
            </w:r>
          </w:p>
        </w:tc>
        <w:tc>
          <w:tcPr>
            <w:tcW w:w="77" w:type="dxa"/>
            <w:tcBorders/>
            <w:shd w:fill="FFFFFF" w:val="clear"/>
            <w:vAlign w:val="center"/>
          </w:tcPr>
          <w:p>
            <w:pPr>
              <w:pStyle w:val="TableContents"/>
              <w:bidi w:val="0"/>
              <w:spacing w:before="0" w:after="283"/>
              <w:jc w:val="left"/>
              <w:rPr/>
            </w:pPr>
            <w:r>
              <w:rPr/>
              <w:t> </w:t>
            </w:r>
          </w:p>
        </w:tc>
      </w:tr>
      <w:tr>
        <w:trPr/>
        <w:tc>
          <w:tcPr>
            <w:tcW w:w="1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74" w:type="dxa"/>
            <w:gridSpan w:val="13"/>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 except per share amounts</w:t>
            </w:r>
          </w:p>
        </w:tc>
        <w:tc>
          <w:tcPr>
            <w:tcW w:w="77" w:type="dxa"/>
            <w:tcBorders/>
            <w:shd w:fill="FFFFFF" w:val="clear"/>
            <w:vAlign w:val="center"/>
          </w:tcPr>
          <w:p>
            <w:pPr>
              <w:pStyle w:val="TableContents"/>
              <w:bidi w:val="0"/>
              <w:spacing w:before="0" w:after="283"/>
              <w:jc w:val="left"/>
              <w:rPr/>
            </w:pPr>
            <w:r>
              <w:rPr/>
              <w:t> </w:t>
            </w:r>
          </w:p>
        </w:tc>
      </w:tr>
      <w:tr>
        <w:trPr/>
        <w:tc>
          <w:tcPr>
            <w:tcW w:w="1034" w:type="dxa"/>
            <w:tcBorders/>
            <w:shd w:fill="CCEEFF" w:val="clear"/>
            <w:vAlign w:val="center"/>
          </w:tcPr>
          <w:p>
            <w:pPr>
              <w:pStyle w:val="TableContents"/>
              <w:bidi w:val="0"/>
              <w:spacing w:before="0" w:after="283"/>
              <w:jc w:val="left"/>
              <w:rPr/>
            </w:pPr>
            <w:r>
              <w:rPr/>
              <w:t>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96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1034" w:type="dxa"/>
            <w:tcBorders/>
            <w:shd w:fill="FFFFFF" w:val="clear"/>
            <w:vAlign w:val="center"/>
          </w:tcPr>
          <w:p>
            <w:pPr>
              <w:pStyle w:val="TableContents"/>
              <w:bidi w:val="0"/>
              <w:spacing w:before="0" w:after="283"/>
              <w:jc w:val="left"/>
              <w:rPr/>
            </w:pPr>
            <w:r>
              <w:rPr/>
              <w:t>January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60"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1034" w:type="dxa"/>
            <w:tcBorders/>
            <w:shd w:fill="CCEEFF" w:val="clear"/>
            <w:vAlign w:val="center"/>
          </w:tcPr>
          <w:p>
            <w:pPr>
              <w:pStyle w:val="TableContents"/>
              <w:bidi w:val="0"/>
              <w:spacing w:before="0" w:after="283"/>
              <w:jc w:val="left"/>
              <w:rPr/>
            </w:pPr>
            <w:r>
              <w:rPr/>
              <w:t>February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960"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1034" w:type="dxa"/>
            <w:tcBorders/>
            <w:shd w:fill="FFFFFF" w:val="clear"/>
            <w:vAlign w:val="center"/>
          </w:tcPr>
          <w:p>
            <w:pPr>
              <w:pStyle w:val="TableContents"/>
              <w:bidi w:val="0"/>
              <w:spacing w:before="0" w:after="283"/>
              <w:jc w:val="left"/>
              <w:rPr/>
            </w:pPr>
            <w:r>
              <w:rPr/>
              <w:t>March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9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1034"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9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2022, our board of directors authorized a Share Repurchase Program under which we may repurchase up to $5 million in outstanding shares of our Class A common stock, subject to ongoing compliance with Nasdaq listing rules. The program does not have a fixed expiration date. The share repurchases may be made from time to time through open market transactions, block trades, privately negotiated transactions or otherwise and are subject to market and business conditions, levels of available liquidity, cash requirements for other purposes, regulatory, and other relevant factors. There were no share repurchases settled in the three months ended March 31, 2026. As of March 31, 2026,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 For more information regarding the Share Repurchase Program refer to Note 2 - Summary of Significant Accounting Policies to our condensed consolidated financial statements included in this Quarterly Report.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20" w:name="vr_016"/>
      <w:bookmarkEnd w:id="1220"/>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21" w:name="vr_017"/>
      <w:bookmarkEnd w:id="1221"/>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22" w:name="vr_018"/>
      <w:bookmarkEnd w:id="1222"/>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March 31, 2026, no director or officer of the Company </w:t>
      </w:r>
      <w:bookmarkStart w:id="1223" w:name="xdx_90A_eecd--NonRule10b51ArrAdoptedFlag"/>
      <w:bookmarkStart w:id="1224" w:name="xdx_90D_eecd--Rule10b51ArrAdoptedFlag_db"/>
      <w:bookmarkEnd w:id="1223"/>
      <w:bookmarkEnd w:id="1224"/>
      <w:r>
        <w:rPr>
          <w:rFonts w:ascii="Times New Roman;Times;Serif" w:hAnsi="Times New Roman;Times;Serif"/>
          <w:b w:val="false"/>
          <w:i w:val="false"/>
          <w:caps w:val="false"/>
          <w:smallCaps w:val="false"/>
          <w:sz w:val="20"/>
        </w:rPr>
        <w:t xml:space="preserve">adopted or </w:t>
      </w:r>
      <w:bookmarkStart w:id="1225" w:name="xdx_90C_eecd--NonRule10b51ArrTrmntdFlag_"/>
      <w:bookmarkStart w:id="1226" w:name="xdx_904_eecd--Rule10b51ArrTrmntdFlag_dbF"/>
      <w:bookmarkEnd w:id="1225"/>
      <w:bookmarkEnd w:id="1226"/>
      <w:r>
        <w:rPr>
          <w:rFonts w:ascii="Times New Roman;Times;Serif" w:hAnsi="Times New Roman;Times;Serif"/>
          <w:b w:val="false"/>
          <w:i w:val="false"/>
          <w:caps w:val="false"/>
          <w:smallCaps w:val="false"/>
          <w:sz w:val="20"/>
        </w:rPr>
        <w:t>terminated any “Rule 10b5-1 trading arrangement” or “non-Rule 10b5-1 trading arrangement,” as each term is defined in Item 408(a) of Regulation 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27" w:name="vr_019"/>
      <w:bookmarkEnd w:id="1227"/>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
        <w:gridCol w:w="60"/>
        <w:gridCol w:w="6212"/>
        <w:gridCol w:w="60"/>
        <w:gridCol w:w="500"/>
        <w:gridCol w:w="60"/>
        <w:gridCol w:w="669"/>
        <w:gridCol w:w="60"/>
        <w:gridCol w:w="650"/>
        <w:gridCol w:w="60"/>
        <w:gridCol w:w="1130"/>
      </w:tblGrid>
      <w:tr>
        <w:trPr/>
        <w:tc>
          <w:tcPr>
            <w:tcW w:w="74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283"/>
              <w:jc w:val="center"/>
              <w:rPr/>
            </w:pPr>
            <w:r>
              <w:rPr/>
              <w:t> </w:t>
            </w:r>
          </w:p>
        </w:tc>
        <w:tc>
          <w:tcPr>
            <w:tcW w:w="62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29"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Incorporation by Reference</w:t>
            </w:r>
          </w:p>
        </w:tc>
      </w:tr>
      <w:tr>
        <w:trPr/>
        <w:tc>
          <w:tcPr>
            <w:tcW w:w="74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center"/>
              <w:rPr/>
            </w:pPr>
            <w:r>
              <w:rPr/>
              <w:t> </w:t>
            </w:r>
          </w:p>
        </w:tc>
        <w:tc>
          <w:tcPr>
            <w:tcW w:w="621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60" w:type="dxa"/>
            <w:tcBorders/>
            <w:vAlign w:val="center"/>
          </w:tcPr>
          <w:p>
            <w:pPr>
              <w:pStyle w:val="TableContents"/>
              <w:bidi w:val="0"/>
              <w:spacing w:before="0" w:after="283"/>
              <w:jc w:val="center"/>
              <w:rPr/>
            </w:pPr>
            <w:r>
              <w:rPr/>
              <w:t> </w:t>
            </w:r>
          </w:p>
        </w:tc>
        <w:tc>
          <w:tcPr>
            <w:tcW w:w="66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No.</w:t>
            </w:r>
          </w:p>
        </w:tc>
        <w:tc>
          <w:tcPr>
            <w:tcW w:w="60" w:type="dxa"/>
            <w:tcBorders/>
            <w:vAlign w:val="center"/>
          </w:tcPr>
          <w:p>
            <w:pPr>
              <w:pStyle w:val="TableContents"/>
              <w:bidi w:val="0"/>
              <w:spacing w:before="0" w:after="283"/>
              <w:jc w:val="center"/>
              <w:rPr/>
            </w:pPr>
            <w:r>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283"/>
              <w:jc w:val="center"/>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r>
      <w:tr>
        <w:trPr/>
        <w:tc>
          <w:tcPr>
            <w:tcW w:w="7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vAlign w:val="center"/>
          </w:tcPr>
          <w:p>
            <w:pPr>
              <w:pStyle w:val="TableContents"/>
              <w:bidi w:val="0"/>
              <w:spacing w:before="0" w:after="283"/>
              <w:jc w:val="left"/>
              <w:rPr/>
            </w:pPr>
            <w:r>
              <w:rPr/>
              <w:t> </w:t>
            </w:r>
          </w:p>
        </w:tc>
        <w:tc>
          <w:tcPr>
            <w:tcW w:w="6212" w:type="dxa"/>
            <w:tcBorders/>
            <w:shd w:fill="CCEEFF" w:val="clear"/>
            <w:vAlign w:val="center"/>
          </w:tcPr>
          <w:p>
            <w:pPr>
              <w:pStyle w:val="TableContents"/>
              <w:bidi w:val="0"/>
              <w:spacing w:before="0" w:after="283"/>
              <w:jc w:val="left"/>
              <w:rPr/>
            </w:pPr>
            <w:hyperlink r:id="rId2">
              <w:r>
                <w:rPr>
                  <w:rStyle w:val="InternetLink"/>
                  <w:rFonts w:ascii="Times New Roman;Times;Serif" w:hAnsi="Times New Roman;Times;Serif"/>
                  <w:sz w:val="20"/>
                </w:rPr>
                <w:t>Amended and Restated Certificate of Incorporation of Snail, Inc.</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vAlign w:val="center"/>
          </w:tcPr>
          <w:p>
            <w:pPr>
              <w:pStyle w:val="TableContents"/>
              <w:bidi w:val="0"/>
              <w:spacing w:before="0" w:after="283"/>
              <w:jc w:val="center"/>
              <w:rPr/>
            </w:pPr>
            <w:r>
              <w:rPr/>
              <w:t> </w:t>
            </w:r>
          </w:p>
        </w:tc>
        <w:tc>
          <w:tcPr>
            <w:tcW w:w="66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001-41556</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15, 2022</w:t>
            </w:r>
          </w:p>
        </w:tc>
      </w:tr>
      <w:tr>
        <w:trPr/>
        <w:tc>
          <w:tcPr>
            <w:tcW w:w="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1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6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vAlign w:val="center"/>
          </w:tcPr>
          <w:p>
            <w:pPr>
              <w:pStyle w:val="TableContents"/>
              <w:bidi w:val="0"/>
              <w:spacing w:before="0" w:after="283"/>
              <w:jc w:val="left"/>
              <w:rPr/>
            </w:pPr>
            <w:r>
              <w:rPr/>
              <w:t> </w:t>
            </w:r>
          </w:p>
        </w:tc>
        <w:tc>
          <w:tcPr>
            <w:tcW w:w="6212" w:type="dxa"/>
            <w:tcBorders/>
            <w:shd w:fill="CCEEFF" w:val="clear"/>
            <w:vAlign w:val="center"/>
          </w:tcPr>
          <w:p>
            <w:pPr>
              <w:pStyle w:val="TableContents"/>
              <w:bidi w:val="0"/>
              <w:spacing w:before="0" w:after="283"/>
              <w:jc w:val="both"/>
              <w:rPr/>
            </w:pPr>
            <w:hyperlink r:id="rId3">
              <w:r>
                <w:rPr>
                  <w:rStyle w:val="InternetLink"/>
                  <w:rFonts w:ascii="Times New Roman;Times;Serif" w:hAnsi="Times New Roman;Times;Serif"/>
                  <w:sz w:val="20"/>
                </w:rPr>
                <w:t>Amended and Restated Bylaws of Snail, Inc.</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vAlign w:val="center"/>
          </w:tcPr>
          <w:p>
            <w:pPr>
              <w:pStyle w:val="TableContents"/>
              <w:bidi w:val="0"/>
              <w:spacing w:before="0" w:after="283"/>
              <w:jc w:val="center"/>
              <w:rPr/>
            </w:pPr>
            <w:r>
              <w:rPr/>
              <w:t> </w:t>
            </w:r>
          </w:p>
        </w:tc>
        <w:tc>
          <w:tcPr>
            <w:tcW w:w="66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001-41556</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15, 2022</w:t>
            </w:r>
          </w:p>
        </w:tc>
      </w:tr>
      <w:tr>
        <w:trPr/>
        <w:tc>
          <w:tcPr>
            <w:tcW w:w="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1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6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vAlign w:val="center"/>
          </w:tcPr>
          <w:p>
            <w:pPr>
              <w:pStyle w:val="TableContents"/>
              <w:bidi w:val="0"/>
              <w:spacing w:before="0" w:after="283"/>
              <w:jc w:val="left"/>
              <w:rPr/>
            </w:pPr>
            <w:r>
              <w:rPr/>
              <w:t> </w:t>
            </w:r>
          </w:p>
        </w:tc>
        <w:tc>
          <w:tcPr>
            <w:tcW w:w="6212" w:type="dxa"/>
            <w:tcBorders/>
            <w:shd w:fill="CCEEFF" w:val="clear"/>
            <w:vAlign w:val="center"/>
          </w:tcPr>
          <w:p>
            <w:pPr>
              <w:pStyle w:val="TableContents"/>
              <w:bidi w:val="0"/>
              <w:spacing w:before="0" w:after="283"/>
              <w:jc w:val="both"/>
              <w:rPr/>
            </w:pPr>
            <w:hyperlink w:anchor="ex31-1.htm">
              <w:r>
                <w:rPr>
                  <w:rStyle w:val="InternetLink"/>
                  <w:rFonts w:ascii="Times New Roman;Times;Serif" w:hAnsi="Times New Roman;Times;Serif"/>
                  <w:sz w:val="20"/>
                </w:rPr>
                <w:t>Certification of Chief Executive Officer Pursuant to Rules 13a-14(a) and 15d-14(a), under the Securities Exchange Act of 1934, as Adopted pursuant to Section 302 of the Sarbanes-Oxley Act of 2002.</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6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pPr>
            <w:r>
              <w:rPr/>
              <w:t> </w:t>
            </w:r>
          </w:p>
        </w:tc>
      </w:tr>
      <w:tr>
        <w:trPr/>
        <w:tc>
          <w:tcPr>
            <w:tcW w:w="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1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6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0" w:type="dxa"/>
            <w:tcBorders/>
            <w:shd w:fill="CCEEFF" w:val="clear"/>
            <w:vAlign w:val="center"/>
          </w:tcPr>
          <w:p>
            <w:pPr>
              <w:pStyle w:val="TableContents"/>
              <w:bidi w:val="0"/>
              <w:spacing w:before="0" w:after="283"/>
              <w:jc w:val="left"/>
              <w:rPr/>
            </w:pPr>
            <w:r>
              <w:rPr/>
              <w:t> </w:t>
            </w:r>
          </w:p>
        </w:tc>
        <w:tc>
          <w:tcPr>
            <w:tcW w:w="6212" w:type="dxa"/>
            <w:tcBorders/>
            <w:shd w:fill="CCEEFF" w:val="clear"/>
            <w:vAlign w:val="center"/>
          </w:tcPr>
          <w:p>
            <w:pPr>
              <w:pStyle w:val="TableContents"/>
              <w:bidi w:val="0"/>
              <w:spacing w:before="0" w:after="283"/>
              <w:jc w:val="both"/>
              <w:rPr/>
            </w:pPr>
            <w:hyperlink w:anchor="ex31-2.htm">
              <w:r>
                <w:rPr>
                  <w:rStyle w:val="InternetLink"/>
                  <w:rFonts w:ascii="Times New Roman;Times;Serif" w:hAnsi="Times New Roman;Times;Serif"/>
                  <w:sz w:val="20"/>
                </w:rPr>
                <w:t>Certification of Chief Financial Officer Pursuant to Rules 13a-14(a) and 15d-14(a) under the Securities Exchange Act of 1934, as Adopted Pursuant to Section 302 of the Sarbanes-Oxley Act of 2002.</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6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pPr>
            <w:r>
              <w:rPr/>
              <w:t> </w:t>
            </w:r>
          </w:p>
        </w:tc>
      </w:tr>
      <w:tr>
        <w:trPr/>
        <w:tc>
          <w:tcPr>
            <w:tcW w:w="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1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6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0" w:type="dxa"/>
            <w:tcBorders/>
            <w:shd w:fill="CCEEFF" w:val="clear"/>
            <w:vAlign w:val="center"/>
          </w:tcPr>
          <w:p>
            <w:pPr>
              <w:pStyle w:val="TableContents"/>
              <w:bidi w:val="0"/>
              <w:spacing w:before="0" w:after="283"/>
              <w:jc w:val="left"/>
              <w:rPr/>
            </w:pPr>
            <w:r>
              <w:rPr/>
              <w:t> </w:t>
            </w:r>
          </w:p>
        </w:tc>
        <w:tc>
          <w:tcPr>
            <w:tcW w:w="6212" w:type="dxa"/>
            <w:tcBorders/>
            <w:shd w:fill="CCEEFF" w:val="clear"/>
            <w:vAlign w:val="center"/>
          </w:tcPr>
          <w:p>
            <w:pPr>
              <w:pStyle w:val="TableContents"/>
              <w:bidi w:val="0"/>
              <w:spacing w:before="0" w:after="283"/>
              <w:jc w:val="both"/>
              <w:rPr/>
            </w:pPr>
            <w:hyperlink w:anchor="ex32-1.htm">
              <w:r>
                <w:rPr>
                  <w:rStyle w:val="InternetLink"/>
                  <w:rFonts w:ascii="Times New Roman;Times;Serif" w:hAnsi="Times New Roman;Times;Serif"/>
                  <w:sz w:val="20"/>
                </w:rPr>
                <w:t>Certification of Chief Executive Officer Pursuant to 18 U.S.C. Section 1350, as Adopted Pursuant to Section 906 of the Sarbanes-Oxley Act of 2002.</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6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pPr>
            <w:r>
              <w:rPr/>
              <w:t> </w:t>
            </w:r>
          </w:p>
        </w:tc>
      </w:tr>
      <w:tr>
        <w:trPr/>
        <w:tc>
          <w:tcPr>
            <w:tcW w:w="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1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6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60" w:type="dxa"/>
            <w:tcBorders/>
            <w:shd w:fill="CCEEFF" w:val="clear"/>
            <w:vAlign w:val="center"/>
          </w:tcPr>
          <w:p>
            <w:pPr>
              <w:pStyle w:val="TableContents"/>
              <w:bidi w:val="0"/>
              <w:spacing w:before="0" w:after="283"/>
              <w:jc w:val="left"/>
              <w:rPr/>
            </w:pPr>
            <w:r>
              <w:rPr/>
              <w:t> </w:t>
            </w:r>
          </w:p>
        </w:tc>
        <w:tc>
          <w:tcPr>
            <w:tcW w:w="6212" w:type="dxa"/>
            <w:tcBorders/>
            <w:shd w:fill="CCEEFF" w:val="clear"/>
            <w:vAlign w:val="center"/>
          </w:tcPr>
          <w:p>
            <w:pPr>
              <w:pStyle w:val="TableContents"/>
              <w:bidi w:val="0"/>
              <w:spacing w:before="0" w:after="283"/>
              <w:jc w:val="both"/>
              <w:rPr/>
            </w:pPr>
            <w:hyperlink w:anchor="ex32-2.htm">
              <w:r>
                <w:rPr>
                  <w:rStyle w:val="InternetLink"/>
                  <w:rFonts w:ascii="Times New Roman;Times;Serif" w:hAnsi="Times New Roman;Times;Serif"/>
                  <w:sz w:val="20"/>
                </w:rPr>
                <w:t>Certification of Chief Financial Officer Pursuant to 18 U.S.C. Section 1350, as Adopted Pursuant to Section 906 of the Sarbanes-Oxley Act of 2002.</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6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pPr>
            <w:r>
              <w:rPr/>
              <w:t> </w:t>
            </w:r>
          </w:p>
        </w:tc>
      </w:tr>
      <w:tr>
        <w:trPr/>
        <w:tc>
          <w:tcPr>
            <w:tcW w:w="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1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6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vAlign w:val="center"/>
          </w:tcPr>
          <w:p>
            <w:pPr>
              <w:pStyle w:val="TableContents"/>
              <w:bidi w:val="0"/>
              <w:spacing w:before="0" w:after="283"/>
              <w:jc w:val="left"/>
              <w:rPr/>
            </w:pPr>
            <w:r>
              <w:rPr/>
              <w:t> </w:t>
            </w:r>
          </w:p>
        </w:tc>
        <w:tc>
          <w:tcPr>
            <w:tcW w:w="621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6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pPr>
            <w:r>
              <w:rPr/>
              <w:t> </w:t>
            </w:r>
          </w:p>
        </w:tc>
      </w:tr>
      <w:tr>
        <w:trPr/>
        <w:tc>
          <w:tcPr>
            <w:tcW w:w="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1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6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CCEEFF" w:val="clear"/>
            <w:vAlign w:val="center"/>
          </w:tcPr>
          <w:p>
            <w:pPr>
              <w:pStyle w:val="TableContents"/>
              <w:bidi w:val="0"/>
              <w:spacing w:before="0" w:after="283"/>
              <w:jc w:val="left"/>
              <w:rPr/>
            </w:pPr>
            <w:r>
              <w:rPr/>
              <w:t> </w:t>
            </w:r>
          </w:p>
        </w:tc>
        <w:tc>
          <w:tcPr>
            <w:tcW w:w="6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6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pPr>
            <w:r>
              <w:rPr/>
              <w:t> </w:t>
            </w:r>
          </w:p>
        </w:tc>
      </w:tr>
      <w:tr>
        <w:trPr/>
        <w:tc>
          <w:tcPr>
            <w:tcW w:w="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1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6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vAlign w:val="center"/>
          </w:tcPr>
          <w:p>
            <w:pPr>
              <w:pStyle w:val="TableContents"/>
              <w:bidi w:val="0"/>
              <w:spacing w:before="0" w:after="283"/>
              <w:jc w:val="left"/>
              <w:rPr/>
            </w:pPr>
            <w:r>
              <w:rPr/>
              <w:t> </w:t>
            </w:r>
          </w:p>
        </w:tc>
        <w:tc>
          <w:tcPr>
            <w:tcW w:w="6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6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pPr>
            <w:r>
              <w:rPr/>
              <w:t> </w:t>
            </w:r>
          </w:p>
        </w:tc>
      </w:tr>
      <w:tr>
        <w:trPr/>
        <w:tc>
          <w:tcPr>
            <w:tcW w:w="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1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6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CCEEFF" w:val="clear"/>
            <w:vAlign w:val="center"/>
          </w:tcPr>
          <w:p>
            <w:pPr>
              <w:pStyle w:val="TableContents"/>
              <w:bidi w:val="0"/>
              <w:spacing w:before="0" w:after="283"/>
              <w:jc w:val="left"/>
              <w:rPr/>
            </w:pPr>
            <w:r>
              <w:rPr/>
              <w:t> </w:t>
            </w:r>
          </w:p>
        </w:tc>
        <w:tc>
          <w:tcPr>
            <w:tcW w:w="6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6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pPr>
            <w:r>
              <w:rPr/>
              <w:t> </w:t>
            </w:r>
          </w:p>
        </w:tc>
      </w:tr>
      <w:tr>
        <w:trPr/>
        <w:tc>
          <w:tcPr>
            <w:tcW w:w="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1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6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vAlign w:val="center"/>
          </w:tcPr>
          <w:p>
            <w:pPr>
              <w:pStyle w:val="TableContents"/>
              <w:bidi w:val="0"/>
              <w:spacing w:before="0" w:after="283"/>
              <w:jc w:val="left"/>
              <w:rPr/>
            </w:pPr>
            <w:r>
              <w:rPr/>
              <w:t> </w:t>
            </w:r>
          </w:p>
        </w:tc>
        <w:tc>
          <w:tcPr>
            <w:tcW w:w="6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6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pPr>
            <w:r>
              <w:rPr/>
              <w:t> </w:t>
            </w:r>
          </w:p>
        </w:tc>
      </w:tr>
      <w:tr>
        <w:trPr/>
        <w:tc>
          <w:tcPr>
            <w:tcW w:w="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1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6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CCEEFF" w:val="clear"/>
            <w:vAlign w:val="center"/>
          </w:tcPr>
          <w:p>
            <w:pPr>
              <w:pStyle w:val="TableContents"/>
              <w:bidi w:val="0"/>
              <w:spacing w:before="0" w:after="283"/>
              <w:jc w:val="left"/>
              <w:rPr/>
            </w:pPr>
            <w:r>
              <w:rPr/>
              <w:t> </w:t>
            </w:r>
          </w:p>
        </w:tc>
        <w:tc>
          <w:tcPr>
            <w:tcW w:w="6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6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pPr>
            <w:r>
              <w:rPr/>
              <w:t> </w:t>
            </w:r>
          </w:p>
        </w:tc>
      </w:tr>
      <w:tr>
        <w:trPr/>
        <w:tc>
          <w:tcPr>
            <w:tcW w:w="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1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6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30" w:type="dxa"/>
            <w:tcBorders/>
            <w:shd w:fill="FFFFFF" w:val="clear"/>
            <w:vAlign w:val="center"/>
          </w:tcPr>
          <w:p>
            <w:pPr>
              <w:pStyle w:val="TableContents"/>
              <w:bidi w:val="0"/>
              <w:spacing w:before="0" w:after="283"/>
              <w:jc w:val="center"/>
              <w:rPr/>
            </w:pPr>
            <w:r>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283"/>
              <w:jc w:val="left"/>
              <w:rPr/>
            </w:pPr>
            <w:r>
              <w:rPr/>
              <w:t> </w:t>
            </w:r>
          </w:p>
        </w:tc>
        <w:tc>
          <w:tcPr>
            <w:tcW w:w="621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6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00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169" w:type="dxa"/>
            <w:tcBorders/>
            <w:vAlign w:val="center"/>
          </w:tcPr>
          <w:p>
            <w:pPr>
              <w:pStyle w:val="TableContents"/>
              <w:bidi w:val="0"/>
              <w:spacing w:before="0" w:after="283"/>
              <w:jc w:val="both"/>
              <w:rPr/>
            </w:pPr>
            <w:r>
              <w:rPr/>
              <w:t> </w:t>
            </w:r>
          </w:p>
        </w:tc>
        <w:tc>
          <w:tcPr>
            <w:tcW w:w="10036" w:type="dxa"/>
            <w:tcBorders/>
            <w:vAlign w:val="center"/>
          </w:tcPr>
          <w:p>
            <w:pPr>
              <w:pStyle w:val="TableContents"/>
              <w:bidi w:val="0"/>
              <w:spacing w:before="0" w:after="283"/>
              <w:jc w:val="both"/>
              <w:rPr/>
            </w:pPr>
            <w:r>
              <w:rPr/>
              <w:t> </w:t>
            </w:r>
          </w:p>
        </w:tc>
      </w:tr>
      <w:tr>
        <w:trPr/>
        <w:tc>
          <w:tcPr>
            <w:tcW w:w="1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00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certifications are being furnished solely to accompany this Quarterly Report on Form 10-Q pursuant to 18 U.S.C. Section 1350, and are not being filed for purposes of Section 18 of the Securities Exchange Act of 1934 and are not to be incorporated by reference into any filing of Snail, Inc., whether made before or after the date hereof, regardless of any general incorporation language in such filing.</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28" w:name="vr_020"/>
      <w:bookmarkEnd w:id="1228"/>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as amended, the Registrant has duly caused this Report to be signed on its behalf by the undersigned, thereunto duly authorized, in Culver City, California, on May 13, 2026</w:t>
      </w:r>
      <w:r>
        <w:rPr>
          <w:rFonts w:ascii="Times New Roman;Times;Serif" w:hAnsi="Times New Roman;Times;Serif"/>
          <w:b/>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0" w:type="dxa"/>
          <w:right w:w="0" w:type="dxa"/>
        </w:tblCellMar>
      </w:tblPr>
      <w:tblGrid>
        <w:gridCol w:w="1655"/>
        <w:gridCol w:w="320"/>
        <w:gridCol w:w="5300"/>
      </w:tblGrid>
      <w:tr>
        <w:trPr/>
        <w:tc>
          <w:tcPr>
            <w:tcW w:w="1655" w:type="dxa"/>
            <w:tcBorders/>
            <w:vAlign w:val="center"/>
          </w:tcPr>
          <w:p>
            <w:pPr>
              <w:pStyle w:val="TableContents"/>
              <w:bidi w:val="0"/>
              <w:spacing w:before="0" w:after="283"/>
              <w:jc w:val="left"/>
              <w:rPr/>
            </w:pPr>
            <w:r>
              <w:rPr/>
              <w:t> </w:t>
            </w:r>
          </w:p>
        </w:tc>
        <w:tc>
          <w:tcPr>
            <w:tcW w:w="562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Snail, Inc.</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300" w:type="dxa"/>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13, 2026</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Hai Shi</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3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Hai Shi</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3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Chief Executive Officer </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3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(Principal Executive Officer)</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300" w:type="dxa"/>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13, 2026</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Heidy Chow</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3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Heidy Chow</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3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Chief Financial Officer </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3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(Principal Financial Officer and Principal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jc w:val="center"/>
        <w:rPr/>
      </w:pPr>
      <w:bookmarkStart w:id="1229" w:name="ex31-1.htm"/>
      <w:bookmarkStart w:id="1230" w:name="ksex311"/>
      <w:bookmarkEnd w:id="1229"/>
      <w:bookmarkEnd w:id="123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 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Hai Shi, certify that:</w:t>
      </w:r>
    </w:p>
    <w:p>
      <w:pPr>
        <w:pStyle w:val="TextBody"/>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185"/>
        <w:gridCol w:w="822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for the period ended March 31, 2026 of Snail,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1655"/>
        <w:gridCol w:w="320"/>
        <w:gridCol w:w="2360"/>
      </w:tblGrid>
      <w:tr>
        <w:trPr/>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May 13, 2026</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Hai Shi</w:t>
            </w:r>
          </w:p>
        </w:tc>
      </w:tr>
      <w:tr>
        <w:trPr/>
        <w:tc>
          <w:tcPr>
            <w:tcW w:w="165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Hai Shi</w:t>
            </w:r>
          </w:p>
        </w:tc>
      </w:tr>
      <w:tr>
        <w:trPr/>
        <w:tc>
          <w:tcPr>
            <w:tcW w:w="165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165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bookmarkStart w:id="1231" w:name="ex31-2.htm"/>
      <w:bookmarkStart w:id="1232" w:name="ksex312"/>
      <w:bookmarkEnd w:id="1231"/>
      <w:bookmarkEnd w:id="123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 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Heidy Chow, certify that:</w:t>
      </w:r>
    </w:p>
    <w:p>
      <w:pPr>
        <w:pStyle w:val="TextBody"/>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185"/>
        <w:gridCol w:w="831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 have reviewed this quarterly report on Form 10-Q for the period ended March 31, 2026 of Snail, Inc.;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97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7005" w:type="dxa"/>
        <w:jc w:val="left"/>
        <w:tblInd w:w="0" w:type="dxa"/>
        <w:tblLayout w:type="fixed"/>
        <w:tblCellMar>
          <w:top w:w="0" w:type="dxa"/>
          <w:left w:w="0" w:type="dxa"/>
          <w:bottom w:w="0" w:type="dxa"/>
          <w:right w:w="0" w:type="dxa"/>
        </w:tblCellMar>
      </w:tblPr>
      <w:tblGrid>
        <w:gridCol w:w="1655"/>
        <w:gridCol w:w="320"/>
        <w:gridCol w:w="5030"/>
      </w:tblGrid>
      <w:tr>
        <w:trPr/>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May 13, 2026</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03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Heidy Chow</w:t>
            </w:r>
          </w:p>
        </w:tc>
      </w:tr>
      <w:tr>
        <w:trPr/>
        <w:tc>
          <w:tcPr>
            <w:tcW w:w="165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Heidy Chow</w:t>
            </w:r>
          </w:p>
        </w:tc>
      </w:tr>
      <w:tr>
        <w:trPr/>
        <w:tc>
          <w:tcPr>
            <w:tcW w:w="165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65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bookmarkStart w:id="1233" w:name="ex32-1.htm"/>
      <w:bookmarkStart w:id="1234" w:name="ksex321"/>
      <w:bookmarkEnd w:id="1233"/>
      <w:bookmarkEnd w:id="123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Snail, Inc. (the “Company”) on Form 10-Q for the quarter ended March 31, 2026 (the “Report”), I, Hai Shi, Chief Executive Officer of the Company, certify, pursuant to 18 U.S.C. Section 1350, as adopted pursuant to Section 906 of the Sarbanes-Oxley Act of 2002, that, to the best of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rPr/>
        <w:tc>
          <w:tcPr>
            <w:tcW w:w="249" w:type="dxa"/>
            <w:tcBorders/>
            <w:vAlign w:val="center"/>
          </w:tcPr>
          <w:p>
            <w:pPr>
              <w:pStyle w:val="TableContents"/>
              <w:bidi w:val="0"/>
              <w:spacing w:before="0" w:after="283"/>
              <w:jc w:val="left"/>
              <w:rPr/>
            </w:pPr>
            <w:r>
              <w:rPr/>
              <w:t> </w:t>
            </w:r>
          </w:p>
        </w:tc>
        <w:tc>
          <w:tcPr>
            <w:tcW w:w="9956" w:type="dxa"/>
            <w:tcBorders/>
            <w:vAlign w:val="center"/>
          </w:tcPr>
          <w:p>
            <w:pPr>
              <w:pStyle w:val="TableContents"/>
              <w:bidi w:val="0"/>
              <w:spacing w:before="0" w:after="283"/>
              <w:jc w:val="both"/>
              <w:rPr/>
            </w:pPr>
            <w:r>
              <w:rPr/>
              <w:t> </w:t>
            </w:r>
          </w:p>
        </w:tc>
      </w:tr>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4605" w:type="dxa"/>
        <w:jc w:val="left"/>
        <w:tblInd w:w="0" w:type="dxa"/>
        <w:tblLayout w:type="fixed"/>
        <w:tblCellMar>
          <w:top w:w="0" w:type="dxa"/>
          <w:left w:w="0" w:type="dxa"/>
          <w:bottom w:w="0" w:type="dxa"/>
          <w:right w:w="0" w:type="dxa"/>
        </w:tblCellMar>
      </w:tblPr>
      <w:tblGrid>
        <w:gridCol w:w="1655"/>
        <w:gridCol w:w="590"/>
        <w:gridCol w:w="2360"/>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13,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Hai Shi</w:t>
            </w:r>
          </w:p>
        </w:tc>
      </w:tr>
      <w:tr>
        <w:trPr/>
        <w:tc>
          <w:tcPr>
            <w:tcW w:w="165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 Shi</w:t>
            </w:r>
          </w:p>
        </w:tc>
      </w:tr>
      <w:tr>
        <w:trPr/>
        <w:tc>
          <w:tcPr>
            <w:tcW w:w="165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165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bookmarkStart w:id="1235" w:name="ex32-2.htm"/>
      <w:bookmarkStart w:id="1236" w:name="ksex322"/>
      <w:bookmarkEnd w:id="1235"/>
      <w:bookmarkEnd w:id="123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Snail, Inc. (the “Company”) on Form 10-Q for the quarter ended March 31, 2026 (the “Report”), I, Heidy Chow, Chief Financial Officer of the Company, certify, pursuant to 18 U.S.C. Section 1350, as adopted pursuant to Section 906 of the Sarbanes-Oxley Act of 2002, that, to the best of my knowledge:</w:t>
      </w:r>
    </w:p>
    <w:p>
      <w:pPr>
        <w:pStyle w:val="TextBody"/>
        <w:bidi w:val="0"/>
        <w:spacing w:before="0" w:after="0"/>
        <w:ind w:left="0" w:right="0" w:hanging="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60"/>
        <w:gridCol w:w="957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both"/>
        <w:rPr>
          <w:caps w:val="false"/>
          <w:smallCaps w:val="false"/>
        </w:rPr>
      </w:pPr>
      <w:r>
        <w:rPr>
          <w:caps w:val="false"/>
          <w:smallCaps w:val="false"/>
        </w:rPr>
        <w:t> </w:t>
      </w:r>
    </w:p>
    <w:tbl>
      <w:tblPr>
        <w:tblW w:w="7275" w:type="dxa"/>
        <w:jc w:val="left"/>
        <w:tblInd w:w="0" w:type="dxa"/>
        <w:tblLayout w:type="fixed"/>
        <w:tblCellMar>
          <w:top w:w="0" w:type="dxa"/>
          <w:left w:w="0" w:type="dxa"/>
          <w:bottom w:w="0" w:type="dxa"/>
          <w:right w:w="0" w:type="dxa"/>
        </w:tblCellMar>
      </w:tblPr>
      <w:tblGrid>
        <w:gridCol w:w="1655"/>
        <w:gridCol w:w="590"/>
        <w:gridCol w:w="5030"/>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13,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Heidy Chow</w:t>
            </w:r>
          </w:p>
        </w:tc>
      </w:tr>
      <w:tr>
        <w:trPr/>
        <w:tc>
          <w:tcPr>
            <w:tcW w:w="165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Heidy Chow</w:t>
            </w:r>
          </w:p>
        </w:tc>
      </w:tr>
      <w:tr>
        <w:trPr/>
        <w:tc>
          <w:tcPr>
            <w:tcW w:w="165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165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6894/000110465922118795/tm2128835d28_ex3-1.htm" TargetMode="External"/><Relationship Id="rId3" Type="http://schemas.openxmlformats.org/officeDocument/2006/relationships/hyperlink" Target="https://www.sec.gov/Archives/edgar/data/1886894/000110465922118795/tm2128835d28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37649</Words>
  <Characters>204025</Characters>
  <CharactersWithSpaces>244716</CharactersWithSpaces>
  <Paragraphs>9493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