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4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jc w:val="center"/>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283"/>
              <w:jc w:val="left"/>
              <w:rPr>
                <w:caps w:val="false"/>
                <w:smallCaps w:val="false"/>
              </w:rPr>
            </w:pPr>
            <w:bookmarkStart w:id="3" w:name="xdx_905_edei--DocumentQuarterlyReport_c2"/>
            <w:bookmarkEnd w:id="3"/>
            <w:r>
              <w:rPr>
                <w:caps w:val="false"/>
                <w:smallCaps w:val="false"/>
              </w:rPr>
              <w:t>☒</w:t>
            </w:r>
          </w:p>
        </w:tc>
        <w:tc>
          <w:tcPr>
            <w:tcW w:w="98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4_edei--DocumentPeriodEndDate_c202"/>
      <w:bookmarkEnd w:id="4"/>
      <w:r>
        <w:rPr>
          <w:rFonts w:ascii="Times New Roman;Times;Serif" w:hAnsi="Times New Roman;Times;Serif"/>
          <w:b/>
          <w:i w:val="false"/>
          <w:caps w:val="false"/>
          <w:smallCaps w:val="false"/>
          <w:sz w:val="20"/>
        </w:rPr>
        <w:t xml:space="preserve">March 31, </w:t>
      </w:r>
      <w:bookmarkStart w:id="5" w:name="xdx_90D_edei--DocumentFiscalYearFocus_c2"/>
      <w:bookmarkEnd w:id="5"/>
      <w:r>
        <w:rPr>
          <w:rFonts w:ascii="Times New Roman;Times;Serif" w:hAnsi="Times New Roman;Times;Serif"/>
          <w:b/>
          <w:i w:val="false"/>
          <w:caps w:val="false"/>
          <w:smallCaps w:val="false"/>
          <w:sz w:val="20"/>
        </w:rPr>
        <w:t>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bookmarkStart w:id="6" w:name="xdx_909_edei--DocumentTransitionReport_c"/>
            <w:bookmarkEnd w:id="6"/>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TRANSITION REPORT PURSUANT TO SECTION 13 OR 15(d) OF THE SECURITIES EXCHANGE ACT OF 1934 FOR THE TRANSITION PERIOD FROM TO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9_edei--EntityFileNumber_c20240101"/>
      <w:bookmarkEnd w:id="7"/>
      <w:r>
        <w:rPr>
          <w:rFonts w:ascii="Times New Roman;Times;Serif" w:hAnsi="Times New Roman;Times;Serif"/>
          <w:b/>
          <w:i w:val="false"/>
          <w:caps w:val="false"/>
          <w:smallCaps w:val="false"/>
          <w:sz w:val="20"/>
        </w:rPr>
        <w:t>001-41556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8" w:name="xdx_906_edei--EntityRegistrantName_c2024"/>
      <w:bookmarkEnd w:id="8"/>
      <w:r>
        <w:rPr>
          <w:rFonts w:ascii="Times New Roman;Times;Serif" w:hAnsi="Times New Roman;Times;Serif"/>
          <w:b/>
          <w:i w:val="false"/>
          <w:caps w:val="false"/>
          <w:smallCaps w:val="false"/>
          <w:sz w:val="36"/>
        </w:rPr>
        <w:t>SNAIL,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2660"/>
        <w:gridCol w:w="60"/>
        <w:gridCol w:w="1565"/>
      </w:tblGrid>
      <w:tr>
        <w:trPr/>
        <w:tc>
          <w:tcPr>
            <w:tcW w:w="26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8_edei--EntityIncorporationStateCo"/>
            <w:bookmarkEnd w:id="9"/>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F_edei--EntityTaxIdentificationNum"/>
            <w:bookmarkEnd w:id="10"/>
            <w:r>
              <w:rPr>
                <w:rFonts w:ascii="Times New Roman;Times;Serif" w:hAnsi="Times New Roman;Times;Serif"/>
                <w:b/>
                <w:i w:val="false"/>
                <w:caps w:val="false"/>
                <w:smallCaps w:val="false"/>
                <w:sz w:val="20"/>
              </w:rPr>
              <w:t>88-4146991</w:t>
            </w:r>
          </w:p>
        </w:tc>
      </w:tr>
      <w:tr>
        <w:trPr/>
        <w:tc>
          <w:tcPr>
            <w:tcW w:w="26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3290"/>
        <w:gridCol w:w="60"/>
        <w:gridCol w:w="890"/>
      </w:tblGrid>
      <w:tr>
        <w:trPr/>
        <w:tc>
          <w:tcPr>
            <w:tcW w:w="32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8_edei--EntityAddressAddressLine1_"/>
            <w:bookmarkEnd w:id="11"/>
            <w:r>
              <w:rPr>
                <w:rFonts w:ascii="Times New Roman;Times;Serif" w:hAnsi="Times New Roman;Times;Serif"/>
                <w:b/>
                <w:i w:val="false"/>
                <w:caps w:val="false"/>
                <w:smallCaps w:val="false"/>
                <w:sz w:val="20"/>
              </w:rPr>
              <w:t>12049 Jefferson Blvd</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2" w:name="xdx_903_edei--EntityAddressCityOrTown_c2"/>
            <w:bookmarkEnd w:id="12"/>
            <w:r>
              <w:rPr>
                <w:rFonts w:ascii="Times New Roman;Times;Serif" w:hAnsi="Times New Roman;Times;Serif"/>
                <w:b/>
                <w:i w:val="false"/>
                <w:caps w:val="false"/>
                <w:smallCaps w:val="false"/>
                <w:sz w:val="20"/>
              </w:rPr>
              <w:t xml:space="preserve">Culver City, </w:t>
            </w:r>
            <w:bookmarkStart w:id="13" w:name="xdx_90D_edei--EntityAddressStateOrProvin"/>
            <w:bookmarkEnd w:id="13"/>
            <w:r>
              <w:rPr>
                <w:rFonts w:ascii="Times New Roman;Times;Serif" w:hAnsi="Times New Roman;Times;Serif"/>
                <w:b/>
                <w:i w:val="false"/>
                <w:caps w:val="false"/>
                <w:smallCaps w:val="false"/>
                <w:sz w:val="20"/>
              </w:rPr>
              <w:t>CA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4" w:name="xdx_908_edei--EntityAddressPostalZipCode"/>
            <w:bookmarkEnd w:id="14"/>
            <w:r>
              <w:rPr>
                <w:rFonts w:ascii="Times New Roman;Times;Serif" w:hAnsi="Times New Roman;Times;Serif"/>
                <w:b/>
                <w:i w:val="false"/>
                <w:caps w:val="false"/>
                <w:smallCaps w:val="false"/>
                <w:sz w:val="20"/>
              </w:rPr>
              <w:t>90230</w:t>
            </w:r>
          </w:p>
        </w:tc>
      </w:tr>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+1 </w:t>
      </w:r>
      <w:bookmarkStart w:id="15" w:name="xdx_900_edei--CityAreaCode_c20240101__20"/>
      <w:bookmarkEnd w:id="15"/>
      <w:r>
        <w:rPr>
          <w:rFonts w:ascii="Times New Roman;Times;Serif" w:hAnsi="Times New Roman;Times;Serif"/>
          <w:b/>
          <w:i w:val="false"/>
          <w:caps w:val="false"/>
          <w:smallCaps w:val="false"/>
          <w:sz w:val="20"/>
        </w:rPr>
        <w:t xml:space="preserve">(310) </w:t>
      </w:r>
      <w:bookmarkStart w:id="16" w:name="xdx_901_edei--LocalPhoneNumber_c20240101"/>
      <w:bookmarkEnd w:id="16"/>
      <w:r>
        <w:rPr>
          <w:rFonts w:ascii="Times New Roman;Times;Serif" w:hAnsi="Times New Roman;Times;Serif"/>
          <w:b/>
          <w:i w:val="false"/>
          <w:caps w:val="false"/>
          <w:smallCaps w:val="false"/>
          <w:sz w:val="20"/>
        </w:rPr>
        <w:t>988-0643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tbl>
      <w:tblPr>
        <w:tblW w:w="9690" w:type="dxa"/>
        <w:jc w:val="left"/>
        <w:tblInd w:w="0" w:type="dxa"/>
        <w:tblLayout w:type="fixed"/>
        <w:tblCellMar>
          <w:top w:w="0" w:type="dxa"/>
          <w:left w:w="0" w:type="dxa"/>
          <w:bottom w:w="28" w:type="dxa"/>
          <w:right w:w="0" w:type="dxa"/>
        </w:tblCellMar>
      </w:tblPr>
      <w:tblGrid>
        <w:gridCol w:w="4205"/>
        <w:gridCol w:w="60"/>
        <w:gridCol w:w="1655"/>
        <w:gridCol w:w="60"/>
        <w:gridCol w:w="3710"/>
      </w:tblGrid>
      <w:tr>
        <w:trPr/>
        <w:tc>
          <w:tcPr>
            <w:tcW w:w="420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5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 (s)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2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7" w:name="xdx_902_edei--Security12bTitle_c20240101"/>
            <w:bookmarkEnd w:id="17"/>
            <w:r>
              <w:rPr>
                <w:rFonts w:ascii="Times New Roman;Times;Serif" w:hAnsi="Times New Roman;Times;Serif"/>
                <w:b w:val="false"/>
                <w:i w:val="false"/>
                <w:caps w:val="false"/>
                <w:smallCaps w:val="false"/>
                <w:sz w:val="20"/>
              </w:rPr>
              <w:t>Class A 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0_edei--TradingSymbol_c20240101__2"/>
            <w:bookmarkEnd w:id="18"/>
            <w:r>
              <w:rPr>
                <w:rFonts w:ascii="Times New Roman;Times;Serif" w:hAnsi="Times New Roman;Times;Serif"/>
                <w:b w:val="false"/>
                <w:i w:val="false"/>
                <w:caps w:val="false"/>
                <w:smallCaps w:val="false"/>
                <w:sz w:val="20"/>
              </w:rPr>
              <w:t>SNAL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19" w:name="xdx_900_edei--SecurityExchangeName_c2024"/>
            <w:bookmarkEnd w:id="19"/>
            <w:r>
              <w:rPr>
                <w:rFonts w:ascii="Times New Roman;Times;Serif" w:hAnsi="Times New Roman;Times;Serif"/>
                <w:b w:val="false"/>
                <w:i w:val="false"/>
                <w:caps w:val="false"/>
                <w:smallCaps w:val="false"/>
                <w:sz w:val="20"/>
              </w:rPr>
              <w:t>Nasdaq Stock Market LLC</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registered pursuant to Section 12(g) of the Act: </w:t>
      </w:r>
      <w:r>
        <w:rPr>
          <w:rFonts w:ascii="Times New Roman;Times;Serif" w:hAnsi="Times New Roman;Times;Serif"/>
          <w:b/>
          <w:i w:val="false"/>
          <w:caps w:val="false"/>
          <w:smallCaps w:val="false"/>
          <w:sz w:val="20"/>
        </w:rPr>
        <w:t>None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not required to file reports pursuant to Section 13 or 15(d) of the Act. YES ☐ NO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0" w:name="xdx_908_edei--EntityCurrentReportingStat"/>
      <w:bookmarkEnd w:id="20"/>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bookmarkStart w:id="21" w:name="xdx_904_edei--EntityInteractiveDataCurre"/>
      <w:bookmarkEnd w:id="21"/>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center"/>
        <w:rPr>
          <w:caps w:val="false"/>
          <w:smallCaps w:val="false"/>
        </w:rPr>
      </w:pPr>
      <w:r>
        <w:rPr>
          <w:caps w:val="false"/>
          <w:smallCaps w:val="false"/>
        </w:rPr>
        <w:t> </w:t>
      </w:r>
    </w:p>
    <w:tbl>
      <w:tblPr>
        <w:tblW w:w="4940" w:type="dxa"/>
        <w:jc w:val="left"/>
        <w:tblInd w:w="0" w:type="dxa"/>
        <w:tblLayout w:type="fixed"/>
        <w:tblCellMar>
          <w:top w:w="0" w:type="dxa"/>
          <w:left w:w="0" w:type="dxa"/>
          <w:bottom w:w="0" w:type="dxa"/>
          <w:right w:w="0" w:type="dxa"/>
        </w:tblCellMar>
      </w:tblPr>
      <w:tblGrid>
        <w:gridCol w:w="2240"/>
        <w:gridCol w:w="230"/>
        <w:gridCol w:w="2225"/>
        <w:gridCol w:w="245"/>
      </w:tblGrid>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2" w:name="xdx_90D_edei--EntityFilerCategory_c20240"/>
            <w:bookmarkEnd w:id="22"/>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bookmarkStart w:id="23" w:name="xdx_90C_edei--EntitySmallBusiness_c20240"/>
            <w:bookmarkEnd w:id="23"/>
            <w:r>
              <w:rPr>
                <w:caps w:val="false"/>
                <w:smallCaps w:val="false"/>
              </w:rPr>
              <w:t>☒</w:t>
            </w:r>
          </w:p>
        </w:tc>
      </w:tr>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30" w:type="dxa"/>
            <w:tcBorders/>
            <w:vAlign w:val="center"/>
          </w:tcPr>
          <w:p>
            <w:pPr>
              <w:pStyle w:val="TableContents"/>
              <w:bidi w:val="0"/>
              <w:spacing w:before="0" w:after="283"/>
              <w:jc w:val="left"/>
              <w:rPr>
                <w:caps w:val="false"/>
                <w:smallCaps w:val="false"/>
              </w:rPr>
            </w:pPr>
            <w:bookmarkStart w:id="24" w:name="xdx_90F_edei--EntityEmergingGrowthCompan"/>
            <w:bookmarkEnd w:id="24"/>
            <w:r>
              <w:rPr>
                <w:caps w:val="false"/>
                <w:smallCaps w:val="false"/>
              </w:rPr>
              <w:t>☒</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3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6" w:name="xdx_907_edei--EntityShellCompany_dbF_c20"/>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shares outstanding of each of the registrant’s classes of common stock, as of the latest practicable date.</w:t>
      </w:r>
    </w:p>
    <w:p>
      <w:pPr>
        <w:pStyle w:val="TextBody"/>
        <w:bidi w:val="0"/>
        <w:spacing w:before="0" w:after="0"/>
        <w:jc w:val="center"/>
        <w:rPr>
          <w:caps w:val="false"/>
          <w:smallCaps w:val="false"/>
        </w:rPr>
      </w:pPr>
      <w:r>
        <w:rPr>
          <w:caps w:val="false"/>
          <w:smallCaps w:val="false"/>
        </w:rPr>
        <w:t> </w:t>
      </w:r>
    </w:p>
    <w:tbl>
      <w:tblPr>
        <w:tblW w:w="7840" w:type="dxa"/>
        <w:jc w:val="left"/>
        <w:tblInd w:w="0" w:type="dxa"/>
        <w:tblLayout w:type="fixed"/>
        <w:tblCellMar>
          <w:top w:w="0" w:type="dxa"/>
          <w:left w:w="0" w:type="dxa"/>
          <w:bottom w:w="28" w:type="dxa"/>
          <w:right w:w="0" w:type="dxa"/>
        </w:tblCellMar>
      </w:tblPr>
      <w:tblGrid>
        <w:gridCol w:w="4460"/>
        <w:gridCol w:w="60"/>
        <w:gridCol w:w="3320"/>
      </w:tblGrid>
      <w:tr>
        <w:trPr/>
        <w:tc>
          <w:tcPr>
            <w:tcW w:w="446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of Common Stock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32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Shares as of May 13, 2024</w:t>
            </w:r>
          </w:p>
        </w:tc>
      </w:tr>
      <w:tr>
        <w:trPr/>
        <w:tc>
          <w:tcPr>
            <w:tcW w:w="44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 par value $0.0001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3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7" w:name="xdx_903_edei--EntityCommonStockSharesOut"/>
            <w:bookmarkEnd w:id="27"/>
            <w:r>
              <w:rPr>
                <w:rFonts w:ascii="Times New Roman;Times;Serif" w:hAnsi="Times New Roman;Times;Serif"/>
                <w:b/>
                <w:i w:val="false"/>
                <w:caps w:val="false"/>
                <w:smallCaps w:val="false"/>
                <w:sz w:val="20"/>
              </w:rPr>
              <w:t>8,007,474</w:t>
            </w:r>
          </w:p>
        </w:tc>
      </w:tr>
      <w:tr>
        <w:trPr/>
        <w:tc>
          <w:tcPr>
            <w:tcW w:w="4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 Common Stock, par value $0.0001 per share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3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8" w:name="xdx_909_edei--EntityCommonStockSharesOut"/>
            <w:bookmarkEnd w:id="28"/>
            <w:r>
              <w:rPr>
                <w:rFonts w:ascii="Times New Roman;Times;Serif" w:hAnsi="Times New Roman;Times;Serif"/>
                <w:b/>
                <w:i w:val="false"/>
                <w:caps w:val="false"/>
                <w:smallCaps w:val="false"/>
                <w:sz w:val="20"/>
              </w:rPr>
              <w:t>28,748,580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 Ended March 31, 2024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20"/>
        <w:gridCol w:w="8530"/>
        <w:gridCol w:w="455"/>
      </w:tblGrid>
      <w:tr>
        <w:trPr/>
        <w:tc>
          <w:tcPr>
            <w:tcW w:w="1220" w:type="dxa"/>
            <w:tcBorders/>
            <w:vAlign w:val="center"/>
          </w:tcPr>
          <w:p>
            <w:pPr>
              <w:pStyle w:val="TableContents"/>
              <w:bidi w:val="0"/>
              <w:spacing w:before="0" w:after="283"/>
              <w:jc w:val="left"/>
              <w:rPr>
                <w:caps w:val="false"/>
                <w:smallCaps w:val="false"/>
              </w:rPr>
            </w:pPr>
            <w:r>
              <w:rPr>
                <w:caps w:val="false"/>
                <w:smallCaps w:val="false"/>
              </w:rPr>
              <w:t> </w:t>
            </w:r>
          </w:p>
        </w:tc>
        <w:tc>
          <w:tcPr>
            <w:tcW w:w="8530" w:type="dxa"/>
            <w:tcBorders/>
            <w:vAlign w:val="center"/>
          </w:tcPr>
          <w:p>
            <w:pPr>
              <w:pStyle w:val="TableContents"/>
              <w:bidi w:val="0"/>
              <w:spacing w:before="0" w:after="283"/>
              <w:jc w:val="both"/>
              <w:rPr>
                <w:caps w:val="false"/>
                <w:smallCaps w:val="false"/>
              </w:rPr>
            </w:pPr>
            <w:r>
              <w:rPr>
                <w:caps w:val="false"/>
                <w:smallCaps w:val="false"/>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30" w:type="dxa"/>
            <w:tcBorders/>
            <w:shd w:fill="CCEEFF" w:val="clear"/>
            <w:vAlign w:val="center"/>
          </w:tcPr>
          <w:p>
            <w:pPr>
              <w:pStyle w:val="TableContents"/>
              <w:bidi w:val="0"/>
              <w:spacing w:before="0" w:after="283"/>
              <w:jc w:val="both"/>
              <w:rPr/>
            </w:pPr>
            <w:hyperlink w:anchor="S1_001">
              <w:r>
                <w:rPr>
                  <w:rStyle w:val="InternetLink"/>
                  <w:rFonts w:ascii="Times New Roman;Times;Serif" w:hAnsi="Times New Roman;Times;Serif"/>
                  <w:b w:val="false"/>
                  <w:i w:val="false"/>
                  <w:caps w:val="false"/>
                  <w:smallCaps w:val="false"/>
                  <w:sz w:val="20"/>
                </w:rPr>
                <w:t>Cautionary Statement</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9750" w:type="dxa"/>
            <w:gridSpan w:val="2"/>
            <w:tcBorders/>
            <w:shd w:fill="FFFFFF" w:val="clear"/>
            <w:vAlign w:val="center"/>
          </w:tcPr>
          <w:p>
            <w:pPr>
              <w:pStyle w:val="TableContents"/>
              <w:bidi w:val="0"/>
              <w:spacing w:before="0" w:after="283"/>
              <w:jc w:val="left"/>
              <w:rPr/>
            </w:pPr>
            <w:hyperlink w:anchor="S1_002">
              <w:r>
                <w:rPr>
                  <w:rStyle w:val="InternetLink"/>
                  <w:rFonts w:ascii="Times New Roman;Times;Serif" w:hAnsi="Times New Roman;Times;Serif"/>
                  <w:b/>
                  <w:i w:val="false"/>
                  <w:caps w:val="false"/>
                  <w:smallCaps w:val="false"/>
                  <w:sz w:val="20"/>
                </w:rPr>
                <w:t>PART I. FINANCIAL INFORMATION</w:t>
              </w:r>
            </w:hyperlink>
            <w:hyperlink w:anchor="S1_002">
              <w:r>
                <w:rPr>
                  <w:rStyle w:val="InternetLink"/>
                  <w:rFonts w:ascii="Times New Roman;Times;Serif" w:hAnsi="Times New Roman;Times;Serif"/>
                  <w:b w:val="false"/>
                  <w:i w:val="false"/>
                  <w:caps w:val="false"/>
                  <w:smallCaps w:val="false"/>
                  <w:sz w:val="20"/>
                </w:rPr>
                <w:t xml:space="preserve"> </w:t>
              </w:r>
            </w:hyperlink>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530" w:type="dxa"/>
            <w:tcBorders/>
            <w:shd w:fill="CCEEFF" w:val="clear"/>
            <w:vAlign w:val="center"/>
          </w:tcPr>
          <w:p>
            <w:pPr>
              <w:pStyle w:val="TableContents"/>
              <w:bidi w:val="0"/>
              <w:spacing w:before="0" w:after="283"/>
              <w:jc w:val="both"/>
              <w:rPr/>
            </w:pPr>
            <w:hyperlink w:anchor="S1_003">
              <w:r>
                <w:rPr>
                  <w:rStyle w:val="InternetLink"/>
                  <w:rFonts w:ascii="Times New Roman;Times;Serif" w:hAnsi="Times New Roman;Times;Serif"/>
                  <w:b w:val="false"/>
                  <w:i w:val="false"/>
                  <w:caps w:val="false"/>
                  <w:smallCaps w:val="false"/>
                  <w:sz w:val="20"/>
                </w:rPr>
                <w:t>Condensed Consolidated Financial Statements (Unaudited)</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30" w:type="dxa"/>
            <w:tcBorders/>
            <w:shd w:fill="FFFFFF" w:val="clear"/>
            <w:vAlign w:val="center"/>
          </w:tcPr>
          <w:p>
            <w:pPr>
              <w:pStyle w:val="TableContents"/>
              <w:bidi w:val="0"/>
              <w:spacing w:before="0" w:after="283"/>
              <w:jc w:val="both"/>
              <w:rPr/>
            </w:pPr>
            <w:hyperlink w:anchor="S1_004">
              <w:r>
                <w:rPr>
                  <w:rStyle w:val="InternetLink"/>
                  <w:rFonts w:ascii="Times New Roman;Times;Serif" w:hAnsi="Times New Roman;Times;Serif"/>
                  <w:b w:val="false"/>
                  <w:i w:val="false"/>
                  <w:caps w:val="false"/>
                  <w:smallCaps w:val="false"/>
                  <w:sz w:val="20"/>
                </w:rPr>
                <w:t>Snail, Inc. and Subsidiaries Condensed Consolidated Balance Sheets as of March 31, 2024 and December 31, 2023</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30" w:type="dxa"/>
            <w:tcBorders/>
            <w:shd w:fill="CCEEFF" w:val="clear"/>
            <w:vAlign w:val="center"/>
          </w:tcPr>
          <w:p>
            <w:pPr>
              <w:pStyle w:val="TableContents"/>
              <w:bidi w:val="0"/>
              <w:spacing w:before="0" w:after="283"/>
              <w:jc w:val="both"/>
              <w:rPr/>
            </w:pPr>
            <w:hyperlink w:anchor="S1_005">
              <w:r>
                <w:rPr>
                  <w:rStyle w:val="InternetLink"/>
                  <w:rFonts w:ascii="Times New Roman;Times;Serif" w:hAnsi="Times New Roman;Times;Serif"/>
                  <w:b w:val="false"/>
                  <w:i w:val="false"/>
                  <w:caps w:val="false"/>
                  <w:smallCaps w:val="false"/>
                  <w:sz w:val="20"/>
                </w:rPr>
                <w:t>Snail, Inc. and Subsidiaries Condensed Consolidated Statements of Operations and Comprehensive Income (Loss) for the three months ended March 31, 2024 and 2023</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30" w:type="dxa"/>
            <w:tcBorders/>
            <w:shd w:fill="FFFFFF" w:val="clear"/>
            <w:vAlign w:val="center"/>
          </w:tcPr>
          <w:p>
            <w:pPr>
              <w:pStyle w:val="TableContents"/>
              <w:bidi w:val="0"/>
              <w:spacing w:before="0" w:after="283"/>
              <w:jc w:val="both"/>
              <w:rPr/>
            </w:pPr>
            <w:hyperlink w:anchor="S1_006">
              <w:r>
                <w:rPr>
                  <w:rStyle w:val="InternetLink"/>
                  <w:rFonts w:ascii="Times New Roman;Times;Serif" w:hAnsi="Times New Roman;Times;Serif"/>
                  <w:b w:val="false"/>
                  <w:i w:val="false"/>
                  <w:caps w:val="false"/>
                  <w:smallCaps w:val="false"/>
                  <w:sz w:val="20"/>
                </w:rPr>
                <w:t>Snail, Inc. and Subsidiaries Condensed Consolidated Statements of Equity for the three months ended March 31, 2024 and 2023</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30" w:type="dxa"/>
            <w:tcBorders/>
            <w:shd w:fill="CCEEFF" w:val="clear"/>
            <w:vAlign w:val="center"/>
          </w:tcPr>
          <w:p>
            <w:pPr>
              <w:pStyle w:val="TableContents"/>
              <w:bidi w:val="0"/>
              <w:spacing w:before="0" w:after="283"/>
              <w:jc w:val="both"/>
              <w:rPr/>
            </w:pPr>
            <w:hyperlink w:anchor="S1_007">
              <w:r>
                <w:rPr>
                  <w:rStyle w:val="InternetLink"/>
                  <w:rFonts w:ascii="Times New Roman;Times;Serif" w:hAnsi="Times New Roman;Times;Serif"/>
                  <w:b w:val="false"/>
                  <w:i w:val="false"/>
                  <w:caps w:val="false"/>
                  <w:smallCaps w:val="false"/>
                  <w:sz w:val="20"/>
                </w:rPr>
                <w:t>Snail, Inc. and Subsidiaries Condensed Consolidated Statements of Cash Flows for the three months ended March 31, 2024 and 2023</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30" w:type="dxa"/>
            <w:tcBorders/>
            <w:shd w:fill="FFFFFF" w:val="clear"/>
            <w:vAlign w:val="center"/>
          </w:tcPr>
          <w:p>
            <w:pPr>
              <w:pStyle w:val="TableContents"/>
              <w:bidi w:val="0"/>
              <w:spacing w:before="0" w:after="283"/>
              <w:jc w:val="both"/>
              <w:rPr/>
            </w:pPr>
            <w:hyperlink w:anchor="S1_008">
              <w:r>
                <w:rPr>
                  <w:rStyle w:val="InternetLink"/>
                  <w:rFonts w:ascii="Times New Roman;Times;Serif" w:hAnsi="Times New Roman;Times;Serif"/>
                  <w:b w:val="false"/>
                  <w:i w:val="false"/>
                  <w:caps w:val="false"/>
                  <w:smallCaps w:val="false"/>
                  <w:sz w:val="20"/>
                </w:rPr>
                <w:t>Snail, Inc. and Subsidiaries Notes to Condensed Consolidated Financial Statements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2. </w:t>
            </w:r>
          </w:p>
        </w:tc>
        <w:tc>
          <w:tcPr>
            <w:tcW w:w="8530" w:type="dxa"/>
            <w:tcBorders/>
            <w:shd w:fill="CCEEFF" w:val="clear"/>
            <w:vAlign w:val="center"/>
          </w:tcPr>
          <w:p>
            <w:pPr>
              <w:pStyle w:val="TableContents"/>
              <w:bidi w:val="0"/>
              <w:spacing w:before="0" w:after="283"/>
              <w:jc w:val="both"/>
              <w:rPr/>
            </w:pPr>
            <w:hyperlink w:anchor="ku_001">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3. </w:t>
            </w:r>
          </w:p>
        </w:tc>
        <w:tc>
          <w:tcPr>
            <w:tcW w:w="8530" w:type="dxa"/>
            <w:tcBorders/>
            <w:shd w:fill="FFFFFF" w:val="clear"/>
            <w:vAlign w:val="center"/>
          </w:tcPr>
          <w:p>
            <w:pPr>
              <w:pStyle w:val="TableContents"/>
              <w:bidi w:val="0"/>
              <w:spacing w:before="0" w:after="283"/>
              <w:jc w:val="both"/>
              <w:rPr/>
            </w:pPr>
            <w:hyperlink w:anchor="ku_00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530" w:type="dxa"/>
            <w:tcBorders/>
            <w:shd w:fill="CCEEFF" w:val="clear"/>
            <w:vAlign w:val="center"/>
          </w:tcPr>
          <w:p>
            <w:pPr>
              <w:pStyle w:val="TableContents"/>
              <w:bidi w:val="0"/>
              <w:spacing w:before="0" w:after="283"/>
              <w:jc w:val="both"/>
              <w:rPr/>
            </w:pPr>
            <w:hyperlink w:anchor="ku_003">
              <w:r>
                <w:rPr>
                  <w:rStyle w:val="InternetLink"/>
                  <w:rFonts w:ascii="Times New Roman;Times;Serif" w:hAnsi="Times New Roman;Times;Serif"/>
                  <w:b w:val="false"/>
                  <w:i w:val="false"/>
                  <w:caps w:val="false"/>
                  <w:smallCaps w:val="false"/>
                  <w:sz w:val="20"/>
                </w:rPr>
                <w:t>Controls and Procedures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9750" w:type="dxa"/>
            <w:gridSpan w:val="2"/>
            <w:tcBorders/>
            <w:shd w:fill="FFFFFF" w:val="clear"/>
            <w:vAlign w:val="center"/>
          </w:tcPr>
          <w:p>
            <w:pPr>
              <w:pStyle w:val="TableContents"/>
              <w:bidi w:val="0"/>
              <w:spacing w:before="0" w:after="283"/>
              <w:jc w:val="left"/>
              <w:rPr/>
            </w:pPr>
            <w:hyperlink w:anchor="ku_004">
              <w:r>
                <w:rPr>
                  <w:rStyle w:val="InternetLink"/>
                  <w:rFonts w:ascii="Times New Roman;Times;Serif" w:hAnsi="Times New Roman;Times;Serif"/>
                  <w:b/>
                  <w:i w:val="false"/>
                  <w:caps w:val="false"/>
                  <w:smallCaps w:val="false"/>
                  <w:sz w:val="20"/>
                </w:rPr>
                <w:t>PART II. OTHER INFORMATION</w:t>
              </w:r>
            </w:hyperlink>
            <w:r>
              <w:rPr>
                <w:rFonts w:ascii="Times New Roman;Times;Serif" w:hAnsi="Times New Roman;Times;Serif"/>
                <w:b w:val="false"/>
                <w:i w:val="false"/>
                <w:caps w:val="false"/>
                <w:smallCaps w:val="false"/>
                <w:sz w:val="20"/>
              </w:rPr>
              <w:t xml:space="preserve">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530" w:type="dxa"/>
            <w:tcBorders/>
            <w:shd w:fill="CCEEFF" w:val="clear"/>
            <w:vAlign w:val="center"/>
          </w:tcPr>
          <w:p>
            <w:pPr>
              <w:pStyle w:val="TableContents"/>
              <w:bidi w:val="0"/>
              <w:spacing w:before="0" w:after="283"/>
              <w:jc w:val="both"/>
              <w:rPr/>
            </w:pPr>
            <w:hyperlink w:anchor="ku_005">
              <w:r>
                <w:rPr>
                  <w:rStyle w:val="InternetLink"/>
                  <w:rFonts w:ascii="Times New Roman;Times;Serif" w:hAnsi="Times New Roman;Times;Serif"/>
                  <w:b w:val="false"/>
                  <w:i w:val="false"/>
                  <w:caps w:val="false"/>
                  <w:smallCaps w:val="false"/>
                  <w:sz w:val="20"/>
                </w:rPr>
                <w:t>Legal Proceedings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1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8530" w:type="dxa"/>
            <w:tcBorders/>
            <w:shd w:fill="FFFFFF" w:val="clear"/>
            <w:vAlign w:val="center"/>
          </w:tcPr>
          <w:p>
            <w:pPr>
              <w:pStyle w:val="TableContents"/>
              <w:bidi w:val="0"/>
              <w:spacing w:before="0" w:after="283"/>
              <w:jc w:val="both"/>
              <w:rPr/>
            </w:pPr>
            <w:hyperlink w:anchor="ku_006">
              <w:r>
                <w:rPr>
                  <w:rStyle w:val="InternetLink"/>
                  <w:rFonts w:ascii="Times New Roman;Times;Serif" w:hAnsi="Times New Roman;Times;Serif"/>
                  <w:b w:val="false"/>
                  <w:i w:val="false"/>
                  <w:caps w:val="false"/>
                  <w:smallCaps w:val="false"/>
                  <w:sz w:val="20"/>
                </w:rPr>
                <w:t>Risk Factors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530" w:type="dxa"/>
            <w:tcBorders/>
            <w:shd w:fill="CCEEFF" w:val="clear"/>
            <w:vAlign w:val="center"/>
          </w:tcPr>
          <w:p>
            <w:pPr>
              <w:pStyle w:val="TableContents"/>
              <w:bidi w:val="0"/>
              <w:spacing w:before="0" w:after="283"/>
              <w:jc w:val="both"/>
              <w:rPr/>
            </w:pPr>
            <w:hyperlink w:anchor="ku_007">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1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530" w:type="dxa"/>
            <w:tcBorders/>
            <w:shd w:fill="FFFFFF" w:val="clear"/>
            <w:vAlign w:val="center"/>
          </w:tcPr>
          <w:p>
            <w:pPr>
              <w:pStyle w:val="TableContents"/>
              <w:bidi w:val="0"/>
              <w:spacing w:before="0" w:after="283"/>
              <w:jc w:val="both"/>
              <w:rPr/>
            </w:pPr>
            <w:hyperlink w:anchor="ku_008">
              <w:r>
                <w:rPr>
                  <w:rStyle w:val="InternetLink"/>
                  <w:rFonts w:ascii="Times New Roman;Times;Serif" w:hAnsi="Times New Roman;Times;Serif"/>
                  <w:b w:val="false"/>
                  <w:i w:val="false"/>
                  <w:caps w:val="false"/>
                  <w:smallCaps w:val="false"/>
                  <w:sz w:val="20"/>
                </w:rPr>
                <w:t>Defaults Upon Senior Securities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530" w:type="dxa"/>
            <w:tcBorders/>
            <w:shd w:fill="CCEEFF" w:val="clear"/>
            <w:vAlign w:val="center"/>
          </w:tcPr>
          <w:p>
            <w:pPr>
              <w:pStyle w:val="TableContents"/>
              <w:bidi w:val="0"/>
              <w:spacing w:before="0" w:after="283"/>
              <w:jc w:val="both"/>
              <w:rPr/>
            </w:pPr>
            <w:hyperlink w:anchor="ku_009">
              <w:r>
                <w:rPr>
                  <w:rStyle w:val="InternetLink"/>
                  <w:rFonts w:ascii="Times New Roman;Times;Serif" w:hAnsi="Times New Roman;Times;Serif"/>
                  <w:b w:val="false"/>
                  <w:i w:val="false"/>
                  <w:caps w:val="false"/>
                  <w:smallCaps w:val="false"/>
                  <w:sz w:val="20"/>
                </w:rPr>
                <w:t>Mine Safety Disclosures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1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8530" w:type="dxa"/>
            <w:tcBorders/>
            <w:shd w:fill="FFFFFF" w:val="clear"/>
            <w:vAlign w:val="center"/>
          </w:tcPr>
          <w:p>
            <w:pPr>
              <w:pStyle w:val="TableContents"/>
              <w:bidi w:val="0"/>
              <w:spacing w:before="0" w:after="283"/>
              <w:jc w:val="both"/>
              <w:rPr/>
            </w:pPr>
            <w:hyperlink w:anchor="ku_010">
              <w:r>
                <w:rPr>
                  <w:rStyle w:val="InternetLink"/>
                  <w:rFonts w:ascii="Times New Roman;Times;Serif" w:hAnsi="Times New Roman;Times;Serif"/>
                  <w:b w:val="false"/>
                  <w:i w:val="false"/>
                  <w:caps w:val="false"/>
                  <w:smallCaps w:val="false"/>
                  <w:sz w:val="20"/>
                </w:rPr>
                <w:t>Other Information</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8530" w:type="dxa"/>
            <w:tcBorders/>
            <w:shd w:fill="CCEEFF" w:val="clear"/>
            <w:vAlign w:val="center"/>
          </w:tcPr>
          <w:p>
            <w:pPr>
              <w:pStyle w:val="TableContents"/>
              <w:bidi w:val="0"/>
              <w:spacing w:before="0" w:after="283"/>
              <w:jc w:val="both"/>
              <w:rPr/>
            </w:pPr>
            <w:hyperlink w:anchor="ku_011">
              <w:r>
                <w:rPr>
                  <w:rStyle w:val="InternetLink"/>
                  <w:rFonts w:ascii="Times New Roman;Times;Serif" w:hAnsi="Times New Roman;Times;Serif"/>
                  <w:b w:val="false"/>
                  <w:i w:val="false"/>
                  <w:caps w:val="false"/>
                  <w:smallCaps w:val="false"/>
                  <w:sz w:val="20"/>
                </w:rPr>
                <w:t>Exhibits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1220" w:type="dxa"/>
            <w:tcBorders/>
            <w:shd w:fill="FFFFFF" w:val="clear"/>
            <w:vAlign w:val="center"/>
          </w:tcPr>
          <w:p>
            <w:pPr>
              <w:pStyle w:val="TableContents"/>
              <w:bidi w:val="0"/>
              <w:spacing w:before="0" w:after="283"/>
              <w:jc w:val="left"/>
              <w:rPr/>
            </w:pPr>
            <w:hyperlink w:anchor="ku_012">
              <w:r>
                <w:rPr>
                  <w:rStyle w:val="InternetLink"/>
                  <w:rFonts w:ascii="Times New Roman;Times;Serif" w:hAnsi="Times New Roman;Times;Serif"/>
                  <w:b w:val="false"/>
                  <w:i w:val="false"/>
                  <w:caps w:val="false"/>
                  <w:smallCaps w:val="false"/>
                  <w:sz w:val="20"/>
                </w:rPr>
                <w:t>SIGNATURES</w:t>
              </w:r>
            </w:hyperlink>
          </w:p>
        </w:tc>
        <w:tc>
          <w:tcPr>
            <w:tcW w:w="85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bl>
    <w:p>
      <w:pPr>
        <w:pStyle w:val="TextBody"/>
        <w:bidi w:val="0"/>
        <w:spacing w:before="0" w:after="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 w:name="S1_001"/>
      <w:bookmarkEnd w:id="29"/>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(the “Quarterly Report”) contains statements that constitute forward-looking statements. Many of the forward-looking statements contained in this Quarterly Report can be identified by the use of forward-looking words such as “anticipate,” “believe,” “could,” “expect,” “should,” “plan,” “intend,” “may,” “predict,” “continue,” “estimate” and “potential,” or the negative of these terms or other similar expressions.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appear in a number of places in this Quarterly Report and include, but are not limited to, statements regarding our intent, belief or current expectations. These forward-looking statements include information about possible or assumed future results of our business, financial condition, results of operations, liquidity, plans and objectives.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described in “Part II, Item 1A. – Risk Factors,” of this Quarterly Report. The statements we make regarding the following matters are forward-looking by their nature: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re-establish profitable operations, raise additional capital or renegotiate our debt arrangements;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prospects and strategies;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launching new games and additional functionality to games that are commercially successful;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significant drivers of our future growth;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and increase our player base and develop new video games and enhance our existing games;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from companies in a number of industries, including other casual game developers and publishers and both large and small, public and private multimedia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a qualified management team and other team members while controlling our labor costs;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relationships with third-party platforms such as Xbox Live and Game Pass, PlayStation Network, Steam, Epic Games Store, the Apple App Store, the Google Play Store, My Nintendo Store and the Amazon Appstore;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enter new markets and manage our international expansion;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protecting and developing our brand and intellectual property portfolio;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defending intellectual property infringement and other claims;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business development, results of operations and financial condition;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rulings by courts or other governmental authorities;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 Repurchase Program (as defined below), including expectations regarding the timing and manner of repurchases made under the Share Repurchase Program;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pursue and successfully integrate strategic acquisitions;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risks and uncertainties described in this Quarterly Report, including those described in Item 1A of Part II, “Risk Factors”;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underlying any of the foregoing.</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information on risks, uncertainties and other factors that could affect our financial results are included in our filings with the United States Securities and Exchange Commission (the “SEC”) from time to time, including in Item 1A of Part II, “Risk Factors,” of this Quarterly Report and other periodic reports on Form 10-K and 10-Q filed or to be filed with the SEC. You should not rely on these forward-looking statements, as actual outcomes and results may differ materially from those expressed or implied in the forward-looking statements as a result of such risks and uncertainties. All forward-looking statements in this Quarterly Report are based on management’s beliefs and assumptions and on information currently available to us as of the date of this filing, and we do not assume any obligation to update the forward-looking statements provided to reflect events that occur or circumstances that exist after the date on which they were made.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 w:name="S1_002"/>
      <w:bookmarkEnd w:id="30"/>
      <w:r>
        <w:rPr>
          <w:rFonts w:ascii="Times New Roman;Times;Serif" w:hAnsi="Times New Roman;Times;Serif"/>
          <w:b/>
          <w:i w:val="false"/>
          <w:caps w:val="false"/>
          <w:smallCaps w:val="false"/>
          <w:sz w:val="20"/>
        </w:rPr>
        <w:t>PART I</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 w:name="S1_003"/>
      <w:bookmarkEnd w:id="31"/>
      <w:r>
        <w:rPr>
          <w:rFonts w:ascii="Times New Roman;Times;Serif" w:hAnsi="Times New Roman;Times;Serif"/>
          <w:b/>
          <w:i w:val="false"/>
          <w:caps w:val="false"/>
          <w:smallCaps w:val="false"/>
          <w:sz w:val="20"/>
        </w:rPr>
        <w:t>Item 1. Condensed Consolidated Financial Statement (Unaudited)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S1_004"/>
      <w:bookmarkEnd w:id="32"/>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 as of March 31, 2024 and December 31, 2023</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3" w:name="xdx_30E_111_z49Z8Z69LN2i"/>
      <w:bookmarkStart w:id="34" w:name="xdx_30E_111_z49Z8Z69LN2i"/>
      <w:bookmarkEnd w:id="34"/>
    </w:p>
    <w:tbl>
      <w:tblPr>
        <w:tblW w:w="10205" w:type="dxa"/>
        <w:jc w:val="left"/>
        <w:tblInd w:w="0" w:type="dxa"/>
        <w:tblLayout w:type="fixed"/>
        <w:tblCellMar>
          <w:top w:w="0" w:type="dxa"/>
          <w:left w:w="0" w:type="dxa"/>
          <w:bottom w:w="0" w:type="dxa"/>
          <w:right w:w="0" w:type="dxa"/>
        </w:tblCellMar>
      </w:tblPr>
      <w:tblGrid>
        <w:gridCol w:w="7049"/>
        <w:gridCol w:w="60"/>
        <w:gridCol w:w="146"/>
        <w:gridCol w:w="1230"/>
        <w:gridCol w:w="95"/>
        <w:gridCol w:w="60"/>
        <w:gridCol w:w="154"/>
        <w:gridCol w:w="1298"/>
        <w:gridCol w:w="113"/>
      </w:tblGrid>
      <w:tr>
        <w:trPr/>
        <w:tc>
          <w:tcPr>
            <w:tcW w:w="704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5" w:name="xdx_493_20240331_zmEXzwWiZ83"/>
            <w:bookmarkEnd w:id="35"/>
          </w:p>
        </w:tc>
        <w:tc>
          <w:tcPr>
            <w:tcW w:w="1376"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March 31, 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 w:name="xdx_491_20231231_zoR6jEQWRdmf"/>
            <w:bookmarkEnd w:id="36"/>
          </w:p>
        </w:tc>
        <w:tc>
          <w:tcPr>
            <w:tcW w:w="1452"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December 31, 2023</w:t>
            </w:r>
          </w:p>
        </w:tc>
        <w:tc>
          <w:tcPr>
            <w:tcW w:w="113" w:type="dxa"/>
            <w:tcBorders/>
            <w:vAlign w:val="center"/>
          </w:tcPr>
          <w:p>
            <w:pPr>
              <w:pStyle w:val="TableContents"/>
              <w:bidi w:val="0"/>
              <w:spacing w:before="0" w:after="283"/>
              <w:jc w:val="left"/>
              <w:rPr/>
            </w:pPr>
            <w:r>
              <w:rPr/>
              <w:t> </w:t>
            </w:r>
          </w:p>
        </w:tc>
      </w:tr>
      <w:tr>
        <w:trPr/>
        <w:tc>
          <w:tcPr>
            <w:tcW w:w="70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2"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bookmarkStart w:id="37" w:name="xdx_406_eus-gaap--AssetsAbstract_iB_zCs3"/>
            <w:bookmarkEnd w:id="37"/>
          </w:p>
        </w:tc>
      </w:tr>
      <w:tr>
        <w:trPr/>
        <w:tc>
          <w:tcPr>
            <w:tcW w:w="7049"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0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38" w:name="xdx_405_eus-gaap--AssetsCurrentAbstract_"/>
            <w:bookmarkEnd w:id="38"/>
          </w:p>
        </w:tc>
      </w:tr>
      <w:tr>
        <w:trPr/>
        <w:tc>
          <w:tcPr>
            <w:tcW w:w="7049" w:type="dxa"/>
            <w:tcBorders/>
            <w:shd w:fill="CCEEFF" w:val="clear"/>
            <w:vAlign w:val="center"/>
          </w:tcPr>
          <w:p>
            <w:pPr>
              <w:pStyle w:val="TableContents"/>
              <w:bidi w:val="0"/>
              <w:spacing w:before="0" w:after="283"/>
              <w:jc w:val="left"/>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39" w:name="xdx_403_eus-gaap--CashAndCashEquivalents"/>
            <w:bookmarkEnd w:id="39"/>
          </w:p>
        </w:tc>
      </w:tr>
      <w:tr>
        <w:trPr/>
        <w:tc>
          <w:tcPr>
            <w:tcW w:w="7049"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1230" w:type="dxa"/>
            <w:tcBorders/>
            <w:shd w:fill="FFFFFF" w:val="clear"/>
            <w:vAlign w:val="center"/>
          </w:tcPr>
          <w:p>
            <w:pPr>
              <w:pStyle w:val="TableContents"/>
              <w:bidi w:val="0"/>
              <w:spacing w:before="0" w:after="283"/>
              <w:jc w:val="right"/>
              <w:rPr/>
            </w:pPr>
            <w:r>
              <w:rPr/>
              <w:t>16,068,729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w:t>
            </w:r>
          </w:p>
        </w:tc>
        <w:tc>
          <w:tcPr>
            <w:tcW w:w="1298" w:type="dxa"/>
            <w:tcBorders/>
            <w:shd w:fill="FFFFFF" w:val="clear"/>
            <w:vAlign w:val="center"/>
          </w:tcPr>
          <w:p>
            <w:pPr>
              <w:pStyle w:val="TableContents"/>
              <w:bidi w:val="0"/>
              <w:spacing w:before="0" w:after="283"/>
              <w:jc w:val="right"/>
              <w:rPr/>
            </w:pPr>
            <w:r>
              <w:rPr/>
              <w:t>15,198,123</w:t>
            </w:r>
          </w:p>
        </w:tc>
        <w:tc>
          <w:tcPr>
            <w:tcW w:w="113" w:type="dxa"/>
            <w:tcBorders/>
            <w:shd w:fill="FFFFFF" w:val="clear"/>
            <w:vAlign w:val="center"/>
          </w:tcPr>
          <w:p>
            <w:pPr>
              <w:pStyle w:val="TableContents"/>
              <w:bidi w:val="0"/>
              <w:spacing w:before="0" w:after="283"/>
              <w:jc w:val="left"/>
              <w:rPr/>
            </w:pPr>
            <w:r>
              <w:rPr/>
              <w:t> </w:t>
            </w:r>
            <w:bookmarkStart w:id="40" w:name="xdx_408_eus-gaap--AccountsReceivableNetC"/>
            <w:bookmarkEnd w:id="40"/>
          </w:p>
        </w:tc>
      </w:tr>
      <w:tr>
        <w:trPr/>
        <w:tc>
          <w:tcPr>
            <w:tcW w:w="7049" w:type="dxa"/>
            <w:tcBorders/>
            <w:shd w:fill="CCEEFF" w:val="clear"/>
            <w:vAlign w:val="center"/>
          </w:tcPr>
          <w:p>
            <w:pPr>
              <w:pStyle w:val="TableContents"/>
              <w:bidi w:val="0"/>
              <w:spacing w:before="0" w:after="283"/>
              <w:jc w:val="left"/>
              <w:rPr/>
            </w:pPr>
            <w:r>
              <w:rPr/>
              <w:t>Accounts receivable, net of allowances for credit losses of $</w:t>
            </w:r>
            <w:bookmarkStart w:id="41" w:name="xdx_904_eus-gaap--AllowanceForDoubtfulAc"/>
            <w:bookmarkStart w:id="42" w:name="xdx_909_eus-gaap--AllowanceForDoubtfulAc"/>
            <w:bookmarkEnd w:id="41"/>
            <w:bookmarkEnd w:id="42"/>
            <w:r>
              <w:rPr/>
              <w:t>523,500 as of March 31, 2024 and December 31, 2023</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7,375,179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25,134,808</w:t>
            </w:r>
          </w:p>
        </w:tc>
        <w:tc>
          <w:tcPr>
            <w:tcW w:w="113" w:type="dxa"/>
            <w:tcBorders/>
            <w:shd w:fill="CCEEFF" w:val="clear"/>
            <w:vAlign w:val="center"/>
          </w:tcPr>
          <w:p>
            <w:pPr>
              <w:pStyle w:val="TableContents"/>
              <w:bidi w:val="0"/>
              <w:spacing w:before="0" w:after="283"/>
              <w:jc w:val="left"/>
              <w:rPr/>
            </w:pPr>
            <w:r>
              <w:rPr/>
              <w:t> </w:t>
            </w:r>
            <w:bookmarkStart w:id="43" w:name="xdx_402_eus-gaap--AccountsReceivableNetC"/>
            <w:bookmarkEnd w:id="43"/>
          </w:p>
        </w:tc>
      </w:tr>
      <w:tr>
        <w:trPr/>
        <w:tc>
          <w:tcPr>
            <w:tcW w:w="7049" w:type="dxa"/>
            <w:tcBorders/>
            <w:shd w:fill="FFFFFF" w:val="clear"/>
            <w:vAlign w:val="center"/>
          </w:tcPr>
          <w:p>
            <w:pPr>
              <w:pStyle w:val="TableContents"/>
              <w:bidi w:val="0"/>
              <w:spacing w:before="0" w:after="283"/>
              <w:jc w:val="left"/>
              <w:rPr/>
            </w:pPr>
            <w:r>
              <w:rPr/>
              <w:t>Accounts receivable - related party</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2,585,213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44" w:name="xdx_408_eus-gaap--AccountsReceivableNetC"/>
            <w:bookmarkEnd w:id="44"/>
          </w:p>
        </w:tc>
      </w:tr>
      <w:tr>
        <w:trPr/>
        <w:tc>
          <w:tcPr>
            <w:tcW w:w="7049" w:type="dxa"/>
            <w:tcBorders/>
            <w:shd w:fill="CCEEFF" w:val="clear"/>
            <w:vAlign w:val="center"/>
          </w:tcPr>
          <w:p>
            <w:pPr>
              <w:pStyle w:val="TableContents"/>
              <w:bidi w:val="0"/>
              <w:spacing w:before="0" w:after="283"/>
              <w:jc w:val="left"/>
              <w:rPr/>
            </w:pPr>
            <w:r>
              <w:rPr/>
              <w:t xml:space="preserve">Accounts receivable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2,585,213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45" w:name="xdx_40A_eus-gaap--OtherReceivablesNetCur"/>
            <w:bookmarkEnd w:id="45"/>
          </w:p>
        </w:tc>
      </w:tr>
      <w:tr>
        <w:trPr/>
        <w:tc>
          <w:tcPr>
            <w:tcW w:w="7049" w:type="dxa"/>
            <w:tcBorders/>
            <w:shd w:fill="CCEEFF" w:val="clear"/>
            <w:vAlign w:val="center"/>
          </w:tcPr>
          <w:p>
            <w:pPr>
              <w:pStyle w:val="TableContents"/>
              <w:bidi w:val="0"/>
              <w:spacing w:before="0" w:after="283"/>
              <w:jc w:val="left"/>
              <w:rPr/>
            </w:pPr>
            <w:r>
              <w:rPr/>
              <w:t>Loan and interest receivable - related party</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104,252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103,753</w:t>
            </w:r>
          </w:p>
        </w:tc>
        <w:tc>
          <w:tcPr>
            <w:tcW w:w="113" w:type="dxa"/>
            <w:tcBorders/>
            <w:shd w:fill="CCEEFF" w:val="clear"/>
            <w:vAlign w:val="center"/>
          </w:tcPr>
          <w:p>
            <w:pPr>
              <w:pStyle w:val="TableContents"/>
              <w:bidi w:val="0"/>
              <w:spacing w:before="0" w:after="283"/>
              <w:jc w:val="left"/>
              <w:rPr/>
            </w:pPr>
            <w:r>
              <w:rPr/>
              <w:t> </w:t>
            </w:r>
            <w:bookmarkStart w:id="46" w:name="xdx_40C_ecustom--PrepaidExpensesRelatedP"/>
            <w:bookmarkEnd w:id="46"/>
          </w:p>
        </w:tc>
      </w:tr>
      <w:tr>
        <w:trPr/>
        <w:tc>
          <w:tcPr>
            <w:tcW w:w="7049" w:type="dxa"/>
            <w:tcBorders/>
            <w:shd w:fill="FFFFFF" w:val="clear"/>
            <w:vAlign w:val="center"/>
          </w:tcPr>
          <w:p>
            <w:pPr>
              <w:pStyle w:val="TableContents"/>
              <w:bidi w:val="0"/>
              <w:spacing w:before="0" w:after="283"/>
              <w:jc w:val="left"/>
              <w:rPr/>
            </w:pPr>
            <w:r>
              <w:rPr/>
              <w:t>Prepaid expenses - related party</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4,337,556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6,044,404</w:t>
            </w:r>
          </w:p>
        </w:tc>
        <w:tc>
          <w:tcPr>
            <w:tcW w:w="113" w:type="dxa"/>
            <w:tcBorders/>
            <w:shd w:fill="FFFFFF" w:val="clear"/>
            <w:vAlign w:val="center"/>
          </w:tcPr>
          <w:p>
            <w:pPr>
              <w:pStyle w:val="TableContents"/>
              <w:bidi w:val="0"/>
              <w:spacing w:before="0" w:after="283"/>
              <w:jc w:val="left"/>
              <w:rPr/>
            </w:pPr>
            <w:r>
              <w:rPr/>
              <w:t> </w:t>
            </w:r>
            <w:bookmarkStart w:id="47" w:name="xdx_40B_eus-gaap--PrepaidExpenseAndOther"/>
            <w:bookmarkEnd w:id="47"/>
          </w:p>
        </w:tc>
      </w:tr>
      <w:tr>
        <w:trPr/>
        <w:tc>
          <w:tcPr>
            <w:tcW w:w="7049"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2,419,201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639,693</w:t>
            </w:r>
          </w:p>
        </w:tc>
        <w:tc>
          <w:tcPr>
            <w:tcW w:w="113" w:type="dxa"/>
            <w:tcBorders/>
            <w:shd w:fill="CCEEFF" w:val="clear"/>
            <w:vAlign w:val="center"/>
          </w:tcPr>
          <w:p>
            <w:pPr>
              <w:pStyle w:val="TableContents"/>
              <w:bidi w:val="0"/>
              <w:spacing w:before="0" w:after="283"/>
              <w:jc w:val="left"/>
              <w:rPr/>
            </w:pPr>
            <w:r>
              <w:rPr/>
              <w:t> </w:t>
            </w:r>
            <w:bookmarkStart w:id="48" w:name="xdx_406_eus-gaap--PrepaidTaxes_i02I_maAC"/>
            <w:bookmarkEnd w:id="48"/>
          </w:p>
        </w:tc>
      </w:tr>
      <w:tr>
        <w:trPr/>
        <w:tc>
          <w:tcPr>
            <w:tcW w:w="7049" w:type="dxa"/>
            <w:tcBorders/>
            <w:shd w:fill="FFFFFF" w:val="clear"/>
            <w:vAlign w:val="center"/>
          </w:tcPr>
          <w:p>
            <w:pPr>
              <w:pStyle w:val="TableContents"/>
              <w:bidi w:val="0"/>
              <w:spacing w:before="0" w:after="283"/>
              <w:jc w:val="left"/>
              <w:rPr/>
            </w:pPr>
            <w:r>
              <w:rPr/>
              <w:t>Prepaid taxes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0" w:type="dxa"/>
            <w:tcBorders>
              <w:bottom w:val="single" w:sz="12" w:space="0" w:color="000000"/>
            </w:tcBorders>
            <w:shd w:fill="FFFFFF" w:val="clear"/>
            <w:tcMar>
              <w:bottom w:w="28" w:type="dxa"/>
            </w:tcMar>
            <w:vAlign w:val="center"/>
          </w:tcPr>
          <w:p>
            <w:pPr>
              <w:pStyle w:val="TableContents"/>
              <w:bidi w:val="0"/>
              <w:spacing w:before="0" w:after="283"/>
              <w:jc w:val="right"/>
              <w:rPr/>
            </w:pPr>
            <w:r>
              <w:rPr/>
              <w:t>9,459,348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8" w:type="dxa"/>
            <w:tcBorders>
              <w:bottom w:val="single" w:sz="12" w:space="0" w:color="000000"/>
            </w:tcBorders>
            <w:shd w:fill="FFFFFF" w:val="clear"/>
            <w:tcMar>
              <w:bottom w:w="28" w:type="dxa"/>
            </w:tcMar>
            <w:vAlign w:val="center"/>
          </w:tcPr>
          <w:p>
            <w:pPr>
              <w:pStyle w:val="TableContents"/>
              <w:bidi w:val="0"/>
              <w:spacing w:before="0" w:after="283"/>
              <w:jc w:val="right"/>
              <w:rPr/>
            </w:pPr>
            <w:r>
              <w:rPr/>
              <w:t>9,529,755</w:t>
            </w:r>
          </w:p>
        </w:tc>
        <w:tc>
          <w:tcPr>
            <w:tcW w:w="113" w:type="dxa"/>
            <w:tcBorders/>
            <w:shd w:fill="FFFFFF" w:val="clear"/>
            <w:vAlign w:val="center"/>
          </w:tcPr>
          <w:p>
            <w:pPr>
              <w:pStyle w:val="TableContents"/>
              <w:bidi w:val="0"/>
              <w:spacing w:before="0" w:after="283"/>
              <w:jc w:val="left"/>
              <w:rPr/>
            </w:pPr>
            <w:r>
              <w:rPr/>
              <w:t> </w:t>
            </w:r>
            <w:bookmarkStart w:id="49" w:name="xdx_409_eus-gaap--AssetsCurrent_i02TI_mt"/>
            <w:bookmarkEnd w:id="49"/>
          </w:p>
        </w:tc>
      </w:tr>
      <w:tr>
        <w:trPr/>
        <w:tc>
          <w:tcPr>
            <w:tcW w:w="7049"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42,349,478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56,650,536</w:t>
            </w:r>
          </w:p>
        </w:tc>
        <w:tc>
          <w:tcPr>
            <w:tcW w:w="113" w:type="dxa"/>
            <w:tcBorders/>
            <w:shd w:fill="CCEEFF" w:val="clear"/>
            <w:vAlign w:val="center"/>
          </w:tcPr>
          <w:p>
            <w:pPr>
              <w:pStyle w:val="TableContents"/>
              <w:bidi w:val="0"/>
              <w:spacing w:before="0" w:after="283"/>
              <w:jc w:val="left"/>
              <w:rPr/>
            </w:pPr>
            <w:r>
              <w:rPr/>
              <w:t> </w:t>
            </w:r>
          </w:p>
        </w:tc>
      </w:tr>
      <w:tr>
        <w:trPr/>
        <w:tc>
          <w:tcPr>
            <w:tcW w:w="70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50" w:name="xdx_401_eus-gaap--RestrictedCashAndCashE"/>
            <w:bookmarkEnd w:id="50"/>
          </w:p>
        </w:tc>
      </w:tr>
      <w:tr>
        <w:trPr/>
        <w:tc>
          <w:tcPr>
            <w:tcW w:w="7049" w:type="dxa"/>
            <w:tcBorders/>
            <w:shd w:fill="CCEEFF" w:val="clear"/>
            <w:vAlign w:val="center"/>
          </w:tcPr>
          <w:p>
            <w:pPr>
              <w:pStyle w:val="TableContents"/>
              <w:bidi w:val="0"/>
              <w:spacing w:before="0" w:after="283"/>
              <w:jc w:val="left"/>
              <w:rPr/>
            </w:pPr>
            <w:r>
              <w:rPr/>
              <w:t>Restricted cash and cash equivalents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1,117,310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1,116,196</w:t>
            </w:r>
          </w:p>
        </w:tc>
        <w:tc>
          <w:tcPr>
            <w:tcW w:w="113" w:type="dxa"/>
            <w:tcBorders/>
            <w:shd w:fill="CCEEFF" w:val="clear"/>
            <w:vAlign w:val="center"/>
          </w:tcPr>
          <w:p>
            <w:pPr>
              <w:pStyle w:val="TableContents"/>
              <w:bidi w:val="0"/>
              <w:spacing w:before="0" w:after="283"/>
              <w:jc w:val="left"/>
              <w:rPr/>
            </w:pPr>
            <w:r>
              <w:rPr/>
              <w:t> </w:t>
            </w:r>
            <w:bookmarkStart w:id="51" w:name="xdx_402_eus-gaap--AccountsReceivableNetN"/>
            <w:bookmarkEnd w:id="51"/>
          </w:p>
        </w:tc>
      </w:tr>
      <w:tr>
        <w:trPr/>
        <w:tc>
          <w:tcPr>
            <w:tcW w:w="7049" w:type="dxa"/>
            <w:tcBorders/>
            <w:shd w:fill="FFFFFF" w:val="clear"/>
            <w:vAlign w:val="center"/>
          </w:tcPr>
          <w:p>
            <w:pPr>
              <w:pStyle w:val="TableContents"/>
              <w:bidi w:val="0"/>
              <w:spacing w:before="0" w:after="283"/>
              <w:jc w:val="left"/>
              <w:rPr/>
            </w:pPr>
            <w:r>
              <w:rPr/>
              <w:t>Accounts receivable – related party, net of current portion</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6,000,592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7,500,592</w:t>
            </w:r>
          </w:p>
        </w:tc>
        <w:tc>
          <w:tcPr>
            <w:tcW w:w="113" w:type="dxa"/>
            <w:tcBorders/>
            <w:shd w:fill="FFFFFF" w:val="clear"/>
            <w:vAlign w:val="center"/>
          </w:tcPr>
          <w:p>
            <w:pPr>
              <w:pStyle w:val="TableContents"/>
              <w:bidi w:val="0"/>
              <w:spacing w:before="0" w:after="283"/>
              <w:jc w:val="left"/>
              <w:rPr/>
            </w:pPr>
            <w:r>
              <w:rPr/>
              <w:t> </w:t>
            </w:r>
            <w:bookmarkStart w:id="52" w:name="xdx_409_ecustom--PrepaidExpensesRelatedP"/>
            <w:bookmarkEnd w:id="52"/>
          </w:p>
        </w:tc>
      </w:tr>
      <w:tr>
        <w:trPr/>
        <w:tc>
          <w:tcPr>
            <w:tcW w:w="7049" w:type="dxa"/>
            <w:tcBorders/>
            <w:shd w:fill="CCEEFF" w:val="clear"/>
            <w:vAlign w:val="center"/>
          </w:tcPr>
          <w:p>
            <w:pPr>
              <w:pStyle w:val="TableContents"/>
              <w:bidi w:val="0"/>
              <w:spacing w:before="0" w:after="283"/>
              <w:jc w:val="left"/>
              <w:rPr/>
            </w:pPr>
            <w:r>
              <w:rPr/>
              <w:t>Prepaid expenses - related party, net of current portion</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10,842,748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7,784,062</w:t>
            </w:r>
          </w:p>
        </w:tc>
        <w:tc>
          <w:tcPr>
            <w:tcW w:w="113" w:type="dxa"/>
            <w:tcBorders/>
            <w:shd w:fill="CCEEFF" w:val="clear"/>
            <w:vAlign w:val="center"/>
          </w:tcPr>
          <w:p>
            <w:pPr>
              <w:pStyle w:val="TableContents"/>
              <w:bidi w:val="0"/>
              <w:spacing w:before="0" w:after="283"/>
              <w:jc w:val="left"/>
              <w:rPr/>
            </w:pPr>
            <w:r>
              <w:rPr/>
              <w:t> </w:t>
            </w:r>
            <w:bookmarkStart w:id="53" w:name="xdx_406_eus-gaap--PropertyPlantAndEquipm"/>
            <w:bookmarkEnd w:id="53"/>
          </w:p>
        </w:tc>
      </w:tr>
      <w:tr>
        <w:trPr/>
        <w:tc>
          <w:tcPr>
            <w:tcW w:w="7049" w:type="dxa"/>
            <w:tcBorders/>
            <w:shd w:fill="FFFFFF" w:val="clear"/>
            <w:vAlign w:val="center"/>
          </w:tcPr>
          <w:p>
            <w:pPr>
              <w:pStyle w:val="TableContents"/>
              <w:bidi w:val="0"/>
              <w:spacing w:before="0" w:after="283"/>
              <w:jc w:val="left"/>
              <w:rPr/>
            </w:pPr>
            <w:r>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4,599,728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4,682,066</w:t>
            </w:r>
          </w:p>
        </w:tc>
        <w:tc>
          <w:tcPr>
            <w:tcW w:w="113" w:type="dxa"/>
            <w:tcBorders/>
            <w:shd w:fill="FFFFFF" w:val="clear"/>
            <w:vAlign w:val="center"/>
          </w:tcPr>
          <w:p>
            <w:pPr>
              <w:pStyle w:val="TableContents"/>
              <w:bidi w:val="0"/>
              <w:spacing w:before="0" w:after="283"/>
              <w:jc w:val="left"/>
              <w:rPr/>
            </w:pPr>
            <w:r>
              <w:rPr/>
              <w:t> </w:t>
            </w:r>
            <w:bookmarkStart w:id="54" w:name="xdx_401_eus-gaap--OtherIntangibleAssetsN"/>
            <w:bookmarkEnd w:id="54"/>
          </w:p>
        </w:tc>
      </w:tr>
      <w:tr>
        <w:trPr/>
        <w:tc>
          <w:tcPr>
            <w:tcW w:w="7049" w:type="dxa"/>
            <w:tcBorders/>
            <w:shd w:fill="CCEEFF" w:val="clear"/>
            <w:vAlign w:val="center"/>
          </w:tcPr>
          <w:p>
            <w:pPr>
              <w:pStyle w:val="TableContents"/>
              <w:bidi w:val="0"/>
              <w:spacing w:before="0" w:after="283"/>
              <w:jc w:val="left"/>
              <w:rPr/>
            </w:pPr>
            <w:r>
              <w:rPr/>
              <w:t>Intangible assets, net - other</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271,517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271,717</w:t>
            </w:r>
          </w:p>
        </w:tc>
        <w:tc>
          <w:tcPr>
            <w:tcW w:w="113" w:type="dxa"/>
            <w:tcBorders/>
            <w:shd w:fill="CCEEFF" w:val="clear"/>
            <w:vAlign w:val="center"/>
          </w:tcPr>
          <w:p>
            <w:pPr>
              <w:pStyle w:val="TableContents"/>
              <w:bidi w:val="0"/>
              <w:spacing w:before="0" w:after="283"/>
              <w:jc w:val="left"/>
              <w:rPr/>
            </w:pPr>
            <w:r>
              <w:rPr/>
              <w:t> </w:t>
            </w:r>
            <w:bookmarkStart w:id="55" w:name="xdx_40A_eus-gaap--DeferredIncomeTaxAsset"/>
            <w:bookmarkEnd w:id="55"/>
          </w:p>
        </w:tc>
      </w:tr>
      <w:tr>
        <w:trPr/>
        <w:tc>
          <w:tcPr>
            <w:tcW w:w="7049" w:type="dxa"/>
            <w:tcBorders/>
            <w:shd w:fill="FFFFFF" w:val="clear"/>
            <w:vAlign w:val="center"/>
          </w:tcPr>
          <w:p>
            <w:pPr>
              <w:pStyle w:val="TableContents"/>
              <w:bidi w:val="0"/>
              <w:spacing w:before="0" w:after="283"/>
              <w:jc w:val="left"/>
              <w:rPr/>
            </w:pPr>
            <w:r>
              <w:rPr/>
              <w:t>Deferred income taxes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10,803,281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10,247,500</w:t>
            </w:r>
          </w:p>
        </w:tc>
        <w:tc>
          <w:tcPr>
            <w:tcW w:w="113" w:type="dxa"/>
            <w:tcBorders/>
            <w:shd w:fill="FFFFFF" w:val="clear"/>
            <w:vAlign w:val="center"/>
          </w:tcPr>
          <w:p>
            <w:pPr>
              <w:pStyle w:val="TableContents"/>
              <w:bidi w:val="0"/>
              <w:spacing w:before="0" w:after="283"/>
              <w:jc w:val="left"/>
              <w:rPr/>
            </w:pPr>
            <w:r>
              <w:rPr/>
              <w:t> </w:t>
            </w:r>
            <w:bookmarkStart w:id="56" w:name="xdx_40A_eus-gaap--OtherAssetsNoncurrent_"/>
            <w:bookmarkEnd w:id="56"/>
          </w:p>
        </w:tc>
      </w:tr>
      <w:tr>
        <w:trPr/>
        <w:tc>
          <w:tcPr>
            <w:tcW w:w="7049" w:type="dxa"/>
            <w:tcBorders/>
            <w:shd w:fill="CCEEFF" w:val="clear"/>
            <w:vAlign w:val="center"/>
          </w:tcPr>
          <w:p>
            <w:pPr>
              <w:pStyle w:val="TableContents"/>
              <w:bidi w:val="0"/>
              <w:spacing w:before="0" w:after="283"/>
              <w:jc w:val="left"/>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169,047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164,170</w:t>
            </w:r>
          </w:p>
        </w:tc>
        <w:tc>
          <w:tcPr>
            <w:tcW w:w="113" w:type="dxa"/>
            <w:tcBorders/>
            <w:shd w:fill="CCEEFF" w:val="clear"/>
            <w:vAlign w:val="center"/>
          </w:tcPr>
          <w:p>
            <w:pPr>
              <w:pStyle w:val="TableContents"/>
              <w:bidi w:val="0"/>
              <w:spacing w:before="0" w:after="283"/>
              <w:jc w:val="left"/>
              <w:rPr/>
            </w:pPr>
            <w:r>
              <w:rPr/>
              <w:t> </w:t>
            </w:r>
            <w:bookmarkStart w:id="57" w:name="xdx_407_eus-gaap--OperatingLeaseRightOfU"/>
            <w:bookmarkEnd w:id="57"/>
          </w:p>
        </w:tc>
      </w:tr>
      <w:tr>
        <w:trPr/>
        <w:tc>
          <w:tcPr>
            <w:tcW w:w="7049" w:type="dxa"/>
            <w:tcBorders/>
            <w:shd w:fill="FFFFFF" w:val="clear"/>
            <w:vAlign w:val="center"/>
          </w:tcPr>
          <w:p>
            <w:pPr>
              <w:pStyle w:val="TableContents"/>
              <w:bidi w:val="0"/>
              <w:spacing w:before="0" w:after="283"/>
              <w:jc w:val="left"/>
              <w:rPr/>
            </w:pPr>
            <w:r>
              <w:rPr/>
              <w:t>Operating lease right-of-use assets, net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0" w:type="dxa"/>
            <w:tcBorders>
              <w:bottom w:val="single" w:sz="12" w:space="0" w:color="000000"/>
            </w:tcBorders>
            <w:shd w:fill="FFFFFF" w:val="clear"/>
            <w:tcMar>
              <w:bottom w:w="28" w:type="dxa"/>
            </w:tcMar>
            <w:vAlign w:val="center"/>
          </w:tcPr>
          <w:p>
            <w:pPr>
              <w:pStyle w:val="TableContents"/>
              <w:bidi w:val="0"/>
              <w:spacing w:before="0" w:after="283"/>
              <w:jc w:val="right"/>
              <w:rPr/>
            </w:pPr>
            <w:r>
              <w:rPr/>
              <w:t>2,138,285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8" w:type="dxa"/>
            <w:tcBorders>
              <w:bottom w:val="single" w:sz="12" w:space="0" w:color="000000"/>
            </w:tcBorders>
            <w:shd w:fill="FFFFFF" w:val="clear"/>
            <w:tcMar>
              <w:bottom w:w="28" w:type="dxa"/>
            </w:tcMar>
            <w:vAlign w:val="center"/>
          </w:tcPr>
          <w:p>
            <w:pPr>
              <w:pStyle w:val="TableContents"/>
              <w:bidi w:val="0"/>
              <w:spacing w:before="0" w:after="283"/>
              <w:jc w:val="right"/>
              <w:rPr/>
            </w:pPr>
            <w:r>
              <w:rPr/>
              <w:t>2,440,690</w:t>
            </w:r>
          </w:p>
        </w:tc>
        <w:tc>
          <w:tcPr>
            <w:tcW w:w="113" w:type="dxa"/>
            <w:tcBorders/>
            <w:shd w:fill="FFFFFF" w:val="clear"/>
            <w:vAlign w:val="center"/>
          </w:tcPr>
          <w:p>
            <w:pPr>
              <w:pStyle w:val="TableContents"/>
              <w:bidi w:val="0"/>
              <w:spacing w:before="0" w:after="283"/>
              <w:jc w:val="left"/>
              <w:rPr/>
            </w:pPr>
            <w:r>
              <w:rPr/>
              <w:t> </w:t>
            </w:r>
            <w:bookmarkStart w:id="58" w:name="xdx_40C_eus-gaap--Assets_i01TI_mtAzX8B_z"/>
            <w:bookmarkEnd w:id="58"/>
          </w:p>
        </w:tc>
      </w:tr>
      <w:tr>
        <w:trPr/>
        <w:tc>
          <w:tcPr>
            <w:tcW w:w="7049"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0" w:type="dxa"/>
            <w:tcBorders>
              <w:bottom w:val="double" w:sz="6" w:space="0" w:color="000000"/>
            </w:tcBorders>
            <w:shd w:fill="CCEEFF" w:val="clear"/>
            <w:tcMar>
              <w:bottom w:w="28" w:type="dxa"/>
            </w:tcMar>
            <w:vAlign w:val="center"/>
          </w:tcPr>
          <w:p>
            <w:pPr>
              <w:pStyle w:val="TableContents"/>
              <w:bidi w:val="0"/>
              <w:spacing w:before="0" w:after="283"/>
              <w:jc w:val="right"/>
              <w:rPr/>
            </w:pPr>
            <w:r>
              <w:rPr/>
              <w:t>78,291,986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8" w:type="dxa"/>
            <w:tcBorders>
              <w:bottom w:val="double" w:sz="6" w:space="0" w:color="000000"/>
            </w:tcBorders>
            <w:shd w:fill="CCEEFF" w:val="clear"/>
            <w:tcMar>
              <w:bottom w:w="28" w:type="dxa"/>
            </w:tcMar>
            <w:vAlign w:val="center"/>
          </w:tcPr>
          <w:p>
            <w:pPr>
              <w:pStyle w:val="TableContents"/>
              <w:bidi w:val="0"/>
              <w:spacing w:before="0" w:after="283"/>
              <w:jc w:val="right"/>
              <w:rPr/>
            </w:pPr>
            <w:r>
              <w:rPr/>
              <w:t>90,857,529</w:t>
            </w:r>
          </w:p>
        </w:tc>
        <w:tc>
          <w:tcPr>
            <w:tcW w:w="113" w:type="dxa"/>
            <w:tcBorders/>
            <w:shd w:fill="CCEEFF" w:val="clear"/>
            <w:vAlign w:val="center"/>
          </w:tcPr>
          <w:p>
            <w:pPr>
              <w:pStyle w:val="TableContents"/>
              <w:bidi w:val="0"/>
              <w:spacing w:before="0" w:after="283"/>
              <w:jc w:val="left"/>
              <w:rPr/>
            </w:pPr>
            <w:r>
              <w:rPr/>
              <w:t> </w:t>
            </w:r>
          </w:p>
        </w:tc>
      </w:tr>
      <w:tr>
        <w:trPr/>
        <w:tc>
          <w:tcPr>
            <w:tcW w:w="70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59" w:name="xdx_408_eus-gaap--LiabilitiesAndStockhol"/>
            <w:bookmarkEnd w:id="59"/>
          </w:p>
        </w:tc>
      </w:tr>
      <w:tr>
        <w:trPr/>
        <w:tc>
          <w:tcPr>
            <w:tcW w:w="7049" w:type="dxa"/>
            <w:tcBorders/>
            <w:shd w:fill="CCEEFF" w:val="clear"/>
            <w:vAlign w:val="center"/>
          </w:tcPr>
          <w:p>
            <w:pPr>
              <w:pStyle w:val="TableContents"/>
              <w:bidi w:val="0"/>
              <w:spacing w:before="0" w:after="283"/>
              <w:jc w:val="left"/>
              <w:rPr>
                <w:b/>
              </w:rPr>
            </w:pPr>
            <w:r>
              <w:rPr>
                <w:b/>
              </w:rPr>
              <w:t>LIABILITIES, NONCONTROLLING INTERESTS AND STOCKHOLDERS’ EQUITY</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0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60" w:name="xdx_407_eus-gaap--LiabilitiesCurrentAbst"/>
            <w:bookmarkEnd w:id="60"/>
          </w:p>
        </w:tc>
      </w:tr>
      <w:tr>
        <w:trPr/>
        <w:tc>
          <w:tcPr>
            <w:tcW w:w="7049"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61" w:name="xdx_409_eus-gaap--AccountsPayableCurrent"/>
            <w:bookmarkEnd w:id="61"/>
          </w:p>
        </w:tc>
      </w:tr>
      <w:tr>
        <w:trPr/>
        <w:tc>
          <w:tcPr>
            <w:tcW w:w="7049"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1230" w:type="dxa"/>
            <w:tcBorders/>
            <w:shd w:fill="FFFFFF" w:val="clear"/>
            <w:vAlign w:val="center"/>
          </w:tcPr>
          <w:p>
            <w:pPr>
              <w:pStyle w:val="TableContents"/>
              <w:bidi w:val="0"/>
              <w:spacing w:before="0" w:after="283"/>
              <w:jc w:val="right"/>
              <w:rPr/>
            </w:pPr>
            <w:r>
              <w:rPr/>
              <w:t>9,901,360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w:t>
            </w:r>
          </w:p>
        </w:tc>
        <w:tc>
          <w:tcPr>
            <w:tcW w:w="1298" w:type="dxa"/>
            <w:tcBorders/>
            <w:shd w:fill="FFFFFF" w:val="clear"/>
            <w:vAlign w:val="center"/>
          </w:tcPr>
          <w:p>
            <w:pPr>
              <w:pStyle w:val="TableContents"/>
              <w:bidi w:val="0"/>
              <w:spacing w:before="0" w:after="283"/>
              <w:jc w:val="right"/>
              <w:rPr/>
            </w:pPr>
            <w:r>
              <w:rPr/>
              <w:t>12,102,929</w:t>
            </w:r>
          </w:p>
        </w:tc>
        <w:tc>
          <w:tcPr>
            <w:tcW w:w="113" w:type="dxa"/>
            <w:tcBorders/>
            <w:shd w:fill="FFFFFF" w:val="clear"/>
            <w:vAlign w:val="center"/>
          </w:tcPr>
          <w:p>
            <w:pPr>
              <w:pStyle w:val="TableContents"/>
              <w:bidi w:val="0"/>
              <w:spacing w:before="0" w:after="283"/>
              <w:jc w:val="left"/>
              <w:rPr/>
            </w:pPr>
            <w:r>
              <w:rPr/>
              <w:t> </w:t>
            </w:r>
            <w:bookmarkStart w:id="62" w:name="xdx_406_eus-gaap--AccountsPayableCurrent"/>
            <w:bookmarkEnd w:id="62"/>
          </w:p>
        </w:tc>
      </w:tr>
      <w:tr>
        <w:trPr/>
        <w:tc>
          <w:tcPr>
            <w:tcW w:w="7049" w:type="dxa"/>
            <w:tcBorders/>
            <w:shd w:fill="CCEEFF" w:val="clear"/>
            <w:vAlign w:val="center"/>
          </w:tcPr>
          <w:p>
            <w:pPr>
              <w:pStyle w:val="TableContents"/>
              <w:bidi w:val="0"/>
              <w:spacing w:before="0" w:after="283"/>
              <w:jc w:val="left"/>
              <w:rPr/>
            </w:pPr>
            <w:r>
              <w:rPr/>
              <w:t>Accounts payable - related parties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16,951,062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23,094,436</w:t>
            </w:r>
          </w:p>
        </w:tc>
        <w:tc>
          <w:tcPr>
            <w:tcW w:w="113" w:type="dxa"/>
            <w:tcBorders/>
            <w:shd w:fill="CCEEFF" w:val="clear"/>
            <w:vAlign w:val="center"/>
          </w:tcPr>
          <w:p>
            <w:pPr>
              <w:pStyle w:val="TableContents"/>
              <w:bidi w:val="0"/>
              <w:spacing w:before="0" w:after="283"/>
              <w:jc w:val="left"/>
              <w:rPr/>
            </w:pPr>
            <w:r>
              <w:rPr/>
              <w:t> </w:t>
            </w:r>
            <w:bookmarkStart w:id="63" w:name="xdx_401_eus-gaap--AccountsPayableCurrent"/>
            <w:bookmarkEnd w:id="63"/>
          </w:p>
        </w:tc>
      </w:tr>
      <w:tr>
        <w:trPr/>
        <w:tc>
          <w:tcPr>
            <w:tcW w:w="7049" w:type="dxa"/>
            <w:tcBorders/>
            <w:shd w:fill="FFFFFF" w:val="clear"/>
            <w:vAlign w:val="center"/>
          </w:tcPr>
          <w:p>
            <w:pPr>
              <w:pStyle w:val="TableContents"/>
              <w:bidi w:val="0"/>
              <w:spacing w:before="0" w:after="283"/>
              <w:jc w:val="left"/>
              <w:rPr/>
            </w:pPr>
            <w:r>
              <w:rPr/>
              <w:t xml:space="preserve">Accounts payable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16,951,062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23,094,436</w:t>
            </w:r>
          </w:p>
        </w:tc>
        <w:tc>
          <w:tcPr>
            <w:tcW w:w="113" w:type="dxa"/>
            <w:tcBorders/>
            <w:shd w:fill="FFFFFF" w:val="clear"/>
            <w:vAlign w:val="center"/>
          </w:tcPr>
          <w:p>
            <w:pPr>
              <w:pStyle w:val="TableContents"/>
              <w:bidi w:val="0"/>
              <w:spacing w:before="0" w:after="283"/>
              <w:jc w:val="left"/>
              <w:rPr/>
            </w:pPr>
            <w:r>
              <w:rPr/>
              <w:t> </w:t>
            </w:r>
            <w:bookmarkStart w:id="64" w:name="xdx_40E_ecustom--AccruedExpensesAndOther"/>
            <w:bookmarkEnd w:id="64"/>
          </w:p>
        </w:tc>
      </w:tr>
      <w:tr>
        <w:trPr/>
        <w:tc>
          <w:tcPr>
            <w:tcW w:w="7049" w:type="dxa"/>
            <w:tcBorders/>
            <w:shd w:fill="FFFFFF" w:val="clear"/>
            <w:vAlign w:val="center"/>
          </w:tcPr>
          <w:p>
            <w:pPr>
              <w:pStyle w:val="TableContents"/>
              <w:bidi w:val="0"/>
              <w:spacing w:before="0" w:after="283"/>
              <w:jc w:val="left"/>
              <w:rPr/>
            </w:pPr>
            <w:r>
              <w:rPr/>
              <w:t>Accrued expenses and other liabilities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2,425,882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2,887,193</w:t>
            </w:r>
          </w:p>
        </w:tc>
        <w:tc>
          <w:tcPr>
            <w:tcW w:w="113" w:type="dxa"/>
            <w:tcBorders/>
            <w:shd w:fill="FFFFFF" w:val="clear"/>
            <w:vAlign w:val="center"/>
          </w:tcPr>
          <w:p>
            <w:pPr>
              <w:pStyle w:val="TableContents"/>
              <w:bidi w:val="0"/>
              <w:spacing w:before="0" w:after="283"/>
              <w:jc w:val="left"/>
              <w:rPr/>
            </w:pPr>
            <w:r>
              <w:rPr/>
              <w:t> </w:t>
            </w:r>
            <w:bookmarkStart w:id="65" w:name="xdx_40F_ecustom--InterestPayableRelatedP"/>
            <w:bookmarkEnd w:id="65"/>
          </w:p>
        </w:tc>
      </w:tr>
      <w:tr>
        <w:trPr/>
        <w:tc>
          <w:tcPr>
            <w:tcW w:w="7049" w:type="dxa"/>
            <w:tcBorders/>
            <w:shd w:fill="CCEEFF" w:val="clear"/>
            <w:vAlign w:val="center"/>
          </w:tcPr>
          <w:p>
            <w:pPr>
              <w:pStyle w:val="TableContents"/>
              <w:bidi w:val="0"/>
              <w:spacing w:before="0" w:after="283"/>
              <w:jc w:val="left"/>
              <w:rPr/>
            </w:pPr>
            <w:r>
              <w:rPr/>
              <w:t>Interest payable - related parties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527,770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527,770</w:t>
            </w:r>
          </w:p>
        </w:tc>
        <w:tc>
          <w:tcPr>
            <w:tcW w:w="113" w:type="dxa"/>
            <w:tcBorders/>
            <w:shd w:fill="CCEEFF" w:val="clear"/>
            <w:vAlign w:val="center"/>
          </w:tcPr>
          <w:p>
            <w:pPr>
              <w:pStyle w:val="TableContents"/>
              <w:bidi w:val="0"/>
              <w:spacing w:before="0" w:after="283"/>
              <w:jc w:val="left"/>
              <w:rPr/>
            </w:pPr>
            <w:r>
              <w:rPr/>
              <w:t> </w:t>
            </w:r>
            <w:bookmarkStart w:id="66" w:name="xdx_400_ecustom--RevolvingLoanPayableCur"/>
            <w:bookmarkEnd w:id="66"/>
          </w:p>
        </w:tc>
      </w:tr>
      <w:tr>
        <w:trPr/>
        <w:tc>
          <w:tcPr>
            <w:tcW w:w="7049" w:type="dxa"/>
            <w:tcBorders/>
            <w:shd w:fill="FFFFFF" w:val="clear"/>
            <w:vAlign w:val="center"/>
          </w:tcPr>
          <w:p>
            <w:pPr>
              <w:pStyle w:val="TableContents"/>
              <w:bidi w:val="0"/>
              <w:spacing w:before="0" w:after="283"/>
              <w:jc w:val="left"/>
              <w:rPr/>
            </w:pPr>
            <w:r>
              <w:rPr/>
              <w:t>Revolving loan</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3,000,000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6,000,000</w:t>
            </w:r>
          </w:p>
        </w:tc>
        <w:tc>
          <w:tcPr>
            <w:tcW w:w="113" w:type="dxa"/>
            <w:tcBorders/>
            <w:shd w:fill="FFFFFF" w:val="clear"/>
            <w:vAlign w:val="center"/>
          </w:tcPr>
          <w:p>
            <w:pPr>
              <w:pStyle w:val="TableContents"/>
              <w:bidi w:val="0"/>
              <w:spacing w:before="0" w:after="283"/>
              <w:jc w:val="left"/>
              <w:rPr/>
            </w:pPr>
            <w:r>
              <w:rPr/>
              <w:t> </w:t>
            </w:r>
            <w:bookmarkStart w:id="67" w:name="xdx_40E_eus-gaap--NotesPayableCurrent_i0"/>
            <w:bookmarkEnd w:id="67"/>
          </w:p>
        </w:tc>
      </w:tr>
      <w:tr>
        <w:trPr/>
        <w:tc>
          <w:tcPr>
            <w:tcW w:w="7049" w:type="dxa"/>
            <w:tcBorders/>
            <w:shd w:fill="CCEEFF" w:val="clear"/>
            <w:vAlign w:val="center"/>
          </w:tcPr>
          <w:p>
            <w:pPr>
              <w:pStyle w:val="TableContents"/>
              <w:bidi w:val="0"/>
              <w:spacing w:before="0" w:after="283"/>
              <w:jc w:val="left"/>
              <w:rPr/>
            </w:pPr>
            <w:r>
              <w:rPr/>
              <w:t>Notes payable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2,333,333</w:t>
            </w:r>
          </w:p>
        </w:tc>
        <w:tc>
          <w:tcPr>
            <w:tcW w:w="113" w:type="dxa"/>
            <w:tcBorders/>
            <w:shd w:fill="CCEEFF" w:val="clear"/>
            <w:vAlign w:val="center"/>
          </w:tcPr>
          <w:p>
            <w:pPr>
              <w:pStyle w:val="TableContents"/>
              <w:bidi w:val="0"/>
              <w:spacing w:before="0" w:after="283"/>
              <w:jc w:val="left"/>
              <w:rPr/>
            </w:pPr>
            <w:r>
              <w:rPr/>
              <w:t> </w:t>
            </w:r>
            <w:bookmarkStart w:id="68" w:name="xdx_40E_eus-gaap--ConvertibleDebtCurrent"/>
            <w:bookmarkEnd w:id="68"/>
          </w:p>
        </w:tc>
      </w:tr>
      <w:tr>
        <w:trPr/>
        <w:tc>
          <w:tcPr>
            <w:tcW w:w="7049" w:type="dxa"/>
            <w:tcBorders/>
            <w:shd w:fill="FFFFFF" w:val="clear"/>
            <w:vAlign w:val="center"/>
          </w:tcPr>
          <w:p>
            <w:pPr>
              <w:pStyle w:val="TableContents"/>
              <w:bidi w:val="0"/>
              <w:spacing w:before="0" w:after="283"/>
              <w:jc w:val="left"/>
              <w:rPr/>
            </w:pPr>
            <w:r>
              <w:rPr/>
              <w:t>Convertible notes, net of discount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702,284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797,361</w:t>
            </w:r>
          </w:p>
        </w:tc>
        <w:tc>
          <w:tcPr>
            <w:tcW w:w="113" w:type="dxa"/>
            <w:tcBorders/>
            <w:shd w:fill="FFFFFF" w:val="clear"/>
            <w:vAlign w:val="center"/>
          </w:tcPr>
          <w:p>
            <w:pPr>
              <w:pStyle w:val="TableContents"/>
              <w:bidi w:val="0"/>
              <w:spacing w:before="0" w:after="283"/>
              <w:jc w:val="left"/>
              <w:rPr/>
            </w:pPr>
            <w:r>
              <w:rPr/>
              <w:t> </w:t>
            </w:r>
            <w:bookmarkStart w:id="69" w:name="xdx_401_ecustom--CurrentPortionOfLongter"/>
            <w:bookmarkEnd w:id="69"/>
          </w:p>
        </w:tc>
      </w:tr>
      <w:tr>
        <w:trPr/>
        <w:tc>
          <w:tcPr>
            <w:tcW w:w="7049" w:type="dxa"/>
            <w:tcBorders/>
            <w:shd w:fill="CCEEFF" w:val="clear"/>
            <w:vAlign w:val="center"/>
          </w:tcPr>
          <w:p>
            <w:pPr>
              <w:pStyle w:val="TableContents"/>
              <w:bidi w:val="0"/>
              <w:spacing w:before="0" w:after="283"/>
              <w:jc w:val="left"/>
              <w:rPr/>
            </w:pPr>
            <w:r>
              <w:rPr/>
              <w:t>Current portion of long-term promissory note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2,791,438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2,811,923</w:t>
            </w:r>
          </w:p>
        </w:tc>
        <w:tc>
          <w:tcPr>
            <w:tcW w:w="113" w:type="dxa"/>
            <w:tcBorders/>
            <w:shd w:fill="CCEEFF" w:val="clear"/>
            <w:vAlign w:val="center"/>
          </w:tcPr>
          <w:p>
            <w:pPr>
              <w:pStyle w:val="TableContents"/>
              <w:bidi w:val="0"/>
              <w:spacing w:before="0" w:after="283"/>
              <w:jc w:val="left"/>
              <w:rPr/>
            </w:pPr>
            <w:r>
              <w:rPr/>
              <w:t> </w:t>
            </w:r>
            <w:bookmarkStart w:id="70" w:name="xdx_407_eus-gaap--ContractWithCustomerLi"/>
            <w:bookmarkEnd w:id="70"/>
          </w:p>
        </w:tc>
      </w:tr>
      <w:tr>
        <w:trPr/>
        <w:tc>
          <w:tcPr>
            <w:tcW w:w="7049" w:type="dxa"/>
            <w:tcBorders/>
            <w:shd w:fill="FFFFFF" w:val="clear"/>
            <w:vAlign w:val="center"/>
          </w:tcPr>
          <w:p>
            <w:pPr>
              <w:pStyle w:val="TableContents"/>
              <w:bidi w:val="0"/>
              <w:spacing w:before="0" w:after="283"/>
              <w:jc w:val="left"/>
              <w:rPr/>
            </w:pPr>
            <w:r>
              <w:rPr/>
              <w:t>Current portion of deferred revenue</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21,937,421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19,252,628</w:t>
            </w:r>
          </w:p>
        </w:tc>
        <w:tc>
          <w:tcPr>
            <w:tcW w:w="113" w:type="dxa"/>
            <w:tcBorders/>
            <w:shd w:fill="FFFFFF" w:val="clear"/>
            <w:vAlign w:val="center"/>
          </w:tcPr>
          <w:p>
            <w:pPr>
              <w:pStyle w:val="TableContents"/>
              <w:bidi w:val="0"/>
              <w:spacing w:before="0" w:after="283"/>
              <w:jc w:val="left"/>
              <w:rPr/>
            </w:pPr>
            <w:r>
              <w:rPr/>
              <w:t> </w:t>
            </w:r>
            <w:bookmarkStart w:id="71" w:name="xdx_40A_eus-gaap--OperatingLeaseLiabilit"/>
            <w:bookmarkEnd w:id="71"/>
          </w:p>
        </w:tc>
      </w:tr>
      <w:tr>
        <w:trPr/>
        <w:tc>
          <w:tcPr>
            <w:tcW w:w="7049" w:type="dxa"/>
            <w:tcBorders/>
            <w:shd w:fill="CCEEFF" w:val="clear"/>
            <w:vAlign w:val="center"/>
          </w:tcPr>
          <w:p>
            <w:pPr>
              <w:pStyle w:val="TableContents"/>
              <w:bidi w:val="0"/>
              <w:spacing w:before="0" w:after="283"/>
              <w:jc w:val="left"/>
              <w:rPr/>
            </w:pPr>
            <w:r>
              <w:rPr/>
              <w:t>Current portion of operating lease liabilities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0" w:type="dxa"/>
            <w:tcBorders>
              <w:bottom w:val="single" w:sz="12" w:space="0" w:color="000000"/>
            </w:tcBorders>
            <w:shd w:fill="CCEEFF" w:val="clear"/>
            <w:tcMar>
              <w:bottom w:w="28" w:type="dxa"/>
            </w:tcMar>
            <w:vAlign w:val="center"/>
          </w:tcPr>
          <w:p>
            <w:pPr>
              <w:pStyle w:val="TableContents"/>
              <w:bidi w:val="0"/>
              <w:spacing w:before="0" w:after="283"/>
              <w:jc w:val="right"/>
              <w:rPr/>
            </w:pPr>
            <w:r>
              <w:rPr/>
              <w:t>1,540,086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8" w:type="dxa"/>
            <w:tcBorders>
              <w:bottom w:val="single" w:sz="12" w:space="0" w:color="000000"/>
            </w:tcBorders>
            <w:shd w:fill="CCEEFF" w:val="clear"/>
            <w:tcMar>
              <w:bottom w:w="28" w:type="dxa"/>
            </w:tcMar>
            <w:vAlign w:val="center"/>
          </w:tcPr>
          <w:p>
            <w:pPr>
              <w:pStyle w:val="TableContents"/>
              <w:bidi w:val="0"/>
              <w:spacing w:before="0" w:after="283"/>
              <w:jc w:val="right"/>
              <w:rPr/>
            </w:pPr>
            <w:r>
              <w:rPr/>
              <w:t>1,505,034</w:t>
            </w:r>
          </w:p>
        </w:tc>
        <w:tc>
          <w:tcPr>
            <w:tcW w:w="113" w:type="dxa"/>
            <w:tcBorders/>
            <w:shd w:fill="CCEEFF" w:val="clear"/>
            <w:vAlign w:val="center"/>
          </w:tcPr>
          <w:p>
            <w:pPr>
              <w:pStyle w:val="TableContents"/>
              <w:bidi w:val="0"/>
              <w:spacing w:before="0" w:after="283"/>
              <w:jc w:val="left"/>
              <w:rPr/>
            </w:pPr>
            <w:r>
              <w:rPr/>
              <w:t> </w:t>
            </w:r>
            <w:bookmarkStart w:id="72" w:name="xdx_403_eus-gaap--LiabilitiesCurrent_i02"/>
            <w:bookmarkEnd w:id="72"/>
          </w:p>
        </w:tc>
      </w:tr>
      <w:tr>
        <w:trPr/>
        <w:tc>
          <w:tcPr>
            <w:tcW w:w="7049"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59,777,303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71,312,607</w:t>
            </w:r>
          </w:p>
        </w:tc>
        <w:tc>
          <w:tcPr>
            <w:tcW w:w="113" w:type="dxa"/>
            <w:tcBorders/>
            <w:shd w:fill="FFFFFF" w:val="clear"/>
            <w:vAlign w:val="center"/>
          </w:tcPr>
          <w:p>
            <w:pPr>
              <w:pStyle w:val="TableContents"/>
              <w:bidi w:val="0"/>
              <w:spacing w:before="0" w:after="283"/>
              <w:jc w:val="left"/>
              <w:rPr/>
            </w:pPr>
            <w:r>
              <w:rPr/>
              <w:t> </w:t>
            </w:r>
          </w:p>
        </w:tc>
      </w:tr>
      <w:tr>
        <w:trPr/>
        <w:tc>
          <w:tcPr>
            <w:tcW w:w="70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73" w:name="xdx_408_eus-gaap--AccountsPayableAndAccr"/>
            <w:bookmarkEnd w:id="73"/>
          </w:p>
        </w:tc>
      </w:tr>
      <w:tr>
        <w:trPr/>
        <w:tc>
          <w:tcPr>
            <w:tcW w:w="7049"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254,731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254,731</w:t>
            </w:r>
          </w:p>
        </w:tc>
        <w:tc>
          <w:tcPr>
            <w:tcW w:w="113" w:type="dxa"/>
            <w:tcBorders/>
            <w:shd w:fill="FFFFFF" w:val="clear"/>
            <w:vAlign w:val="center"/>
          </w:tcPr>
          <w:p>
            <w:pPr>
              <w:pStyle w:val="TableContents"/>
              <w:bidi w:val="0"/>
              <w:spacing w:before="0" w:after="283"/>
              <w:jc w:val="left"/>
              <w:rPr/>
            </w:pPr>
            <w:r>
              <w:rPr/>
              <w:t> </w:t>
            </w:r>
            <w:bookmarkStart w:id="74" w:name="xdx_409_eus-gaap--ContractWithCustomerLi"/>
            <w:bookmarkEnd w:id="74"/>
          </w:p>
        </w:tc>
      </w:tr>
      <w:tr>
        <w:trPr/>
        <w:tc>
          <w:tcPr>
            <w:tcW w:w="7049" w:type="dxa"/>
            <w:tcBorders/>
            <w:shd w:fill="CCEEFF" w:val="clear"/>
            <w:vAlign w:val="center"/>
          </w:tcPr>
          <w:p>
            <w:pPr>
              <w:pStyle w:val="TableContents"/>
              <w:bidi w:val="0"/>
              <w:spacing w:before="0" w:after="283"/>
              <w:jc w:val="left"/>
              <w:rPr/>
            </w:pPr>
            <w:r>
              <w:rPr/>
              <w:t>Deferred revenue, net of current portion</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17,102,747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15,064,078</w:t>
            </w:r>
          </w:p>
        </w:tc>
        <w:tc>
          <w:tcPr>
            <w:tcW w:w="113" w:type="dxa"/>
            <w:tcBorders/>
            <w:shd w:fill="CCEEFF" w:val="clear"/>
            <w:vAlign w:val="center"/>
          </w:tcPr>
          <w:p>
            <w:pPr>
              <w:pStyle w:val="TableContents"/>
              <w:bidi w:val="0"/>
              <w:spacing w:before="0" w:after="283"/>
              <w:jc w:val="left"/>
              <w:rPr/>
            </w:pPr>
            <w:r>
              <w:rPr/>
              <w:t> </w:t>
            </w:r>
            <w:bookmarkStart w:id="75" w:name="xdx_40A_eus-gaap--OperatingLeaseLiabilit"/>
            <w:bookmarkEnd w:id="75"/>
          </w:p>
        </w:tc>
      </w:tr>
      <w:tr>
        <w:trPr/>
        <w:tc>
          <w:tcPr>
            <w:tcW w:w="7049" w:type="dxa"/>
            <w:tcBorders/>
            <w:shd w:fill="FFFFFF" w:val="clear"/>
            <w:vAlign w:val="center"/>
          </w:tcPr>
          <w:p>
            <w:pPr>
              <w:pStyle w:val="TableContents"/>
              <w:bidi w:val="0"/>
              <w:spacing w:before="0" w:after="283"/>
              <w:jc w:val="left"/>
              <w:rPr/>
            </w:pPr>
            <w:r>
              <w:rPr/>
              <w:t>Operating lease liabilities, net of current portion</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0" w:type="dxa"/>
            <w:tcBorders>
              <w:bottom w:val="single" w:sz="12" w:space="0" w:color="000000"/>
            </w:tcBorders>
            <w:shd w:fill="FFFFFF" w:val="clear"/>
            <w:tcMar>
              <w:bottom w:w="28" w:type="dxa"/>
            </w:tcMar>
            <w:vAlign w:val="center"/>
          </w:tcPr>
          <w:p>
            <w:pPr>
              <w:pStyle w:val="TableContents"/>
              <w:bidi w:val="0"/>
              <w:spacing w:before="0" w:after="283"/>
              <w:jc w:val="right"/>
              <w:rPr/>
            </w:pPr>
            <w:r>
              <w:rPr/>
              <w:t>1,023,216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8" w:type="dxa"/>
            <w:tcBorders>
              <w:bottom w:val="single" w:sz="12" w:space="0" w:color="000000"/>
            </w:tcBorders>
            <w:shd w:fill="FFFFFF" w:val="clear"/>
            <w:tcMar>
              <w:bottom w:w="28" w:type="dxa"/>
            </w:tcMar>
            <w:vAlign w:val="center"/>
          </w:tcPr>
          <w:p>
            <w:pPr>
              <w:pStyle w:val="TableContents"/>
              <w:bidi w:val="0"/>
              <w:spacing w:before="0" w:after="283"/>
              <w:jc w:val="right"/>
              <w:rPr/>
            </w:pPr>
            <w:r>
              <w:rPr/>
              <w:t>1,425,494</w:t>
            </w:r>
          </w:p>
        </w:tc>
        <w:tc>
          <w:tcPr>
            <w:tcW w:w="113" w:type="dxa"/>
            <w:tcBorders/>
            <w:shd w:fill="FFFFFF" w:val="clear"/>
            <w:vAlign w:val="center"/>
          </w:tcPr>
          <w:p>
            <w:pPr>
              <w:pStyle w:val="TableContents"/>
              <w:bidi w:val="0"/>
              <w:spacing w:before="0" w:after="283"/>
              <w:jc w:val="left"/>
              <w:rPr/>
            </w:pPr>
            <w:r>
              <w:rPr/>
              <w:t> </w:t>
            </w:r>
            <w:bookmarkStart w:id="76" w:name="xdx_40B_eus-gaap--Liabilities_i01TI_maLA"/>
            <w:bookmarkEnd w:id="76"/>
          </w:p>
        </w:tc>
      </w:tr>
      <w:tr>
        <w:trPr/>
        <w:tc>
          <w:tcPr>
            <w:tcW w:w="7049"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0" w:type="dxa"/>
            <w:tcBorders>
              <w:bottom w:val="single" w:sz="12" w:space="0" w:color="000000"/>
            </w:tcBorders>
            <w:shd w:fill="CCEEFF" w:val="clear"/>
            <w:tcMar>
              <w:bottom w:w="28" w:type="dxa"/>
            </w:tcMar>
            <w:vAlign w:val="center"/>
          </w:tcPr>
          <w:p>
            <w:pPr>
              <w:pStyle w:val="TableContents"/>
              <w:bidi w:val="0"/>
              <w:spacing w:before="0" w:after="283"/>
              <w:jc w:val="right"/>
              <w:rPr/>
            </w:pPr>
            <w:r>
              <w:rPr/>
              <w:t>78,157,997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8" w:type="dxa"/>
            <w:tcBorders>
              <w:bottom w:val="single" w:sz="12" w:space="0" w:color="000000"/>
            </w:tcBorders>
            <w:shd w:fill="CCEEFF" w:val="clear"/>
            <w:tcMar>
              <w:bottom w:w="28" w:type="dxa"/>
            </w:tcMar>
            <w:vAlign w:val="center"/>
          </w:tcPr>
          <w:p>
            <w:pPr>
              <w:pStyle w:val="TableContents"/>
              <w:bidi w:val="0"/>
              <w:spacing w:before="0" w:after="283"/>
              <w:jc w:val="right"/>
              <w:rPr/>
            </w:pPr>
            <w:r>
              <w:rPr/>
              <w:t>88,056,910</w:t>
            </w:r>
          </w:p>
        </w:tc>
        <w:tc>
          <w:tcPr>
            <w:tcW w:w="113" w:type="dxa"/>
            <w:tcBorders/>
            <w:shd w:fill="CCEEFF" w:val="clear"/>
            <w:vAlign w:val="center"/>
          </w:tcPr>
          <w:p>
            <w:pPr>
              <w:pStyle w:val="TableContents"/>
              <w:bidi w:val="0"/>
              <w:spacing w:before="0" w:after="283"/>
              <w:jc w:val="left"/>
              <w:rPr/>
            </w:pPr>
            <w:r>
              <w:rPr/>
              <w:t> </w:t>
            </w:r>
          </w:p>
        </w:tc>
      </w:tr>
      <w:tr>
        <w:trPr/>
        <w:tc>
          <w:tcPr>
            <w:tcW w:w="70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77" w:name="xdx_408_eus-gaap--CommitmentsAndContinge"/>
            <w:bookmarkEnd w:id="77"/>
          </w:p>
        </w:tc>
      </w:tr>
      <w:tr>
        <w:trPr/>
        <w:tc>
          <w:tcPr>
            <w:tcW w:w="7049" w:type="dxa"/>
            <w:tcBorders/>
            <w:shd w:fill="CCEEFF" w:val="clear"/>
            <w:vAlign w:val="center"/>
          </w:tcPr>
          <w:p>
            <w:pPr>
              <w:pStyle w:val="TableContents"/>
              <w:bidi w:val="0"/>
              <w:spacing w:before="0" w:after="283"/>
              <w:jc w:val="left"/>
              <w:rPr>
                <w:b/>
              </w:rPr>
            </w:pPr>
            <w:r>
              <w:rPr>
                <w:b/>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3" w:type="dxa"/>
            <w:tcBorders/>
            <w:shd w:fill="CCEEFF" w:val="clear"/>
            <w:vAlign w:val="center"/>
          </w:tcPr>
          <w:p>
            <w:pPr>
              <w:pStyle w:val="TableContents"/>
              <w:bidi w:val="0"/>
              <w:spacing w:before="0" w:after="283"/>
              <w:jc w:val="left"/>
              <w:rPr/>
            </w:pPr>
            <w:r>
              <w:rPr/>
              <w:t> </w:t>
            </w:r>
          </w:p>
        </w:tc>
      </w:tr>
      <w:tr>
        <w:trPr/>
        <w:tc>
          <w:tcPr>
            <w:tcW w:w="70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78" w:name="xdx_40A_eus-gaap--StockholdersEquityIncl"/>
            <w:bookmarkEnd w:id="78"/>
          </w:p>
        </w:tc>
      </w:tr>
      <w:tr>
        <w:trPr/>
        <w:tc>
          <w:tcPr>
            <w:tcW w:w="7049" w:type="dxa"/>
            <w:tcBorders/>
            <w:shd w:fill="CCEEFF" w:val="clear"/>
            <w:vAlign w:val="center"/>
          </w:tcPr>
          <w:p>
            <w:pPr>
              <w:pStyle w:val="TableContents"/>
              <w:bidi w:val="0"/>
              <w:spacing w:before="0" w:after="283"/>
              <w:jc w:val="left"/>
              <w:rPr>
                <w:b/>
              </w:rPr>
            </w:pPr>
            <w:r>
              <w:rPr>
                <w:b/>
              </w:rPr>
              <w:t>Stockholders’ Equity:</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79" w:name="xdx_409_eus-gaap--CommonStockValue_i02I_"/>
            <w:bookmarkEnd w:id="79"/>
          </w:p>
        </w:tc>
      </w:tr>
      <w:tr>
        <w:trPr/>
        <w:tc>
          <w:tcPr>
            <w:tcW w:w="7049" w:type="dxa"/>
            <w:tcBorders/>
            <w:shd w:fill="FFFFFF" w:val="clear"/>
            <w:vAlign w:val="center"/>
          </w:tcPr>
          <w:p>
            <w:pPr>
              <w:pStyle w:val="TableContents"/>
              <w:bidi w:val="0"/>
              <w:spacing w:before="0" w:after="283"/>
              <w:jc w:val="left"/>
              <w:rPr/>
            </w:pPr>
            <w:r>
              <w:rPr/>
              <w:t>Class A common stock, $</w:t>
            </w:r>
            <w:bookmarkStart w:id="80" w:name="xdx_90C_eus-gaap--CommonStockParOrStated"/>
            <w:bookmarkStart w:id="81" w:name="xdx_908_eus-gaap--CommonStockParOrStated"/>
            <w:bookmarkEnd w:id="80"/>
            <w:bookmarkEnd w:id="81"/>
            <w:r>
              <w:rPr/>
              <w:t xml:space="preserve">0.0001 par value, </w:t>
            </w:r>
            <w:bookmarkStart w:id="82" w:name="xdx_909_eus-gaap--CommonStockSharesAutho"/>
            <w:bookmarkStart w:id="83" w:name="xdx_906_eus-gaap--CommonStockSharesAutho"/>
            <w:bookmarkEnd w:id="82"/>
            <w:bookmarkEnd w:id="83"/>
            <w:r>
              <w:rPr/>
              <w:t xml:space="preserve">500,000,000 shares authorized; </w:t>
            </w:r>
            <w:bookmarkStart w:id="84" w:name="xdx_909_eus-gaap--CommonStockSharesIssue"/>
            <w:bookmarkEnd w:id="84"/>
            <w:r>
              <w:rPr/>
              <w:t xml:space="preserve">9,357,749 shares issued and </w:t>
            </w:r>
            <w:bookmarkStart w:id="85" w:name="xdx_901_eus-gaap--CommonStockSharesOutst"/>
            <w:bookmarkEnd w:id="85"/>
            <w:r>
              <w:rPr/>
              <w:t xml:space="preserve">8,007,474 shares outstanding as of March 31, 2024, and </w:t>
            </w:r>
            <w:bookmarkStart w:id="86" w:name="xdx_908_eus-gaap--CommonStockSharesIssue"/>
            <w:bookmarkEnd w:id="86"/>
            <w:r>
              <w:rPr/>
              <w:t xml:space="preserve">9,275,420 shares issued and </w:t>
            </w:r>
            <w:bookmarkStart w:id="87" w:name="xdx_902_eus-gaap--CommonStockSharesOutst"/>
            <w:bookmarkEnd w:id="87"/>
            <w:r>
              <w:rPr/>
              <w:t>7,925,145 shares outstanding as of December 31, 2023</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935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927</w:t>
            </w:r>
          </w:p>
        </w:tc>
        <w:tc>
          <w:tcPr>
            <w:tcW w:w="113" w:type="dxa"/>
            <w:tcBorders/>
            <w:shd w:fill="FFFFFF" w:val="clear"/>
            <w:vAlign w:val="center"/>
          </w:tcPr>
          <w:p>
            <w:pPr>
              <w:pStyle w:val="TableContents"/>
              <w:bidi w:val="0"/>
              <w:spacing w:before="0" w:after="283"/>
              <w:jc w:val="left"/>
              <w:rPr/>
            </w:pPr>
            <w:r>
              <w:rPr/>
              <w:t> </w:t>
            </w:r>
            <w:bookmarkStart w:id="88" w:name="xdx_407_eus-gaap--CommonStockValue_i02I_"/>
            <w:bookmarkEnd w:id="88"/>
          </w:p>
        </w:tc>
      </w:tr>
      <w:tr>
        <w:trPr/>
        <w:tc>
          <w:tcPr>
            <w:tcW w:w="7049" w:type="dxa"/>
            <w:tcBorders/>
            <w:shd w:fill="CCEEFF" w:val="clear"/>
            <w:vAlign w:val="center"/>
          </w:tcPr>
          <w:p>
            <w:pPr>
              <w:pStyle w:val="TableContents"/>
              <w:bidi w:val="0"/>
              <w:spacing w:before="0" w:after="283"/>
              <w:jc w:val="left"/>
              <w:rPr/>
            </w:pPr>
            <w:r>
              <w:rPr/>
              <w:t>Class B common stock, $</w:t>
            </w:r>
            <w:bookmarkStart w:id="89" w:name="xdx_904_eus-gaap--CommonStockParOrStated"/>
            <w:bookmarkStart w:id="90" w:name="xdx_90F_eus-gaap--CommonStockParOrStated"/>
            <w:bookmarkEnd w:id="89"/>
            <w:bookmarkEnd w:id="90"/>
            <w:r>
              <w:rPr/>
              <w:t xml:space="preserve">0.0001 par value, </w:t>
            </w:r>
            <w:bookmarkStart w:id="91" w:name="xdx_900_eus-gaap--CommonStockSharesAutho"/>
            <w:bookmarkStart w:id="92" w:name="xdx_902_eus-gaap--CommonStockSharesAutho"/>
            <w:bookmarkEnd w:id="91"/>
            <w:bookmarkEnd w:id="92"/>
            <w:r>
              <w:rPr/>
              <w:t xml:space="preserve">100,000,000 shares authorized; </w:t>
            </w:r>
            <w:bookmarkStart w:id="93" w:name="xdx_90F_eus-gaap--CommonStockSharesOutst"/>
            <w:bookmarkStart w:id="94" w:name="xdx_90C_eus-gaap--CommonStockSharesIssue"/>
            <w:bookmarkStart w:id="95" w:name="xdx_90B_eus-gaap--CommonStockSharesOutst"/>
            <w:bookmarkStart w:id="96" w:name="xdx_906_eus-gaap--CommonStockSharesIssue"/>
            <w:bookmarkEnd w:id="93"/>
            <w:bookmarkEnd w:id="94"/>
            <w:bookmarkEnd w:id="95"/>
            <w:bookmarkEnd w:id="96"/>
            <w:r>
              <w:rPr/>
              <w:t>28,748,580 shares issued and outstanding as of March 31, 2024 and December 31, 2023.</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2,875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2,875</w:t>
            </w:r>
          </w:p>
        </w:tc>
        <w:tc>
          <w:tcPr>
            <w:tcW w:w="113" w:type="dxa"/>
            <w:tcBorders/>
            <w:shd w:fill="CCEEFF" w:val="clear"/>
            <w:vAlign w:val="center"/>
          </w:tcPr>
          <w:p>
            <w:pPr>
              <w:pStyle w:val="TableContents"/>
              <w:bidi w:val="0"/>
              <w:spacing w:before="0" w:after="283"/>
              <w:jc w:val="left"/>
              <w:rPr/>
            </w:pPr>
            <w:r>
              <w:rPr/>
              <w:t> </w:t>
            </w:r>
            <w:bookmarkStart w:id="97" w:name="xdx_405_eus-gaap--CommonStockValue_i02I_"/>
            <w:bookmarkEnd w:id="97"/>
          </w:p>
        </w:tc>
      </w:tr>
      <w:tr>
        <w:trPr/>
        <w:tc>
          <w:tcPr>
            <w:tcW w:w="7049" w:type="dxa"/>
            <w:tcBorders/>
            <w:shd w:fill="FFFFFF" w:val="clear"/>
            <w:vAlign w:val="center"/>
          </w:tcPr>
          <w:p>
            <w:pPr>
              <w:pStyle w:val="TableContents"/>
              <w:bidi w:val="0"/>
              <w:spacing w:before="0" w:after="283"/>
              <w:jc w:val="left"/>
              <w:rPr/>
            </w:pPr>
            <w:r>
              <w:rPr/>
              <w:t>Common stock, value</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2,875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2,875</w:t>
            </w:r>
          </w:p>
        </w:tc>
        <w:tc>
          <w:tcPr>
            <w:tcW w:w="113" w:type="dxa"/>
            <w:tcBorders/>
            <w:shd w:fill="FFFFFF" w:val="clear"/>
            <w:vAlign w:val="center"/>
          </w:tcPr>
          <w:p>
            <w:pPr>
              <w:pStyle w:val="TableContents"/>
              <w:bidi w:val="0"/>
              <w:spacing w:before="0" w:after="283"/>
              <w:jc w:val="left"/>
              <w:rPr/>
            </w:pPr>
            <w:r>
              <w:rPr/>
              <w:t> </w:t>
            </w:r>
            <w:bookmarkStart w:id="98" w:name="xdx_405_eus-gaap--AdditionalPaidInCapita"/>
            <w:bookmarkEnd w:id="98"/>
          </w:p>
        </w:tc>
      </w:tr>
      <w:tr>
        <w:trPr/>
        <w:tc>
          <w:tcPr>
            <w:tcW w:w="7049"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25,304,692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26,171,575</w:t>
            </w:r>
          </w:p>
        </w:tc>
        <w:tc>
          <w:tcPr>
            <w:tcW w:w="113" w:type="dxa"/>
            <w:tcBorders/>
            <w:shd w:fill="FFFFFF" w:val="clear"/>
            <w:vAlign w:val="center"/>
          </w:tcPr>
          <w:p>
            <w:pPr>
              <w:pStyle w:val="TableContents"/>
              <w:bidi w:val="0"/>
              <w:spacing w:before="0" w:after="283"/>
              <w:jc w:val="left"/>
              <w:rPr/>
            </w:pPr>
            <w:r>
              <w:rPr/>
              <w:t> </w:t>
            </w:r>
            <w:bookmarkStart w:id="99" w:name="xdx_402_eus-gaap--AccumulatedOtherCompre"/>
            <w:bookmarkEnd w:id="99"/>
          </w:p>
        </w:tc>
      </w:tr>
      <w:tr>
        <w:trPr/>
        <w:tc>
          <w:tcPr>
            <w:tcW w:w="7049"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(273,680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(254,383</w:t>
            </w:r>
          </w:p>
        </w:tc>
        <w:tc>
          <w:tcPr>
            <w:tcW w:w="113" w:type="dxa"/>
            <w:tcBorders/>
            <w:shd w:fill="CCEEFF" w:val="clear"/>
            <w:vAlign w:val="center"/>
          </w:tcPr>
          <w:p>
            <w:pPr>
              <w:pStyle w:val="TableContents"/>
              <w:bidi w:val="0"/>
              <w:spacing w:before="0" w:after="283"/>
              <w:jc w:val="left"/>
              <w:rPr/>
            </w:pPr>
            <w:r>
              <w:rPr/>
              <w:t>)</w:t>
            </w:r>
            <w:bookmarkStart w:id="100" w:name="xdx_40B_eus-gaap--RetainedEarningsAccumu"/>
            <w:bookmarkEnd w:id="100"/>
          </w:p>
        </w:tc>
      </w:tr>
      <w:tr>
        <w:trPr/>
        <w:tc>
          <w:tcPr>
            <w:tcW w:w="7049"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(15,728,654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(13,949,325</w:t>
            </w:r>
          </w:p>
        </w:tc>
        <w:tc>
          <w:tcPr>
            <w:tcW w:w="113" w:type="dxa"/>
            <w:tcBorders/>
            <w:shd w:fill="FFFFFF" w:val="clear"/>
            <w:vAlign w:val="center"/>
          </w:tcPr>
          <w:p>
            <w:pPr>
              <w:pStyle w:val="TableContents"/>
              <w:bidi w:val="0"/>
              <w:spacing w:before="0" w:after="283"/>
              <w:jc w:val="left"/>
              <w:rPr/>
            </w:pPr>
            <w:r>
              <w:rPr/>
              <w:t>)</w:t>
            </w:r>
            <w:bookmarkStart w:id="101" w:name="xdx_40F_eus-gaap--TreasuryStockValue_i02"/>
            <w:bookmarkEnd w:id="101"/>
          </w:p>
        </w:tc>
      </w:tr>
      <w:tr>
        <w:trPr/>
        <w:tc>
          <w:tcPr>
            <w:tcW w:w="7049" w:type="dxa"/>
            <w:tcBorders/>
            <w:shd w:fill="CCEEFF" w:val="clear"/>
            <w:vAlign w:val="center"/>
          </w:tcPr>
          <w:p>
            <w:pPr>
              <w:pStyle w:val="TableContents"/>
              <w:bidi w:val="0"/>
              <w:spacing w:before="0" w:after="283"/>
              <w:jc w:val="left"/>
              <w:rPr/>
            </w:pPr>
            <w:r>
              <w:rPr/>
              <w:t>Treasury stock at cost (</w:t>
            </w:r>
            <w:bookmarkStart w:id="102" w:name="xdx_90F_eus-gaap--TreasuryStockCommonSha"/>
            <w:bookmarkStart w:id="103" w:name="xdx_90B_eus-gaap--TreasuryStockCommonSha"/>
            <w:bookmarkEnd w:id="102"/>
            <w:bookmarkEnd w:id="103"/>
            <w:r>
              <w:rPr/>
              <w:t>1,350,275 shares as of March 31, 2024 and December 31, 2023)</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0" w:type="dxa"/>
            <w:tcBorders>
              <w:bottom w:val="single" w:sz="12" w:space="0" w:color="000000"/>
            </w:tcBorders>
            <w:shd w:fill="CCEEFF" w:val="clear"/>
            <w:tcMar>
              <w:bottom w:w="28" w:type="dxa"/>
            </w:tcMar>
            <w:vAlign w:val="center"/>
          </w:tcPr>
          <w:p>
            <w:pPr>
              <w:pStyle w:val="TableContents"/>
              <w:bidi w:val="0"/>
              <w:spacing w:before="0" w:after="283"/>
              <w:jc w:val="right"/>
              <w:rPr/>
            </w:pPr>
            <w:r>
              <w:rPr/>
              <w:t>(3,671,806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8" w:type="dxa"/>
            <w:tcBorders>
              <w:bottom w:val="single" w:sz="12" w:space="0" w:color="000000"/>
            </w:tcBorders>
            <w:shd w:fill="CCEEFF" w:val="clear"/>
            <w:tcMar>
              <w:bottom w:w="28" w:type="dxa"/>
            </w:tcMar>
            <w:vAlign w:val="center"/>
          </w:tcPr>
          <w:p>
            <w:pPr>
              <w:pStyle w:val="TableContents"/>
              <w:bidi w:val="0"/>
              <w:spacing w:before="0" w:after="283"/>
              <w:jc w:val="right"/>
              <w:rPr/>
            </w:pPr>
            <w:r>
              <w:rPr/>
              <w:t>(3,671,806</w:t>
            </w:r>
          </w:p>
        </w:tc>
        <w:tc>
          <w:tcPr>
            <w:tcW w:w="113" w:type="dxa"/>
            <w:tcBorders/>
            <w:shd w:fill="CCEEFF" w:val="clear"/>
            <w:vAlign w:val="center"/>
          </w:tcPr>
          <w:p>
            <w:pPr>
              <w:pStyle w:val="TableContents"/>
              <w:bidi w:val="0"/>
              <w:spacing w:before="0" w:after="283"/>
              <w:jc w:val="left"/>
              <w:rPr/>
            </w:pPr>
            <w:r>
              <w:rPr/>
              <w:t>)</w:t>
            </w:r>
            <w:bookmarkStart w:id="104" w:name="xdx_400_eus-gaap--StockholdersEquity_i02"/>
            <w:bookmarkEnd w:id="104"/>
          </w:p>
        </w:tc>
      </w:tr>
      <w:tr>
        <w:trPr/>
        <w:tc>
          <w:tcPr>
            <w:tcW w:w="7049" w:type="dxa"/>
            <w:tcBorders/>
            <w:shd w:fill="FFFFFF" w:val="clear"/>
            <w:vAlign w:val="center"/>
          </w:tcPr>
          <w:p>
            <w:pPr>
              <w:pStyle w:val="TableContents"/>
              <w:bidi w:val="0"/>
              <w:spacing w:before="0" w:after="283"/>
              <w:jc w:val="left"/>
              <w:rPr/>
            </w:pPr>
            <w:r>
              <w:rPr/>
              <w:t>Total Snail, Inc. equity</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5,634,362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8,299,863</w:t>
            </w:r>
          </w:p>
        </w:tc>
        <w:tc>
          <w:tcPr>
            <w:tcW w:w="113" w:type="dxa"/>
            <w:tcBorders/>
            <w:shd w:fill="FFFFFF" w:val="clear"/>
            <w:vAlign w:val="center"/>
          </w:tcPr>
          <w:p>
            <w:pPr>
              <w:pStyle w:val="TableContents"/>
              <w:bidi w:val="0"/>
              <w:spacing w:before="0" w:after="283"/>
              <w:jc w:val="left"/>
              <w:rPr/>
            </w:pPr>
            <w:r>
              <w:rPr/>
              <w:t> </w:t>
            </w:r>
            <w:bookmarkStart w:id="105" w:name="xdx_409_eus-gaap--MinorityInterest_i02I_"/>
            <w:bookmarkEnd w:id="105"/>
          </w:p>
        </w:tc>
      </w:tr>
      <w:tr>
        <w:trPr/>
        <w:tc>
          <w:tcPr>
            <w:tcW w:w="7049" w:type="dxa"/>
            <w:tcBorders/>
            <w:shd w:fill="CCEEFF" w:val="clear"/>
            <w:vAlign w:val="center"/>
          </w:tcPr>
          <w:p>
            <w:pPr>
              <w:pStyle w:val="TableContents"/>
              <w:bidi w:val="0"/>
              <w:spacing w:before="0" w:after="283"/>
              <w:jc w:val="left"/>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0" w:type="dxa"/>
            <w:tcBorders>
              <w:bottom w:val="single" w:sz="12" w:space="0" w:color="000000"/>
            </w:tcBorders>
            <w:shd w:fill="CCEEFF" w:val="clear"/>
            <w:tcMar>
              <w:bottom w:w="28" w:type="dxa"/>
            </w:tcMar>
            <w:vAlign w:val="center"/>
          </w:tcPr>
          <w:p>
            <w:pPr>
              <w:pStyle w:val="TableContents"/>
              <w:bidi w:val="0"/>
              <w:spacing w:before="0" w:after="283"/>
              <w:jc w:val="right"/>
              <w:rPr/>
            </w:pPr>
            <w:r>
              <w:rPr/>
              <w:t>(5,500,373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8" w:type="dxa"/>
            <w:tcBorders>
              <w:bottom w:val="single" w:sz="12" w:space="0" w:color="000000"/>
            </w:tcBorders>
            <w:shd w:fill="CCEEFF" w:val="clear"/>
            <w:tcMar>
              <w:bottom w:w="28" w:type="dxa"/>
            </w:tcMar>
            <w:vAlign w:val="center"/>
          </w:tcPr>
          <w:p>
            <w:pPr>
              <w:pStyle w:val="TableContents"/>
              <w:bidi w:val="0"/>
              <w:spacing w:before="0" w:after="283"/>
              <w:jc w:val="right"/>
              <w:rPr/>
            </w:pPr>
            <w:r>
              <w:rPr/>
              <w:t>(5,499,244</w:t>
            </w:r>
          </w:p>
        </w:tc>
        <w:tc>
          <w:tcPr>
            <w:tcW w:w="113" w:type="dxa"/>
            <w:tcBorders/>
            <w:shd w:fill="CCEEFF" w:val="clear"/>
            <w:vAlign w:val="center"/>
          </w:tcPr>
          <w:p>
            <w:pPr>
              <w:pStyle w:val="TableContents"/>
              <w:bidi w:val="0"/>
              <w:spacing w:before="0" w:after="283"/>
              <w:jc w:val="left"/>
              <w:rPr/>
            </w:pPr>
            <w:r>
              <w:rPr/>
              <w:t>)</w:t>
            </w:r>
            <w:bookmarkStart w:id="106" w:name="xdx_408_eus-gaap--StockholdersEquityIncl"/>
            <w:bookmarkEnd w:id="106"/>
          </w:p>
        </w:tc>
      </w:tr>
      <w:tr>
        <w:trPr/>
        <w:tc>
          <w:tcPr>
            <w:tcW w:w="7049" w:type="dxa"/>
            <w:tcBorders/>
            <w:shd w:fill="FFFFFF" w:val="clear"/>
            <w:vAlign w:val="center"/>
          </w:tcPr>
          <w:p>
            <w:pPr>
              <w:pStyle w:val="TableContents"/>
              <w:bidi w:val="0"/>
              <w:spacing w:before="0" w:after="283"/>
              <w:jc w:val="left"/>
              <w:rPr/>
            </w:pPr>
            <w:r>
              <w:rPr/>
              <w:t>Total stockholders’ equity (deficit)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0" w:type="dxa"/>
            <w:tcBorders>
              <w:bottom w:val="single" w:sz="12" w:space="0" w:color="000000"/>
            </w:tcBorders>
            <w:shd w:fill="FFFFFF" w:val="clear"/>
            <w:tcMar>
              <w:bottom w:w="28" w:type="dxa"/>
            </w:tcMar>
            <w:vAlign w:val="center"/>
          </w:tcPr>
          <w:p>
            <w:pPr>
              <w:pStyle w:val="TableContents"/>
              <w:bidi w:val="0"/>
              <w:spacing w:before="0" w:after="283"/>
              <w:jc w:val="right"/>
              <w:rPr/>
            </w:pPr>
            <w:r>
              <w:rPr/>
              <w:t>133,989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8" w:type="dxa"/>
            <w:tcBorders>
              <w:bottom w:val="single" w:sz="12" w:space="0" w:color="000000"/>
            </w:tcBorders>
            <w:shd w:fill="FFFFFF" w:val="clear"/>
            <w:tcMar>
              <w:bottom w:w="28" w:type="dxa"/>
            </w:tcMar>
            <w:vAlign w:val="center"/>
          </w:tcPr>
          <w:p>
            <w:pPr>
              <w:pStyle w:val="TableContents"/>
              <w:bidi w:val="0"/>
              <w:spacing w:before="0" w:after="283"/>
              <w:jc w:val="right"/>
              <w:rPr/>
            </w:pPr>
            <w:r>
              <w:rPr/>
              <w:t>2,800,619</w:t>
            </w:r>
          </w:p>
        </w:tc>
        <w:tc>
          <w:tcPr>
            <w:tcW w:w="113" w:type="dxa"/>
            <w:tcBorders/>
            <w:shd w:fill="FFFFFF" w:val="clear"/>
            <w:vAlign w:val="center"/>
          </w:tcPr>
          <w:p>
            <w:pPr>
              <w:pStyle w:val="TableContents"/>
              <w:bidi w:val="0"/>
              <w:spacing w:before="0" w:after="283"/>
              <w:jc w:val="left"/>
              <w:rPr/>
            </w:pPr>
            <w:r>
              <w:rPr/>
              <w:t> </w:t>
            </w:r>
            <w:bookmarkStart w:id="107" w:name="xdx_405_eus-gaap--LiabilitiesAndStockhol"/>
            <w:bookmarkEnd w:id="107"/>
          </w:p>
        </w:tc>
      </w:tr>
      <w:tr>
        <w:trPr/>
        <w:tc>
          <w:tcPr>
            <w:tcW w:w="7049" w:type="dxa"/>
            <w:tcBorders/>
            <w:shd w:fill="CCEEFF" w:val="clear"/>
            <w:vAlign w:val="center"/>
          </w:tcPr>
          <w:p>
            <w:pPr>
              <w:pStyle w:val="TableContents"/>
              <w:bidi w:val="0"/>
              <w:spacing w:before="0" w:after="283"/>
              <w:jc w:val="left"/>
              <w:rPr/>
            </w:pPr>
            <w:r>
              <w:rPr/>
              <w:t>Total liabilities, noncontrolling interests and stockholders’ equity</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0" w:type="dxa"/>
            <w:tcBorders>
              <w:bottom w:val="double" w:sz="6" w:space="0" w:color="000000"/>
            </w:tcBorders>
            <w:shd w:fill="CCEEFF" w:val="clear"/>
            <w:tcMar>
              <w:bottom w:w="28" w:type="dxa"/>
            </w:tcMar>
            <w:vAlign w:val="center"/>
          </w:tcPr>
          <w:p>
            <w:pPr>
              <w:pStyle w:val="TableContents"/>
              <w:bidi w:val="0"/>
              <w:spacing w:before="0" w:after="283"/>
              <w:jc w:val="right"/>
              <w:rPr/>
            </w:pPr>
            <w:r>
              <w:rPr/>
              <w:t>78,291,986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8" w:type="dxa"/>
            <w:tcBorders>
              <w:bottom w:val="double" w:sz="6" w:space="0" w:color="000000"/>
            </w:tcBorders>
            <w:shd w:fill="CCEEFF" w:val="clear"/>
            <w:tcMar>
              <w:bottom w:w="28" w:type="dxa"/>
            </w:tcMar>
            <w:vAlign w:val="center"/>
          </w:tcPr>
          <w:p>
            <w:pPr>
              <w:pStyle w:val="TableContents"/>
              <w:bidi w:val="0"/>
              <w:spacing w:before="0" w:after="283"/>
              <w:jc w:val="right"/>
              <w:rPr/>
            </w:pPr>
            <w:r>
              <w:rPr/>
              <w:t>90,857,529</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8" w:name="S1_005"/>
      <w:bookmarkEnd w:id="108"/>
      <w:r>
        <w:rPr>
          <w:rFonts w:ascii="Times New Roman;Times;Serif" w:hAnsi="Times New Roman;Times;Serif"/>
          <w:b/>
          <w:i w:val="false"/>
          <w:caps w:val="false"/>
          <w:smallCaps w:val="false"/>
          <w:sz w:val="20"/>
        </w:rPr>
        <w:t>Snail,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and Comprehensive Loss for the Three Months Ended March 31, 2024 and 2023</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9" w:name="xdx_30F_113_zukpLy4UcsNl"/>
      <w:bookmarkStart w:id="110" w:name="xdx_30F_113_zukpLy4UcsNl"/>
      <w:bookmarkEnd w:id="110"/>
    </w:p>
    <w:tbl>
      <w:tblPr>
        <w:tblW w:w="10205" w:type="dxa"/>
        <w:jc w:val="left"/>
        <w:tblInd w:w="0" w:type="dxa"/>
        <w:tblLayout w:type="fixed"/>
        <w:tblCellMar>
          <w:top w:w="0" w:type="dxa"/>
          <w:left w:w="0" w:type="dxa"/>
          <w:bottom w:w="0" w:type="dxa"/>
          <w:right w:w="0" w:type="dxa"/>
        </w:tblCellMar>
      </w:tblPr>
      <w:tblGrid>
        <w:gridCol w:w="7400"/>
        <w:gridCol w:w="60"/>
        <w:gridCol w:w="140"/>
        <w:gridCol w:w="1100"/>
        <w:gridCol w:w="95"/>
        <w:gridCol w:w="60"/>
        <w:gridCol w:w="140"/>
        <w:gridCol w:w="1100"/>
        <w:gridCol w:w="110"/>
      </w:tblGrid>
      <w:tr>
        <w:trPr/>
        <w:tc>
          <w:tcPr>
            <w:tcW w:w="74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11" w:name="xdx_496_20240101__20240331_z48qlnAYofki"/>
            <w:bookmarkEnd w:id="111"/>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2" w:name="xdx_498_20230101__20230331_zb0RRAvgKJF8"/>
            <w:bookmarkEnd w:id="112"/>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2023</w:t>
            </w:r>
          </w:p>
        </w:tc>
        <w:tc>
          <w:tcPr>
            <w:tcW w:w="110" w:type="dxa"/>
            <w:tcBorders/>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113" w:name="xdx_40B_eus-gaap--RevenueFromContractWit"/>
            <w:bookmarkEnd w:id="113"/>
          </w:p>
        </w:tc>
      </w:tr>
      <w:tr>
        <w:trPr/>
        <w:tc>
          <w:tcPr>
            <w:tcW w:w="7400" w:type="dxa"/>
            <w:tcBorders/>
            <w:shd w:fill="CCEEFF" w:val="clear"/>
            <w:vAlign w:val="center"/>
          </w:tcPr>
          <w:p>
            <w:pPr>
              <w:pStyle w:val="TableContents"/>
              <w:bidi w:val="0"/>
              <w:spacing w:before="0" w:after="283"/>
              <w:jc w:val="left"/>
              <w:rPr/>
            </w:pPr>
            <w:r>
              <w:rPr/>
              <w:t>Revenues,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14,115,729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13,458,488</w:t>
            </w:r>
          </w:p>
        </w:tc>
        <w:tc>
          <w:tcPr>
            <w:tcW w:w="110" w:type="dxa"/>
            <w:tcBorders/>
            <w:shd w:fill="CCEEFF" w:val="clear"/>
            <w:vAlign w:val="center"/>
          </w:tcPr>
          <w:p>
            <w:pPr>
              <w:pStyle w:val="TableContents"/>
              <w:bidi w:val="0"/>
              <w:spacing w:before="0" w:after="283"/>
              <w:jc w:val="left"/>
              <w:rPr/>
            </w:pPr>
            <w:r>
              <w:rPr/>
              <w:t> </w:t>
            </w:r>
            <w:bookmarkStart w:id="114" w:name="xdx_40D_eus-gaap--CostOfGoodsAndServices"/>
            <w:bookmarkEnd w:id="114"/>
          </w:p>
        </w:tc>
      </w:tr>
      <w:tr>
        <w:trPr/>
        <w:tc>
          <w:tcPr>
            <w:tcW w:w="740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12,041,698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10,860,937</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5" w:name="xdx_402_eus-gaap--GrossProfit_iT_mtGPzMx"/>
            <w:bookmarkEnd w:id="115"/>
          </w:p>
        </w:tc>
      </w:tr>
      <w:tr>
        <w:trPr/>
        <w:tc>
          <w:tcPr>
            <w:tcW w:w="7400"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2,074,031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2,597,551</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6" w:name="xdx_40F_eus-gaap--OperatingExpensesAbstr"/>
            <w:bookmarkEnd w:id="116"/>
          </w:p>
        </w:tc>
      </w:tr>
      <w:tr>
        <w:trPr/>
        <w:tc>
          <w:tcPr>
            <w:tcW w:w="7400"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7" w:name="xdx_404_eus-gaap--GeneralAndAdministrati"/>
            <w:bookmarkEnd w:id="117"/>
          </w:p>
        </w:tc>
      </w:tr>
      <w:tr>
        <w:trPr/>
        <w:tc>
          <w:tcPr>
            <w:tcW w:w="740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2,282,040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4,525,751</w:t>
            </w:r>
          </w:p>
        </w:tc>
        <w:tc>
          <w:tcPr>
            <w:tcW w:w="110" w:type="dxa"/>
            <w:tcBorders/>
            <w:shd w:fill="CCEEFF" w:val="clear"/>
            <w:vAlign w:val="center"/>
          </w:tcPr>
          <w:p>
            <w:pPr>
              <w:pStyle w:val="TableContents"/>
              <w:bidi w:val="0"/>
              <w:spacing w:before="0" w:after="283"/>
              <w:jc w:val="left"/>
              <w:rPr/>
            </w:pPr>
            <w:r>
              <w:rPr/>
              <w:t> </w:t>
            </w:r>
            <w:bookmarkStart w:id="118" w:name="xdx_408_eus-gaap--ResearchAndDevelopment"/>
            <w:bookmarkEnd w:id="118"/>
          </w:p>
        </w:tc>
      </w:tr>
      <w:tr>
        <w:trPr/>
        <w:tc>
          <w:tcPr>
            <w:tcW w:w="740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1,776,522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1,373,797</w:t>
            </w:r>
          </w:p>
        </w:tc>
        <w:tc>
          <w:tcPr>
            <w:tcW w:w="110" w:type="dxa"/>
            <w:tcBorders/>
            <w:shd w:fill="FFFFFF" w:val="clear"/>
            <w:vAlign w:val="center"/>
          </w:tcPr>
          <w:p>
            <w:pPr>
              <w:pStyle w:val="TableContents"/>
              <w:bidi w:val="0"/>
              <w:spacing w:before="0" w:after="283"/>
              <w:jc w:val="left"/>
              <w:rPr/>
            </w:pPr>
            <w:r>
              <w:rPr/>
              <w:t> </w:t>
            </w:r>
            <w:bookmarkStart w:id="119" w:name="xdx_407_eus-gaap--MarketingAndAdvertisin"/>
            <w:bookmarkEnd w:id="119"/>
          </w:p>
        </w:tc>
      </w:tr>
      <w:tr>
        <w:trPr/>
        <w:tc>
          <w:tcPr>
            <w:tcW w:w="7400" w:type="dxa"/>
            <w:tcBorders/>
            <w:shd w:fill="CCEEFF" w:val="clear"/>
            <w:vAlign w:val="center"/>
          </w:tcPr>
          <w:p>
            <w:pPr>
              <w:pStyle w:val="TableContents"/>
              <w:bidi w:val="0"/>
              <w:spacing w:before="0" w:after="283"/>
              <w:jc w:val="left"/>
              <w:rPr/>
            </w:pPr>
            <w:r>
              <w:rPr/>
              <w:t>Advertising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141,030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104,549</w:t>
            </w:r>
          </w:p>
        </w:tc>
        <w:tc>
          <w:tcPr>
            <w:tcW w:w="110" w:type="dxa"/>
            <w:tcBorders/>
            <w:shd w:fill="CCEEFF" w:val="clear"/>
            <w:vAlign w:val="center"/>
          </w:tcPr>
          <w:p>
            <w:pPr>
              <w:pStyle w:val="TableContents"/>
              <w:bidi w:val="0"/>
              <w:spacing w:before="0" w:after="283"/>
              <w:jc w:val="left"/>
              <w:rPr/>
            </w:pPr>
            <w:r>
              <w:rPr/>
              <w:t> </w:t>
            </w:r>
            <w:bookmarkStart w:id="120" w:name="xdx_40C_eus-gaap--DepreciationAndAmortiz"/>
            <w:bookmarkEnd w:id="120"/>
          </w:p>
        </w:tc>
      </w:tr>
      <w:tr>
        <w:trPr/>
        <w:tc>
          <w:tcPr>
            <w:tcW w:w="740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82,338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115,060</w:t>
            </w:r>
          </w:p>
        </w:tc>
        <w:tc>
          <w:tcPr>
            <w:tcW w:w="110" w:type="dxa"/>
            <w:tcBorders/>
            <w:shd w:fill="FFFFFF" w:val="clear"/>
            <w:vAlign w:val="center"/>
          </w:tcPr>
          <w:p>
            <w:pPr>
              <w:pStyle w:val="TableContents"/>
              <w:bidi w:val="0"/>
              <w:spacing w:before="0" w:after="283"/>
              <w:jc w:val="left"/>
              <w:rPr/>
            </w:pPr>
            <w:r>
              <w:rPr/>
              <w:t> </w:t>
            </w:r>
            <w:bookmarkStart w:id="121" w:name="xdx_402_eus-gaap--OperatingExpenses_i01T"/>
            <w:bookmarkEnd w:id="121"/>
          </w:p>
        </w:tc>
      </w:tr>
      <w:tr>
        <w:trPr/>
        <w:tc>
          <w:tcPr>
            <w:tcW w:w="740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4,281,930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6,119,157</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2" w:name="xdx_408_eus-gaap--OperatingIncomeLoss_iT"/>
            <w:bookmarkEnd w:id="122"/>
          </w:p>
        </w:tc>
      </w:tr>
      <w:tr>
        <w:trPr/>
        <w:tc>
          <w:tcPr>
            <w:tcW w:w="740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(2,207,899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(3,521,606</w:t>
            </w:r>
          </w:p>
        </w:tc>
        <w:tc>
          <w:tcPr>
            <w:tcW w:w="110" w:type="dxa"/>
            <w:tcBorders/>
            <w:shd w:fill="CCEEFF" w:val="clear"/>
            <w:vAlign w:val="center"/>
          </w:tcPr>
          <w:p>
            <w:pPr>
              <w:pStyle w:val="TableContents"/>
              <w:bidi w:val="0"/>
              <w:spacing w:before="0" w:after="283"/>
              <w:jc w:val="left"/>
              <w:rPr/>
            </w:pPr>
            <w:r>
              <w:rPr/>
              <w:t>)</w:t>
            </w:r>
          </w:p>
        </w:tc>
      </w:tr>
      <w:tr>
        <w:trPr/>
        <w:tc>
          <w:tcPr>
            <w:tcW w:w="7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3" w:name="xdx_40F_eus-gaap--NonoperatingIncomeExpe"/>
            <w:bookmarkEnd w:id="123"/>
          </w:p>
        </w:tc>
      </w:tr>
      <w:tr>
        <w:trPr/>
        <w:tc>
          <w:tcPr>
            <w:tcW w:w="7400" w:type="dxa"/>
            <w:tcBorders/>
            <w:shd w:fill="CCEEFF" w:val="clear"/>
            <w:vAlign w:val="center"/>
          </w:tcPr>
          <w:p>
            <w:pPr>
              <w:pStyle w:val="TableContents"/>
              <w:bidi w:val="0"/>
              <w:spacing w:before="0" w:after="283"/>
              <w:jc w:val="left"/>
              <w:rPr>
                <w:b/>
              </w:rPr>
            </w:pPr>
            <w:r>
              <w:rPr>
                <w:b/>
              </w:rPr>
              <w:t>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4" w:name="xdx_40E_eus-gaap--InterestIncomeOther_i0"/>
            <w:bookmarkEnd w:id="124"/>
          </w:p>
        </w:tc>
      </w:tr>
      <w:tr>
        <w:trPr/>
        <w:tc>
          <w:tcPr>
            <w:tcW w:w="740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99,762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31,473</w:t>
            </w:r>
          </w:p>
        </w:tc>
        <w:tc>
          <w:tcPr>
            <w:tcW w:w="110" w:type="dxa"/>
            <w:tcBorders/>
            <w:shd w:fill="FFFFFF" w:val="clear"/>
            <w:vAlign w:val="center"/>
          </w:tcPr>
          <w:p>
            <w:pPr>
              <w:pStyle w:val="TableContents"/>
              <w:bidi w:val="0"/>
              <w:spacing w:before="0" w:after="283"/>
              <w:jc w:val="left"/>
              <w:rPr/>
            </w:pPr>
            <w:r>
              <w:rPr/>
              <w:t> </w:t>
            </w:r>
            <w:bookmarkStart w:id="125" w:name="xdx_407_eus-gaap--InterestIncomeOther_i0"/>
            <w:bookmarkEnd w:id="125"/>
          </w:p>
        </w:tc>
      </w:tr>
      <w:tr>
        <w:trPr/>
        <w:tc>
          <w:tcPr>
            <w:tcW w:w="7400" w:type="dxa"/>
            <w:tcBorders/>
            <w:shd w:fill="CCEEFF" w:val="clear"/>
            <w:vAlign w:val="center"/>
          </w:tcPr>
          <w:p>
            <w:pPr>
              <w:pStyle w:val="TableContents"/>
              <w:bidi w:val="0"/>
              <w:spacing w:before="0" w:after="283"/>
              <w:jc w:val="left"/>
              <w:rPr/>
            </w:pPr>
            <w:r>
              <w:rPr/>
              <w:t>Interest income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493</w:t>
            </w:r>
          </w:p>
        </w:tc>
        <w:tc>
          <w:tcPr>
            <w:tcW w:w="110" w:type="dxa"/>
            <w:tcBorders/>
            <w:shd w:fill="CCEEFF" w:val="clear"/>
            <w:vAlign w:val="center"/>
          </w:tcPr>
          <w:p>
            <w:pPr>
              <w:pStyle w:val="TableContents"/>
              <w:bidi w:val="0"/>
              <w:spacing w:before="0" w:after="283"/>
              <w:jc w:val="left"/>
              <w:rPr/>
            </w:pPr>
            <w:r>
              <w:rPr/>
              <w:t> </w:t>
            </w:r>
            <w:bookmarkStart w:id="126" w:name="xdx_406_eus-gaap--InterestIncomeOther_i0"/>
            <w:bookmarkEnd w:id="126"/>
          </w:p>
        </w:tc>
      </w:tr>
      <w:tr>
        <w:trPr/>
        <w:tc>
          <w:tcPr>
            <w:tcW w:w="7400" w:type="dxa"/>
            <w:tcBorders/>
            <w:shd w:fill="CCEEFF" w:val="clear"/>
            <w:vAlign w:val="center"/>
          </w:tcPr>
          <w:p>
            <w:pPr>
              <w:pStyle w:val="TableContents"/>
              <w:bidi w:val="0"/>
              <w:spacing w:before="0" w:after="283"/>
              <w:jc w:val="left"/>
              <w:rPr/>
            </w:pPr>
            <w:r>
              <w:rPr/>
              <w:t xml:space="preserve">Interest income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493</w:t>
            </w:r>
          </w:p>
        </w:tc>
        <w:tc>
          <w:tcPr>
            <w:tcW w:w="110" w:type="dxa"/>
            <w:tcBorders/>
            <w:shd w:fill="CCEEFF" w:val="clear"/>
            <w:vAlign w:val="center"/>
          </w:tcPr>
          <w:p>
            <w:pPr>
              <w:pStyle w:val="TableContents"/>
              <w:bidi w:val="0"/>
              <w:spacing w:before="0" w:after="283"/>
              <w:jc w:val="left"/>
              <w:rPr/>
            </w:pPr>
            <w:r>
              <w:rPr/>
              <w:t> </w:t>
            </w:r>
            <w:bookmarkStart w:id="127" w:name="xdx_407_eus-gaap--InterestExpense_i01N_d"/>
            <w:bookmarkEnd w:id="127"/>
          </w:p>
        </w:tc>
      </w:tr>
      <w:tr>
        <w:trPr/>
        <w:tc>
          <w:tcPr>
            <w:tcW w:w="740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(395,964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(294,583</w:t>
            </w:r>
          </w:p>
        </w:tc>
        <w:tc>
          <w:tcPr>
            <w:tcW w:w="110" w:type="dxa"/>
            <w:tcBorders/>
            <w:shd w:fill="FFFFFF" w:val="clear"/>
            <w:vAlign w:val="center"/>
          </w:tcPr>
          <w:p>
            <w:pPr>
              <w:pStyle w:val="TableContents"/>
              <w:bidi w:val="0"/>
              <w:spacing w:before="0" w:after="283"/>
              <w:jc w:val="left"/>
              <w:rPr/>
            </w:pPr>
            <w:r>
              <w:rPr/>
              <w:t>)</w:t>
            </w:r>
            <w:bookmarkStart w:id="128" w:name="xdx_402_eus-gaap--OtherNonoperatingIncom"/>
            <w:bookmarkEnd w:id="128"/>
          </w:p>
        </w:tc>
      </w:tr>
      <w:tr>
        <w:trPr/>
        <w:tc>
          <w:tcPr>
            <w:tcW w:w="7400"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227,066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8,175</w:t>
            </w:r>
          </w:p>
        </w:tc>
        <w:tc>
          <w:tcPr>
            <w:tcW w:w="110" w:type="dxa"/>
            <w:tcBorders/>
            <w:shd w:fill="CCEEFF" w:val="clear"/>
            <w:vAlign w:val="center"/>
          </w:tcPr>
          <w:p>
            <w:pPr>
              <w:pStyle w:val="TableContents"/>
              <w:bidi w:val="0"/>
              <w:spacing w:before="0" w:after="283"/>
              <w:jc w:val="left"/>
              <w:rPr/>
            </w:pPr>
            <w:r>
              <w:rPr/>
              <w:t> </w:t>
            </w:r>
            <w:bookmarkStart w:id="129" w:name="xdx_402_eus-gaap--ForeignCurrencyTransac"/>
            <w:bookmarkEnd w:id="129"/>
          </w:p>
        </w:tc>
      </w:tr>
      <w:tr>
        <w:trPr/>
        <w:tc>
          <w:tcPr>
            <w:tcW w:w="7400" w:type="dxa"/>
            <w:tcBorders/>
            <w:shd w:fill="FFFFFF" w:val="clear"/>
            <w:vAlign w:val="center"/>
          </w:tcPr>
          <w:p>
            <w:pPr>
              <w:pStyle w:val="TableContents"/>
              <w:bidi w:val="0"/>
              <w:spacing w:before="0" w:after="283"/>
              <w:jc w:val="left"/>
              <w:rPr/>
            </w:pPr>
            <w:r>
              <w:rPr/>
              <w:t>Foreign currency transaction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18,128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(2,367</w:t>
            </w:r>
          </w:p>
        </w:tc>
        <w:tc>
          <w:tcPr>
            <w:tcW w:w="110" w:type="dxa"/>
            <w:tcBorders/>
            <w:shd w:fill="FFFFFF" w:val="clear"/>
            <w:vAlign w:val="center"/>
          </w:tcPr>
          <w:p>
            <w:pPr>
              <w:pStyle w:val="TableContents"/>
              <w:bidi w:val="0"/>
              <w:spacing w:before="0" w:after="283"/>
              <w:jc w:val="left"/>
              <w:rPr/>
            </w:pPr>
            <w:r>
              <w:rPr/>
              <w:t>)</w:t>
            </w:r>
            <w:bookmarkStart w:id="130" w:name="xdx_401_eus-gaap--NonoperatingIncomeExpe"/>
            <w:bookmarkEnd w:id="130"/>
          </w:p>
        </w:tc>
      </w:tr>
      <w:tr>
        <w:trPr/>
        <w:tc>
          <w:tcPr>
            <w:tcW w:w="7400"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(50,509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(256,809</w:t>
            </w:r>
          </w:p>
        </w:tc>
        <w:tc>
          <w:tcPr>
            <w:tcW w:w="110" w:type="dxa"/>
            <w:tcBorders/>
            <w:shd w:fill="CCEEFF" w:val="clear"/>
            <w:vAlign w:val="center"/>
          </w:tcPr>
          <w:p>
            <w:pPr>
              <w:pStyle w:val="TableContents"/>
              <w:bidi w:val="0"/>
              <w:spacing w:before="0" w:after="283"/>
              <w:jc w:val="left"/>
              <w:rPr/>
            </w:pPr>
            <w:r>
              <w:rPr/>
              <w:t>)</w:t>
            </w:r>
          </w:p>
        </w:tc>
      </w:tr>
      <w:tr>
        <w:trPr/>
        <w:tc>
          <w:tcPr>
            <w:tcW w:w="7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1" w:name="xdx_405_eus-gaap--IncomeLossFromContinui"/>
            <w:bookmarkEnd w:id="131"/>
          </w:p>
        </w:tc>
      </w:tr>
      <w:tr>
        <w:trPr/>
        <w:tc>
          <w:tcPr>
            <w:tcW w:w="7400" w:type="dxa"/>
            <w:tcBorders/>
            <w:shd w:fill="CCEEFF" w:val="clear"/>
            <w:vAlign w:val="center"/>
          </w:tcPr>
          <w:p>
            <w:pPr>
              <w:pStyle w:val="TableContents"/>
              <w:bidi w:val="0"/>
              <w:spacing w:before="0" w:after="283"/>
              <w:jc w:val="left"/>
              <w:rPr/>
            </w:pPr>
            <w:r>
              <w:rPr/>
              <w:t>Loss before benefit from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(2,258,408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(3,778,415</w:t>
            </w:r>
          </w:p>
        </w:tc>
        <w:tc>
          <w:tcPr>
            <w:tcW w:w="110" w:type="dxa"/>
            <w:tcBorders/>
            <w:shd w:fill="CCEEFF" w:val="clear"/>
            <w:vAlign w:val="center"/>
          </w:tcPr>
          <w:p>
            <w:pPr>
              <w:pStyle w:val="TableContents"/>
              <w:bidi w:val="0"/>
              <w:spacing w:before="0" w:after="283"/>
              <w:jc w:val="left"/>
              <w:rPr/>
            </w:pPr>
            <w:r>
              <w:rPr/>
              <w:t>)</w:t>
            </w:r>
          </w:p>
        </w:tc>
      </w:tr>
      <w:tr>
        <w:trPr/>
        <w:tc>
          <w:tcPr>
            <w:tcW w:w="7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2" w:name="xdx_40C_eus-gaap--IncomeTaxExpenseBenefi"/>
            <w:bookmarkEnd w:id="132"/>
          </w:p>
        </w:tc>
      </w:tr>
      <w:tr>
        <w:trPr/>
        <w:tc>
          <w:tcPr>
            <w:tcW w:w="7400" w:type="dxa"/>
            <w:tcBorders/>
            <w:shd w:fill="CCEEFF" w:val="clear"/>
            <w:vAlign w:val="center"/>
          </w:tcPr>
          <w:p>
            <w:pPr>
              <w:pStyle w:val="TableContents"/>
              <w:bidi w:val="0"/>
              <w:spacing w:before="0" w:after="283"/>
              <w:jc w:val="left"/>
              <w:rPr/>
            </w:pPr>
            <w:r>
              <w:rPr/>
              <w:t>Benefit from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(477,950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(805,818</w:t>
            </w:r>
          </w:p>
        </w:tc>
        <w:tc>
          <w:tcPr>
            <w:tcW w:w="110" w:type="dxa"/>
            <w:tcBorders/>
            <w:shd w:fill="CCEEFF" w:val="clear"/>
            <w:vAlign w:val="center"/>
          </w:tcPr>
          <w:p>
            <w:pPr>
              <w:pStyle w:val="TableContents"/>
              <w:bidi w:val="0"/>
              <w:spacing w:before="0" w:after="283"/>
              <w:jc w:val="left"/>
              <w:rPr/>
            </w:pPr>
            <w:r>
              <w:rPr/>
              <w:t>)</w:t>
            </w:r>
          </w:p>
        </w:tc>
      </w:tr>
      <w:tr>
        <w:trPr/>
        <w:tc>
          <w:tcPr>
            <w:tcW w:w="7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3" w:name="xdx_409_eus-gaap--ProfitLoss_iT_mtPLzHff"/>
            <w:bookmarkEnd w:id="133"/>
          </w:p>
        </w:tc>
      </w:tr>
      <w:tr>
        <w:trPr/>
        <w:tc>
          <w:tcPr>
            <w:tcW w:w="740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(1,780,458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(2,972,597</w:t>
            </w:r>
          </w:p>
        </w:tc>
        <w:tc>
          <w:tcPr>
            <w:tcW w:w="110" w:type="dxa"/>
            <w:tcBorders/>
            <w:shd w:fill="CCEEFF" w:val="clear"/>
            <w:vAlign w:val="center"/>
          </w:tcPr>
          <w:p>
            <w:pPr>
              <w:pStyle w:val="TableContents"/>
              <w:bidi w:val="0"/>
              <w:spacing w:before="0" w:after="283"/>
              <w:jc w:val="left"/>
              <w:rPr/>
            </w:pPr>
            <w:r>
              <w:rPr/>
              <w:t>)</w:t>
            </w:r>
          </w:p>
        </w:tc>
      </w:tr>
      <w:tr>
        <w:trPr/>
        <w:tc>
          <w:tcPr>
            <w:tcW w:w="7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4" w:name="xdx_40D_eus-gaap--NetIncomeLossAttributa"/>
            <w:bookmarkEnd w:id="134"/>
          </w:p>
        </w:tc>
      </w:tr>
      <w:tr>
        <w:trPr/>
        <w:tc>
          <w:tcPr>
            <w:tcW w:w="7400" w:type="dxa"/>
            <w:tcBorders/>
            <w:shd w:fill="CCEEFF" w:val="clear"/>
            <w:vAlign w:val="center"/>
          </w:tcPr>
          <w:p>
            <w:pPr>
              <w:pStyle w:val="TableContents"/>
              <w:bidi w:val="0"/>
              <w:spacing w:before="0" w:after="283"/>
              <w:jc w:val="left"/>
              <w:rPr/>
            </w:pPr>
            <w:r>
              <w:rPr/>
              <w:t>Net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(1,129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(1,219</w:t>
            </w:r>
          </w:p>
        </w:tc>
        <w:tc>
          <w:tcPr>
            <w:tcW w:w="110" w:type="dxa"/>
            <w:tcBorders/>
            <w:shd w:fill="CCEEFF" w:val="clear"/>
            <w:vAlign w:val="center"/>
          </w:tcPr>
          <w:p>
            <w:pPr>
              <w:pStyle w:val="TableContents"/>
              <w:bidi w:val="0"/>
              <w:spacing w:before="0" w:after="283"/>
              <w:jc w:val="left"/>
              <w:rPr/>
            </w:pPr>
            <w:r>
              <w:rPr/>
              <w:t>)</w:t>
            </w:r>
          </w:p>
        </w:tc>
      </w:tr>
      <w:tr>
        <w:trPr/>
        <w:tc>
          <w:tcPr>
            <w:tcW w:w="7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5" w:name="xdx_406_eus-gaap--NetIncomeLoss_iT_mtNIL"/>
            <w:bookmarkEnd w:id="135"/>
          </w:p>
        </w:tc>
      </w:tr>
      <w:tr>
        <w:trPr/>
        <w:tc>
          <w:tcPr>
            <w:tcW w:w="7400" w:type="dxa"/>
            <w:tcBorders/>
            <w:shd w:fill="CCEEFF" w:val="clear"/>
            <w:vAlign w:val="center"/>
          </w:tcPr>
          <w:p>
            <w:pPr>
              <w:pStyle w:val="TableContents"/>
              <w:bidi w:val="0"/>
              <w:spacing w:before="0" w:after="283"/>
              <w:jc w:val="left"/>
              <w:rPr/>
            </w:pPr>
            <w:r>
              <w:rPr/>
              <w:t>Net loss attributable to Snail, Inc.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(1,779,329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(2,971,378</w:t>
            </w:r>
          </w:p>
        </w:tc>
        <w:tc>
          <w:tcPr>
            <w:tcW w:w="110" w:type="dxa"/>
            <w:tcBorders/>
            <w:shd w:fill="CCEEFF" w:val="clear"/>
            <w:vAlign w:val="center"/>
          </w:tcPr>
          <w:p>
            <w:pPr>
              <w:pStyle w:val="TableContents"/>
              <w:bidi w:val="0"/>
              <w:spacing w:before="0" w:after="283"/>
              <w:jc w:val="left"/>
              <w:rPr/>
            </w:pPr>
            <w:r>
              <w:rPr/>
              <w:t>)</w:t>
            </w:r>
          </w:p>
        </w:tc>
      </w:tr>
      <w:tr>
        <w:trPr/>
        <w:tc>
          <w:tcPr>
            <w:tcW w:w="7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6" w:name="xdx_403_eus-gaap--ComprehensiveIncomeNet"/>
            <w:bookmarkEnd w:id="136"/>
          </w:p>
        </w:tc>
      </w:tr>
      <w:tr>
        <w:trPr/>
        <w:tc>
          <w:tcPr>
            <w:tcW w:w="7400" w:type="dxa"/>
            <w:tcBorders/>
            <w:shd w:fill="CCEEFF" w:val="clear"/>
            <w:vAlign w:val="center"/>
          </w:tcPr>
          <w:p>
            <w:pPr>
              <w:pStyle w:val="TableContents"/>
              <w:bidi w:val="0"/>
              <w:spacing w:before="0" w:after="283"/>
              <w:jc w:val="left"/>
              <w:rPr>
                <w:b/>
              </w:rPr>
            </w:pPr>
            <w:r>
              <w:rPr>
                <w:b/>
              </w:rPr>
              <w:t>Comprehensive loss statement: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7" w:name="xdx_404_eus-gaap--ProfitLoss_maOCILNzyCX"/>
            <w:bookmarkEnd w:id="137"/>
          </w:p>
        </w:tc>
      </w:tr>
      <w:tr>
        <w:trPr/>
        <w:tc>
          <w:tcPr>
            <w:tcW w:w="740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(1,780,458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(2,972,597</w:t>
            </w:r>
          </w:p>
        </w:tc>
        <w:tc>
          <w:tcPr>
            <w:tcW w:w="110" w:type="dxa"/>
            <w:tcBorders/>
            <w:shd w:fill="CCEEFF" w:val="clear"/>
            <w:vAlign w:val="center"/>
          </w:tcPr>
          <w:p>
            <w:pPr>
              <w:pStyle w:val="TableContents"/>
              <w:bidi w:val="0"/>
              <w:spacing w:before="0" w:after="283"/>
              <w:jc w:val="left"/>
              <w:rPr/>
            </w:pPr>
            <w:r>
              <w:rPr/>
              <w:t>)</w:t>
            </w:r>
          </w:p>
        </w:tc>
      </w:tr>
      <w:tr>
        <w:trPr/>
        <w:tc>
          <w:tcPr>
            <w:tcW w:w="7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8" w:name="xdx_40B_eus-gaap--OtherComprehensiveInco"/>
            <w:bookmarkEnd w:id="138"/>
          </w:p>
        </w:tc>
      </w:tr>
      <w:tr>
        <w:trPr/>
        <w:tc>
          <w:tcPr>
            <w:tcW w:w="7400" w:type="dxa"/>
            <w:tcBorders/>
            <w:shd w:fill="CCEEFF" w:val="clear"/>
            <w:vAlign w:val="center"/>
          </w:tcPr>
          <w:p>
            <w:pPr>
              <w:pStyle w:val="TableContents"/>
              <w:bidi w:val="0"/>
              <w:spacing w:before="0" w:after="283"/>
              <w:jc w:val="left"/>
              <w:rPr/>
            </w:pPr>
            <w:r>
              <w:rPr/>
              <w:t>Other comprehensive income (loss) related to foreign currency translation adjustments, net of tax</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(19,297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2,320</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9" w:name="xdx_409_eus-gaap--ComprehensiveIncomeNet"/>
            <w:bookmarkEnd w:id="139"/>
          </w:p>
        </w:tc>
      </w:tr>
      <w:tr>
        <w:trPr/>
        <w:tc>
          <w:tcPr>
            <w:tcW w:w="7400" w:type="dxa"/>
            <w:tcBorders/>
            <w:shd w:fill="CCEEFF" w:val="clear"/>
            <w:vAlign w:val="center"/>
          </w:tcPr>
          <w:p>
            <w:pPr>
              <w:pStyle w:val="TableContents"/>
              <w:bidi w:val="0"/>
              <w:spacing w:before="0" w:after="283"/>
              <w:jc w:val="left"/>
              <w:rPr/>
            </w:pPr>
            <w:r>
              <w:rPr/>
              <w:t>Total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(1,799,755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(2,970,277</w:t>
            </w:r>
          </w:p>
        </w:tc>
        <w:tc>
          <w:tcPr>
            <w:tcW w:w="110" w:type="dxa"/>
            <w:tcBorders/>
            <w:shd w:fill="CCEEFF" w:val="clear"/>
            <w:vAlign w:val="center"/>
          </w:tcPr>
          <w:p>
            <w:pPr>
              <w:pStyle w:val="TableContents"/>
              <w:bidi w:val="0"/>
              <w:spacing w:before="0" w:after="283"/>
              <w:jc w:val="left"/>
              <w:rPr/>
            </w:pPr>
            <w:r>
              <w:rPr/>
              <w:t>)</w:t>
            </w:r>
          </w:p>
        </w:tc>
      </w:tr>
      <w:tr>
        <w:trPr/>
        <w:tc>
          <w:tcPr>
            <w:tcW w:w="7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0" w:name="xdx_402_eus-gaap--NetIncomeLossAvailable"/>
            <w:bookmarkEnd w:id="140"/>
          </w:p>
        </w:tc>
      </w:tr>
      <w:tr>
        <w:trPr/>
        <w:tc>
          <w:tcPr>
            <w:tcW w:w="7400" w:type="dxa"/>
            <w:tcBorders/>
            <w:shd w:fill="CCEEFF" w:val="clear"/>
            <w:vAlign w:val="center"/>
          </w:tcPr>
          <w:p>
            <w:pPr>
              <w:pStyle w:val="TableContents"/>
              <w:bidi w:val="0"/>
              <w:spacing w:before="0" w:after="283"/>
              <w:jc w:val="left"/>
              <w:rPr>
                <w:b/>
              </w:rPr>
            </w:pPr>
            <w:r>
              <w:rPr>
                <w:b/>
              </w:rPr>
              <w:t>Net loss attributable to Class A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1" w:name="xdx_405_eus-gaap--NetIncomeLossAvailable"/>
            <w:bookmarkEnd w:id="141"/>
          </w:p>
        </w:tc>
      </w:tr>
      <w:tr>
        <w:trPr/>
        <w:tc>
          <w:tcPr>
            <w:tcW w:w="7400"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(385,722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(642,340</w:t>
            </w:r>
          </w:p>
        </w:tc>
        <w:tc>
          <w:tcPr>
            <w:tcW w:w="110" w:type="dxa"/>
            <w:tcBorders/>
            <w:shd w:fill="FFFFFF" w:val="clear"/>
            <w:vAlign w:val="center"/>
          </w:tcPr>
          <w:p>
            <w:pPr>
              <w:pStyle w:val="TableContents"/>
              <w:bidi w:val="0"/>
              <w:spacing w:before="0" w:after="283"/>
              <w:jc w:val="left"/>
              <w:rPr>
                <w:b/>
              </w:rPr>
            </w:pPr>
            <w:r>
              <w:rPr>
                <w:b/>
              </w:rPr>
              <w:t>)</w:t>
            </w:r>
            <w:bookmarkStart w:id="142" w:name="xdx_404_eus-gaap--NetIncomeLossAvailable"/>
            <w:bookmarkEnd w:id="142"/>
          </w:p>
        </w:tc>
      </w:tr>
      <w:tr>
        <w:trPr/>
        <w:tc>
          <w:tcPr>
            <w:tcW w:w="7400"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(385,722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(642,340</w:t>
            </w:r>
          </w:p>
        </w:tc>
        <w:tc>
          <w:tcPr>
            <w:tcW w:w="110" w:type="dxa"/>
            <w:tcBorders/>
            <w:shd w:fill="CCEEFF" w:val="clear"/>
            <w:vAlign w:val="center"/>
          </w:tcPr>
          <w:p>
            <w:pPr>
              <w:pStyle w:val="TableContents"/>
              <w:bidi w:val="0"/>
              <w:spacing w:before="0" w:after="283"/>
              <w:jc w:val="left"/>
              <w:rPr>
                <w:b/>
              </w:rPr>
            </w:pPr>
            <w:r>
              <w:rPr>
                <w:b/>
              </w:rPr>
              <w:t>)</w:t>
            </w:r>
          </w:p>
        </w:tc>
      </w:tr>
      <w:tr>
        <w:trPr/>
        <w:tc>
          <w:tcPr>
            <w:tcW w:w="7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3" w:name="xdx_40C_eus-gaap--NetIncomeLossAvailable"/>
            <w:bookmarkEnd w:id="143"/>
          </w:p>
        </w:tc>
      </w:tr>
      <w:tr>
        <w:trPr/>
        <w:tc>
          <w:tcPr>
            <w:tcW w:w="7400" w:type="dxa"/>
            <w:tcBorders/>
            <w:shd w:fill="CCEEFF" w:val="clear"/>
            <w:vAlign w:val="center"/>
          </w:tcPr>
          <w:p>
            <w:pPr>
              <w:pStyle w:val="TableContents"/>
              <w:bidi w:val="0"/>
              <w:spacing w:before="0" w:after="283"/>
              <w:jc w:val="left"/>
              <w:rPr>
                <w:b/>
              </w:rPr>
            </w:pPr>
            <w:r>
              <w:rPr>
                <w:b/>
              </w:rPr>
              <w:t>Net loss attributable to Class B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4" w:name="xdx_409_eus-gaap--NetIncomeLossAvailable"/>
            <w:bookmarkEnd w:id="144"/>
          </w:p>
        </w:tc>
      </w:tr>
      <w:tr>
        <w:trPr/>
        <w:tc>
          <w:tcPr>
            <w:tcW w:w="7400" w:type="dxa"/>
            <w:tcBorders/>
            <w:shd w:fill="FFFFFF" w:val="clear"/>
            <w:vAlign w:val="center"/>
          </w:tcPr>
          <w:p>
            <w:pPr>
              <w:pStyle w:val="TableContents"/>
              <w:bidi w:val="0"/>
              <w:spacing w:before="0" w:after="283"/>
              <w:jc w:val="left"/>
              <w:rPr>
                <w:b/>
              </w:rPr>
            </w:pPr>
            <w:r>
              <w:rPr>
                <w:b/>
              </w:rPr>
              <w:t>Net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5" w:name="xdx_407_eus-gaap--NetIncomeLossAvailable"/>
            <w:bookmarkEnd w:id="145"/>
          </w:p>
        </w:tc>
      </w:tr>
      <w:tr>
        <w:trPr/>
        <w:tc>
          <w:tcPr>
            <w:tcW w:w="7400"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(1,393,607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(2,329,038</w:t>
            </w:r>
          </w:p>
        </w:tc>
        <w:tc>
          <w:tcPr>
            <w:tcW w:w="110" w:type="dxa"/>
            <w:tcBorders/>
            <w:shd w:fill="CCEEFF" w:val="clear"/>
            <w:vAlign w:val="center"/>
          </w:tcPr>
          <w:p>
            <w:pPr>
              <w:pStyle w:val="TableContents"/>
              <w:bidi w:val="0"/>
              <w:spacing w:before="0" w:after="283"/>
              <w:jc w:val="left"/>
              <w:rPr>
                <w:b/>
              </w:rPr>
            </w:pPr>
            <w:r>
              <w:rPr>
                <w:b/>
              </w:rPr>
              <w:t>)</w:t>
            </w:r>
            <w:bookmarkStart w:id="146" w:name="xdx_40A_eus-gaap--NetIncomeLossAvailable"/>
            <w:bookmarkEnd w:id="146"/>
          </w:p>
        </w:tc>
      </w:tr>
      <w:tr>
        <w:trPr/>
        <w:tc>
          <w:tcPr>
            <w:tcW w:w="7400"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(1,393,607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(2,329,038</w:t>
            </w:r>
          </w:p>
        </w:tc>
        <w:tc>
          <w:tcPr>
            <w:tcW w:w="110" w:type="dxa"/>
            <w:tcBorders/>
            <w:shd w:fill="FFFFFF" w:val="clear"/>
            <w:vAlign w:val="center"/>
          </w:tcPr>
          <w:p>
            <w:pPr>
              <w:pStyle w:val="TableContents"/>
              <w:bidi w:val="0"/>
              <w:spacing w:before="0" w:after="283"/>
              <w:jc w:val="left"/>
              <w:rPr>
                <w:b/>
              </w:rPr>
            </w:pPr>
            <w:r>
              <w:rPr>
                <w:b/>
              </w:rPr>
              <w:t>)</w:t>
            </w:r>
          </w:p>
        </w:tc>
      </w:tr>
      <w:tr>
        <w:trPr/>
        <w:tc>
          <w:tcPr>
            <w:tcW w:w="7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7" w:name="xdx_40C_eus-gaap--EarningsPerShareReconc"/>
            <w:bookmarkEnd w:id="147"/>
          </w:p>
        </w:tc>
      </w:tr>
      <w:tr>
        <w:trPr/>
        <w:tc>
          <w:tcPr>
            <w:tcW w:w="7400" w:type="dxa"/>
            <w:tcBorders/>
            <w:shd w:fill="FFFFFF" w:val="clear"/>
            <w:vAlign w:val="center"/>
          </w:tcPr>
          <w:p>
            <w:pPr>
              <w:pStyle w:val="TableContents"/>
              <w:bidi w:val="0"/>
              <w:spacing w:before="0" w:after="283"/>
              <w:jc w:val="left"/>
              <w:rPr>
                <w:b/>
              </w:rPr>
            </w:pPr>
            <w:r>
              <w:rPr>
                <w:b/>
              </w:rPr>
              <w:t>Loss per share attributable to Class A and B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8" w:name="xdx_40A_eus-gaap--EarningsPerShareBasic_"/>
            <w:bookmarkEnd w:id="148"/>
          </w:p>
        </w:tc>
      </w:tr>
      <w:tr>
        <w:trPr/>
        <w:tc>
          <w:tcPr>
            <w:tcW w:w="7400"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(0.05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(0.08</w:t>
            </w:r>
          </w:p>
        </w:tc>
        <w:tc>
          <w:tcPr>
            <w:tcW w:w="110" w:type="dxa"/>
            <w:tcBorders/>
            <w:shd w:fill="CCEEFF" w:val="clear"/>
            <w:vAlign w:val="center"/>
          </w:tcPr>
          <w:p>
            <w:pPr>
              <w:pStyle w:val="TableContents"/>
              <w:bidi w:val="0"/>
              <w:spacing w:before="0" w:after="283"/>
              <w:jc w:val="left"/>
              <w:rPr>
                <w:b/>
              </w:rPr>
            </w:pPr>
            <w:r>
              <w:rPr>
                <w:b/>
              </w:rPr>
              <w:t>)</w:t>
            </w:r>
            <w:bookmarkStart w:id="149" w:name="xdx_402_eus-gaap--EarningsPerShareDilute"/>
            <w:bookmarkEnd w:id="149"/>
          </w:p>
        </w:tc>
      </w:tr>
      <w:tr>
        <w:trPr/>
        <w:tc>
          <w:tcPr>
            <w:tcW w:w="7400"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(0.05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(0.08</w:t>
            </w:r>
          </w:p>
        </w:tc>
        <w:tc>
          <w:tcPr>
            <w:tcW w:w="110" w:type="dxa"/>
            <w:tcBorders/>
            <w:shd w:fill="FFFFFF" w:val="clear"/>
            <w:vAlign w:val="center"/>
          </w:tcPr>
          <w:p>
            <w:pPr>
              <w:pStyle w:val="TableContents"/>
              <w:bidi w:val="0"/>
              <w:spacing w:before="0" w:after="283"/>
              <w:jc w:val="left"/>
              <w:rPr>
                <w:b/>
              </w:rPr>
            </w:pPr>
            <w:r>
              <w:rPr>
                <w:b/>
              </w:rPr>
              <w:t>)</w:t>
            </w:r>
          </w:p>
        </w:tc>
      </w:tr>
      <w:tr>
        <w:trPr/>
        <w:tc>
          <w:tcPr>
            <w:tcW w:w="7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0" w:name="xdx_40A_eus-gaap--WeightedAverageNumberO"/>
            <w:bookmarkEnd w:id="150"/>
          </w:p>
        </w:tc>
      </w:tr>
      <w:tr>
        <w:trPr/>
        <w:tc>
          <w:tcPr>
            <w:tcW w:w="7400" w:type="dxa"/>
            <w:tcBorders/>
            <w:shd w:fill="FFFFFF" w:val="clear"/>
            <w:vAlign w:val="center"/>
          </w:tcPr>
          <w:p>
            <w:pPr>
              <w:pStyle w:val="TableContents"/>
              <w:bidi w:val="0"/>
              <w:spacing w:before="0" w:after="283"/>
              <w:jc w:val="left"/>
              <w:rPr>
                <w:b/>
              </w:rPr>
            </w:pPr>
            <w:r>
              <w:rPr>
                <w:b/>
              </w:rPr>
              <w:t>Weighted-average shares used to compute loss per share attributable to Class A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1" w:name="xdx_403_eus-gaap--WeightedAverageNumberO"/>
            <w:bookmarkEnd w:id="151"/>
          </w:p>
        </w:tc>
      </w:tr>
      <w:tr>
        <w:trPr/>
        <w:tc>
          <w:tcPr>
            <w:tcW w:w="7400"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7,957,031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7,928,742</w:t>
            </w:r>
          </w:p>
        </w:tc>
        <w:tc>
          <w:tcPr>
            <w:tcW w:w="110" w:type="dxa"/>
            <w:tcBorders/>
            <w:shd w:fill="CCEEFF" w:val="clear"/>
            <w:vAlign w:val="center"/>
          </w:tcPr>
          <w:p>
            <w:pPr>
              <w:pStyle w:val="TableContents"/>
              <w:bidi w:val="0"/>
              <w:spacing w:before="0" w:after="283"/>
              <w:jc w:val="left"/>
              <w:rPr/>
            </w:pPr>
            <w:r>
              <w:rPr/>
              <w:t> </w:t>
            </w:r>
            <w:bookmarkStart w:id="152" w:name="xdx_407_eus-gaap--WeightedAverageNumberO"/>
            <w:bookmarkEnd w:id="152"/>
          </w:p>
        </w:tc>
      </w:tr>
      <w:tr>
        <w:trPr/>
        <w:tc>
          <w:tcPr>
            <w:tcW w:w="7400"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7,957,031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7,928,742</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3" w:name="xdx_40C_eus-gaap--WeightedAverageNumberO"/>
            <w:bookmarkEnd w:id="153"/>
          </w:p>
        </w:tc>
      </w:tr>
      <w:tr>
        <w:trPr/>
        <w:tc>
          <w:tcPr>
            <w:tcW w:w="7400" w:type="dxa"/>
            <w:tcBorders/>
            <w:shd w:fill="FFFFFF" w:val="clear"/>
            <w:vAlign w:val="center"/>
          </w:tcPr>
          <w:p>
            <w:pPr>
              <w:pStyle w:val="TableContents"/>
              <w:bidi w:val="0"/>
              <w:spacing w:before="0" w:after="283"/>
              <w:jc w:val="left"/>
              <w:rPr>
                <w:b/>
              </w:rPr>
            </w:pPr>
            <w:r>
              <w:rPr>
                <w:b/>
              </w:rPr>
              <w:t>Weighted-average shares used to compute loss per share attributable to Class B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4" w:name="xdx_40C_eus-gaap--WeightedAverageNumberO"/>
            <w:bookmarkEnd w:id="154"/>
          </w:p>
        </w:tc>
      </w:tr>
      <w:tr>
        <w:trPr/>
        <w:tc>
          <w:tcPr>
            <w:tcW w:w="7400" w:type="dxa"/>
            <w:tcBorders/>
            <w:shd w:fill="CCEEFF" w:val="clear"/>
            <w:vAlign w:val="center"/>
          </w:tcPr>
          <w:p>
            <w:pPr>
              <w:pStyle w:val="TableContents"/>
              <w:bidi w:val="0"/>
              <w:spacing w:before="0" w:after="283"/>
              <w:jc w:val="left"/>
              <w:rPr>
                <w:b/>
              </w:rPr>
            </w:pPr>
            <w:r>
              <w:rPr>
                <w:b/>
              </w:rPr>
              <w:t>Weighted-average shares used to compute income per share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5" w:name="xdx_403_eus-gaap--WeightedAverageNumberO"/>
            <w:bookmarkEnd w:id="155"/>
          </w:p>
        </w:tc>
      </w:tr>
      <w:tr>
        <w:trPr/>
        <w:tc>
          <w:tcPr>
            <w:tcW w:w="7400"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28,748,580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28,748,580</w:t>
            </w:r>
          </w:p>
        </w:tc>
        <w:tc>
          <w:tcPr>
            <w:tcW w:w="110" w:type="dxa"/>
            <w:tcBorders/>
            <w:shd w:fill="FFFFFF" w:val="clear"/>
            <w:vAlign w:val="center"/>
          </w:tcPr>
          <w:p>
            <w:pPr>
              <w:pStyle w:val="TableContents"/>
              <w:bidi w:val="0"/>
              <w:spacing w:before="0" w:after="283"/>
              <w:jc w:val="left"/>
              <w:rPr/>
            </w:pPr>
            <w:r>
              <w:rPr/>
              <w:t> </w:t>
            </w:r>
            <w:bookmarkStart w:id="156" w:name="xdx_406_eus-gaap--WeightedAverageNumberO"/>
            <w:bookmarkEnd w:id="156"/>
          </w:p>
        </w:tc>
      </w:tr>
      <w:tr>
        <w:trPr/>
        <w:tc>
          <w:tcPr>
            <w:tcW w:w="7400"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28,748,580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28,748,580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7" w:name="S1_006"/>
      <w:bookmarkEnd w:id="157"/>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Equity for the Three Months Ended March 31, 2024 and 2023</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58" w:name="xdx_304_114_z3SJ7JvSwNyc"/>
      <w:bookmarkStart w:id="159" w:name="xdx_304_114_z3SJ7JvSwNyc"/>
      <w:bookmarkEnd w:id="159"/>
    </w:p>
    <w:tbl>
      <w:tblPr>
        <w:tblW w:w="16850" w:type="dxa"/>
        <w:jc w:val="left"/>
        <w:tblInd w:w="0" w:type="dxa"/>
        <w:tblLayout w:type="fixed"/>
        <w:tblCellMar>
          <w:top w:w="0" w:type="dxa"/>
          <w:left w:w="0" w:type="dxa"/>
          <w:bottom w:w="0" w:type="dxa"/>
          <w:right w:w="0" w:type="dxa"/>
        </w:tblCellMar>
      </w:tblPr>
      <w:tblGrid>
        <w:gridCol w:w="1340"/>
        <w:gridCol w:w="60"/>
        <w:gridCol w:w="60"/>
        <w:gridCol w:w="980"/>
        <w:gridCol w:w="60"/>
        <w:gridCol w:w="60"/>
        <w:gridCol w:w="231"/>
        <w:gridCol w:w="629"/>
        <w:gridCol w:w="60"/>
        <w:gridCol w:w="60"/>
        <w:gridCol w:w="60"/>
        <w:gridCol w:w="1100"/>
        <w:gridCol w:w="60"/>
        <w:gridCol w:w="60"/>
        <w:gridCol w:w="172"/>
        <w:gridCol w:w="688"/>
        <w:gridCol w:w="60"/>
        <w:gridCol w:w="60"/>
        <w:gridCol w:w="140"/>
        <w:gridCol w:w="1100"/>
        <w:gridCol w:w="60"/>
        <w:gridCol w:w="60"/>
        <w:gridCol w:w="184"/>
        <w:gridCol w:w="1156"/>
        <w:gridCol w:w="95"/>
        <w:gridCol w:w="60"/>
        <w:gridCol w:w="160"/>
        <w:gridCol w:w="1210"/>
        <w:gridCol w:w="95"/>
        <w:gridCol w:w="60"/>
        <w:gridCol w:w="60"/>
        <w:gridCol w:w="1055"/>
        <w:gridCol w:w="95"/>
        <w:gridCol w:w="60"/>
        <w:gridCol w:w="140"/>
        <w:gridCol w:w="1055"/>
        <w:gridCol w:w="95"/>
        <w:gridCol w:w="60"/>
        <w:gridCol w:w="140"/>
        <w:gridCol w:w="1100"/>
        <w:gridCol w:w="95"/>
        <w:gridCol w:w="60"/>
        <w:gridCol w:w="140"/>
        <w:gridCol w:w="1055"/>
        <w:gridCol w:w="95"/>
        <w:gridCol w:w="60"/>
        <w:gridCol w:w="140"/>
        <w:gridCol w:w="1055"/>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0" w:name="xdx_4B8_us-gaap--StatementEquityComponen"/>
            <w:bookmarkEnd w:id="160"/>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1" w:name="xdx_4BC_us-gaap--StatementEquityComponen"/>
            <w:bookmarkEnd w:id="161"/>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2" w:name="xdx_4B2_us-gaap--StatementEquityComponen"/>
            <w:bookmarkEnd w:id="162"/>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3" w:name="xdx_4BA_us-gaap--StatementEquityComponen"/>
            <w:bookmarkEnd w:id="163"/>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4" w:name="xdx_4BC_us-gaap--StatementEquityComponen"/>
            <w:bookmarkEnd w:id="164"/>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5" w:name="xdx_4B5_us-gaap--StatementEquityComponen"/>
            <w:bookmarkEnd w:id="165"/>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6" w:name="xdx_4BB_us-gaap--StatementEquityComponen"/>
            <w:bookmarkEnd w:id="166"/>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7" w:name="xdx_4BE_us-gaap--StatementEquityComponen"/>
            <w:bookmarkEnd w:id="167"/>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interests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8" w:name="xdx_4BC_zgjLfNRMKUX1"/>
            <w:bookmarkEnd w:id="168"/>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Accumulated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5" w:type="dxa"/>
            <w:gridSpan w:val="6"/>
            <w:tcBorders/>
            <w:vAlign w:val="center"/>
          </w:tcPr>
          <w:p>
            <w:pPr>
              <w:pStyle w:val="TableContents"/>
              <w:bidi w:val="0"/>
              <w:spacing w:before="0" w:after="283"/>
              <w:jc w:val="center"/>
              <w:rPr>
                <w:b/>
              </w:rPr>
            </w:pPr>
            <w:r>
              <w:rPr>
                <w:b/>
              </w:rPr>
              <w:t>Treasury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Snail, Inc. 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controlling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b/>
              </w:rPr>
            </w:pPr>
            <w:r>
              <w:rPr>
                <w:b/>
              </w:rPr>
              <w:t>Total 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interests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169" w:name="xdx_434_c20230101__20230331_eus-gaap--St"/>
            <w:bookmarkEnd w:id="169"/>
          </w:p>
        </w:tc>
      </w:tr>
      <w:tr>
        <w:trPr/>
        <w:tc>
          <w:tcPr>
            <w:tcW w:w="1340" w:type="dxa"/>
            <w:tcBorders/>
            <w:shd w:fill="CCEEFF" w:val="clear"/>
            <w:vAlign w:val="center"/>
          </w:tcPr>
          <w:p>
            <w:pPr>
              <w:pStyle w:val="TableContents"/>
              <w:bidi w:val="0"/>
              <w:spacing w:before="0" w:after="283"/>
              <w:jc w:val="left"/>
              <w:rPr>
                <w:b/>
              </w:rPr>
            </w:pPr>
            <w:r>
              <w:rPr>
                <w:b/>
              </w:rPr>
              <w:t>Balance at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0" w:name="xdx_988_eus-gaap--SharesOutstanding_iS_p"/>
            <w:bookmarkEnd w:id="170"/>
          </w:p>
        </w:tc>
        <w:tc>
          <w:tcPr>
            <w:tcW w:w="980" w:type="dxa"/>
            <w:tcBorders/>
            <w:shd w:fill="CCEEFF" w:val="clear"/>
            <w:vAlign w:val="center"/>
          </w:tcPr>
          <w:p>
            <w:pPr>
              <w:pStyle w:val="TableContents"/>
              <w:bidi w:val="0"/>
              <w:spacing w:before="0" w:after="283"/>
              <w:jc w:val="right"/>
              <w:rPr>
                <w:b/>
              </w:rPr>
            </w:pPr>
            <w:r>
              <w:rPr>
                <w:b/>
              </w:rPr>
              <w:t>9,251,420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b/>
              </w:rPr>
            </w:pPr>
            <w:r>
              <w:rPr>
                <w:b/>
              </w:rPr>
              <w:t>$</w:t>
            </w:r>
          </w:p>
        </w:tc>
        <w:tc>
          <w:tcPr>
            <w:tcW w:w="629" w:type="dxa"/>
            <w:tcBorders/>
            <w:shd w:fill="CCEEFF" w:val="clear"/>
            <w:vAlign w:val="center"/>
          </w:tcPr>
          <w:p>
            <w:pPr>
              <w:pStyle w:val="TableContents"/>
              <w:bidi w:val="0"/>
              <w:spacing w:before="0" w:after="283"/>
              <w:jc w:val="right"/>
              <w:rPr>
                <w:b/>
              </w:rPr>
            </w:pPr>
            <w:r>
              <w:rPr>
                <w:b/>
              </w:rPr>
              <w:t>925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1" w:name="xdx_984_eus-gaap--SharesOutstanding_iS_p"/>
            <w:bookmarkEnd w:id="171"/>
          </w:p>
        </w:tc>
        <w:tc>
          <w:tcPr>
            <w:tcW w:w="1100" w:type="dxa"/>
            <w:tcBorders/>
            <w:shd w:fill="CCEEFF" w:val="clear"/>
            <w:vAlign w:val="center"/>
          </w:tcPr>
          <w:p>
            <w:pPr>
              <w:pStyle w:val="TableContents"/>
              <w:bidi w:val="0"/>
              <w:spacing w:before="0" w:after="283"/>
              <w:jc w:val="right"/>
              <w:rPr>
                <w:b/>
              </w:rPr>
            </w:pPr>
            <w:r>
              <w:rPr>
                <w:b/>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688" w:type="dxa"/>
            <w:tcBorders/>
            <w:shd w:fill="CCEEFF" w:val="clear"/>
            <w:vAlign w:val="center"/>
          </w:tcPr>
          <w:p>
            <w:pPr>
              <w:pStyle w:val="TableContents"/>
              <w:bidi w:val="0"/>
              <w:spacing w:before="0" w:after="283"/>
              <w:jc w:val="right"/>
              <w:rPr>
                <w:b/>
              </w:rPr>
            </w:pPr>
            <w:r>
              <w:rPr>
                <w:b/>
              </w:rPr>
              <w:t>2,875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23,436,942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b/>
              </w:rPr>
            </w:pPr>
            <w:r>
              <w:rPr>
                <w:b/>
              </w:rPr>
              <w:t>$</w:t>
            </w:r>
          </w:p>
        </w:tc>
        <w:tc>
          <w:tcPr>
            <w:tcW w:w="1156" w:type="dxa"/>
            <w:tcBorders/>
            <w:shd w:fill="CCEEFF" w:val="clear"/>
            <w:vAlign w:val="center"/>
          </w:tcPr>
          <w:p>
            <w:pPr>
              <w:pStyle w:val="TableContents"/>
              <w:bidi w:val="0"/>
              <w:spacing w:before="0" w:after="283"/>
              <w:jc w:val="right"/>
              <w:rPr>
                <w:b/>
              </w:rPr>
            </w:pPr>
            <w:r>
              <w:rPr>
                <w:b/>
              </w:rPr>
              <w:t>(307,200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b/>
              </w:rPr>
            </w:pPr>
            <w:r>
              <w:rPr>
                <w:b/>
              </w:rPr>
              <w:t>$</w:t>
            </w:r>
          </w:p>
        </w:tc>
        <w:tc>
          <w:tcPr>
            <w:tcW w:w="1210" w:type="dxa"/>
            <w:tcBorders/>
            <w:shd w:fill="CCEEFF" w:val="clear"/>
            <w:vAlign w:val="center"/>
          </w:tcPr>
          <w:p>
            <w:pPr>
              <w:pStyle w:val="TableContents"/>
              <w:bidi w:val="0"/>
              <w:spacing w:before="0" w:after="283"/>
              <w:jc w:val="right"/>
              <w:rPr>
                <w:b/>
              </w:rPr>
            </w:pPr>
            <w:r>
              <w:rPr>
                <w:b/>
              </w:rPr>
              <w:t>(4,863,250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2" w:name="xdx_980_eus-gaap--SharesOutstanding_iS_p"/>
            <w:bookmarkEnd w:id="172"/>
          </w:p>
        </w:tc>
        <w:tc>
          <w:tcPr>
            <w:tcW w:w="1055" w:type="dxa"/>
            <w:tcBorders/>
            <w:shd w:fill="CCEEFF" w:val="clear"/>
            <w:vAlign w:val="center"/>
          </w:tcPr>
          <w:p>
            <w:pPr>
              <w:pStyle w:val="TableContents"/>
              <w:bidi w:val="0"/>
              <w:spacing w:before="0" w:after="283"/>
              <w:jc w:val="right"/>
              <w:rPr>
                <w:b/>
              </w:rPr>
            </w:pPr>
            <w:r>
              <w:rPr>
                <w:b/>
              </w:rPr>
              <w:t>(1,197,649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(3,414,713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14,855,579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(5,490,895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9,364,684</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3" w:name="xdx_40B_eus-gaap--StockIssuedDuringPerio"/>
            <w:bookmarkEnd w:id="173"/>
          </w:p>
        </w:tc>
      </w:tr>
      <w:tr>
        <w:trPr/>
        <w:tc>
          <w:tcPr>
            <w:tcW w:w="1340" w:type="dxa"/>
            <w:tcBorders/>
            <w:shd w:fill="FFFFFF" w:val="clear"/>
            <w:vAlign w:val="center"/>
          </w:tcPr>
          <w:p>
            <w:pPr>
              <w:pStyle w:val="TableContents"/>
              <w:bidi w:val="0"/>
              <w:spacing w:before="0" w:after="283"/>
              <w:jc w:val="both"/>
              <w:rPr/>
            </w:pPr>
            <w:r>
              <w:rPr/>
              <w:t>Conversion of notes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4" w:name="xdx_405_eus-gaap--StockIssuedDuringPerio"/>
            <w:bookmarkEnd w:id="174"/>
          </w:p>
        </w:tc>
      </w:tr>
      <w:tr>
        <w:trPr/>
        <w:tc>
          <w:tcPr>
            <w:tcW w:w="1340" w:type="dxa"/>
            <w:tcBorders/>
            <w:shd w:fill="FFFFFF" w:val="clear"/>
            <w:vAlign w:val="center"/>
          </w:tcPr>
          <w:p>
            <w:pPr>
              <w:pStyle w:val="TableContents"/>
              <w:bidi w:val="0"/>
              <w:spacing w:before="0" w:after="283"/>
              <w:jc w:val="both"/>
              <w:rPr/>
            </w:pPr>
            <w:r>
              <w:rPr/>
              <w:t>Conversion of notes payable,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5" w:name="xdx_402_eus-gaap--AdjustmentsToAdditiona"/>
            <w:bookmarkEnd w:id="175"/>
          </w:p>
        </w:tc>
      </w:tr>
      <w:tr>
        <w:trPr/>
        <w:tc>
          <w:tcPr>
            <w:tcW w:w="1340" w:type="dxa"/>
            <w:tcBorders/>
            <w:shd w:fill="CCEEFF" w:val="clear"/>
            <w:vAlign w:val="center"/>
          </w:tcPr>
          <w:p>
            <w:pPr>
              <w:pStyle w:val="TableContents"/>
              <w:bidi w:val="0"/>
              <w:spacing w:before="0" w:after="283"/>
              <w:jc w:val="left"/>
              <w:rPr/>
            </w:pPr>
            <w:r>
              <w:rPr/>
              <w:t>Stock based compensation related to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152,595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152,595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152,595</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6" w:name="xdx_40F_eus-gaap--StockIssuedDuringPerio"/>
            <w:bookmarkEnd w:id="176"/>
          </w:p>
        </w:tc>
      </w:tr>
      <w:tr>
        <w:trPr/>
        <w:tc>
          <w:tcPr>
            <w:tcW w:w="1340" w:type="dxa"/>
            <w:tcBorders/>
            <w:shd w:fill="FFFFFF" w:val="clear"/>
            <w:vAlign w:val="center"/>
          </w:tcPr>
          <w:p>
            <w:pPr>
              <w:pStyle w:val="TableContents"/>
              <w:bidi w:val="0"/>
              <w:spacing w:before="0" w:after="283"/>
              <w:jc w:val="left"/>
              <w:rPr/>
            </w:pPr>
            <w:r>
              <w:rPr/>
              <w:t>Common stock issued for service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7" w:name="xdx_403_eus-gaap--StockIssuedDuringPerio"/>
            <w:bookmarkEnd w:id="177"/>
          </w:p>
        </w:tc>
      </w:tr>
      <w:tr>
        <w:trPr/>
        <w:tc>
          <w:tcPr>
            <w:tcW w:w="1340" w:type="dxa"/>
            <w:tcBorders/>
            <w:shd w:fill="FFFFFF" w:val="clear"/>
            <w:vAlign w:val="center"/>
          </w:tcPr>
          <w:p>
            <w:pPr>
              <w:pStyle w:val="TableContents"/>
              <w:bidi w:val="0"/>
              <w:spacing w:before="0" w:after="283"/>
              <w:jc w:val="left"/>
              <w:rPr/>
            </w:pPr>
            <w:r>
              <w:rPr/>
              <w:t>Common stock issued for service,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8" w:name="xdx_403_eus-gaap--StockRepurchasedDuring"/>
            <w:bookmarkEnd w:id="178"/>
          </w:p>
        </w:tc>
      </w:tr>
      <w:tr>
        <w:trPr/>
        <w:tc>
          <w:tcPr>
            <w:tcW w:w="1340" w:type="dxa"/>
            <w:tcBorders/>
            <w:shd w:fill="CCEEFF" w:val="clear"/>
            <w:vAlign w:val="center"/>
          </w:tcPr>
          <w:p>
            <w:pPr>
              <w:pStyle w:val="TableContents"/>
              <w:bidi w:val="0"/>
              <w:spacing w:before="0" w:after="283"/>
              <w:jc w:val="left"/>
              <w:rPr/>
            </w:pPr>
            <w:r>
              <w:rPr/>
              <w:t>Repurchase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9" w:name="xdx_982_eus-gaap--StockRepurchasedDuring"/>
            <w:bookmarkEnd w:id="179"/>
          </w:p>
        </w:tc>
        <w:tc>
          <w:tcPr>
            <w:tcW w:w="1055" w:type="dxa"/>
            <w:tcBorders/>
            <w:shd w:fill="CCEEFF" w:val="clear"/>
            <w:vAlign w:val="center"/>
          </w:tcPr>
          <w:p>
            <w:pPr>
              <w:pStyle w:val="TableContents"/>
              <w:bidi w:val="0"/>
              <w:spacing w:before="0" w:after="283"/>
              <w:jc w:val="right"/>
              <w:rPr/>
            </w:pPr>
            <w:r>
              <w:rPr/>
              <w:t>(152,626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(257,093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(257,093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(257,093</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0" w:name="xdx_403_eus-gaap--OtherComprehensiveInco"/>
            <w:bookmarkEnd w:id="180"/>
          </w:p>
        </w:tc>
      </w:tr>
      <w:tr>
        <w:trPr/>
        <w:tc>
          <w:tcPr>
            <w:tcW w:w="1340" w:type="dxa"/>
            <w:tcBorders/>
            <w:shd w:fill="CCEEFF" w:val="clear"/>
            <w:vAlign w:val="center"/>
          </w:tcPr>
          <w:p>
            <w:pPr>
              <w:pStyle w:val="TableContents"/>
              <w:bidi w:val="0"/>
              <w:spacing w:before="0" w:after="283"/>
              <w:jc w:val="left"/>
              <w:rPr/>
            </w:pPr>
            <w:r>
              <w:rPr/>
              <w:t>Foreign currency translation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2,320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2,320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1" w:name="xdx_40A_eus-gaap--ProfitLoss_zf69qjJtv2J"/>
            <w:bookmarkEnd w:id="181"/>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bidi w:val="0"/>
              <w:spacing w:before="0" w:after="283"/>
              <w:jc w:val="right"/>
              <w:rPr/>
            </w:pPr>
            <w:r>
              <w:rPr/>
              <w:t>(2,971,378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(2,971,378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(1,219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(2,972,597</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2" w:name="xdx_43E_c20230101__20230331_eus-gaap--St"/>
            <w:bookmarkEnd w:id="182"/>
          </w:p>
        </w:tc>
      </w:tr>
      <w:tr>
        <w:trPr/>
        <w:tc>
          <w:tcPr>
            <w:tcW w:w="1340" w:type="dxa"/>
            <w:tcBorders/>
            <w:shd w:fill="CCEEFF" w:val="clear"/>
            <w:vAlign w:val="center"/>
          </w:tcPr>
          <w:p>
            <w:pPr>
              <w:pStyle w:val="TableContents"/>
              <w:bidi w:val="0"/>
              <w:spacing w:before="0" w:after="283"/>
              <w:jc w:val="left"/>
              <w:rPr>
                <w:b/>
              </w:rPr>
            </w:pPr>
            <w:r>
              <w:rPr>
                <w:b/>
              </w:rPr>
              <w:t>Balance at March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83" w:name="xdx_983_eus-gaap--SharesOutstanding_iE_p"/>
            <w:bookmarkEnd w:id="183"/>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9,251,420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84" w:name="xdx_985_eus-gaap--SharesOutstanding_iE_p"/>
            <w:bookmarkEnd w:id="184"/>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23,589,537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(304,880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1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(7,834,628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85" w:name="xdx_981_eus-gaap--SharesOutstanding_iE_p"/>
            <w:bookmarkEnd w:id="185"/>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(1,350,275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(3,671,806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11,782,023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(5,492,114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6,289,909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6840" w:type="dxa"/>
        <w:jc w:val="left"/>
        <w:tblInd w:w="0" w:type="dxa"/>
        <w:tblLayout w:type="fixed"/>
        <w:tblCellMar>
          <w:top w:w="0" w:type="dxa"/>
          <w:left w:w="0" w:type="dxa"/>
          <w:bottom w:w="0" w:type="dxa"/>
          <w:right w:w="0" w:type="dxa"/>
        </w:tblCellMar>
      </w:tblPr>
      <w:tblGrid>
        <w:gridCol w:w="1340"/>
        <w:gridCol w:w="60"/>
        <w:gridCol w:w="60"/>
        <w:gridCol w:w="980"/>
        <w:gridCol w:w="60"/>
        <w:gridCol w:w="60"/>
        <w:gridCol w:w="231"/>
        <w:gridCol w:w="629"/>
        <w:gridCol w:w="60"/>
        <w:gridCol w:w="60"/>
        <w:gridCol w:w="60"/>
        <w:gridCol w:w="1100"/>
        <w:gridCol w:w="60"/>
        <w:gridCol w:w="60"/>
        <w:gridCol w:w="172"/>
        <w:gridCol w:w="688"/>
        <w:gridCol w:w="60"/>
        <w:gridCol w:w="60"/>
        <w:gridCol w:w="140"/>
        <w:gridCol w:w="1100"/>
        <w:gridCol w:w="95"/>
        <w:gridCol w:w="60"/>
        <w:gridCol w:w="184"/>
        <w:gridCol w:w="1156"/>
        <w:gridCol w:w="95"/>
        <w:gridCol w:w="60"/>
        <w:gridCol w:w="145"/>
        <w:gridCol w:w="1225"/>
        <w:gridCol w:w="95"/>
        <w:gridCol w:w="60"/>
        <w:gridCol w:w="60"/>
        <w:gridCol w:w="1055"/>
        <w:gridCol w:w="95"/>
        <w:gridCol w:w="60"/>
        <w:gridCol w:w="140"/>
        <w:gridCol w:w="1055"/>
        <w:gridCol w:w="95"/>
        <w:gridCol w:w="60"/>
        <w:gridCol w:w="140"/>
        <w:gridCol w:w="1055"/>
        <w:gridCol w:w="95"/>
        <w:gridCol w:w="60"/>
        <w:gridCol w:w="140"/>
        <w:gridCol w:w="1055"/>
        <w:gridCol w:w="95"/>
        <w:gridCol w:w="60"/>
        <w:gridCol w:w="140"/>
        <w:gridCol w:w="1055"/>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20" w:type="dxa"/>
            <w:gridSpan w:val="6"/>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vAlign w:val="center"/>
          </w:tcPr>
          <w:p>
            <w:pPr>
              <w:pStyle w:val="TableContents"/>
              <w:bidi w:val="0"/>
              <w:spacing w:before="0" w:after="283"/>
              <w:jc w:val="center"/>
              <w:rPr>
                <w:b/>
              </w:rPr>
            </w:pPr>
            <w:r>
              <w:rPr>
                <w:b/>
              </w:rPr>
              <w:t>Additional Paid-In-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gridSpan w:val="2"/>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Accumulated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465" w:type="dxa"/>
            <w:gridSpan w:val="6"/>
            <w:tcBorders/>
            <w:vAlign w:val="center"/>
          </w:tcPr>
          <w:p>
            <w:pPr>
              <w:pStyle w:val="TableContents"/>
              <w:bidi w:val="0"/>
              <w:spacing w:before="0" w:after="283"/>
              <w:jc w:val="center"/>
              <w:rPr>
                <w:b/>
              </w:rPr>
            </w:pPr>
            <w:r>
              <w:rPr>
                <w:b/>
              </w:rPr>
              <w:t>Treasury Stock</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vAlign w:val="center"/>
          </w:tcPr>
          <w:p>
            <w:pPr>
              <w:pStyle w:val="TableContents"/>
              <w:bidi w:val="0"/>
              <w:spacing w:before="0" w:after="283"/>
              <w:jc w:val="center"/>
              <w:rPr>
                <w:b/>
              </w:rPr>
            </w:pPr>
            <w:r>
              <w:rPr>
                <w:b/>
              </w:rPr>
              <w:t>Snail, Inc. Equity</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controlling</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vAlign w:val="center"/>
          </w:tcPr>
          <w:p>
            <w:pPr>
              <w:pStyle w:val="TableContents"/>
              <w:bidi w:val="0"/>
              <w:spacing w:before="0" w:after="283"/>
              <w:jc w:val="center"/>
              <w:rPr>
                <w:b/>
              </w:rPr>
            </w:pPr>
            <w:r>
              <w:rPr>
                <w:b/>
              </w:rPr>
              <w:t>Total Equity</w:t>
            </w:r>
          </w:p>
        </w:tc>
        <w:tc>
          <w:tcPr>
            <w:tcW w:w="110"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interests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186" w:name="xdx_43A_c20240101__20240331_eus-gaap--St"/>
            <w:bookmarkEnd w:id="186"/>
          </w:p>
        </w:tc>
      </w:tr>
      <w:tr>
        <w:trPr/>
        <w:tc>
          <w:tcPr>
            <w:tcW w:w="1340" w:type="dxa"/>
            <w:tcBorders/>
            <w:shd w:fill="CCEEFF" w:val="clear"/>
            <w:vAlign w:val="center"/>
          </w:tcPr>
          <w:p>
            <w:pPr>
              <w:pStyle w:val="TableContents"/>
              <w:bidi w:val="0"/>
              <w:spacing w:before="0" w:after="283"/>
              <w:jc w:val="left"/>
              <w:rPr>
                <w:b/>
              </w:rPr>
            </w:pPr>
            <w:r>
              <w:rPr>
                <w:b/>
              </w:rPr>
              <w:t>Balance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7" w:name="xdx_984_eus-gaap--SharesOutstanding_iS_p"/>
            <w:bookmarkEnd w:id="187"/>
          </w:p>
        </w:tc>
        <w:tc>
          <w:tcPr>
            <w:tcW w:w="980" w:type="dxa"/>
            <w:tcBorders/>
            <w:shd w:fill="CCEEFF" w:val="clear"/>
            <w:vAlign w:val="center"/>
          </w:tcPr>
          <w:p>
            <w:pPr>
              <w:pStyle w:val="TableContents"/>
              <w:bidi w:val="0"/>
              <w:spacing w:before="0" w:after="283"/>
              <w:jc w:val="right"/>
              <w:rPr>
                <w:b/>
              </w:rPr>
            </w:pPr>
            <w:r>
              <w:rPr>
                <w:b/>
              </w:rPr>
              <w:t>9,275,420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b/>
              </w:rPr>
            </w:pPr>
            <w:r>
              <w:rPr>
                <w:b/>
              </w:rPr>
              <w:t>$</w:t>
            </w:r>
          </w:p>
        </w:tc>
        <w:tc>
          <w:tcPr>
            <w:tcW w:w="629" w:type="dxa"/>
            <w:tcBorders/>
            <w:shd w:fill="CCEEFF" w:val="clear"/>
            <w:vAlign w:val="center"/>
          </w:tcPr>
          <w:p>
            <w:pPr>
              <w:pStyle w:val="TableContents"/>
              <w:bidi w:val="0"/>
              <w:spacing w:before="0" w:after="283"/>
              <w:jc w:val="right"/>
              <w:rPr>
                <w:b/>
              </w:rPr>
            </w:pPr>
            <w:r>
              <w:rPr>
                <w:b/>
              </w:rPr>
              <w:t>927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8" w:name="xdx_989_eus-gaap--SharesOutstanding_iS_p"/>
            <w:bookmarkEnd w:id="188"/>
          </w:p>
        </w:tc>
        <w:tc>
          <w:tcPr>
            <w:tcW w:w="1100" w:type="dxa"/>
            <w:tcBorders/>
            <w:shd w:fill="CCEEFF" w:val="clear"/>
            <w:vAlign w:val="center"/>
          </w:tcPr>
          <w:p>
            <w:pPr>
              <w:pStyle w:val="TableContents"/>
              <w:bidi w:val="0"/>
              <w:spacing w:before="0" w:after="283"/>
              <w:jc w:val="right"/>
              <w:rPr>
                <w:b/>
              </w:rPr>
            </w:pPr>
            <w:r>
              <w:rPr>
                <w:b/>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688" w:type="dxa"/>
            <w:tcBorders/>
            <w:shd w:fill="CCEEFF" w:val="clear"/>
            <w:vAlign w:val="center"/>
          </w:tcPr>
          <w:p>
            <w:pPr>
              <w:pStyle w:val="TableContents"/>
              <w:bidi w:val="0"/>
              <w:spacing w:before="0" w:after="283"/>
              <w:jc w:val="right"/>
              <w:rPr>
                <w:b/>
              </w:rPr>
            </w:pPr>
            <w:r>
              <w:rPr>
                <w:b/>
              </w:rPr>
              <w:t>2,875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26,171,575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b/>
              </w:rPr>
            </w:pPr>
            <w:r>
              <w:rPr>
                <w:b/>
              </w:rPr>
              <w:t>$</w:t>
            </w:r>
          </w:p>
        </w:tc>
        <w:tc>
          <w:tcPr>
            <w:tcW w:w="1156" w:type="dxa"/>
            <w:tcBorders/>
            <w:shd w:fill="CCEEFF" w:val="clear"/>
            <w:vAlign w:val="center"/>
          </w:tcPr>
          <w:p>
            <w:pPr>
              <w:pStyle w:val="TableContents"/>
              <w:bidi w:val="0"/>
              <w:spacing w:before="0" w:after="283"/>
              <w:jc w:val="right"/>
              <w:rPr>
                <w:b/>
              </w:rPr>
            </w:pPr>
            <w:r>
              <w:rPr>
                <w:b/>
              </w:rPr>
              <w:t>(254,383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b/>
              </w:rPr>
            </w:pPr>
            <w:r>
              <w:rPr>
                <w:b/>
              </w:rPr>
              <w:t>$</w:t>
            </w:r>
          </w:p>
        </w:tc>
        <w:tc>
          <w:tcPr>
            <w:tcW w:w="1225" w:type="dxa"/>
            <w:tcBorders/>
            <w:shd w:fill="CCEEFF" w:val="clear"/>
            <w:vAlign w:val="center"/>
          </w:tcPr>
          <w:p>
            <w:pPr>
              <w:pStyle w:val="TableContents"/>
              <w:bidi w:val="0"/>
              <w:spacing w:before="0" w:after="283"/>
              <w:jc w:val="right"/>
              <w:rPr>
                <w:b/>
              </w:rPr>
            </w:pPr>
            <w:r>
              <w:rPr>
                <w:b/>
              </w:rPr>
              <w:t>(13,949,325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9" w:name="xdx_98C_eus-gaap--SharesOutstanding_iS_p"/>
            <w:bookmarkEnd w:id="189"/>
          </w:p>
        </w:tc>
        <w:tc>
          <w:tcPr>
            <w:tcW w:w="1055" w:type="dxa"/>
            <w:tcBorders/>
            <w:shd w:fill="CCEEFF" w:val="clear"/>
            <w:vAlign w:val="center"/>
          </w:tcPr>
          <w:p>
            <w:pPr>
              <w:pStyle w:val="TableContents"/>
              <w:bidi w:val="0"/>
              <w:spacing w:before="0" w:after="283"/>
              <w:jc w:val="right"/>
              <w:rPr>
                <w:b/>
              </w:rPr>
            </w:pPr>
            <w:r>
              <w:rPr>
                <w:b/>
              </w:rPr>
              <w:t>(1,350,275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(3,671,806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8,299,863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(5,499,244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2,800,619</w:t>
            </w:r>
          </w:p>
        </w:tc>
        <w:tc>
          <w:tcPr>
            <w:tcW w:w="110" w:type="dxa"/>
            <w:tcBorders/>
            <w:shd w:fill="CCEEFF" w:val="clear"/>
            <w:vAlign w:val="center"/>
          </w:tcPr>
          <w:p>
            <w:pPr>
              <w:pStyle w:val="TableContents"/>
              <w:bidi w:val="0"/>
              <w:spacing w:before="0" w:after="283"/>
              <w:jc w:val="left"/>
              <w:rPr/>
            </w:pPr>
            <w:r>
              <w:rPr/>
              <w:t> </w:t>
            </w:r>
            <w:bookmarkStart w:id="190" w:name="xdx_435_c20240101__20240331_eus-gaap--St"/>
            <w:bookmarkEnd w:id="190"/>
          </w:p>
        </w:tc>
      </w:tr>
      <w:tr>
        <w:trPr/>
        <w:tc>
          <w:tcPr>
            <w:tcW w:w="1340" w:type="dxa"/>
            <w:tcBorders/>
            <w:shd w:fill="CCEEFF" w:val="clear"/>
            <w:vAlign w:val="center"/>
          </w:tcPr>
          <w:p>
            <w:pPr>
              <w:pStyle w:val="TableContents"/>
              <w:bidi w:val="0"/>
              <w:spacing w:before="0" w:after="283"/>
              <w:jc w:val="left"/>
              <w:rPr>
                <w:b/>
              </w:rPr>
            </w:pPr>
            <w:r>
              <w:rPr>
                <w:b/>
              </w:rPr>
              <w:t xml:space="preserve">Balance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1" w:name="xdx_986_eus-gaap--SharesOutstanding_iS_p"/>
            <w:bookmarkEnd w:id="191"/>
          </w:p>
        </w:tc>
        <w:tc>
          <w:tcPr>
            <w:tcW w:w="980" w:type="dxa"/>
            <w:tcBorders/>
            <w:shd w:fill="CCEEFF" w:val="clear"/>
            <w:vAlign w:val="center"/>
          </w:tcPr>
          <w:p>
            <w:pPr>
              <w:pStyle w:val="TableContents"/>
              <w:bidi w:val="0"/>
              <w:spacing w:before="0" w:after="283"/>
              <w:jc w:val="right"/>
              <w:rPr>
                <w:b/>
              </w:rPr>
            </w:pPr>
            <w:r>
              <w:rPr>
                <w:b/>
              </w:rPr>
              <w:t>9,275,420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b/>
              </w:rPr>
            </w:pPr>
            <w:r>
              <w:rPr>
                <w:b/>
              </w:rPr>
              <w:t>$</w:t>
            </w:r>
          </w:p>
        </w:tc>
        <w:tc>
          <w:tcPr>
            <w:tcW w:w="629" w:type="dxa"/>
            <w:tcBorders/>
            <w:shd w:fill="CCEEFF" w:val="clear"/>
            <w:vAlign w:val="center"/>
          </w:tcPr>
          <w:p>
            <w:pPr>
              <w:pStyle w:val="TableContents"/>
              <w:bidi w:val="0"/>
              <w:spacing w:before="0" w:after="283"/>
              <w:jc w:val="right"/>
              <w:rPr>
                <w:b/>
              </w:rPr>
            </w:pPr>
            <w:r>
              <w:rPr>
                <w:b/>
              </w:rPr>
              <w:t>927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2" w:name="xdx_983_eus-gaap--SharesOutstanding_iS_p"/>
            <w:bookmarkEnd w:id="192"/>
          </w:p>
        </w:tc>
        <w:tc>
          <w:tcPr>
            <w:tcW w:w="1100" w:type="dxa"/>
            <w:tcBorders/>
            <w:shd w:fill="CCEEFF" w:val="clear"/>
            <w:vAlign w:val="center"/>
          </w:tcPr>
          <w:p>
            <w:pPr>
              <w:pStyle w:val="TableContents"/>
              <w:bidi w:val="0"/>
              <w:spacing w:before="0" w:after="283"/>
              <w:jc w:val="right"/>
              <w:rPr>
                <w:b/>
              </w:rPr>
            </w:pPr>
            <w:r>
              <w:rPr>
                <w:b/>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688" w:type="dxa"/>
            <w:tcBorders/>
            <w:shd w:fill="CCEEFF" w:val="clear"/>
            <w:vAlign w:val="center"/>
          </w:tcPr>
          <w:p>
            <w:pPr>
              <w:pStyle w:val="TableContents"/>
              <w:bidi w:val="0"/>
              <w:spacing w:before="0" w:after="283"/>
              <w:jc w:val="right"/>
              <w:rPr>
                <w:b/>
              </w:rPr>
            </w:pPr>
            <w:r>
              <w:rPr>
                <w:b/>
              </w:rPr>
              <w:t>2,875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26,171,575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b/>
              </w:rPr>
            </w:pPr>
            <w:r>
              <w:rPr>
                <w:b/>
              </w:rPr>
              <w:t>$</w:t>
            </w:r>
          </w:p>
        </w:tc>
        <w:tc>
          <w:tcPr>
            <w:tcW w:w="1156" w:type="dxa"/>
            <w:tcBorders/>
            <w:shd w:fill="CCEEFF" w:val="clear"/>
            <w:vAlign w:val="center"/>
          </w:tcPr>
          <w:p>
            <w:pPr>
              <w:pStyle w:val="TableContents"/>
              <w:bidi w:val="0"/>
              <w:spacing w:before="0" w:after="283"/>
              <w:jc w:val="right"/>
              <w:rPr>
                <w:b/>
              </w:rPr>
            </w:pPr>
            <w:r>
              <w:rPr>
                <w:b/>
              </w:rPr>
              <w:t>(254,383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b/>
              </w:rPr>
            </w:pPr>
            <w:r>
              <w:rPr>
                <w:b/>
              </w:rPr>
              <w:t>$</w:t>
            </w:r>
          </w:p>
        </w:tc>
        <w:tc>
          <w:tcPr>
            <w:tcW w:w="1225" w:type="dxa"/>
            <w:tcBorders/>
            <w:shd w:fill="CCEEFF" w:val="clear"/>
            <w:vAlign w:val="center"/>
          </w:tcPr>
          <w:p>
            <w:pPr>
              <w:pStyle w:val="TableContents"/>
              <w:bidi w:val="0"/>
              <w:spacing w:before="0" w:after="283"/>
              <w:jc w:val="right"/>
              <w:rPr>
                <w:b/>
              </w:rPr>
            </w:pPr>
            <w:r>
              <w:rPr>
                <w:b/>
              </w:rPr>
              <w:t>(13,949,325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3" w:name="xdx_983_eus-gaap--SharesOutstanding_iS_p"/>
            <w:bookmarkEnd w:id="193"/>
          </w:p>
        </w:tc>
        <w:tc>
          <w:tcPr>
            <w:tcW w:w="1055" w:type="dxa"/>
            <w:tcBorders/>
            <w:shd w:fill="CCEEFF" w:val="clear"/>
            <w:vAlign w:val="center"/>
          </w:tcPr>
          <w:p>
            <w:pPr>
              <w:pStyle w:val="TableContents"/>
              <w:bidi w:val="0"/>
              <w:spacing w:before="0" w:after="283"/>
              <w:jc w:val="right"/>
              <w:rPr>
                <w:b/>
              </w:rPr>
            </w:pPr>
            <w:r>
              <w:rPr>
                <w:b/>
              </w:rPr>
              <w:t>(1,350,275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(3,671,806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8,299,863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(5,499,244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2,800,619</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4" w:name="xdx_401_eus-gaap--StockIssuedDuringPerio"/>
            <w:bookmarkEnd w:id="194"/>
          </w:p>
        </w:tc>
      </w:tr>
      <w:tr>
        <w:trPr/>
        <w:tc>
          <w:tcPr>
            <w:tcW w:w="1340" w:type="dxa"/>
            <w:tcBorders/>
            <w:shd w:fill="CCEEFF" w:val="clear"/>
            <w:vAlign w:val="center"/>
          </w:tcPr>
          <w:p>
            <w:pPr>
              <w:pStyle w:val="TableContents"/>
              <w:bidi w:val="0"/>
              <w:spacing w:before="0" w:after="283"/>
              <w:jc w:val="left"/>
              <w:rPr/>
            </w:pPr>
            <w:r>
              <w:rPr/>
              <w:t>Conversion of notes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5" w:name="xdx_98F_eus-gaap--StockIssuedDuringPerio"/>
            <w:bookmarkEnd w:id="195"/>
          </w:p>
        </w:tc>
        <w:tc>
          <w:tcPr>
            <w:tcW w:w="980" w:type="dxa"/>
            <w:tcBorders/>
            <w:shd w:fill="CCEEFF" w:val="clear"/>
            <w:vAlign w:val="center"/>
          </w:tcPr>
          <w:p>
            <w:pPr>
              <w:pStyle w:val="TableContents"/>
              <w:bidi w:val="0"/>
              <w:spacing w:before="0" w:after="283"/>
              <w:jc w:val="right"/>
              <w:rPr/>
            </w:pPr>
            <w:r>
              <w:rPr/>
              <w:t>71,460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59,993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60,000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6" w:name="xdx_402_eus-gaap--AdjustmentsToAdditiona"/>
            <w:bookmarkEnd w:id="196"/>
          </w:p>
        </w:tc>
      </w:tr>
      <w:tr>
        <w:trPr/>
        <w:tc>
          <w:tcPr>
            <w:tcW w:w="1340" w:type="dxa"/>
            <w:tcBorders/>
            <w:shd w:fill="CCEEFF" w:val="clear"/>
            <w:vAlign w:val="center"/>
          </w:tcPr>
          <w:p>
            <w:pPr>
              <w:pStyle w:val="TableContents"/>
              <w:bidi w:val="0"/>
              <w:spacing w:before="0" w:after="283"/>
              <w:jc w:val="left"/>
              <w:rPr/>
            </w:pPr>
            <w:r>
              <w:rPr/>
              <w:t>Stock based compensation related to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(926,875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(926,875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(926,875</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7" w:name="xdx_40E_eus-gaap--StockIssuedDuringPerio"/>
            <w:bookmarkEnd w:id="197"/>
          </w:p>
        </w:tc>
      </w:tr>
      <w:tr>
        <w:trPr/>
        <w:tc>
          <w:tcPr>
            <w:tcW w:w="1340" w:type="dxa"/>
            <w:tcBorders/>
            <w:shd w:fill="CCEEFF" w:val="clear"/>
            <w:vAlign w:val="center"/>
          </w:tcPr>
          <w:p>
            <w:pPr>
              <w:pStyle w:val="TableContents"/>
              <w:bidi w:val="0"/>
              <w:spacing w:before="0" w:after="283"/>
              <w:jc w:val="left"/>
              <w:rPr/>
            </w:pPr>
            <w:r>
              <w:rPr/>
              <w:t>Common stock issued for service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8" w:name="xdx_987_eus-gaap--StockIssuedDuringPerio"/>
            <w:bookmarkEnd w:id="198"/>
          </w:p>
        </w:tc>
        <w:tc>
          <w:tcPr>
            <w:tcW w:w="980" w:type="dxa"/>
            <w:tcBorders/>
            <w:shd w:fill="CCEEFF" w:val="clear"/>
            <w:vAlign w:val="center"/>
          </w:tcPr>
          <w:p>
            <w:pPr>
              <w:pStyle w:val="TableContents"/>
              <w:bidi w:val="0"/>
              <w:spacing w:before="0" w:after="283"/>
              <w:jc w:val="right"/>
              <w:rPr/>
            </w:pPr>
            <w:r>
              <w:rPr/>
              <w:t>10,869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9" w:name="xdx_403_eus-gaap--OtherComprehensiveInco"/>
            <w:bookmarkEnd w:id="199"/>
          </w:p>
        </w:tc>
      </w:tr>
      <w:tr>
        <w:trPr/>
        <w:tc>
          <w:tcPr>
            <w:tcW w:w="1340" w:type="dxa"/>
            <w:tcBorders/>
            <w:shd w:fill="CCEEFF" w:val="clear"/>
            <w:vAlign w:val="center"/>
          </w:tcPr>
          <w:p>
            <w:pPr>
              <w:pStyle w:val="TableContents"/>
              <w:bidi w:val="0"/>
              <w:spacing w:before="0" w:after="283"/>
              <w:jc w:val="left"/>
              <w:rPr/>
            </w:pPr>
            <w:r>
              <w:rPr/>
              <w:t>Foreign currency translation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(19,297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(19,297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(19,297</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0" w:name="xdx_40A_eus-gaap--ProfitLoss_zOyz8NvhKAu"/>
            <w:bookmarkEnd w:id="200"/>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(1,779,329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(1,779,329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(1,129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(1,780,458</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1" w:name="xdx_436_c20240101__20240331_eus-gaap--St"/>
            <w:bookmarkEnd w:id="201"/>
          </w:p>
        </w:tc>
      </w:tr>
      <w:tr>
        <w:trPr/>
        <w:tc>
          <w:tcPr>
            <w:tcW w:w="1340" w:type="dxa"/>
            <w:tcBorders/>
            <w:shd w:fill="CCEEFF" w:val="clear"/>
            <w:vAlign w:val="center"/>
          </w:tcPr>
          <w:p>
            <w:pPr>
              <w:pStyle w:val="TableContents"/>
              <w:bidi w:val="0"/>
              <w:spacing w:before="0" w:after="283"/>
              <w:jc w:val="left"/>
              <w:rPr>
                <w:b/>
              </w:rPr>
            </w:pPr>
            <w:r>
              <w:rPr>
                <w:b/>
              </w:rPr>
              <w:t>Balance at March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02" w:name="xdx_984_eus-gaap--SharesOutstanding_iE_p"/>
            <w:bookmarkEnd w:id="202"/>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9,357,749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03" w:name="xdx_986_eus-gaap--SharesOutstanding_iE_p"/>
            <w:bookmarkEnd w:id="203"/>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25,304,692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(273,680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(15,728,654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04" w:name="xdx_982_eus-gaap--SharesOutstanding_iE_p"/>
            <w:bookmarkEnd w:id="204"/>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(1,350,275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(3,671,806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5,634,362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(5,500,373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133,989</w:t>
            </w:r>
          </w:p>
        </w:tc>
        <w:tc>
          <w:tcPr>
            <w:tcW w:w="110" w:type="dxa"/>
            <w:tcBorders/>
            <w:shd w:fill="CCEEFF" w:val="clear"/>
            <w:vAlign w:val="center"/>
          </w:tcPr>
          <w:p>
            <w:pPr>
              <w:pStyle w:val="TableContents"/>
              <w:bidi w:val="0"/>
              <w:spacing w:before="0" w:after="283"/>
              <w:jc w:val="left"/>
              <w:rPr/>
            </w:pPr>
            <w:r>
              <w:rPr/>
              <w:t> </w:t>
            </w:r>
            <w:bookmarkStart w:id="205" w:name="xdx_43D_c20240101__20240331_eus-gaap--St"/>
            <w:bookmarkEnd w:id="205"/>
          </w:p>
        </w:tc>
      </w:tr>
      <w:tr>
        <w:trPr/>
        <w:tc>
          <w:tcPr>
            <w:tcW w:w="1340" w:type="dxa"/>
            <w:tcBorders/>
            <w:shd w:fill="CCEEFF" w:val="clear"/>
            <w:vAlign w:val="center"/>
          </w:tcPr>
          <w:p>
            <w:pPr>
              <w:pStyle w:val="TableContents"/>
              <w:bidi w:val="0"/>
              <w:spacing w:before="0" w:after="283"/>
              <w:jc w:val="left"/>
              <w:rPr>
                <w:b/>
              </w:rPr>
            </w:pPr>
            <w:r>
              <w:rPr>
                <w:b/>
              </w:rPr>
              <w:t xml:space="preserve">Balance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06" w:name="xdx_985_eus-gaap--SharesOutstanding_iE_p"/>
            <w:bookmarkEnd w:id="206"/>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9,357,749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07" w:name="xdx_987_eus-gaap--SharesOutstanding_iE_p"/>
            <w:bookmarkEnd w:id="207"/>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25,304,692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(273,680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(15,728,654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08" w:name="xdx_981_eus-gaap--SharesOutstanding_iE_p"/>
            <w:bookmarkEnd w:id="208"/>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(1,350,275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(3,671,806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5,634,362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(5,500,373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133,989</w:t>
            </w:r>
          </w:p>
        </w:tc>
        <w:tc>
          <w:tcPr>
            <w:tcW w:w="110"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9" w:name="S1_007"/>
      <w:bookmarkEnd w:id="209"/>
      <w:r>
        <w:rPr>
          <w:rFonts w:ascii="Times New Roman;Times;Serif" w:hAnsi="Times New Roman;Times;Serif"/>
          <w:b/>
          <w:i w:val="false"/>
          <w:caps w:val="false"/>
          <w:smallCaps w:val="false"/>
          <w:sz w:val="20"/>
        </w:rPr>
        <w:t>Snail,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 for the Three Months Ended March 31, 2024 and 2023</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10" w:name="xdx_307_112_zcH457GB5lJi"/>
      <w:bookmarkStart w:id="211" w:name="xdx_307_112_zcH457GB5lJi"/>
      <w:bookmarkEnd w:id="211"/>
    </w:p>
    <w:tbl>
      <w:tblPr>
        <w:tblW w:w="10205" w:type="dxa"/>
        <w:jc w:val="left"/>
        <w:tblInd w:w="0" w:type="dxa"/>
        <w:tblLayout w:type="fixed"/>
        <w:tblCellMar>
          <w:top w:w="0" w:type="dxa"/>
          <w:left w:w="0" w:type="dxa"/>
          <w:bottom w:w="0" w:type="dxa"/>
          <w:right w:w="0" w:type="dxa"/>
        </w:tblCellMar>
      </w:tblPr>
      <w:tblGrid>
        <w:gridCol w:w="7400"/>
        <w:gridCol w:w="60"/>
        <w:gridCol w:w="140"/>
        <w:gridCol w:w="1100"/>
        <w:gridCol w:w="95"/>
        <w:gridCol w:w="60"/>
        <w:gridCol w:w="140"/>
        <w:gridCol w:w="1100"/>
        <w:gridCol w:w="110"/>
      </w:tblGrid>
      <w:tr>
        <w:trPr/>
        <w:tc>
          <w:tcPr>
            <w:tcW w:w="74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bookmarkStart w:id="212" w:name="xdx_49D_20240101__20240331_zTq1YJMZytJj"/>
            <w:bookmarkEnd w:id="212"/>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3" w:name="xdx_496_20230101__20230331_zmnhk0wRQl56"/>
            <w:bookmarkEnd w:id="213"/>
          </w:p>
        </w:tc>
        <w:tc>
          <w:tcPr>
            <w:tcW w:w="124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2023</w:t>
            </w:r>
          </w:p>
        </w:tc>
        <w:tc>
          <w:tcPr>
            <w:tcW w:w="110" w:type="dxa"/>
            <w:tcBorders/>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214" w:name="xdx_40C_eus-gaap--NetCashProvidedByUsedI"/>
            <w:bookmarkEnd w:id="214"/>
          </w:p>
        </w:tc>
      </w:tr>
      <w:tr>
        <w:trPr/>
        <w:tc>
          <w:tcPr>
            <w:tcW w:w="7400"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5" w:name="xdx_40E_eus-gaap--ProfitLoss_i01_maNCPBU"/>
            <w:bookmarkEnd w:id="215"/>
          </w:p>
        </w:tc>
      </w:tr>
      <w:tr>
        <w:trPr/>
        <w:tc>
          <w:tcPr>
            <w:tcW w:w="740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(1,780,458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(2,972,597</w:t>
            </w:r>
          </w:p>
        </w:tc>
        <w:tc>
          <w:tcPr>
            <w:tcW w:w="110" w:type="dxa"/>
            <w:tcBorders/>
            <w:shd w:fill="FFFFFF" w:val="clear"/>
            <w:vAlign w:val="center"/>
          </w:tcPr>
          <w:p>
            <w:pPr>
              <w:pStyle w:val="TableContents"/>
              <w:bidi w:val="0"/>
              <w:spacing w:before="0" w:after="283"/>
              <w:jc w:val="left"/>
              <w:rPr/>
            </w:pPr>
            <w:r>
              <w:rPr/>
              <w:t>)</w:t>
            </w:r>
            <w:bookmarkStart w:id="216" w:name="xdx_401_eus-gaap--AdjustmentsToReconcile"/>
            <w:bookmarkEnd w:id="216"/>
          </w:p>
        </w:tc>
      </w:tr>
      <w:tr>
        <w:trPr/>
        <w:tc>
          <w:tcPr>
            <w:tcW w:w="7400" w:type="dxa"/>
            <w:tcBorders/>
            <w:shd w:fill="CCEEFF" w:val="clear"/>
            <w:vAlign w:val="center"/>
          </w:tcPr>
          <w:p>
            <w:pPr>
              <w:pStyle w:val="TableContents"/>
              <w:bidi w:val="0"/>
              <w:spacing w:before="0" w:after="283"/>
              <w:jc w:val="left"/>
              <w:rPr/>
            </w:pPr>
            <w:r>
              <w:rPr/>
              <w:t>Adjustments to reconcile net loss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7" w:name="xdx_40E_eus-gaap--AmortizationOfIntangib"/>
            <w:bookmarkEnd w:id="217"/>
          </w:p>
        </w:tc>
      </w:tr>
      <w:tr>
        <w:trPr/>
        <w:tc>
          <w:tcPr>
            <w:tcW w:w="7400" w:type="dxa"/>
            <w:tcBorders/>
            <w:shd w:fill="FFFFFF" w:val="clear"/>
            <w:vAlign w:val="center"/>
          </w:tcPr>
          <w:p>
            <w:pPr>
              <w:pStyle w:val="TableContents"/>
              <w:bidi w:val="0"/>
              <w:spacing w:before="0" w:after="283"/>
              <w:jc w:val="left"/>
              <w:rPr/>
            </w:pPr>
            <w:r>
              <w:rPr/>
              <w:t>Amortization - intangible assets - license,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695,652</w:t>
            </w:r>
          </w:p>
        </w:tc>
        <w:tc>
          <w:tcPr>
            <w:tcW w:w="110" w:type="dxa"/>
            <w:tcBorders/>
            <w:shd w:fill="FFFFFF" w:val="clear"/>
            <w:vAlign w:val="center"/>
          </w:tcPr>
          <w:p>
            <w:pPr>
              <w:pStyle w:val="TableContents"/>
              <w:bidi w:val="0"/>
              <w:spacing w:before="0" w:after="283"/>
              <w:jc w:val="left"/>
              <w:rPr/>
            </w:pPr>
            <w:r>
              <w:rPr/>
              <w:t> </w:t>
            </w:r>
            <w:bookmarkStart w:id="218" w:name="xdx_401_eus-gaap--AmortizationOfIntangib"/>
            <w:bookmarkEnd w:id="218"/>
          </w:p>
        </w:tc>
      </w:tr>
      <w:tr>
        <w:trPr/>
        <w:tc>
          <w:tcPr>
            <w:tcW w:w="7400" w:type="dxa"/>
            <w:tcBorders/>
            <w:shd w:fill="CCEEFF" w:val="clear"/>
            <w:vAlign w:val="center"/>
          </w:tcPr>
          <w:p>
            <w:pPr>
              <w:pStyle w:val="TableContents"/>
              <w:bidi w:val="0"/>
              <w:spacing w:before="0" w:after="283"/>
              <w:jc w:val="left"/>
              <w:rPr/>
            </w:pPr>
            <w:r>
              <w:rPr/>
              <w:t>Amortization - intangible assets - other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201</w:t>
            </w:r>
          </w:p>
        </w:tc>
        <w:tc>
          <w:tcPr>
            <w:tcW w:w="110" w:type="dxa"/>
            <w:tcBorders/>
            <w:shd w:fill="CCEEFF" w:val="clear"/>
            <w:vAlign w:val="center"/>
          </w:tcPr>
          <w:p>
            <w:pPr>
              <w:pStyle w:val="TableContents"/>
              <w:bidi w:val="0"/>
              <w:spacing w:before="0" w:after="283"/>
              <w:jc w:val="left"/>
              <w:rPr/>
            </w:pPr>
            <w:r>
              <w:rPr/>
              <w:t> </w:t>
            </w:r>
            <w:bookmarkStart w:id="219" w:name="xdx_409_eus-gaap--AmortizationOfIntangib"/>
            <w:bookmarkEnd w:id="219"/>
          </w:p>
        </w:tc>
      </w:tr>
      <w:tr>
        <w:trPr/>
        <w:tc>
          <w:tcPr>
            <w:tcW w:w="7400" w:type="dxa"/>
            <w:tcBorders/>
            <w:shd w:fill="FFFFFF" w:val="clear"/>
            <w:vAlign w:val="center"/>
          </w:tcPr>
          <w:p>
            <w:pPr>
              <w:pStyle w:val="TableContents"/>
              <w:bidi w:val="0"/>
              <w:spacing w:before="0" w:after="283"/>
              <w:jc w:val="left"/>
              <w:rPr/>
            </w:pPr>
            <w:r>
              <w:rPr/>
              <w:t>Amortization - 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201</w:t>
            </w:r>
          </w:p>
        </w:tc>
        <w:tc>
          <w:tcPr>
            <w:tcW w:w="110" w:type="dxa"/>
            <w:tcBorders/>
            <w:shd w:fill="FFFFFF" w:val="clear"/>
            <w:vAlign w:val="center"/>
          </w:tcPr>
          <w:p>
            <w:pPr>
              <w:pStyle w:val="TableContents"/>
              <w:bidi w:val="0"/>
              <w:spacing w:before="0" w:after="283"/>
              <w:jc w:val="left"/>
              <w:rPr/>
            </w:pPr>
            <w:r>
              <w:rPr/>
              <w:t> </w:t>
            </w:r>
            <w:bookmarkStart w:id="220" w:name="xdx_40D_eus-gaap--AmortizationOfFinancin"/>
            <w:bookmarkEnd w:id="220"/>
          </w:p>
        </w:tc>
      </w:tr>
      <w:tr>
        <w:trPr/>
        <w:tc>
          <w:tcPr>
            <w:tcW w:w="7400" w:type="dxa"/>
            <w:tcBorders/>
            <w:shd w:fill="FFFFFF" w:val="clear"/>
            <w:vAlign w:val="center"/>
          </w:tcPr>
          <w:p>
            <w:pPr>
              <w:pStyle w:val="TableContents"/>
              <w:bidi w:val="0"/>
              <w:spacing w:before="0" w:after="283"/>
              <w:jc w:val="left"/>
              <w:rPr/>
            </w:pPr>
            <w:r>
              <w:rPr/>
              <w:t>Amortization - loan origination fees and debt discounts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47,729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8,911</w:t>
            </w:r>
          </w:p>
        </w:tc>
        <w:tc>
          <w:tcPr>
            <w:tcW w:w="110" w:type="dxa"/>
            <w:tcBorders/>
            <w:shd w:fill="FFFFFF" w:val="clear"/>
            <w:vAlign w:val="center"/>
          </w:tcPr>
          <w:p>
            <w:pPr>
              <w:pStyle w:val="TableContents"/>
              <w:bidi w:val="0"/>
              <w:spacing w:before="0" w:after="283"/>
              <w:jc w:val="left"/>
              <w:rPr/>
            </w:pPr>
            <w:r>
              <w:rPr/>
              <w:t> </w:t>
            </w:r>
            <w:bookmarkStart w:id="221" w:name="xdx_40B_ecustom--AccretionConvertibleDeb"/>
            <w:bookmarkEnd w:id="221"/>
          </w:p>
        </w:tc>
      </w:tr>
      <w:tr>
        <w:trPr/>
        <w:tc>
          <w:tcPr>
            <w:tcW w:w="7400" w:type="dxa"/>
            <w:tcBorders/>
            <w:shd w:fill="CCEEFF" w:val="clear"/>
            <w:vAlign w:val="center"/>
          </w:tcPr>
          <w:p>
            <w:pPr>
              <w:pStyle w:val="TableContents"/>
              <w:bidi w:val="0"/>
              <w:spacing w:before="0" w:after="283"/>
              <w:jc w:val="left"/>
              <w:rPr/>
            </w:pPr>
            <w:r>
              <w:rPr/>
              <w:t>Accretion –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181,754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22" w:name="xdx_40A_eus-gaap--DepreciationDepletionA"/>
            <w:bookmarkEnd w:id="222"/>
          </w:p>
        </w:tc>
      </w:tr>
      <w:tr>
        <w:trPr/>
        <w:tc>
          <w:tcPr>
            <w:tcW w:w="7400" w:type="dxa"/>
            <w:tcBorders/>
            <w:shd w:fill="FFFFFF" w:val="clear"/>
            <w:vAlign w:val="center"/>
          </w:tcPr>
          <w:p>
            <w:pPr>
              <w:pStyle w:val="TableContents"/>
              <w:bidi w:val="0"/>
              <w:spacing w:before="0" w:after="283"/>
              <w:jc w:val="left"/>
              <w:rPr/>
            </w:pPr>
            <w:r>
              <w:rPr/>
              <w:t>Depreciation and amortization -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82,338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115,060</w:t>
            </w:r>
          </w:p>
        </w:tc>
        <w:tc>
          <w:tcPr>
            <w:tcW w:w="110" w:type="dxa"/>
            <w:tcBorders/>
            <w:shd w:fill="FFFFFF" w:val="clear"/>
            <w:vAlign w:val="center"/>
          </w:tcPr>
          <w:p>
            <w:pPr>
              <w:pStyle w:val="TableContents"/>
              <w:bidi w:val="0"/>
              <w:spacing w:before="0" w:after="283"/>
              <w:jc w:val="left"/>
              <w:rPr/>
            </w:pPr>
            <w:r>
              <w:rPr/>
              <w:t> </w:t>
            </w:r>
            <w:bookmarkStart w:id="223" w:name="xdx_405_eus-gaap--ShareBasedCompensation"/>
            <w:bookmarkEnd w:id="223"/>
          </w:p>
        </w:tc>
      </w:tr>
      <w:tr>
        <w:trPr/>
        <w:tc>
          <w:tcPr>
            <w:tcW w:w="7400" w:type="dxa"/>
            <w:tcBorders/>
            <w:shd w:fill="CCEEFF" w:val="clear"/>
            <w:vAlign w:val="center"/>
          </w:tcPr>
          <w:p>
            <w:pPr>
              <w:pStyle w:val="TableContents"/>
              <w:bidi w:val="0"/>
              <w:spacing w:before="0" w:after="283"/>
              <w:jc w:val="left"/>
              <w:rPr/>
            </w:pPr>
            <w:r>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(926,875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152,595</w:t>
            </w:r>
          </w:p>
        </w:tc>
        <w:tc>
          <w:tcPr>
            <w:tcW w:w="110" w:type="dxa"/>
            <w:tcBorders/>
            <w:shd w:fill="CCEEFF" w:val="clear"/>
            <w:vAlign w:val="center"/>
          </w:tcPr>
          <w:p>
            <w:pPr>
              <w:pStyle w:val="TableContents"/>
              <w:bidi w:val="0"/>
              <w:spacing w:before="0" w:after="283"/>
              <w:jc w:val="left"/>
              <w:rPr/>
            </w:pPr>
            <w:r>
              <w:rPr/>
              <w:t> </w:t>
            </w:r>
            <w:bookmarkStart w:id="224" w:name="xdx_400_ecustom--InterestIncomeRestricte"/>
            <w:bookmarkEnd w:id="224"/>
          </w:p>
        </w:tc>
      </w:tr>
      <w:tr>
        <w:trPr/>
        <w:tc>
          <w:tcPr>
            <w:tcW w:w="7400" w:type="dxa"/>
            <w:tcBorders/>
            <w:shd w:fill="FFFFFF" w:val="clear"/>
            <w:vAlign w:val="center"/>
          </w:tcPr>
          <w:p>
            <w:pPr>
              <w:pStyle w:val="TableContents"/>
              <w:bidi w:val="0"/>
              <w:spacing w:before="0" w:after="283"/>
              <w:jc w:val="left"/>
              <w:rPr/>
            </w:pPr>
            <w:r>
              <w:rPr/>
              <w:t>Interest income from restricted escrow deposit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(9,874</w:t>
            </w:r>
          </w:p>
        </w:tc>
        <w:tc>
          <w:tcPr>
            <w:tcW w:w="110" w:type="dxa"/>
            <w:tcBorders/>
            <w:shd w:fill="FFFFFF" w:val="clear"/>
            <w:vAlign w:val="center"/>
          </w:tcPr>
          <w:p>
            <w:pPr>
              <w:pStyle w:val="TableContents"/>
              <w:bidi w:val="0"/>
              <w:spacing w:before="0" w:after="283"/>
              <w:jc w:val="left"/>
              <w:rPr/>
            </w:pPr>
            <w:r>
              <w:rPr/>
              <w:t>)</w:t>
            </w:r>
            <w:bookmarkStart w:id="225" w:name="xdx_401_eus-gaap--DeferredIncomeTaxExpen"/>
            <w:bookmarkEnd w:id="225"/>
          </w:p>
        </w:tc>
      </w:tr>
      <w:tr>
        <w:trPr/>
        <w:tc>
          <w:tcPr>
            <w:tcW w:w="7400" w:type="dxa"/>
            <w:tcBorders/>
            <w:shd w:fill="CCEEFF" w:val="clear"/>
            <w:vAlign w:val="center"/>
          </w:tcPr>
          <w:p>
            <w:pPr>
              <w:pStyle w:val="TableContents"/>
              <w:bidi w:val="0"/>
              <w:spacing w:before="0" w:after="283"/>
              <w:jc w:val="left"/>
              <w:rPr/>
            </w:pPr>
            <w:r>
              <w:rPr/>
              <w:t>Deferred taxes,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(555,781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6" w:name="xdx_403_eus-gaap--IncreaseDecreaseInOper"/>
            <w:bookmarkEnd w:id="226"/>
          </w:p>
        </w:tc>
      </w:tr>
      <w:tr>
        <w:trPr/>
        <w:tc>
          <w:tcPr>
            <w:tcW w:w="7400" w:type="dxa"/>
            <w:tcBorders/>
            <w:shd w:fill="CCEEFF" w:val="clear"/>
            <w:vAlign w:val="center"/>
          </w:tcPr>
          <w:p>
            <w:pPr>
              <w:pStyle w:val="TableContents"/>
              <w:bidi w:val="0"/>
              <w:spacing w:before="0" w:after="283"/>
              <w:jc w:val="left"/>
              <w:rPr/>
            </w:pPr>
            <w:r>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27" w:name="xdx_40C_eus-gaap--IncreaseDecreaseInAcco"/>
            <w:bookmarkEnd w:id="227"/>
          </w:p>
        </w:tc>
      </w:tr>
      <w:tr>
        <w:trPr/>
        <w:tc>
          <w:tcPr>
            <w:tcW w:w="740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17,759,629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(230,885</w:t>
            </w:r>
          </w:p>
        </w:tc>
        <w:tc>
          <w:tcPr>
            <w:tcW w:w="110" w:type="dxa"/>
            <w:tcBorders/>
            <w:shd w:fill="FFFFFF" w:val="clear"/>
            <w:vAlign w:val="center"/>
          </w:tcPr>
          <w:p>
            <w:pPr>
              <w:pStyle w:val="TableContents"/>
              <w:bidi w:val="0"/>
              <w:spacing w:before="0" w:after="283"/>
              <w:jc w:val="left"/>
              <w:rPr/>
            </w:pPr>
            <w:r>
              <w:rPr/>
              <w:t>)</w:t>
            </w:r>
            <w:bookmarkStart w:id="228" w:name="xdx_40A_eus-gaap--IncreaseDecreaseInAcco"/>
            <w:bookmarkEnd w:id="228"/>
          </w:p>
        </w:tc>
      </w:tr>
      <w:tr>
        <w:trPr/>
        <w:tc>
          <w:tcPr>
            <w:tcW w:w="7400" w:type="dxa"/>
            <w:tcBorders/>
            <w:shd w:fill="CCEEFF" w:val="clear"/>
            <w:vAlign w:val="center"/>
          </w:tcPr>
          <w:p>
            <w:pPr>
              <w:pStyle w:val="TableContents"/>
              <w:bidi w:val="0"/>
              <w:spacing w:before="0" w:after="283"/>
              <w:jc w:val="left"/>
              <w:rPr/>
            </w:pPr>
            <w:r>
              <w:rPr/>
              <w:t>Accounts receivable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(1,085,213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47,744</w:t>
            </w:r>
          </w:p>
        </w:tc>
        <w:tc>
          <w:tcPr>
            <w:tcW w:w="110" w:type="dxa"/>
            <w:tcBorders/>
            <w:shd w:fill="CCEEFF" w:val="clear"/>
            <w:vAlign w:val="center"/>
          </w:tcPr>
          <w:p>
            <w:pPr>
              <w:pStyle w:val="TableContents"/>
              <w:bidi w:val="0"/>
              <w:spacing w:before="0" w:after="283"/>
              <w:jc w:val="left"/>
              <w:rPr/>
            </w:pPr>
            <w:r>
              <w:rPr/>
              <w:t> </w:t>
            </w:r>
            <w:bookmarkStart w:id="229" w:name="xdx_408_ecustom--IncreaseDecreaseInPrepa"/>
            <w:bookmarkEnd w:id="229"/>
          </w:p>
        </w:tc>
      </w:tr>
      <w:tr>
        <w:trPr/>
        <w:tc>
          <w:tcPr>
            <w:tcW w:w="7400" w:type="dxa"/>
            <w:tcBorders/>
            <w:shd w:fill="FFFFFF" w:val="clear"/>
            <w:vAlign w:val="center"/>
          </w:tcPr>
          <w:p>
            <w:pPr>
              <w:pStyle w:val="TableContents"/>
              <w:bidi w:val="0"/>
              <w:spacing w:before="0" w:after="283"/>
              <w:jc w:val="left"/>
              <w:rPr/>
            </w:pPr>
            <w:r>
              <w:rPr/>
              <w:t>Prepaid expenses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(1,351,838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(2,500,000</w:t>
            </w:r>
          </w:p>
        </w:tc>
        <w:tc>
          <w:tcPr>
            <w:tcW w:w="110" w:type="dxa"/>
            <w:tcBorders/>
            <w:shd w:fill="FFFFFF" w:val="clear"/>
            <w:vAlign w:val="center"/>
          </w:tcPr>
          <w:p>
            <w:pPr>
              <w:pStyle w:val="TableContents"/>
              <w:bidi w:val="0"/>
              <w:spacing w:before="0" w:after="283"/>
              <w:jc w:val="left"/>
              <w:rPr/>
            </w:pPr>
            <w:r>
              <w:rPr/>
              <w:t>)</w:t>
            </w:r>
            <w:bookmarkStart w:id="230" w:name="xdx_400_eus-gaap--IncreaseDecreaseInPrep"/>
            <w:bookmarkEnd w:id="230"/>
          </w:p>
        </w:tc>
      </w:tr>
      <w:tr>
        <w:trPr/>
        <w:tc>
          <w:tcPr>
            <w:tcW w:w="7400"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(1,779,508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(632,240</w:t>
            </w:r>
          </w:p>
        </w:tc>
        <w:tc>
          <w:tcPr>
            <w:tcW w:w="110" w:type="dxa"/>
            <w:tcBorders/>
            <w:shd w:fill="CCEEFF" w:val="clear"/>
            <w:vAlign w:val="center"/>
          </w:tcPr>
          <w:p>
            <w:pPr>
              <w:pStyle w:val="TableContents"/>
              <w:bidi w:val="0"/>
              <w:spacing w:before="0" w:after="283"/>
              <w:jc w:val="left"/>
              <w:rPr/>
            </w:pPr>
            <w:r>
              <w:rPr/>
              <w:t>)</w:t>
            </w:r>
            <w:bookmarkStart w:id="231" w:name="xdx_403_eus-gaap--IncreaseDecreaseInPrep"/>
            <w:bookmarkEnd w:id="231"/>
          </w:p>
        </w:tc>
      </w:tr>
      <w:tr>
        <w:trPr/>
        <w:tc>
          <w:tcPr>
            <w:tcW w:w="7400" w:type="dxa"/>
            <w:tcBorders/>
            <w:shd w:fill="FFFFFF" w:val="clear"/>
            <w:vAlign w:val="center"/>
          </w:tcPr>
          <w:p>
            <w:pPr>
              <w:pStyle w:val="TableContents"/>
              <w:bidi w:val="0"/>
              <w:spacing w:before="0" w:after="283"/>
              <w:jc w:val="left"/>
              <w:rPr/>
            </w:pPr>
            <w:r>
              <w:rPr/>
              <w:t>Prepaid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70,407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32" w:name="xdx_401_eus-gaap--IncreaseDecreaseInAcco"/>
            <w:bookmarkEnd w:id="232"/>
          </w:p>
        </w:tc>
      </w:tr>
      <w:tr>
        <w:trPr/>
        <w:tc>
          <w:tcPr>
            <w:tcW w:w="740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(1,938,654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(1,248,355</w:t>
            </w:r>
          </w:p>
        </w:tc>
        <w:tc>
          <w:tcPr>
            <w:tcW w:w="110" w:type="dxa"/>
            <w:tcBorders/>
            <w:shd w:fill="CCEEFF" w:val="clear"/>
            <w:vAlign w:val="center"/>
          </w:tcPr>
          <w:p>
            <w:pPr>
              <w:pStyle w:val="TableContents"/>
              <w:bidi w:val="0"/>
              <w:spacing w:before="0" w:after="283"/>
              <w:jc w:val="left"/>
              <w:rPr/>
            </w:pPr>
            <w:r>
              <w:rPr/>
              <w:t>)</w:t>
            </w:r>
            <w:bookmarkStart w:id="233" w:name="xdx_40E_eus-gaap--IncreaseDecreaseInAcco"/>
            <w:bookmarkEnd w:id="233"/>
          </w:p>
        </w:tc>
      </w:tr>
      <w:tr>
        <w:trPr/>
        <w:tc>
          <w:tcPr>
            <w:tcW w:w="7400" w:type="dxa"/>
            <w:tcBorders/>
            <w:shd w:fill="FFFFFF" w:val="clear"/>
            <w:vAlign w:val="center"/>
          </w:tcPr>
          <w:p>
            <w:pPr>
              <w:pStyle w:val="TableContents"/>
              <w:bidi w:val="0"/>
              <w:spacing w:before="0" w:after="283"/>
              <w:jc w:val="left"/>
              <w:rPr/>
            </w:pPr>
            <w:r>
              <w:rPr/>
              <w:t>Accounts payable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(6,143,374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(377,476</w:t>
            </w:r>
          </w:p>
        </w:tc>
        <w:tc>
          <w:tcPr>
            <w:tcW w:w="110" w:type="dxa"/>
            <w:tcBorders/>
            <w:shd w:fill="FFFFFF" w:val="clear"/>
            <w:vAlign w:val="center"/>
          </w:tcPr>
          <w:p>
            <w:pPr>
              <w:pStyle w:val="TableContents"/>
              <w:bidi w:val="0"/>
              <w:spacing w:before="0" w:after="283"/>
              <w:jc w:val="left"/>
              <w:rPr/>
            </w:pPr>
            <w:r>
              <w:rPr/>
              <w:t>)</w:t>
            </w:r>
            <w:bookmarkStart w:id="234" w:name="xdx_40B_eus-gaap--IncreaseDecreaseInAccr"/>
            <w:bookmarkEnd w:id="234"/>
          </w:p>
        </w:tc>
      </w:tr>
      <w:tr>
        <w:trPr/>
        <w:tc>
          <w:tcPr>
            <w:tcW w:w="7400" w:type="dxa"/>
            <w:tcBorders/>
            <w:shd w:fill="CCEEFF" w:val="clear"/>
            <w:vAlign w:val="center"/>
          </w:tcPr>
          <w:p>
            <w:pPr>
              <w:pStyle w:val="TableContents"/>
              <w:bidi w:val="0"/>
              <w:spacing w:before="0" w:after="283"/>
              <w:jc w:val="left"/>
              <w:rPr/>
            </w:pPr>
            <w:r>
              <w:rPr/>
              <w:t>Accrued expenses and 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(461,311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443,528</w:t>
            </w:r>
          </w:p>
        </w:tc>
        <w:tc>
          <w:tcPr>
            <w:tcW w:w="110" w:type="dxa"/>
            <w:tcBorders/>
            <w:shd w:fill="CCEEFF" w:val="clear"/>
            <w:vAlign w:val="center"/>
          </w:tcPr>
          <w:p>
            <w:pPr>
              <w:pStyle w:val="TableContents"/>
              <w:bidi w:val="0"/>
              <w:spacing w:before="0" w:after="283"/>
              <w:jc w:val="left"/>
              <w:rPr/>
            </w:pPr>
            <w:r>
              <w:rPr/>
              <w:t> </w:t>
            </w:r>
            <w:bookmarkStart w:id="235" w:name="xdx_407_ecustom--IncreaseDecreaseInInter"/>
            <w:bookmarkEnd w:id="235"/>
          </w:p>
        </w:tc>
      </w:tr>
      <w:tr>
        <w:trPr/>
        <w:tc>
          <w:tcPr>
            <w:tcW w:w="7400" w:type="dxa"/>
            <w:tcBorders/>
            <w:shd w:fill="FFFFFF" w:val="clear"/>
            <w:vAlign w:val="center"/>
          </w:tcPr>
          <w:p>
            <w:pPr>
              <w:pStyle w:val="TableContents"/>
              <w:bidi w:val="0"/>
              <w:spacing w:before="0" w:after="283"/>
              <w:jc w:val="left"/>
              <w:rPr/>
            </w:pPr>
            <w:r>
              <w:rPr/>
              <w:t>Interest receivable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(493</w:t>
            </w:r>
          </w:p>
        </w:tc>
        <w:tc>
          <w:tcPr>
            <w:tcW w:w="110" w:type="dxa"/>
            <w:tcBorders/>
            <w:shd w:fill="FFFFFF" w:val="clear"/>
            <w:vAlign w:val="center"/>
          </w:tcPr>
          <w:p>
            <w:pPr>
              <w:pStyle w:val="TableContents"/>
              <w:bidi w:val="0"/>
              <w:spacing w:before="0" w:after="283"/>
              <w:jc w:val="left"/>
              <w:rPr/>
            </w:pPr>
            <w:r>
              <w:rPr/>
              <w:t>)</w:t>
            </w:r>
            <w:bookmarkStart w:id="236" w:name="xdx_404_eus-gaap--IncreaseDecreaseInOper"/>
            <w:bookmarkEnd w:id="236"/>
          </w:p>
        </w:tc>
      </w:tr>
      <w:tr>
        <w:trPr/>
        <w:tc>
          <w:tcPr>
            <w:tcW w:w="7400"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(64,821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(49,411</w:t>
            </w:r>
          </w:p>
        </w:tc>
        <w:tc>
          <w:tcPr>
            <w:tcW w:w="110" w:type="dxa"/>
            <w:tcBorders/>
            <w:shd w:fill="CCEEFF" w:val="clear"/>
            <w:vAlign w:val="center"/>
          </w:tcPr>
          <w:p>
            <w:pPr>
              <w:pStyle w:val="TableContents"/>
              <w:bidi w:val="0"/>
              <w:spacing w:before="0" w:after="283"/>
              <w:jc w:val="left"/>
              <w:rPr/>
            </w:pPr>
            <w:r>
              <w:rPr/>
              <w:t>)</w:t>
            </w:r>
            <w:bookmarkStart w:id="237" w:name="xdx_400_eus-gaap--IncreaseDecreaseInDefe"/>
            <w:bookmarkEnd w:id="237"/>
          </w:p>
        </w:tc>
      </w:tr>
      <w:tr>
        <w:trPr/>
        <w:tc>
          <w:tcPr>
            <w:tcW w:w="7400"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4,723,462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(151,130</w:t>
            </w:r>
          </w:p>
        </w:tc>
        <w:tc>
          <w:tcPr>
            <w:tcW w:w="110" w:type="dxa"/>
            <w:tcBorders/>
            <w:shd w:fill="FFFFFF" w:val="clear"/>
            <w:vAlign w:val="center"/>
          </w:tcPr>
          <w:p>
            <w:pPr>
              <w:pStyle w:val="TableContents"/>
              <w:bidi w:val="0"/>
              <w:spacing w:before="0" w:after="283"/>
              <w:jc w:val="left"/>
              <w:rPr/>
            </w:pPr>
            <w:r>
              <w:rPr/>
              <w:t>)</w:t>
            </w:r>
            <w:bookmarkStart w:id="238" w:name="xdx_408_eus-gaap--NetCashProvidedByUsedI"/>
            <w:bookmarkEnd w:id="238"/>
          </w:p>
        </w:tc>
      </w:tr>
      <w:tr>
        <w:trPr/>
        <w:tc>
          <w:tcPr>
            <w:tcW w:w="7400" w:type="dxa"/>
            <w:tcBorders/>
            <w:shd w:fill="CCEEFF" w:val="clear"/>
            <w:vAlign w:val="center"/>
          </w:tcPr>
          <w:p>
            <w:pPr>
              <w:pStyle w:val="TableContents"/>
              <w:bidi w:val="0"/>
              <w:spacing w:before="0" w:after="283"/>
              <w:jc w:val="left"/>
              <w:rPr/>
            </w:pPr>
            <w:r>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6,777,187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(6,708,770</w:t>
            </w:r>
          </w:p>
        </w:tc>
        <w:tc>
          <w:tcPr>
            <w:tcW w:w="110" w:type="dxa"/>
            <w:tcBorders/>
            <w:shd w:fill="CCEEFF" w:val="clear"/>
            <w:vAlign w:val="center"/>
          </w:tcPr>
          <w:p>
            <w:pPr>
              <w:pStyle w:val="TableContents"/>
              <w:bidi w:val="0"/>
              <w:spacing w:before="0" w:after="283"/>
              <w:jc w:val="left"/>
              <w:rPr/>
            </w:pPr>
            <w:r>
              <w:rPr/>
              <w:t>)</w:t>
            </w:r>
          </w:p>
        </w:tc>
      </w:tr>
      <w:tr>
        <w:trPr/>
        <w:tc>
          <w:tcPr>
            <w:tcW w:w="7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39" w:name="xdx_400_eus-gaap--NetCashProvidedByUsedI"/>
            <w:bookmarkEnd w:id="239"/>
          </w:p>
        </w:tc>
      </w:tr>
      <w:tr>
        <w:trPr/>
        <w:tc>
          <w:tcPr>
            <w:tcW w:w="740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0" w:name="xdx_40E_ecustom--RepaymentsOnPromissoryN"/>
            <w:bookmarkEnd w:id="240"/>
          </w:p>
        </w:tc>
      </w:tr>
      <w:tr>
        <w:trPr/>
        <w:tc>
          <w:tcPr>
            <w:tcW w:w="7400" w:type="dxa"/>
            <w:tcBorders/>
            <w:shd w:fill="FFFFFF" w:val="clear"/>
            <w:vAlign w:val="center"/>
          </w:tcPr>
          <w:p>
            <w:pPr>
              <w:pStyle w:val="TableContents"/>
              <w:bidi w:val="0"/>
              <w:spacing w:before="0" w:after="283"/>
              <w:jc w:val="left"/>
              <w:rPr/>
            </w:pPr>
            <w:r>
              <w:rPr/>
              <w:t>Repayments on promissory note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(20,484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(26,503</w:t>
            </w:r>
          </w:p>
        </w:tc>
        <w:tc>
          <w:tcPr>
            <w:tcW w:w="110" w:type="dxa"/>
            <w:tcBorders/>
            <w:shd w:fill="FFFFFF" w:val="clear"/>
            <w:vAlign w:val="center"/>
          </w:tcPr>
          <w:p>
            <w:pPr>
              <w:pStyle w:val="TableContents"/>
              <w:bidi w:val="0"/>
              <w:spacing w:before="0" w:after="283"/>
              <w:jc w:val="left"/>
              <w:rPr/>
            </w:pPr>
            <w:r>
              <w:rPr/>
              <w:t>)</w:t>
            </w:r>
            <w:bookmarkStart w:id="241" w:name="xdx_40C_eus-gaap--RepaymentsOfNotesPayab"/>
            <w:bookmarkEnd w:id="241"/>
          </w:p>
        </w:tc>
      </w:tr>
      <w:tr>
        <w:trPr/>
        <w:tc>
          <w:tcPr>
            <w:tcW w:w="7400" w:type="dxa"/>
            <w:tcBorders/>
            <w:shd w:fill="CCEEFF" w:val="clear"/>
            <w:vAlign w:val="center"/>
          </w:tcPr>
          <w:p>
            <w:pPr>
              <w:pStyle w:val="TableContents"/>
              <w:bidi w:val="0"/>
              <w:spacing w:before="0" w:after="283"/>
              <w:jc w:val="left"/>
              <w:rPr/>
            </w:pPr>
            <w:r>
              <w:rPr/>
              <w:t>Repayments on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(2,333,333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(1,666,667</w:t>
            </w:r>
          </w:p>
        </w:tc>
        <w:tc>
          <w:tcPr>
            <w:tcW w:w="110" w:type="dxa"/>
            <w:tcBorders/>
            <w:shd w:fill="CCEEFF" w:val="clear"/>
            <w:vAlign w:val="center"/>
          </w:tcPr>
          <w:p>
            <w:pPr>
              <w:pStyle w:val="TableContents"/>
              <w:bidi w:val="0"/>
              <w:spacing w:before="0" w:after="283"/>
              <w:jc w:val="left"/>
              <w:rPr/>
            </w:pPr>
            <w:r>
              <w:rPr/>
              <w:t>)</w:t>
            </w:r>
            <w:bookmarkStart w:id="242" w:name="xdx_403_eus-gaap--RepaymentsOfConvertibl"/>
            <w:bookmarkEnd w:id="242"/>
          </w:p>
        </w:tc>
      </w:tr>
      <w:tr>
        <w:trPr/>
        <w:tc>
          <w:tcPr>
            <w:tcW w:w="7400" w:type="dxa"/>
            <w:tcBorders/>
            <w:shd w:fill="FFFFFF" w:val="clear"/>
            <w:vAlign w:val="center"/>
          </w:tcPr>
          <w:p>
            <w:pPr>
              <w:pStyle w:val="TableContents"/>
              <w:bidi w:val="0"/>
              <w:spacing w:before="0" w:after="283"/>
              <w:jc w:val="left"/>
              <w:rPr/>
            </w:pPr>
            <w:r>
              <w:rPr/>
              <w:t>Repayments on 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(269,550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43" w:name="xdx_40D_eus-gaap--RepaymentsOfLinesOfCre"/>
            <w:bookmarkEnd w:id="243"/>
          </w:p>
        </w:tc>
      </w:tr>
      <w:tr>
        <w:trPr/>
        <w:tc>
          <w:tcPr>
            <w:tcW w:w="7400" w:type="dxa"/>
            <w:tcBorders/>
            <w:shd w:fill="CCEEFF" w:val="clear"/>
            <w:vAlign w:val="center"/>
          </w:tcPr>
          <w:p>
            <w:pPr>
              <w:pStyle w:val="TableContents"/>
              <w:bidi w:val="0"/>
              <w:spacing w:before="0" w:after="283"/>
              <w:jc w:val="left"/>
              <w:rPr/>
            </w:pPr>
            <w:r>
              <w:rPr/>
              <w:t>Repayments on revolving loan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44" w:name="xdx_400_eus-gaap--PaymentsForRepurchaseO"/>
            <w:bookmarkEnd w:id="244"/>
          </w:p>
        </w:tc>
      </w:tr>
      <w:tr>
        <w:trPr/>
        <w:tc>
          <w:tcPr>
            <w:tcW w:w="7400" w:type="dxa"/>
            <w:tcBorders/>
            <w:shd w:fill="FFFFFF" w:val="clear"/>
            <w:vAlign w:val="center"/>
          </w:tcPr>
          <w:p>
            <w:pPr>
              <w:pStyle w:val="TableContents"/>
              <w:bidi w:val="0"/>
              <w:spacing w:before="0" w:after="283"/>
              <w:jc w:val="left"/>
              <w:rPr/>
            </w:pPr>
            <w:r>
              <w:rPr/>
              <w:t>Purchase of treasury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(257,093</w:t>
            </w:r>
          </w:p>
        </w:tc>
        <w:tc>
          <w:tcPr>
            <w:tcW w:w="110" w:type="dxa"/>
            <w:tcBorders/>
            <w:shd w:fill="FFFFFF" w:val="clear"/>
            <w:vAlign w:val="center"/>
          </w:tcPr>
          <w:p>
            <w:pPr>
              <w:pStyle w:val="TableContents"/>
              <w:bidi w:val="0"/>
              <w:spacing w:before="0" w:after="283"/>
              <w:jc w:val="left"/>
              <w:rPr/>
            </w:pPr>
            <w:r>
              <w:rPr/>
              <w:t>)</w:t>
            </w:r>
            <w:bookmarkStart w:id="245" w:name="xdx_40F_ecustom--PaymentOfCapitalizedOff"/>
            <w:bookmarkEnd w:id="245"/>
          </w:p>
        </w:tc>
      </w:tr>
      <w:tr>
        <w:trPr/>
        <w:tc>
          <w:tcPr>
            <w:tcW w:w="7400" w:type="dxa"/>
            <w:tcBorders/>
            <w:shd w:fill="CCEEFF" w:val="clear"/>
            <w:vAlign w:val="center"/>
          </w:tcPr>
          <w:p>
            <w:pPr>
              <w:pStyle w:val="TableContents"/>
              <w:bidi w:val="0"/>
              <w:spacing w:before="0" w:after="283"/>
              <w:jc w:val="left"/>
              <w:rPr/>
            </w:pPr>
            <w:r>
              <w:rPr/>
              <w:t>Payments of capitalized offering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(92,318</w:t>
            </w:r>
          </w:p>
        </w:tc>
        <w:tc>
          <w:tcPr>
            <w:tcW w:w="110" w:type="dxa"/>
            <w:tcBorders/>
            <w:shd w:fill="CCEEFF" w:val="clear"/>
            <w:vAlign w:val="center"/>
          </w:tcPr>
          <w:p>
            <w:pPr>
              <w:pStyle w:val="TableContents"/>
              <w:bidi w:val="0"/>
              <w:spacing w:before="0" w:after="283"/>
              <w:jc w:val="left"/>
              <w:rPr/>
            </w:pPr>
            <w:r>
              <w:rPr/>
              <w:t>)</w:t>
            </w:r>
            <w:bookmarkStart w:id="246" w:name="xdx_40D_ecustom--PaymentsOfOfferingCosts"/>
            <w:bookmarkEnd w:id="246"/>
          </w:p>
        </w:tc>
      </w:tr>
      <w:tr>
        <w:trPr/>
        <w:tc>
          <w:tcPr>
            <w:tcW w:w="7400" w:type="dxa"/>
            <w:tcBorders/>
            <w:shd w:fill="FFFFFF" w:val="clear"/>
            <w:vAlign w:val="center"/>
          </w:tcPr>
          <w:p>
            <w:pPr>
              <w:pStyle w:val="TableContents"/>
              <w:bidi w:val="0"/>
              <w:spacing w:before="0" w:after="283"/>
              <w:jc w:val="left"/>
              <w:rPr/>
            </w:pPr>
            <w:r>
              <w:rPr/>
              <w:t>Payments of offering costs in 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(262,914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47" w:name="xdx_403_eus-gaap--NetCashProvidedByUsedI"/>
            <w:bookmarkEnd w:id="247"/>
          </w:p>
        </w:tc>
      </w:tr>
      <w:tr>
        <w:trPr/>
        <w:tc>
          <w:tcPr>
            <w:tcW w:w="7400" w:type="dxa"/>
            <w:tcBorders/>
            <w:shd w:fill="CCEEFF" w:val="clear"/>
            <w:vAlign w:val="center"/>
          </w:tcPr>
          <w:p>
            <w:pPr>
              <w:pStyle w:val="TableContents"/>
              <w:bidi w:val="0"/>
              <w:spacing w:before="0" w:after="283"/>
              <w:jc w:val="left"/>
              <w:rPr/>
            </w:pPr>
            <w:r>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(5,886,281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(2,042,581</w:t>
            </w:r>
          </w:p>
        </w:tc>
        <w:tc>
          <w:tcPr>
            <w:tcW w:w="110" w:type="dxa"/>
            <w:tcBorders/>
            <w:shd w:fill="CCEEFF" w:val="clear"/>
            <w:vAlign w:val="center"/>
          </w:tcPr>
          <w:p>
            <w:pPr>
              <w:pStyle w:val="TableContents"/>
              <w:bidi w:val="0"/>
              <w:spacing w:before="0" w:after="283"/>
              <w:jc w:val="left"/>
              <w:rPr/>
            </w:pPr>
            <w:r>
              <w:rPr/>
              <w:t>)</w:t>
            </w:r>
          </w:p>
        </w:tc>
      </w:tr>
      <w:tr>
        <w:trPr/>
        <w:tc>
          <w:tcPr>
            <w:tcW w:w="7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8" w:name="xdx_400_eus-gaap--EffectOfExchangeRateOn"/>
            <w:bookmarkEnd w:id="248"/>
          </w:p>
        </w:tc>
      </w:tr>
      <w:tr>
        <w:trPr/>
        <w:tc>
          <w:tcPr>
            <w:tcW w:w="7400" w:type="dxa"/>
            <w:tcBorders/>
            <w:shd w:fill="CCEEFF" w:val="clear"/>
            <w:vAlign w:val="center"/>
          </w:tcPr>
          <w:p>
            <w:pPr>
              <w:pStyle w:val="TableContents"/>
              <w:bidi w:val="0"/>
              <w:spacing w:before="0" w:after="283"/>
              <w:jc w:val="left"/>
              <w:rPr/>
            </w:pPr>
            <w:r>
              <w:rPr/>
              <w:t>Effect of foreign currency translation on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(19,186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2,074</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9" w:name="xdx_40F_eus-gaap--CashCashEquivalentsRes"/>
            <w:bookmarkEnd w:id="249"/>
          </w:p>
        </w:tc>
      </w:tr>
      <w:tr>
        <w:trPr/>
        <w:tc>
          <w:tcPr>
            <w:tcW w:w="7400" w:type="dxa"/>
            <w:tcBorders/>
            <w:shd w:fill="CCEEFF" w:val="clear"/>
            <w:vAlign w:val="center"/>
          </w:tcPr>
          <w:p>
            <w:pPr>
              <w:pStyle w:val="TableContents"/>
              <w:bidi w:val="0"/>
              <w:spacing w:before="0" w:after="283"/>
              <w:jc w:val="left"/>
              <w:rPr/>
            </w:pPr>
            <w:r>
              <w:rPr/>
              <w:t>Net increase (decrease) in cash and cash equivalents, and restricted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871,720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(8,749,277</w:t>
            </w:r>
          </w:p>
        </w:tc>
        <w:tc>
          <w:tcPr>
            <w:tcW w:w="110" w:type="dxa"/>
            <w:tcBorders/>
            <w:shd w:fill="CCEEFF" w:val="clear"/>
            <w:vAlign w:val="center"/>
          </w:tcPr>
          <w:p>
            <w:pPr>
              <w:pStyle w:val="TableContents"/>
              <w:bidi w:val="0"/>
              <w:spacing w:before="0" w:after="283"/>
              <w:jc w:val="left"/>
              <w:rPr/>
            </w:pPr>
            <w:r>
              <w:rPr/>
              <w:t>)</w:t>
            </w:r>
          </w:p>
        </w:tc>
      </w:tr>
      <w:tr>
        <w:trPr/>
        <w:tc>
          <w:tcPr>
            <w:tcW w:w="7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50" w:name="xdx_40E_eus-gaap--CashCashEquivalentsRes"/>
            <w:bookmarkEnd w:id="250"/>
          </w:p>
        </w:tc>
      </w:tr>
      <w:tr>
        <w:trPr/>
        <w:tc>
          <w:tcPr>
            <w:tcW w:w="7400" w:type="dxa"/>
            <w:tcBorders/>
            <w:shd w:fill="CCEEFF" w:val="clear"/>
            <w:vAlign w:val="center"/>
          </w:tcPr>
          <w:p>
            <w:pPr>
              <w:pStyle w:val="TableContents"/>
              <w:bidi w:val="0"/>
              <w:spacing w:before="0" w:after="283"/>
              <w:jc w:val="left"/>
              <w:rPr/>
            </w:pPr>
            <w:r>
              <w:rPr/>
              <w:t>Cash and cash equivalents, and restricted cash and cash equivalents - beginning of the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16,314,319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19,238,185</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51" w:name="xdx_404_eus-gaap--CashCashEquivalentsRes"/>
            <w:bookmarkEnd w:id="251"/>
          </w:p>
        </w:tc>
      </w:tr>
      <w:tr>
        <w:trPr/>
        <w:tc>
          <w:tcPr>
            <w:tcW w:w="7400" w:type="dxa"/>
            <w:tcBorders/>
            <w:shd w:fill="CCEEFF" w:val="clear"/>
            <w:vAlign w:val="center"/>
          </w:tcPr>
          <w:p>
            <w:pPr>
              <w:pStyle w:val="TableContents"/>
              <w:bidi w:val="0"/>
              <w:spacing w:before="0" w:after="283"/>
              <w:jc w:val="left"/>
              <w:rPr>
                <w:b/>
              </w:rPr>
            </w:pPr>
            <w:r>
              <w:rPr>
                <w:b/>
              </w:rPr>
              <w:t>Cash and cash equivalents, and restricted cash and cash equivalents – end of the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17,186,039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10,488,908</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52" w:name="xdx_408_eus-gaap--SupplementalCashFlowIn"/>
            <w:bookmarkEnd w:id="252"/>
          </w:p>
        </w:tc>
      </w:tr>
      <w:tr>
        <w:trPr/>
        <w:tc>
          <w:tcPr>
            <w:tcW w:w="7400" w:type="dxa"/>
            <w:tcBorders/>
            <w:shd w:fill="CCEEFF" w:val="clear"/>
            <w:vAlign w:val="center"/>
          </w:tcPr>
          <w:p>
            <w:pPr>
              <w:pStyle w:val="TableContents"/>
              <w:bidi w:val="0"/>
              <w:spacing w:before="0" w:after="283"/>
              <w:jc w:val="left"/>
              <w:rPr>
                <w:b/>
              </w:rPr>
            </w:pPr>
            <w:r>
              <w:rPr>
                <w:b/>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53" w:name="xdx_402_ecustom--CashPaidDuringPeriodFor"/>
            <w:bookmarkEnd w:id="253"/>
          </w:p>
        </w:tc>
      </w:tr>
      <w:tr>
        <w:trPr/>
        <w:tc>
          <w:tcPr>
            <w:tcW w:w="7400" w:type="dxa"/>
            <w:tcBorders/>
            <w:shd w:fill="FFFFFF" w:val="clear"/>
            <w:vAlign w:val="center"/>
          </w:tcPr>
          <w:p>
            <w:pPr>
              <w:pStyle w:val="TableContents"/>
              <w:bidi w:val="0"/>
              <w:spacing w:before="0" w:after="283"/>
              <w:jc w:val="left"/>
              <w:rPr>
                <w:b/>
              </w:rPr>
            </w:pPr>
            <w:r>
              <w:rPr>
                <w:b/>
              </w:rPr>
              <w:t>Cash paid during the period for: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54" w:name="xdx_40E_eus-gaap--InterestPaidNet_i02_zg"/>
            <w:bookmarkEnd w:id="254"/>
          </w:p>
        </w:tc>
      </w:tr>
      <w:tr>
        <w:trPr/>
        <w:tc>
          <w:tcPr>
            <w:tcW w:w="7400" w:type="dxa"/>
            <w:tcBorders/>
            <w:shd w:fill="CCEEFF" w:val="clear"/>
            <w:vAlign w:val="center"/>
          </w:tcPr>
          <w:p>
            <w:pPr>
              <w:pStyle w:val="TableContents"/>
              <w:bidi w:val="0"/>
              <w:spacing w:before="0" w:after="283"/>
              <w:jc w:val="left"/>
              <w:rPr/>
            </w:pPr>
            <w:r>
              <w:rPr/>
              <w:t>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171,101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285,672</w:t>
            </w:r>
          </w:p>
        </w:tc>
        <w:tc>
          <w:tcPr>
            <w:tcW w:w="110" w:type="dxa"/>
            <w:tcBorders/>
            <w:shd w:fill="CCEEFF" w:val="clear"/>
            <w:vAlign w:val="center"/>
          </w:tcPr>
          <w:p>
            <w:pPr>
              <w:pStyle w:val="TableContents"/>
              <w:bidi w:val="0"/>
              <w:spacing w:before="0" w:after="283"/>
              <w:jc w:val="left"/>
              <w:rPr/>
            </w:pPr>
            <w:r>
              <w:rPr/>
              <w:t> </w:t>
            </w:r>
            <w:bookmarkStart w:id="255" w:name="xdx_406_eus-gaap--IncomeTaxesPaidNet_i02"/>
            <w:bookmarkEnd w:id="255"/>
          </w:p>
        </w:tc>
      </w:tr>
      <w:tr>
        <w:trPr/>
        <w:tc>
          <w:tcPr>
            <w:tcW w:w="7400" w:type="dxa"/>
            <w:tcBorders/>
            <w:shd w:fill="FFFFFF" w:val="clear"/>
            <w:vAlign w:val="center"/>
          </w:tcPr>
          <w:p>
            <w:pPr>
              <w:pStyle w:val="TableContents"/>
              <w:bidi w:val="0"/>
              <w:spacing w:before="0" w:after="283"/>
              <w:jc w:val="left"/>
              <w:rPr/>
            </w:pPr>
            <w:r>
              <w:rPr/>
              <w:t>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1,871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182,387</w:t>
            </w:r>
          </w:p>
        </w:tc>
        <w:tc>
          <w:tcPr>
            <w:tcW w:w="110" w:type="dxa"/>
            <w:tcBorders/>
            <w:shd w:fill="FFFFFF" w:val="clear"/>
            <w:vAlign w:val="center"/>
          </w:tcPr>
          <w:p>
            <w:pPr>
              <w:pStyle w:val="TableContents"/>
              <w:bidi w:val="0"/>
              <w:spacing w:before="0" w:after="283"/>
              <w:jc w:val="left"/>
              <w:rPr/>
            </w:pPr>
            <w:r>
              <w:rPr/>
              <w:t> </w:t>
            </w:r>
            <w:bookmarkStart w:id="256" w:name="xdx_40A_ecustom--CashFlowNoncashFinancin"/>
            <w:bookmarkEnd w:id="256"/>
          </w:p>
        </w:tc>
      </w:tr>
      <w:tr>
        <w:trPr/>
        <w:tc>
          <w:tcPr>
            <w:tcW w:w="7400" w:type="dxa"/>
            <w:tcBorders/>
            <w:shd w:fill="CCEEFF" w:val="clear"/>
            <w:vAlign w:val="center"/>
          </w:tcPr>
          <w:p>
            <w:pPr>
              <w:pStyle w:val="TableContents"/>
              <w:bidi w:val="0"/>
              <w:spacing w:before="0" w:after="283"/>
              <w:jc w:val="left"/>
              <w:rPr>
                <w:b/>
              </w:rPr>
            </w:pPr>
            <w:r>
              <w:rPr>
                <w:b/>
              </w:rPr>
              <w:t>Noncash finance activity during the period for: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57" w:name="xdx_40D_ecustom--DebtConvertedToEquity_i"/>
            <w:bookmarkEnd w:id="257"/>
          </w:p>
        </w:tc>
      </w:tr>
      <w:tr>
        <w:trPr/>
        <w:tc>
          <w:tcPr>
            <w:tcW w:w="7400" w:type="dxa"/>
            <w:tcBorders/>
            <w:shd w:fill="FFFFFF" w:val="clear"/>
            <w:vAlign w:val="center"/>
          </w:tcPr>
          <w:p>
            <w:pPr>
              <w:pStyle w:val="TableContents"/>
              <w:bidi w:val="0"/>
              <w:spacing w:before="0" w:after="283"/>
              <w:jc w:val="left"/>
              <w:rPr/>
            </w:pPr>
            <w:r>
              <w:rPr/>
              <w:t>Debt converted to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(60,000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58" w:name="S1_008"/>
      <w:bookmarkEnd w:id="258"/>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9" w:name="xdx_805_eus-gaap--OrganizationConsolidat"/>
      <w:bookmarkEnd w:id="259"/>
      <w:r>
        <w:rPr>
          <w:rFonts w:ascii="Times New Roman;Times;Serif" w:hAnsi="Times New Roman;Times;Serif"/>
          <w:b/>
          <w:i w:val="false"/>
          <w:caps w:val="false"/>
          <w:smallCaps w:val="false"/>
          <w:sz w:val="20"/>
        </w:rPr>
        <w:t xml:space="preserve">NOTE 1 – </w:t>
      </w:r>
      <w:bookmarkStart w:id="260" w:name="xdx_829_zp3CTtWdWBNh"/>
      <w:bookmarkEnd w:id="260"/>
      <w:r>
        <w:rPr>
          <w:rFonts w:ascii="Times New Roman;Times;Serif" w:hAnsi="Times New Roman;Times;Serif"/>
          <w:b/>
          <w:i w:val="false"/>
          <w:caps w:val="false"/>
          <w:smallCaps w:val="false"/>
          <w:sz w:val="20"/>
        </w:rPr>
        <w:t>PRESENTATION AND NATURE OF OPERATIONS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Snail, Inc. was incorporated under the laws of Delaware in January 2022. The terms “Snail, Inc,” “Snail Games,” “our” and the “Company” are used to refer collectively to Snail, Inc. and its subsidiaries. The Company’s fiscal year end is December 31. The Company was formed for the purpose of completing an initial public offering (“IPO”) and related transactions to carry on the business of Snail Games USA Inc. and its subsidiaries. Snail Games USA Inc. was founded in 2009 as a wholly owned subsidiary of Suzhou Snail Digital Technology Co., Ltd. (“Suzhou Snail”) located in Suzhou, China and is the operating entity that continues post IPO. Snail Games USA Inc. is devoted to researching, developing, marketing, publishing, and distributing games, content and support that can be played on a variety of platforms including game consoles, PCs, mobile phones and tablets.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 and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have been prepared in accordance with the rules and regulations of the SEC and generally accepted accounting principles as promulgated in the United States of America (“U.S. GAAP”) for interim reporting. Accordingly, certain notes or other information that are normally required by U.S. GAAP have been condensed or omitted if they substantially duplicate disclosures contained in our annual audited consolidated financial statements. Additionally, the year-end condensed consolidated balance sheet data was derived from audited consolidated financial statements but does not include all disclosures required by U.S. GAAP. Accordingly, the unaudited condensed consolidated financial statements should be read in conjunction with the audited consolidated financial statements and notes thereto for the year ended December 31, 2023 included in the Company’s Annual Report on Form 10-K for the fiscal year ended December 31, 2023, filed with the SEC on April 1, 2024. The condensed consolidated results of operations for any interim period are not necessarily indicative of the results to be expected for the full year or for any other future annual or interim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all adjustments considered necessary for the fair presentation of the Company’s financial position and its results of operations in accordance with U.S. GAAP (consisting of normal recurring adjustments) have been included in the accompanying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certain comparative amounts were reclassified due to immaterial errors identified by the Company in its presentation of certain server hosting costs. During the three months ended June 30, 2023, the Company began reporting all of its server hosting costs as costs of revenue whereas they were previously reported within both cost of revenues and general and administrative expenses. The Company has assessed the materiality of these errors on its prior annual and interim financial statements, assessing materiality both quantitatively and qualitatively, in accordance with the SEC’s Staff Accounting Bulletin (“SAB”) No. 99 and SAB No. 108 and concluded that the errors were not material to those consolidated financial statements. However, to correctly present cost of revenues, gross profit and general and administrative expenses, the reclassifications have been made throughout this report and accompanying note disclosures. The effects on the related captions in the unaudited condensed consolidated statements of operations and comprehensive income (loss) for all previously reported periods were as follows:</w:t>
      </w:r>
    </w:p>
    <w:p>
      <w:pPr>
        <w:pStyle w:val="TextBody"/>
        <w:bidi w:val="0"/>
        <w:spacing w:before="0" w:after="0"/>
        <w:jc w:val="center"/>
        <w:rPr>
          <w:caps w:val="false"/>
          <w:smallCaps w:val="false"/>
        </w:rPr>
      </w:pPr>
      <w:bookmarkStart w:id="261" w:name="xdx_895_eus-gaap--ScheduleOfComprehensiv"/>
      <w:bookmarkEnd w:id="261"/>
      <w:r>
        <w:rPr>
          <w:caps w:val="false"/>
          <w:smallCaps w:val="false"/>
        </w:rPr>
        <w:t> </w:t>
      </w:r>
      <w:bookmarkStart w:id="262" w:name="xdx_8BC_zSn4zhoFncLe"/>
      <w:bookmarkEnd w:id="262"/>
      <w:r>
        <w:rPr>
          <w:rFonts w:ascii="Times New Roman;Times;Serif" w:hAnsi="Times New Roman;Times;Serif"/>
          <w:b w:val="false"/>
          <w:i w:val="false"/>
          <w:caps w:val="false"/>
          <w:smallCaps w:val="false"/>
          <w:sz w:val="20"/>
        </w:rPr>
        <w:t>SCHEDULE OF OPERATIONS AND COMPREHENSIVE INCOME (LOSS)</w:t>
      </w:r>
    </w:p>
    <w:tbl>
      <w:tblPr>
        <w:tblW w:w="6544" w:type="dxa"/>
        <w:jc w:val="left"/>
        <w:tblInd w:w="0" w:type="dxa"/>
        <w:tblLayout w:type="fixed"/>
        <w:tblCellMar>
          <w:top w:w="0" w:type="dxa"/>
          <w:left w:w="0" w:type="dxa"/>
          <w:bottom w:w="0" w:type="dxa"/>
          <w:right w:w="0" w:type="dxa"/>
        </w:tblCellMar>
      </w:tblPr>
      <w:tblGrid>
        <w:gridCol w:w="2570"/>
        <w:gridCol w:w="60"/>
        <w:gridCol w:w="141"/>
        <w:gridCol w:w="988"/>
        <w:gridCol w:w="60"/>
        <w:gridCol w:w="60"/>
        <w:gridCol w:w="140"/>
        <w:gridCol w:w="1055"/>
        <w:gridCol w:w="95"/>
        <w:gridCol w:w="60"/>
        <w:gridCol w:w="140"/>
        <w:gridCol w:w="1100"/>
        <w:gridCol w:w="75"/>
      </w:tblGrid>
      <w:tr>
        <w:trPr/>
        <w:tc>
          <w:tcPr>
            <w:tcW w:w="25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39" w:type="dxa"/>
            <w:gridSpan w:val="10"/>
            <w:tcBorders>
              <w:bottom w:val="single" w:sz="12" w:space="0" w:color="000000"/>
            </w:tcBorders>
            <w:tcMar>
              <w:bottom w:w="28" w:type="dxa"/>
            </w:tcMar>
            <w:vAlign w:val="center"/>
          </w:tcPr>
          <w:p>
            <w:pPr>
              <w:pStyle w:val="TableContents"/>
              <w:bidi w:val="0"/>
              <w:spacing w:before="0" w:after="283"/>
              <w:jc w:val="center"/>
              <w:rPr/>
            </w:pPr>
            <w:r>
              <w:rPr/>
              <w:t xml:space="preserve">For the three months ended </w:t>
              <w:br/>
              <w:t>March 31, 2023</w:t>
            </w:r>
          </w:p>
        </w:tc>
        <w:tc>
          <w:tcPr>
            <w:tcW w:w="75"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pPr>
            <w:r>
              <w:rPr/>
              <w:t>As reported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pPr>
            <w:r>
              <w:rPr/>
              <w:t>Adjustment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As adjusted</w:t>
            </w:r>
          </w:p>
        </w:tc>
        <w:tc>
          <w:tcPr>
            <w:tcW w:w="75"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bookmarkStart w:id="263" w:name="xdx_982_eus-gaap--CostOfRevenue_c2023010"/>
            <w:bookmarkEnd w:id="263"/>
          </w:p>
        </w:tc>
        <w:tc>
          <w:tcPr>
            <w:tcW w:w="988" w:type="dxa"/>
            <w:tcBorders/>
            <w:shd w:fill="CCEEFF" w:val="clear"/>
            <w:vAlign w:val="center"/>
          </w:tcPr>
          <w:p>
            <w:pPr>
              <w:pStyle w:val="TableContents"/>
              <w:bidi w:val="0"/>
              <w:spacing w:before="0" w:after="283"/>
              <w:jc w:val="right"/>
              <w:rPr/>
            </w:pPr>
            <w:r>
              <w:rPr/>
              <w:t>9,816,397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64" w:name="xdx_98C_eus-gaap--CostOfRevenue_c2023010"/>
            <w:bookmarkEnd w:id="264"/>
          </w:p>
        </w:tc>
        <w:tc>
          <w:tcPr>
            <w:tcW w:w="1055" w:type="dxa"/>
            <w:tcBorders/>
            <w:shd w:fill="CCEEFF" w:val="clear"/>
            <w:vAlign w:val="center"/>
          </w:tcPr>
          <w:p>
            <w:pPr>
              <w:pStyle w:val="TableContents"/>
              <w:bidi w:val="0"/>
              <w:spacing w:before="0" w:after="283"/>
              <w:jc w:val="right"/>
              <w:rPr/>
            </w:pPr>
            <w:r>
              <w:rPr/>
              <w:t>1,044,540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65" w:name="xdx_980_eus-gaap--CostOfRevenue_c2023010"/>
            <w:bookmarkEnd w:id="265"/>
          </w:p>
        </w:tc>
        <w:tc>
          <w:tcPr>
            <w:tcW w:w="1100" w:type="dxa"/>
            <w:tcBorders/>
            <w:shd w:fill="CCEEFF" w:val="clear"/>
            <w:vAlign w:val="center"/>
          </w:tcPr>
          <w:p>
            <w:pPr>
              <w:pStyle w:val="TableContents"/>
              <w:bidi w:val="0"/>
              <w:spacing w:before="0" w:after="283"/>
              <w:jc w:val="right"/>
              <w:rPr/>
            </w:pPr>
            <w:r>
              <w:rPr/>
              <w:t>10,860,937</w:t>
            </w:r>
          </w:p>
        </w:tc>
        <w:tc>
          <w:tcPr>
            <w:tcW w:w="75"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bookmarkStart w:id="266" w:name="xdx_988_eus-gaap--GrossProfit_c20230101_"/>
            <w:bookmarkEnd w:id="266"/>
          </w:p>
        </w:tc>
        <w:tc>
          <w:tcPr>
            <w:tcW w:w="988" w:type="dxa"/>
            <w:tcBorders/>
            <w:shd w:fill="FFFFFF" w:val="clear"/>
            <w:vAlign w:val="center"/>
          </w:tcPr>
          <w:p>
            <w:pPr>
              <w:pStyle w:val="TableContents"/>
              <w:bidi w:val="0"/>
              <w:spacing w:before="0" w:after="283"/>
              <w:jc w:val="right"/>
              <w:rPr/>
            </w:pPr>
            <w:r>
              <w:rPr/>
              <w:t>3,642,091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67" w:name="xdx_989_eus-gaap--GrossProfit_c20230101_"/>
            <w:bookmarkEnd w:id="267"/>
          </w:p>
        </w:tc>
        <w:tc>
          <w:tcPr>
            <w:tcW w:w="1055" w:type="dxa"/>
            <w:tcBorders/>
            <w:shd w:fill="FFFFFF" w:val="clear"/>
            <w:vAlign w:val="center"/>
          </w:tcPr>
          <w:p>
            <w:pPr>
              <w:pStyle w:val="TableContents"/>
              <w:bidi w:val="0"/>
              <w:spacing w:before="0" w:after="283"/>
              <w:jc w:val="right"/>
              <w:rPr/>
            </w:pPr>
            <w:r>
              <w:rPr/>
              <w:t>(1,044,540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68" w:name="xdx_987_eus-gaap--GrossProfit_c20230101_"/>
            <w:bookmarkEnd w:id="268"/>
          </w:p>
        </w:tc>
        <w:tc>
          <w:tcPr>
            <w:tcW w:w="1100" w:type="dxa"/>
            <w:tcBorders/>
            <w:shd w:fill="FFFFFF" w:val="clear"/>
            <w:vAlign w:val="center"/>
          </w:tcPr>
          <w:p>
            <w:pPr>
              <w:pStyle w:val="TableContents"/>
              <w:bidi w:val="0"/>
              <w:spacing w:before="0" w:after="283"/>
              <w:jc w:val="right"/>
              <w:rPr/>
            </w:pPr>
            <w:r>
              <w:rPr/>
              <w:t>2,597,551</w:t>
            </w:r>
          </w:p>
        </w:tc>
        <w:tc>
          <w:tcPr>
            <w:tcW w:w="75"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bookmarkStart w:id="269" w:name="xdx_980_eus-gaap--GeneralAndAdministrati"/>
            <w:bookmarkEnd w:id="269"/>
          </w:p>
        </w:tc>
        <w:tc>
          <w:tcPr>
            <w:tcW w:w="988" w:type="dxa"/>
            <w:tcBorders/>
            <w:shd w:fill="CCEEFF" w:val="clear"/>
            <w:vAlign w:val="center"/>
          </w:tcPr>
          <w:p>
            <w:pPr>
              <w:pStyle w:val="TableContents"/>
              <w:bidi w:val="0"/>
              <w:spacing w:before="0" w:after="283"/>
              <w:jc w:val="right"/>
              <w:rPr/>
            </w:pPr>
            <w:r>
              <w:rPr/>
              <w:t>5,570,291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270" w:name="xdx_98D_eus-gaap--GeneralAndAdministrati"/>
            <w:bookmarkEnd w:id="270"/>
          </w:p>
        </w:tc>
        <w:tc>
          <w:tcPr>
            <w:tcW w:w="1055" w:type="dxa"/>
            <w:tcBorders/>
            <w:shd w:fill="CCEEFF" w:val="clear"/>
            <w:vAlign w:val="center"/>
          </w:tcPr>
          <w:p>
            <w:pPr>
              <w:pStyle w:val="TableContents"/>
              <w:bidi w:val="0"/>
              <w:spacing w:before="0" w:after="283"/>
              <w:jc w:val="right"/>
              <w:rPr/>
            </w:pPr>
            <w:r>
              <w:rPr/>
              <w:t>(1,044,540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271" w:name="xdx_982_eus-gaap--GeneralAndAdministrati"/>
            <w:bookmarkEnd w:id="271"/>
          </w:p>
        </w:tc>
        <w:tc>
          <w:tcPr>
            <w:tcW w:w="1100" w:type="dxa"/>
            <w:tcBorders/>
            <w:shd w:fill="CCEEFF" w:val="clear"/>
            <w:vAlign w:val="center"/>
          </w:tcPr>
          <w:p>
            <w:pPr>
              <w:pStyle w:val="TableContents"/>
              <w:bidi w:val="0"/>
              <w:spacing w:before="0" w:after="283"/>
              <w:jc w:val="right"/>
              <w:rPr/>
            </w:pPr>
            <w:r>
              <w:rPr/>
              <w:t>4,525,751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272" w:name="xdx_8A7_z3lTvGfyYOsl"/>
      <w:bookmarkEnd w:id="27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73" w:name="xdx_89F_ecustom--ScheduleOfEquityInteres"/>
      <w:bookmarkEnd w:id="273"/>
      <w:r>
        <w:rPr>
          <w:rFonts w:ascii="Times New Roman;Times;Serif" w:hAnsi="Times New Roman;Times;Serif"/>
          <w:b w:val="false"/>
          <w:i w:val="false"/>
          <w:caps w:val="false"/>
          <w:smallCaps w:val="false"/>
          <w:sz w:val="20"/>
        </w:rPr>
        <w:t>The condensed consolidated financial statements include the accounts of Snail, Inc. and the following subsidiaries:</w:t>
      </w:r>
    </w:p>
    <w:p>
      <w:pPr>
        <w:pStyle w:val="TextBody"/>
        <w:bidi w:val="0"/>
        <w:spacing w:before="0" w:after="0"/>
        <w:jc w:val="center"/>
        <w:rPr>
          <w:caps w:val="false"/>
          <w:smallCaps w:val="false"/>
        </w:rPr>
      </w:pPr>
      <w:r>
        <w:rPr>
          <w:caps w:val="false"/>
          <w:smallCaps w:val="false"/>
        </w:rPr>
        <w:t> </w:t>
      </w:r>
      <w:bookmarkStart w:id="274" w:name="xdx_8BE_zp5gY9jCvYGh"/>
      <w:bookmarkEnd w:id="274"/>
      <w:r>
        <w:rPr>
          <w:rFonts w:ascii="Times New Roman;Times;Serif" w:hAnsi="Times New Roman;Times;Serif"/>
          <w:b w:val="false"/>
          <w:i w:val="false"/>
          <w:caps w:val="false"/>
          <w:smallCaps w:val="false"/>
          <w:sz w:val="20"/>
        </w:rPr>
        <w:t>SCHEDULE OF SUBSIDIARIES INCLUDED IN THE CONSOLIDATED FINANCIAL STATEMENTS</w:t>
      </w:r>
    </w:p>
    <w:tbl>
      <w:tblPr>
        <w:tblW w:w="4409" w:type="dxa"/>
        <w:jc w:val="left"/>
        <w:tblInd w:w="0" w:type="dxa"/>
        <w:tblLayout w:type="fixed"/>
        <w:tblCellMar>
          <w:top w:w="0" w:type="dxa"/>
          <w:left w:w="0" w:type="dxa"/>
          <w:bottom w:w="0" w:type="dxa"/>
          <w:right w:w="0" w:type="dxa"/>
        </w:tblCellMar>
      </w:tblPr>
      <w:tblGrid>
        <w:gridCol w:w="3110"/>
        <w:gridCol w:w="60"/>
        <w:gridCol w:w="136"/>
        <w:gridCol w:w="873"/>
        <w:gridCol w:w="230"/>
      </w:tblGrid>
      <w:tr>
        <w:trPr/>
        <w:tc>
          <w:tcPr>
            <w:tcW w:w="31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b/>
              </w:rPr>
            </w:pPr>
            <w:r>
              <w:rPr>
                <w:b/>
              </w:rPr>
              <w:t>Equity %</w:t>
            </w:r>
          </w:p>
        </w:tc>
        <w:tc>
          <w:tcPr>
            <w:tcW w:w="230" w:type="dxa"/>
            <w:tcBorders/>
            <w:vAlign w:val="center"/>
          </w:tcPr>
          <w:p>
            <w:pPr>
              <w:pStyle w:val="TableContents"/>
              <w:bidi w:val="0"/>
              <w:spacing w:before="0" w:after="283"/>
              <w:jc w:val="left"/>
              <w:rPr/>
            </w:pPr>
            <w:r>
              <w:rPr/>
              <w:t> </w:t>
            </w:r>
          </w:p>
        </w:tc>
      </w:tr>
      <w:tr>
        <w:trPr/>
        <w:tc>
          <w:tcPr>
            <w:tcW w:w="3110" w:type="dxa"/>
            <w:tcBorders>
              <w:bottom w:val="single" w:sz="12" w:space="0" w:color="000000"/>
            </w:tcBorders>
            <w:tcMar>
              <w:bottom w:w="28" w:type="dxa"/>
            </w:tcMar>
            <w:vAlign w:val="center"/>
          </w:tcPr>
          <w:p>
            <w:pPr>
              <w:pStyle w:val="TableContents"/>
              <w:bidi w:val="0"/>
              <w:spacing w:before="0" w:after="283"/>
              <w:jc w:val="center"/>
              <w:rPr>
                <w:b/>
              </w:rPr>
            </w:pPr>
            <w:r>
              <w:rPr>
                <w:b/>
              </w:rPr>
              <w:t>Subsidiary Name</w:t>
            </w:r>
          </w:p>
        </w:tc>
        <w:tc>
          <w:tcPr>
            <w:tcW w:w="60" w:type="dxa"/>
            <w:tcBorders/>
            <w:vAlign w:val="center"/>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Owned</w:t>
            </w:r>
          </w:p>
        </w:tc>
        <w:tc>
          <w:tcPr>
            <w:tcW w:w="23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Snail Games USA Inc.</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bookmarkStart w:id="275" w:name="xdx_981_eus-gaap--MinorityInterestOwners"/>
            <w:bookmarkEnd w:id="275"/>
          </w:p>
        </w:tc>
        <w:tc>
          <w:tcPr>
            <w:tcW w:w="873"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pPr>
            <w:r>
              <w:rPr/>
              <w:t>Snail Innovation Institute</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bookmarkStart w:id="276" w:name="xdx_986_eus-gaap--MinorityInterestOwners"/>
            <w:bookmarkEnd w:id="276"/>
          </w:p>
        </w:tc>
        <w:tc>
          <w:tcPr>
            <w:tcW w:w="873" w:type="dxa"/>
            <w:tcBorders/>
            <w:shd w:fill="FFFFFF" w:val="clear"/>
            <w:vAlign w:val="center"/>
          </w:tcPr>
          <w:p>
            <w:pPr>
              <w:pStyle w:val="TableContents"/>
              <w:bidi w:val="0"/>
              <w:spacing w:before="0" w:after="283"/>
              <w:jc w:val="right"/>
              <w:rPr/>
            </w:pPr>
            <w:r>
              <w:rPr/>
              <w:t>70</w:t>
            </w:r>
          </w:p>
        </w:tc>
        <w:tc>
          <w:tcPr>
            <w:tcW w:w="230" w:type="dxa"/>
            <w:tcBorders/>
            <w:shd w:fill="FFFFFF" w:val="clear"/>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pPr>
            <w:r>
              <w:rPr/>
              <w:t>Frostkeep Studios, Inc.</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bookmarkStart w:id="277" w:name="xdx_980_eus-gaap--MinorityInterestOwners"/>
            <w:bookmarkEnd w:id="277"/>
          </w:p>
        </w:tc>
        <w:tc>
          <w:tcPr>
            <w:tcW w:w="873"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pPr>
            <w:r>
              <w:rPr/>
              <w:t>Eminence Corp</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bookmarkStart w:id="278" w:name="xdx_986_eus-gaap--MinorityInterestOwners"/>
            <w:bookmarkEnd w:id="278"/>
          </w:p>
        </w:tc>
        <w:tc>
          <w:tcPr>
            <w:tcW w:w="873" w:type="dxa"/>
            <w:tcBorders/>
            <w:shd w:fill="FFFFFF" w:val="clear"/>
            <w:vAlign w:val="center"/>
          </w:tcPr>
          <w:p>
            <w:pPr>
              <w:pStyle w:val="TableContents"/>
              <w:bidi w:val="0"/>
              <w:spacing w:before="0" w:after="283"/>
              <w:jc w:val="right"/>
              <w:rPr/>
            </w:pPr>
            <w:r>
              <w:rPr/>
              <w:t>100</w:t>
            </w:r>
          </w:p>
        </w:tc>
        <w:tc>
          <w:tcPr>
            <w:tcW w:w="230" w:type="dxa"/>
            <w:tcBorders/>
            <w:shd w:fill="FFFFFF" w:val="clear"/>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pPr>
            <w:r>
              <w:rPr/>
              <w:t>Wandering Wizard, LLC</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bookmarkStart w:id="279" w:name="xdx_989_eus-gaap--MinorityInterestOwners"/>
            <w:bookmarkEnd w:id="279"/>
          </w:p>
        </w:tc>
        <w:tc>
          <w:tcPr>
            <w:tcW w:w="873"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pPr>
            <w:r>
              <w:rPr/>
              <w:t>Donkey Crew, LLC</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bookmarkStart w:id="280" w:name="xdx_989_eus-gaap--MinorityInterestOwners"/>
            <w:bookmarkEnd w:id="280"/>
          </w:p>
        </w:tc>
        <w:tc>
          <w:tcPr>
            <w:tcW w:w="873" w:type="dxa"/>
            <w:tcBorders/>
            <w:shd w:fill="FFFFFF" w:val="clear"/>
            <w:vAlign w:val="center"/>
          </w:tcPr>
          <w:p>
            <w:pPr>
              <w:pStyle w:val="TableContents"/>
              <w:bidi w:val="0"/>
              <w:spacing w:before="0" w:after="283"/>
              <w:jc w:val="right"/>
              <w:rPr/>
            </w:pPr>
            <w:r>
              <w:rPr/>
              <w:t>99</w:t>
            </w:r>
          </w:p>
        </w:tc>
        <w:tc>
          <w:tcPr>
            <w:tcW w:w="230" w:type="dxa"/>
            <w:tcBorders/>
            <w:shd w:fill="FFFFFF" w:val="clear"/>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pPr>
            <w:r>
              <w:rPr/>
              <w:t>Interactive Films, LLC</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bookmarkStart w:id="281" w:name="xdx_984_eus-gaap--MinorityInterestOwners"/>
            <w:bookmarkEnd w:id="281"/>
          </w:p>
        </w:tc>
        <w:tc>
          <w:tcPr>
            <w:tcW w:w="873"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pPr>
            <w:r>
              <w:rPr/>
              <w:t>Project AWK Productions, LLC</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bookmarkStart w:id="282" w:name="xdx_981_eus-gaap--MinorityInterestOwners"/>
            <w:bookmarkEnd w:id="282"/>
          </w:p>
        </w:tc>
        <w:tc>
          <w:tcPr>
            <w:tcW w:w="873" w:type="dxa"/>
            <w:tcBorders/>
            <w:shd w:fill="FFFFFF" w:val="clear"/>
            <w:vAlign w:val="center"/>
          </w:tcPr>
          <w:p>
            <w:pPr>
              <w:pStyle w:val="TableContents"/>
              <w:bidi w:val="0"/>
              <w:spacing w:before="0" w:after="283"/>
              <w:jc w:val="right"/>
              <w:rPr/>
            </w:pPr>
            <w:r>
              <w:rPr/>
              <w:t>100</w:t>
            </w:r>
          </w:p>
        </w:tc>
        <w:tc>
          <w:tcPr>
            <w:tcW w:w="230" w:type="dxa"/>
            <w:tcBorders/>
            <w:shd w:fill="FFFFFF" w:val="clear"/>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pPr>
            <w:r>
              <w:rPr/>
              <w:t>BTBX.IO, LLC</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bookmarkStart w:id="283" w:name="xdx_984_eus-gaap--MinorityInterestOwners"/>
            <w:bookmarkEnd w:id="283"/>
          </w:p>
        </w:tc>
        <w:tc>
          <w:tcPr>
            <w:tcW w:w="873" w:type="dxa"/>
            <w:tcBorders/>
            <w:shd w:fill="CCEEFF" w:val="clear"/>
            <w:vAlign w:val="center"/>
          </w:tcPr>
          <w:p>
            <w:pPr>
              <w:pStyle w:val="TableContents"/>
              <w:bidi w:val="0"/>
              <w:spacing w:before="0" w:after="283"/>
              <w:jc w:val="right"/>
              <w:rPr/>
            </w:pPr>
            <w:r>
              <w:rPr/>
              <w:t>70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bookmarkStart w:id="284" w:name="xdx_8A2_zDpkpUAtUDP1"/>
      <w:bookmarkEnd w:id="28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intercompany accounts, transactions, and profits have been eliminated upon consolidation.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preparation of condensed consolidated financial statements in conformity with U.S. GAAP requires the Company to make estimates and assumptions that affect the amounts reported in our consolidated financial statements and the accompanying notes. Such estimates include revenue recognition, see Note 2 – </w:t>
      </w:r>
      <w:r>
        <w:rPr>
          <w:rFonts w:ascii="Times New Roman;Times;Serif" w:hAnsi="Times New Roman;Times;Serif"/>
          <w:b w:val="false"/>
          <w:i/>
          <w:caps w:val="false"/>
          <w:smallCaps w:val="false"/>
          <w:sz w:val="20"/>
        </w:rPr>
        <w:t>Revenue Recognition</w:t>
      </w:r>
      <w:r>
        <w:rPr>
          <w:rFonts w:ascii="Times New Roman;Times;Serif" w:hAnsi="Times New Roman;Times;Serif"/>
          <w:b w:val="false"/>
          <w:i w:val="false"/>
          <w:caps w:val="false"/>
          <w:smallCaps w:val="false"/>
          <w:sz w:val="20"/>
        </w:rPr>
        <w:t>, provisions for credit losses, deferred income tax assets and associated valuation allowances, deferred revenue, stock-based compensation and fair value of warrants. These estimates generally involve complex issues and require management to make judgments, involve analysis of historical and future trends that can require extended periods of time to resolve, and are subject to change from period to period. In all cases, actual results could differ materially from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w:t>
      </w:r>
      <w:bookmarkStart w:id="285" w:name="xdx_907_eus-gaap--NumberOfOperatingSegme"/>
      <w:bookmarkEnd w:id="285"/>
      <w:r>
        <w:rPr>
          <w:rFonts w:ascii="Times New Roman;Times;Serif" w:hAnsi="Times New Roman;Times;Serif"/>
          <w:b w:val="false"/>
          <w:i w:val="false"/>
          <w:caps w:val="false"/>
          <w:smallCaps w:val="false"/>
          <w:sz w:val="20"/>
        </w:rPr>
        <w:t xml:space="preserve">one operating and reportable segment. Our operations involve similar products and customers worldwide. Revenue earned is primarily derived from the sale of software titles, which are developed internally or licensed from related parties. Financial information about our segment and geographic regions is included in Note 3 –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2023, the Company released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increasing the cash flows provided by our operating activities. During the three months ended March 31, 2024 the Company’s operating activities provided $</w:t>
      </w:r>
      <w:bookmarkStart w:id="286" w:name="xdx_90C_eus-gaap--NetCashProvidedByUsedI"/>
      <w:bookmarkEnd w:id="286"/>
      <w:r>
        <w:rPr>
          <w:rFonts w:ascii="Times New Roman;Times;Serif" w:hAnsi="Times New Roman;Times;Serif"/>
          <w:b w:val="false"/>
          <w:i w:val="false"/>
          <w:caps w:val="false"/>
          <w:smallCaps w:val="false"/>
          <w:sz w:val="20"/>
        </w:rPr>
        <w:t>6.8 million in cash flows. During the three months ended March 31, 2024 the Company repaid $</w:t>
      </w:r>
      <w:bookmarkStart w:id="287" w:name="xdx_902_ecustom--RevolvingLoanPayable_iI"/>
      <w:bookmarkEnd w:id="287"/>
      <w:r>
        <w:rPr>
          <w:rFonts w:ascii="Times New Roman;Times;Serif" w:hAnsi="Times New Roman;Times;Serif"/>
          <w:b w:val="false"/>
          <w:i w:val="false"/>
          <w:caps w:val="false"/>
          <w:smallCaps w:val="false"/>
          <w:sz w:val="20"/>
        </w:rPr>
        <w:t>3.0 million of the revolving loan balance, the $</w:t>
      </w:r>
      <w:bookmarkStart w:id="288" w:name="xdx_900_eus-gaap--ShortTermBorrowings_iI"/>
      <w:bookmarkEnd w:id="288"/>
      <w:r>
        <w:rPr>
          <w:rFonts w:ascii="Times New Roman;Times;Serif" w:hAnsi="Times New Roman;Times;Serif"/>
          <w:b w:val="false"/>
          <w:i w:val="false"/>
          <w:caps w:val="false"/>
          <w:smallCaps w:val="false"/>
          <w:sz w:val="20"/>
        </w:rPr>
        <w:t>0.8 million balance of its 2022 Short Term Note, $</w:t>
      </w:r>
      <w:bookmarkStart w:id="289" w:name="xdx_90D_eus-gaap--DebtConversionConverte"/>
      <w:bookmarkEnd w:id="289"/>
      <w:r>
        <w:rPr>
          <w:rFonts w:ascii="Times New Roman;Times;Serif" w:hAnsi="Times New Roman;Times;Serif"/>
          <w:b w:val="false"/>
          <w:i w:val="false"/>
          <w:caps w:val="false"/>
          <w:smallCaps w:val="false"/>
          <w:sz w:val="20"/>
        </w:rPr>
        <w:t>0.3 million of accrued interest and principal on its convertible notes balance, the balance of the $</w:t>
      </w:r>
      <w:bookmarkStart w:id="290" w:name="xdx_905_eus-gaap--ShortTermBorrowings_iI"/>
      <w:bookmarkEnd w:id="290"/>
      <w:r>
        <w:rPr>
          <w:rFonts w:ascii="Times New Roman;Times;Serif" w:hAnsi="Times New Roman;Times;Serif"/>
          <w:b w:val="false"/>
          <w:i w:val="false"/>
          <w:caps w:val="false"/>
          <w:smallCaps w:val="false"/>
          <w:sz w:val="20"/>
        </w:rPr>
        <w:t>1.5 million short term note and is in the process of negotiating a new term loan. The Company paid an additional $</w:t>
      </w:r>
      <w:bookmarkStart w:id="291" w:name="xdx_902_eus-gaap--DebtInstrumentIncrease"/>
      <w:bookmarkEnd w:id="291"/>
      <w:r>
        <w:rPr>
          <w:rFonts w:ascii="Times New Roman;Times;Serif" w:hAnsi="Times New Roman;Times;Serif"/>
          <w:b w:val="false"/>
          <w:i w:val="false"/>
          <w:caps w:val="false"/>
          <w:smallCaps w:val="false"/>
          <w:sz w:val="20"/>
        </w:rPr>
        <w:t>0.5 million of accrued interest and principal on its convertible notes in April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debts coming due of $</w:t>
      </w:r>
      <w:bookmarkStart w:id="292" w:name="xdx_909_ecustom--RevolvingLoanPayable_iI"/>
      <w:bookmarkEnd w:id="292"/>
      <w:r>
        <w:rPr>
          <w:rFonts w:ascii="Times New Roman;Times;Serif" w:hAnsi="Times New Roman;Times;Serif"/>
          <w:b w:val="false"/>
          <w:i w:val="false"/>
          <w:caps w:val="false"/>
          <w:smallCaps w:val="false"/>
          <w:sz w:val="20"/>
        </w:rPr>
        <w:t>3.0 million on its revolving loan in December 2024 and $</w:t>
      </w:r>
      <w:bookmarkStart w:id="293" w:name="xdx_90C_eus-gaap--ConvertibleDebt_iI_pn5"/>
      <w:bookmarkEnd w:id="293"/>
      <w:r>
        <w:rPr>
          <w:rFonts w:ascii="Times New Roman;Times;Serif" w:hAnsi="Times New Roman;Times;Serif"/>
          <w:b w:val="false"/>
          <w:i w:val="false"/>
          <w:caps w:val="false"/>
          <w:smallCaps w:val="false"/>
          <w:sz w:val="20"/>
        </w:rPr>
        <w:t>0.7 million due in May 2024 for its convertible notes. Currently, management expects that the Company will not be in compliance with its quarterly debt covenants for the three months ending June 30, 2024. Management is working with the lender to resolve the expected non-compliance with the debt covenants. The Company’s ability to comply with the covenants, or receive waivers for the covenants, can lead to the acceleration of payments due under the debt facilities with the lender, which include the $</w:t>
      </w:r>
      <w:bookmarkStart w:id="294" w:name="xdx_90A_ecustom--RevolvingLoanPayableCur"/>
      <w:bookmarkEnd w:id="294"/>
      <w:r>
        <w:rPr>
          <w:rFonts w:ascii="Times New Roman;Times;Serif" w:hAnsi="Times New Roman;Times;Serif"/>
          <w:b w:val="false"/>
          <w:i w:val="false"/>
          <w:caps w:val="false"/>
          <w:smallCaps w:val="false"/>
          <w:sz w:val="20"/>
        </w:rPr>
        <w:t>3.0 million revolving loan and $</w:t>
      </w:r>
      <w:bookmarkStart w:id="295" w:name="xdx_90F_ecustom--CurrentPortionOfPromiss"/>
      <w:bookmarkEnd w:id="295"/>
      <w:r>
        <w:rPr>
          <w:rFonts w:ascii="Times New Roman;Times;Serif" w:hAnsi="Times New Roman;Times;Serif"/>
          <w:b w:val="false"/>
          <w:i w:val="false"/>
          <w:caps w:val="false"/>
          <w:smallCaps w:val="false"/>
          <w:sz w:val="20"/>
        </w:rPr>
        <w:t>2.8 million promissory note, cause the lender to cease making advances under the revolving agreement, or allow the lender take possession of collateral. Due to the failure of complying with the debt covenant the Company has classified its long term debt as current.</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could be required, or may otherwise attempt, to seek additional sources of capital, including, but not limited to, equity and/or debt financings. The need for additional capital depends on many factors, including, among other things, whether the Company can successfully renegotiate the terms of its debt arrangements, the rate at which the Company’s business grows, demands for working capital, revenue generated from existing downloadable content (“DLCs”) and game titles, launches of new DLCs and new game titles, and any acquisitions that the Company may pursue.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unrestricted cash position of approximately $</w:t>
      </w:r>
      <w:bookmarkStart w:id="296" w:name="xdx_906_eus-gaap--Cash_iI_pn5n6_c2024033"/>
      <w:bookmarkEnd w:id="296"/>
      <w:r>
        <w:rPr>
          <w:rFonts w:ascii="Times New Roman;Times;Serif" w:hAnsi="Times New Roman;Times;Serif"/>
          <w:b w:val="false"/>
          <w:i w:val="false"/>
          <w:caps w:val="false"/>
          <w:smallCaps w:val="false"/>
          <w:sz w:val="20"/>
        </w:rPr>
        <w:t>16.1 million, and our expected revenue receipts will allow the Company to continue operations beyond the next 12 months and service its current debts.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7" w:name="xdx_80E_eus-gaap--SignificantAccountingP"/>
      <w:bookmarkEnd w:id="297"/>
      <w:r>
        <w:rPr>
          <w:rFonts w:ascii="Times New Roman;Times;Serif" w:hAnsi="Times New Roman;Times;Serif"/>
          <w:b/>
          <w:i w:val="false"/>
          <w:caps w:val="false"/>
          <w:smallCaps w:val="false"/>
          <w:sz w:val="20"/>
        </w:rPr>
        <w:t xml:space="preserve">NOTE 2 – </w:t>
      </w:r>
      <w:bookmarkStart w:id="298" w:name="xdx_820_z07o7qek35m3"/>
      <w:bookmarkEnd w:id="298"/>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99" w:name="xdx_86C_zsiDBDYS2Jlh"/>
      <w:bookmarkStart w:id="300" w:name="xdx_846_eus-gaap--RevenueRecognitionPoli"/>
      <w:bookmarkEnd w:id="299"/>
      <w:bookmarkEnd w:id="300"/>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is generated from the publishing of software games sold digitally and through physical discs (e.g., packaged goods), the publishing of separate downloadable content that are new feature releases to existing digital full-game downloads that are sold digitally, and in-app purchases of virtual goods used by players of its free-to-play mobile games. When control of the promised products and services is transferred to the end users, the Company recognizes revenue in the amount that reflects the consideration it expects to receive in exchange for these products and services. Revenue from delivery of products is recognized at a point in time when the end consumers purchase the games, and the control of the license is transferred to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virtual goods that the Company sells to players of our free-to-play mobile-games, include virtual currency or in-game purchases of additional game play functionality. For virtual goods, the satisfaction of our performance obligation is dependent on the nature of the virtual good purchased and as a result, the Company categorizes its virtual goods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Consumable: c</w:t>
            </w:r>
            <w:r>
              <w:rPr>
                <w:rFonts w:ascii="Times New Roman;Times;Serif" w:hAnsi="Times New Roman;Times;Serif"/>
                <w:b w:val="false"/>
                <w:i w:val="false"/>
                <w:caps w:val="false"/>
                <w:smallCaps w:val="false"/>
                <w:sz w:val="20"/>
                <w:shd w:fill="F8F8F8" w:val="clear"/>
              </w:rPr>
              <w:t>onsumable virtual items represent items that can be consumed by a specific player action. Consumable virtual items do not result in a direct benefit that the player keeps or provide the player any continuing benefit following consumption, and they often enable a player to perform an in-game action immediately. For the sale of consumable virtual items, the Company recognizes revenue as the items are consumed (i.e., over time)</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Durable: d</w:t>
            </w:r>
            <w:r>
              <w:rPr>
                <w:rFonts w:ascii="Times New Roman;Times;Serif" w:hAnsi="Times New Roman;Times;Serif"/>
                <w:b w:val="false"/>
                <w:i w:val="false"/>
                <w:caps w:val="false"/>
                <w:smallCaps w:val="false"/>
                <w:sz w:val="20"/>
                <w:shd w:fill="F8F8F8" w:val="clear"/>
              </w:rPr>
              <w:t>urable virtual items represent items that are accessible to the player over an extended period of time. The Company recognizes revenue from the sale of durable virtual items ratably over the estimated service period for the applicable game (i.e., over time), which represents our best estimate of the average life of the durable virtual item.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DLC’s that have not yet launched and been reported in deferred revenue in the condensed consolidated balance sheets, the Company has used the adjusted market assessment approach per ASC 606-10-32-34 to assign a value for the Company’s remaining performance obligation. The Company uses the following reasonably available information in developing the standalone selling prices of the performance obligations: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Reasonably available data points, including third party or industry pricing, and contractually stated prices.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such as market demand, competition, market constraints, awareness of the product and market trends.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Entity-specific factors including pricing strategies and objectives, market share and pricing practices for bundled arrangements.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using the following five steps as provided by Accounting Standards Codification (“ASC”) Topic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xml:space="preserve">: 1) identify the contract(s) with the customer; 2) identify the performance obligations in each contract; 3) determine the transaction price; 4) allocate the transaction price to the performance obligations; and 5) recognize revenue when, or as, the entity satisfies a performance obligation. The Company’s terms and conditions vary by customers and typically provide payment terms of net </w:t>
      </w:r>
      <w:bookmarkStart w:id="301" w:name="xdx_90E_ecustom--CustomerTerms_dtD_c2024"/>
      <w:bookmarkEnd w:id="301"/>
      <w:r>
        <w:rPr>
          <w:rFonts w:ascii="Times New Roman;Times;Serif" w:hAnsi="Times New Roman;Times;Serif"/>
          <w:b w:val="false"/>
          <w:i w:val="false"/>
          <w:caps w:val="false"/>
          <w:smallCaps w:val="false"/>
          <w:sz w:val="20"/>
        </w:rPr>
        <w:t xml:space="preserve">30 to </w:t>
      </w:r>
      <w:bookmarkStart w:id="302" w:name="xdx_907_ecustom--CustomerTerms_dtD_c2024"/>
      <w:bookmarkEnd w:id="302"/>
      <w:r>
        <w:rPr>
          <w:rFonts w:ascii="Times New Roman;Times;Serif" w:hAnsi="Times New Roman;Times;Serif"/>
          <w:b w:val="false"/>
          <w:i w:val="false"/>
          <w:caps w:val="false"/>
          <w:smallCaps w:val="false"/>
          <w:sz w:val="20"/>
        </w:rPr>
        <w:t>75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03" w:name="xdx_864_zyTi7AD4n5Hc"/>
      <w:bookmarkStart w:id="304" w:name="xdx_840_ecustom--PrincipalVsAgentConside"/>
      <w:bookmarkEnd w:id="303"/>
      <w:bookmarkEnd w:id="304"/>
      <w:r>
        <w:rPr>
          <w:rFonts w:ascii="Times New Roman;Times;Serif" w:hAnsi="Times New Roman;Times;Serif"/>
          <w:b/>
          <w:i/>
          <w:caps w:val="false"/>
          <w:smallCaps w:val="false"/>
          <w:sz w:val="20"/>
        </w:rPr>
        <w:t>Principal vs. Agent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offers certain software products via third-party digital storefronts, such as Microsoft’s Xbox Live, Sony’s PlayStation Network, Valve’s Steam, Epic Games Store, My Nintendo Store, Apple’s App Store, the Google Play Store, and retail distributors. For sales of our software products via third-party digital storefronts and retail distributor, the Company determines whether or not it is acting as the principal in the sale to the end user, which the Company considers in determining if revenue should be reported based on the gross transaction price to the end user or based on the transaction price net of fees retained by the third-party digital storefront. An entity is the principal if it controls a good or service before it is transferred to the customer. Key indicators that the Company uses in evaluating these sales transactions include, but are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75"/>
        <w:gridCol w:w="170"/>
        <w:gridCol w:w="86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underlying contract terms and conditions between the various parties to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6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party is primarily responsible for fulfilling the promise to provide the specified good or service;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6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party has discretion in establishing the price for the specified good or service.</w:t>
            </w:r>
          </w:p>
        </w:tc>
      </w:tr>
    </w:tbl>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evaluation of the above indicators, for sales arrangements via Microsoft’s Xbox Live, Sony’s PlayStation Network, Valve’s Steam, Epic Games Store, My Nintendo Store, and our retail distributor, the digital platforms and distributors have discretion in establishing the price for the specified good or service and the Company has determined it is the agent in the sales transaction to the end user and therefore the Company reports revenue on a net basis based on the consideration received from the digital storefront. For sales arrangements via Apple’s App Store and the Google Play Store, the Company has discretion in establishing the price for the specified good or service and it has determined that the Company is the principal to the end user and thus reports revenue on a gross basis and mobile platform fees charged by these digital storefronts are expensed as incurred and reported within 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05" w:name="xdx_86C_zQFQanczvYu3"/>
      <w:bookmarkStart w:id="306" w:name="xdx_84E_ecustom--ContractBalancePolicyTe"/>
      <w:bookmarkEnd w:id="305"/>
      <w:bookmarkEnd w:id="306"/>
      <w:r>
        <w:rPr>
          <w:rFonts w:ascii="Times New Roman;Times;Serif" w:hAnsi="Times New Roman;Times;Serif"/>
          <w:b/>
          <w:i/>
          <w:caps w:val="false"/>
          <w:smallCaps w:val="false"/>
          <w:sz w:val="20"/>
        </w:rPr>
        <w:t>Contract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deferred revenue when cash payments are received or due in advance of its performance, even if amounts are refundable.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is comprised of the transaction price allocable to the Company’s performance obligation on technical support and the sale of virtual goods available for in-app purchase, and payments received from customers prior to launching the games on the platforms. The Company recognizes revenues from the sale of virtual goods ratably over their estimated service period. The Company’s estimated service period for players of our current software games is generally 30 to 100 days from the date of 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a long-term title license agreement with a platform. The agreement was initially made between the parties in November 2018 and valid through December 31, 2021. The agreement was subsequently amended in June 2020 to extend the </w:t>
      </w:r>
      <w:r>
        <w:rPr>
          <w:rFonts w:ascii="Times New Roman;Times;Serif" w:hAnsi="Times New Roman;Times;Serif"/>
          <w:b w:val="false"/>
          <w:i/>
          <w:caps w:val="false"/>
          <w:smallCaps w:val="false"/>
          <w:sz w:val="20"/>
        </w:rPr>
        <w:t>ARK 1</w:t>
      </w:r>
      <w:r>
        <w:rPr>
          <w:rFonts w:ascii="Times New Roman;Times;Serif" w:hAnsi="Times New Roman;Times;Serif"/>
          <w:b w:val="false"/>
          <w:i w:val="false"/>
          <w:caps w:val="false"/>
          <w:smallCaps w:val="false"/>
          <w:sz w:val="20"/>
        </w:rPr>
        <w:t xml:space="preserve"> availability on the platform perpetually, effective January 1, 2022 and to put </w:t>
      </w:r>
      <w:r>
        <w:rPr>
          <w:rFonts w:ascii="Times New Roman;Times;Serif" w:hAnsi="Times New Roman;Times;Serif"/>
          <w:b w:val="false"/>
          <w:i/>
          <w:caps w:val="false"/>
          <w:smallCaps w:val="false"/>
          <w:sz w:val="20"/>
        </w:rPr>
        <w:t>ARK II</w:t>
      </w:r>
      <w:r>
        <w:rPr>
          <w:rFonts w:ascii="Times New Roman;Times;Serif" w:hAnsi="Times New Roman;Times;Serif"/>
          <w:b w:val="false"/>
          <w:i w:val="false"/>
          <w:caps w:val="false"/>
          <w:smallCaps w:val="false"/>
          <w:sz w:val="20"/>
        </w:rPr>
        <w:t xml:space="preserve"> on the platform for three years upon release. The Company recognized $</w:t>
      </w:r>
      <w:bookmarkStart w:id="307" w:name="xdx_900_eus-gaap--ContractWithCustomerLi"/>
      <w:bookmarkEnd w:id="307"/>
      <w:r>
        <w:rPr>
          <w:rFonts w:ascii="Times New Roman;Times;Serif" w:hAnsi="Times New Roman;Times;Serif"/>
          <w:b w:val="false"/>
          <w:i w:val="false"/>
          <w:caps w:val="false"/>
          <w:smallCaps w:val="false"/>
          <w:sz w:val="20"/>
        </w:rPr>
        <w:t xml:space="preserve">2.5 million in revenue related to </w:t>
      </w:r>
      <w:r>
        <w:rPr>
          <w:rFonts w:ascii="Times New Roman;Times;Serif" w:hAnsi="Times New Roman;Times;Serif"/>
          <w:b w:val="false"/>
          <w:i/>
          <w:caps w:val="false"/>
          <w:smallCaps w:val="false"/>
          <w:sz w:val="20"/>
        </w:rPr>
        <w:t>ARK 1’s</w:t>
      </w:r>
      <w:r>
        <w:rPr>
          <w:rFonts w:ascii="Times New Roman;Times;Serif" w:hAnsi="Times New Roman;Times;Serif"/>
          <w:b w:val="false"/>
          <w:i w:val="false"/>
          <w:caps w:val="false"/>
          <w:smallCaps w:val="false"/>
          <w:sz w:val="20"/>
        </w:rPr>
        <w:t xml:space="preserve"> perpetual license during the year ended December 31, 2022 and deferred $</w:t>
      </w:r>
      <w:bookmarkStart w:id="308" w:name="xdx_905_eus-gaap--ContractWithCustomerLi"/>
      <w:bookmarkEnd w:id="308"/>
      <w:r>
        <w:rPr>
          <w:rFonts w:ascii="Times New Roman;Times;Serif" w:hAnsi="Times New Roman;Times;Serif"/>
          <w:b w:val="false"/>
          <w:i w:val="false"/>
          <w:caps w:val="false"/>
          <w:smallCaps w:val="false"/>
          <w:sz w:val="20"/>
        </w:rPr>
        <w:t xml:space="preserve">2.3 million related to </w:t>
      </w:r>
      <w:r>
        <w:rPr>
          <w:rFonts w:ascii="Times New Roman;Times;Serif" w:hAnsi="Times New Roman;Times;Serif"/>
          <w:b w:val="false"/>
          <w:i/>
          <w:caps w:val="false"/>
          <w:smallCaps w:val="false"/>
          <w:sz w:val="20"/>
        </w:rPr>
        <w:t>ARK II</w:t>
      </w:r>
      <w:r>
        <w:rPr>
          <w:rFonts w:ascii="Times New Roman;Times;Serif" w:hAnsi="Times New Roman;Times;Serif"/>
          <w:b w:val="false"/>
          <w:i w:val="false"/>
          <w:caps w:val="false"/>
          <w:smallCaps w:val="false"/>
          <w:sz w:val="20"/>
        </w:rPr>
        <w:t xml:space="preserve"> that is included in the long-term portion of deferred revenue and will be recognized upon the release of </w:t>
      </w:r>
      <w:r>
        <w:rPr>
          <w:rFonts w:ascii="Times New Roman;Times;Serif" w:hAnsi="Times New Roman;Times;Serif"/>
          <w:b w:val="false"/>
          <w:i/>
          <w:caps w:val="false"/>
          <w:smallCaps w:val="false"/>
          <w:sz w:val="20"/>
        </w:rPr>
        <w:t xml:space="preserve">ARK II </w:t>
      </w:r>
      <w:r>
        <w:rPr>
          <w:rFonts w:ascii="Times New Roman;Times;Serif" w:hAnsi="Times New Roman;Times;Serif"/>
          <w:b w:val="false"/>
          <w:i w:val="false"/>
          <w:caps w:val="false"/>
          <w:smallCaps w:val="false"/>
          <w:sz w:val="20"/>
        </w:rPr>
        <w:t>on the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In July 2023, the Company entered into a distribution agreement with its retail distribution partner for the distribution of </w:t>
      </w:r>
      <w:r>
        <w:rPr>
          <w:rFonts w:ascii="Times New Roman;Times;Serif" w:hAnsi="Times New Roman;Times;Serif"/>
          <w:b w:val="false"/>
          <w:i/>
          <w:caps w:val="false"/>
          <w:smallCaps w:val="false"/>
          <w:sz w:val="20"/>
          <w:shd w:fill="FFFFFF" w:val="clear"/>
        </w:rPr>
        <w:t xml:space="preserve">ARK: Survival Ascended </w:t>
      </w:r>
      <w:r>
        <w:rPr>
          <w:rFonts w:ascii="Times New Roman;Times;Serif" w:hAnsi="Times New Roman;Times;Serif"/>
          <w:b w:val="false"/>
          <w:i w:val="false"/>
          <w:caps w:val="false"/>
          <w:smallCaps w:val="false"/>
          <w:sz w:val="20"/>
          <w:shd w:fill="FFFFFF" w:val="clear"/>
        </w:rPr>
        <w:t xml:space="preserve">and </w:t>
      </w:r>
      <w:r>
        <w:rPr>
          <w:rFonts w:ascii="Times New Roman;Times;Serif" w:hAnsi="Times New Roman;Times;Serif"/>
          <w:b w:val="false"/>
          <w:i/>
          <w:caps w:val="false"/>
          <w:smallCaps w:val="false"/>
          <w:sz w:val="20"/>
          <w:shd w:fill="FFFFFF" w:val="clear"/>
        </w:rPr>
        <w:t xml:space="preserve">ARK II. </w:t>
      </w:r>
      <w:r>
        <w:rPr>
          <w:rFonts w:ascii="Times New Roman;Times;Serif" w:hAnsi="Times New Roman;Times;Serif"/>
          <w:b w:val="false"/>
          <w:i w:val="false"/>
          <w:caps w:val="false"/>
          <w:smallCaps w:val="false"/>
          <w:sz w:val="20"/>
          <w:shd w:fill="FFFFFF" w:val="clear"/>
        </w:rPr>
        <w:t>The initial term is two years and will renew each subsequent year unless it is cancelled. Upon executing the distribution agreement, the Company received $</w:t>
      </w:r>
      <w:bookmarkStart w:id="309" w:name="xdx_906_eus-gaap--PrepaidRoyalties_iI_pn"/>
      <w:bookmarkEnd w:id="309"/>
      <w:r>
        <w:rPr>
          <w:rFonts w:ascii="Times New Roman;Times;Serif" w:hAnsi="Times New Roman;Times;Serif"/>
          <w:b w:val="false"/>
          <w:i w:val="false"/>
          <w:caps w:val="false"/>
          <w:smallCaps w:val="false"/>
          <w:sz w:val="20"/>
          <w:shd w:fill="FFFFFF" w:val="clear"/>
        </w:rPr>
        <w:t>1.8 million as prepaid royalties. During the three months ended March 31, 2024, the Company recognized $</w:t>
      </w:r>
      <w:bookmarkStart w:id="310" w:name="xdx_902_eus-gaap--ContractWithCustomerLi"/>
      <w:bookmarkEnd w:id="310"/>
      <w:r>
        <w:rPr>
          <w:rFonts w:ascii="Times New Roman;Times;Serif" w:hAnsi="Times New Roman;Times;Serif"/>
          <w:b w:val="false"/>
          <w:i w:val="false"/>
          <w:caps w:val="false"/>
          <w:smallCaps w:val="false"/>
          <w:sz w:val="20"/>
          <w:shd w:fill="FFFFFF" w:val="clear"/>
        </w:rPr>
        <w:t>0.3 million of the revenue. As of March 31, 2024, the Company reported $</w:t>
      </w:r>
      <w:bookmarkStart w:id="311" w:name="xdx_90D_eus-gaap--ContractWithCustomerLi"/>
      <w:bookmarkEnd w:id="311"/>
      <w:r>
        <w:rPr>
          <w:rFonts w:ascii="Times New Roman;Times;Serif" w:hAnsi="Times New Roman;Times;Serif"/>
          <w:b w:val="false"/>
          <w:i w:val="false"/>
          <w:caps w:val="false"/>
          <w:smallCaps w:val="false"/>
          <w:sz w:val="20"/>
          <w:shd w:fill="FFFFFF" w:val="clear"/>
        </w:rPr>
        <w:t xml:space="preserve">0.4 million related to </w:t>
      </w:r>
      <w:r>
        <w:rPr>
          <w:rFonts w:ascii="Times New Roman;Times;Serif" w:hAnsi="Times New Roman;Times;Serif"/>
          <w:b w:val="false"/>
          <w:i/>
          <w:caps w:val="false"/>
          <w:smallCaps w:val="false"/>
          <w:sz w:val="20"/>
          <w:shd w:fill="FFFFFF" w:val="clear"/>
        </w:rPr>
        <w:t xml:space="preserve">ARK: Survival Ascended </w:t>
      </w:r>
      <w:r>
        <w:rPr>
          <w:rFonts w:ascii="Times New Roman;Times;Serif" w:hAnsi="Times New Roman;Times;Serif"/>
          <w:b w:val="false"/>
          <w:i w:val="false"/>
          <w:caps w:val="false"/>
          <w:smallCaps w:val="false"/>
          <w:sz w:val="20"/>
          <w:shd w:fill="FFFFFF" w:val="clear"/>
        </w:rPr>
        <w:t>as current deferred revenue and $</w:t>
      </w:r>
      <w:bookmarkStart w:id="312" w:name="xdx_90B_eus-gaap--ContractWithCustomerLi"/>
      <w:bookmarkEnd w:id="312"/>
      <w:r>
        <w:rPr>
          <w:rFonts w:ascii="Times New Roman;Times;Serif" w:hAnsi="Times New Roman;Times;Serif"/>
          <w:b w:val="false"/>
          <w:i w:val="false"/>
          <w:caps w:val="false"/>
          <w:smallCaps w:val="false"/>
          <w:sz w:val="20"/>
          <w:shd w:fill="FFFFFF" w:val="clear"/>
        </w:rPr>
        <w:t xml:space="preserve">1.1 million related to </w:t>
      </w:r>
      <w:r>
        <w:rPr>
          <w:rFonts w:ascii="Times New Roman;Times;Serif" w:hAnsi="Times New Roman;Times;Serif"/>
          <w:b w:val="false"/>
          <w:i/>
          <w:caps w:val="false"/>
          <w:smallCaps w:val="false"/>
          <w:sz w:val="20"/>
          <w:shd w:fill="FFFFFF" w:val="clear"/>
        </w:rPr>
        <w:t xml:space="preserve">ARK II as </w:t>
      </w:r>
      <w:r>
        <w:rPr>
          <w:rFonts w:ascii="Times New Roman;Times;Serif" w:hAnsi="Times New Roman;Times;Serif"/>
          <w:b w:val="false"/>
          <w:i w:val="false"/>
          <w:caps w:val="false"/>
          <w:smallCaps w:val="false"/>
          <w:sz w:val="20"/>
          <w:shd w:fill="FFFFFF" w:val="clear"/>
        </w:rPr>
        <w:t>long-term deferred revenue until the disc releases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13" w:name="xdx_86C_zuAT1rlPjFF"/>
      <w:bookmarkStart w:id="314" w:name="xdx_840_eus-gaap--RevenueRemainingPerfor"/>
      <w:bookmarkEnd w:id="313"/>
      <w:bookmarkEnd w:id="314"/>
      <w:r>
        <w:rPr>
          <w:rFonts w:ascii="Times New Roman;Times;Serif" w:hAnsi="Times New Roman;Times;Serif"/>
          <w:b/>
          <w:i/>
          <w:caps w:val="false"/>
          <w:smallCaps w:val="false"/>
          <w:sz w:val="20"/>
        </w:rPr>
        <w:t>Estimated Service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certain performance obligations satisfied over time, the Company has determined that the estimated service period is the time period in which an average user plays our software games (“user life”) which most faithfully depicts the timing of satisfying our performance obligation. The Company considers a variety of data points when determining and subsequently reassessing the estimated service period for players of our software games. Primarily, the Company reviews the weighted average number of days between players’ first and last day playing online or the subscription trend. The Company also considers publicly available online trends.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this provides a reasonable depiction of the transfer of our game related services to our players, as it is the best representation of the period during which our players play our software games. Determining the estimated service period is subjective and requires significant management judgment and estimates. Future usage patterns may differ from historical usage patterns, and therefore the estimated service period may change in the future. The estimated service periods for players of our current software games are generally between 30 and 100 days depending on the software games.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15" w:name="xdx_867_zwzil4WECVIe"/>
      <w:bookmarkStart w:id="316" w:name="xdx_847_ecustom--ShippingHandlingAndValu"/>
      <w:bookmarkEnd w:id="315"/>
      <w:bookmarkEnd w:id="316"/>
      <w:r>
        <w:rPr>
          <w:rFonts w:ascii="Times New Roman;Times;Serif" w:hAnsi="Times New Roman;Times;Serif"/>
          <w:b/>
          <w:i/>
          <w:caps w:val="false"/>
          <w:smallCaps w:val="false"/>
          <w:sz w:val="20"/>
        </w:rPr>
        <w:t>Shipping, Handling and Value Added Taxes (“VAT”)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distributor, as the principal, is responsible for the shipping of the game discs to retail stores and incurring the shipping and VAT costs. The Company is paid the net sales amount after deducting shipping costs, VAT and other related expenses by the distributor.</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17" w:name="xdx_86B_zFxZtcUEHjBd"/>
      <w:bookmarkStart w:id="318" w:name="xdx_849_eus-gaap--CostOfSalesPolicyTextB"/>
      <w:bookmarkEnd w:id="317"/>
      <w:bookmarkEnd w:id="318"/>
      <w:r>
        <w:rPr>
          <w:rFonts w:ascii="Times New Roman;Times;Serif" w:hAnsi="Times New Roman;Times;Serif"/>
          <w:b/>
          <w:i/>
          <w:caps w:val="false"/>
          <w:smallCaps w:val="false"/>
          <w:sz w:val="20"/>
        </w:rPr>
        <w:t>Cost of Revenues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include software license royalty fees, merchant fees, server and database center costs, game localization costs, game licenses, engine fees and amortization costs. Cost of revenues for the three months ended March 31, 2024 and 2023 were comprised of the following:</w:t>
      </w:r>
    </w:p>
    <w:p>
      <w:pPr>
        <w:pStyle w:val="TextBody"/>
        <w:bidi w:val="0"/>
        <w:spacing w:before="0" w:after="0"/>
        <w:jc w:val="center"/>
        <w:rPr>
          <w:caps w:val="false"/>
          <w:smallCaps w:val="false"/>
        </w:rPr>
      </w:pPr>
      <w:bookmarkStart w:id="319" w:name="xdx_89C_ecustom--CostOfGoodsAndServicesS"/>
      <w:bookmarkEnd w:id="319"/>
      <w:r>
        <w:rPr>
          <w:caps w:val="false"/>
          <w:smallCaps w:val="false"/>
        </w:rPr>
        <w:t> </w:t>
      </w:r>
      <w:bookmarkStart w:id="320" w:name="xdx_8B2_zwJAFoSCNYXf"/>
      <w:bookmarkEnd w:id="320"/>
      <w:r>
        <w:rPr>
          <w:rFonts w:ascii="Times New Roman;Times;Serif" w:hAnsi="Times New Roman;Times;Serif"/>
          <w:b w:val="false"/>
          <w:i w:val="false"/>
          <w:caps w:val="false"/>
          <w:smallCaps w:val="false"/>
          <w:sz w:val="20"/>
        </w:rPr>
        <w:t>SCHEDULE OF COST OF REVENUES</w:t>
      </w:r>
    </w:p>
    <w:tbl>
      <w:tblPr>
        <w:tblW w:w="6730" w:type="dxa"/>
        <w:jc w:val="left"/>
        <w:tblInd w:w="0" w:type="dxa"/>
        <w:tblLayout w:type="fixed"/>
        <w:tblCellMar>
          <w:top w:w="0" w:type="dxa"/>
          <w:left w:w="0" w:type="dxa"/>
          <w:bottom w:w="0" w:type="dxa"/>
          <w:right w:w="0" w:type="dxa"/>
        </w:tblCellMar>
      </w:tblPr>
      <w:tblGrid>
        <w:gridCol w:w="3995"/>
        <w:gridCol w:w="60"/>
        <w:gridCol w:w="140"/>
        <w:gridCol w:w="1100"/>
        <w:gridCol w:w="60"/>
        <w:gridCol w:w="60"/>
        <w:gridCol w:w="140"/>
        <w:gridCol w:w="1100"/>
        <w:gridCol w:w="75"/>
      </w:tblGrid>
      <w:tr>
        <w:trPr/>
        <w:tc>
          <w:tcPr>
            <w:tcW w:w="3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21" w:name="xdx_498_20240101__20240331_zdSsvQHVOmre"/>
            <w:bookmarkEnd w:id="321"/>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2" w:name="xdx_494_20230101__20230331_zjCTpmVBXha6"/>
            <w:bookmarkEnd w:id="322"/>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bookmarkStart w:id="323" w:name="xdx_407_ecustom--CostSoftwareLicenseRoya"/>
            <w:bookmarkEnd w:id="323"/>
          </w:p>
        </w:tc>
      </w:tr>
      <w:tr>
        <w:trPr/>
        <w:tc>
          <w:tcPr>
            <w:tcW w:w="3995" w:type="dxa"/>
            <w:tcBorders/>
            <w:shd w:fill="CCEEFF" w:val="clear"/>
            <w:vAlign w:val="center"/>
          </w:tcPr>
          <w:p>
            <w:pPr>
              <w:pStyle w:val="TableContents"/>
              <w:bidi w:val="0"/>
              <w:spacing w:before="0" w:after="283"/>
              <w:jc w:val="left"/>
              <w:rPr/>
            </w:pPr>
            <w:r>
              <w:rPr/>
              <w:t>Software license royalties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3,274,020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2,863,011</w:t>
            </w:r>
          </w:p>
        </w:tc>
        <w:tc>
          <w:tcPr>
            <w:tcW w:w="75" w:type="dxa"/>
            <w:tcBorders/>
            <w:shd w:fill="CCEEFF" w:val="clear"/>
            <w:vAlign w:val="center"/>
          </w:tcPr>
          <w:p>
            <w:pPr>
              <w:pStyle w:val="TableContents"/>
              <w:bidi w:val="0"/>
              <w:spacing w:before="0" w:after="283"/>
              <w:jc w:val="left"/>
              <w:rPr/>
            </w:pPr>
            <w:r>
              <w:rPr/>
              <w:t> </w:t>
            </w:r>
            <w:bookmarkStart w:id="324" w:name="xdx_403_ecustom--CostSoftwareLicenseRoya"/>
            <w:bookmarkEnd w:id="324"/>
          </w:p>
        </w:tc>
      </w:tr>
      <w:tr>
        <w:trPr/>
        <w:tc>
          <w:tcPr>
            <w:tcW w:w="3995" w:type="dxa"/>
            <w:tcBorders/>
            <w:shd w:fill="FFFFFF" w:val="clear"/>
            <w:vAlign w:val="center"/>
          </w:tcPr>
          <w:p>
            <w:pPr>
              <w:pStyle w:val="TableContents"/>
              <w:bidi w:val="0"/>
              <w:spacing w:before="0" w:after="283"/>
              <w:jc w:val="left"/>
              <w:rPr/>
            </w:pPr>
            <w:r>
              <w:rPr/>
              <w:t>Software license royalties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162,748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352,439</w:t>
            </w:r>
          </w:p>
        </w:tc>
        <w:tc>
          <w:tcPr>
            <w:tcW w:w="75" w:type="dxa"/>
            <w:tcBorders/>
            <w:shd w:fill="FFFFFF" w:val="clear"/>
            <w:vAlign w:val="center"/>
          </w:tcPr>
          <w:p>
            <w:pPr>
              <w:pStyle w:val="TableContents"/>
              <w:bidi w:val="0"/>
              <w:spacing w:before="0" w:after="283"/>
              <w:jc w:val="left"/>
              <w:rPr/>
            </w:pPr>
            <w:r>
              <w:rPr/>
              <w:t> </w:t>
            </w:r>
            <w:bookmarkStart w:id="325" w:name="xdx_407_ecustom--CostLicenseFeesAndAmort"/>
            <w:bookmarkEnd w:id="325"/>
          </w:p>
        </w:tc>
      </w:tr>
      <w:tr>
        <w:trPr/>
        <w:tc>
          <w:tcPr>
            <w:tcW w:w="3995" w:type="dxa"/>
            <w:tcBorders/>
            <w:shd w:fill="CCEEFF" w:val="clear"/>
            <w:vAlign w:val="center"/>
          </w:tcPr>
          <w:p>
            <w:pPr>
              <w:pStyle w:val="TableContents"/>
              <w:bidi w:val="0"/>
              <w:spacing w:before="0" w:after="283"/>
              <w:jc w:val="left"/>
              <w:rPr/>
            </w:pPr>
            <w:r>
              <w:rPr/>
              <w:t>License and amortization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5,195,651</w:t>
            </w:r>
          </w:p>
        </w:tc>
        <w:tc>
          <w:tcPr>
            <w:tcW w:w="75" w:type="dxa"/>
            <w:tcBorders/>
            <w:shd w:fill="CCEEFF" w:val="clear"/>
            <w:vAlign w:val="center"/>
          </w:tcPr>
          <w:p>
            <w:pPr>
              <w:pStyle w:val="TableContents"/>
              <w:bidi w:val="0"/>
              <w:spacing w:before="0" w:after="283"/>
              <w:jc w:val="left"/>
              <w:rPr/>
            </w:pPr>
            <w:r>
              <w:rPr/>
              <w:t> </w:t>
            </w:r>
            <w:bookmarkStart w:id="326" w:name="xdx_40E_ecustom--CostLicenseFeesAndAmort"/>
            <w:bookmarkEnd w:id="326"/>
          </w:p>
        </w:tc>
      </w:tr>
      <w:tr>
        <w:trPr/>
        <w:tc>
          <w:tcPr>
            <w:tcW w:w="3995" w:type="dxa"/>
            <w:tcBorders/>
            <w:shd w:fill="FFFFFF" w:val="clear"/>
            <w:vAlign w:val="center"/>
          </w:tcPr>
          <w:p>
            <w:pPr>
              <w:pStyle w:val="TableContents"/>
              <w:bidi w:val="0"/>
              <w:spacing w:before="0" w:after="283"/>
              <w:jc w:val="left"/>
              <w:rPr/>
            </w:pPr>
            <w:r>
              <w:rPr/>
              <w:t>License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201</w:t>
            </w:r>
          </w:p>
        </w:tc>
        <w:tc>
          <w:tcPr>
            <w:tcW w:w="75" w:type="dxa"/>
            <w:tcBorders/>
            <w:shd w:fill="FFFFFF" w:val="clear"/>
            <w:vAlign w:val="center"/>
          </w:tcPr>
          <w:p>
            <w:pPr>
              <w:pStyle w:val="TableContents"/>
              <w:bidi w:val="0"/>
              <w:spacing w:before="0" w:after="283"/>
              <w:jc w:val="left"/>
              <w:rPr/>
            </w:pPr>
            <w:r>
              <w:rPr/>
              <w:t> </w:t>
            </w:r>
            <w:bookmarkStart w:id="327" w:name="xdx_40E_ecustom--CostMerchantFees_maCOGA"/>
            <w:bookmarkEnd w:id="327"/>
          </w:p>
        </w:tc>
      </w:tr>
      <w:tr>
        <w:trPr/>
        <w:tc>
          <w:tcPr>
            <w:tcW w:w="3995" w:type="dxa"/>
            <w:tcBorders/>
            <w:shd w:fill="CCEEFF" w:val="clear"/>
            <w:vAlign w:val="center"/>
          </w:tcPr>
          <w:p>
            <w:pPr>
              <w:pStyle w:val="TableContents"/>
              <w:bidi w:val="0"/>
              <w:spacing w:before="0" w:after="283"/>
              <w:jc w:val="left"/>
              <w:rPr/>
            </w:pPr>
            <w:r>
              <w:rPr/>
              <w:t>Merchant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221,449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459,471</w:t>
            </w:r>
          </w:p>
        </w:tc>
        <w:tc>
          <w:tcPr>
            <w:tcW w:w="75" w:type="dxa"/>
            <w:tcBorders/>
            <w:shd w:fill="CCEEFF" w:val="clear"/>
            <w:vAlign w:val="center"/>
          </w:tcPr>
          <w:p>
            <w:pPr>
              <w:pStyle w:val="TableContents"/>
              <w:bidi w:val="0"/>
              <w:spacing w:before="0" w:after="283"/>
              <w:jc w:val="left"/>
              <w:rPr/>
            </w:pPr>
            <w:r>
              <w:rPr/>
              <w:t> </w:t>
            </w:r>
            <w:bookmarkStart w:id="328" w:name="xdx_40A_ecustom--CostEngineFees_maCOGASz"/>
            <w:bookmarkEnd w:id="328"/>
          </w:p>
        </w:tc>
      </w:tr>
      <w:tr>
        <w:trPr/>
        <w:tc>
          <w:tcPr>
            <w:tcW w:w="3995" w:type="dxa"/>
            <w:tcBorders/>
            <w:shd w:fill="FFFFFF" w:val="clear"/>
            <w:vAlign w:val="center"/>
          </w:tcPr>
          <w:p>
            <w:pPr>
              <w:pStyle w:val="TableContents"/>
              <w:bidi w:val="0"/>
              <w:spacing w:before="0" w:after="283"/>
              <w:jc w:val="left"/>
              <w:rPr/>
            </w:pPr>
            <w:r>
              <w:rPr/>
              <w:t>Engine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961,442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424,227</w:t>
            </w:r>
          </w:p>
        </w:tc>
        <w:tc>
          <w:tcPr>
            <w:tcW w:w="75" w:type="dxa"/>
            <w:tcBorders/>
            <w:shd w:fill="FFFFFF" w:val="clear"/>
            <w:vAlign w:val="center"/>
          </w:tcPr>
          <w:p>
            <w:pPr>
              <w:pStyle w:val="TableContents"/>
              <w:bidi w:val="0"/>
              <w:spacing w:before="0" w:after="283"/>
              <w:jc w:val="left"/>
              <w:rPr/>
            </w:pPr>
            <w:r>
              <w:rPr/>
              <w:t> </w:t>
            </w:r>
            <w:bookmarkStart w:id="329" w:name="xdx_40C_ecustom--CostInternetExpense_maC"/>
            <w:bookmarkEnd w:id="329"/>
          </w:p>
        </w:tc>
      </w:tr>
      <w:tr>
        <w:trPr/>
        <w:tc>
          <w:tcPr>
            <w:tcW w:w="3995" w:type="dxa"/>
            <w:tcBorders/>
            <w:shd w:fill="CCEEFF" w:val="clear"/>
            <w:vAlign w:val="center"/>
          </w:tcPr>
          <w:p>
            <w:pPr>
              <w:pStyle w:val="TableContents"/>
              <w:bidi w:val="0"/>
              <w:spacing w:before="0" w:after="283"/>
              <w:jc w:val="left"/>
              <w:rPr/>
            </w:pPr>
            <w:r>
              <w:rPr/>
              <w:t>Internet, server and data center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1,400,006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1,540,692</w:t>
            </w:r>
          </w:p>
        </w:tc>
        <w:tc>
          <w:tcPr>
            <w:tcW w:w="75" w:type="dxa"/>
            <w:tcBorders/>
            <w:shd w:fill="CCEEFF" w:val="clear"/>
            <w:vAlign w:val="center"/>
          </w:tcPr>
          <w:p>
            <w:pPr>
              <w:pStyle w:val="TableContents"/>
              <w:bidi w:val="0"/>
              <w:spacing w:before="0" w:after="283"/>
              <w:jc w:val="left"/>
              <w:rPr/>
            </w:pPr>
            <w:r>
              <w:rPr/>
              <w:t> </w:t>
            </w:r>
            <w:bookmarkStart w:id="330" w:name="xdx_40E_eus-gaap--DirectCommunicationsAn"/>
            <w:bookmarkEnd w:id="330"/>
          </w:p>
        </w:tc>
      </w:tr>
      <w:tr>
        <w:trPr/>
        <w:tc>
          <w:tcPr>
            <w:tcW w:w="3995" w:type="dxa"/>
            <w:tcBorders/>
            <w:shd w:fill="FFFFFF" w:val="clear"/>
            <w:vAlign w:val="center"/>
          </w:tcPr>
          <w:p>
            <w:pPr>
              <w:pStyle w:val="TableContents"/>
              <w:bidi w:val="0"/>
              <w:spacing w:before="0" w:after="283"/>
              <w:jc w:val="left"/>
              <w:rPr/>
            </w:pPr>
            <w:r>
              <w:rPr/>
              <w:t>Costs related to advertising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21,832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25,245</w:t>
            </w:r>
          </w:p>
        </w:tc>
        <w:tc>
          <w:tcPr>
            <w:tcW w:w="75" w:type="dxa"/>
            <w:tcBorders/>
            <w:shd w:fill="FFFFFF" w:val="clear"/>
            <w:vAlign w:val="center"/>
          </w:tcPr>
          <w:p>
            <w:pPr>
              <w:pStyle w:val="TableContents"/>
              <w:bidi w:val="0"/>
              <w:spacing w:before="0" w:after="283"/>
              <w:jc w:val="left"/>
              <w:rPr/>
            </w:pPr>
            <w:r>
              <w:rPr/>
              <w:t> </w:t>
            </w:r>
            <w:bookmarkStart w:id="331" w:name="xdx_404_eus-gaap--CostOfGoodsAndServices"/>
            <w:bookmarkEnd w:id="331"/>
          </w:p>
        </w:tc>
      </w:tr>
      <w:tr>
        <w:trPr/>
        <w:tc>
          <w:tcPr>
            <w:tcW w:w="399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12,041,698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10,860,937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332" w:name="xdx_8A8_zqaeOBuHozD4"/>
      <w:bookmarkEnd w:id="332"/>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33" w:name="xdx_86C_zHIfTDuD6nFa"/>
      <w:bookmarkStart w:id="334" w:name="xdx_84C_eus-gaap--SellingGeneralAndAdmin"/>
      <w:bookmarkEnd w:id="333"/>
      <w:bookmarkEnd w:id="334"/>
      <w:r>
        <w:rPr>
          <w:rFonts w:ascii="Times New Roman;Times;Serif" w:hAnsi="Times New Roman;Times;Serif"/>
          <w:b/>
          <w:i/>
          <w:caps w:val="false"/>
          <w:smallCaps w:val="false"/>
          <w:sz w:val="20"/>
        </w:rPr>
        <w:t>General and Administrative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costs include rent, salaries, stock-based compensation, legal and professional expenses, administrative internet and server, contractor costs, insurance expense, licenses and permits, other taxes and travel expenses. These costs are expensed as they are incurred. For the three months ended March 31, 2024 and 2023, general and administrative expenses totaled $</w:t>
      </w:r>
      <w:bookmarkStart w:id="335" w:name="xdx_904_eus-gaap--GeneralAndAdministrati"/>
      <w:bookmarkEnd w:id="335"/>
      <w:r>
        <w:rPr>
          <w:rFonts w:ascii="Times New Roman;Times;Serif" w:hAnsi="Times New Roman;Times;Serif"/>
          <w:b w:val="false"/>
          <w:i w:val="false"/>
          <w:caps w:val="false"/>
          <w:smallCaps w:val="false"/>
          <w:sz w:val="20"/>
        </w:rPr>
        <w:t>2,282,040 and $</w:t>
      </w:r>
      <w:bookmarkStart w:id="336" w:name="xdx_90C_eus-gaap--GeneralAndAdministrati"/>
      <w:bookmarkEnd w:id="336"/>
      <w:r>
        <w:rPr>
          <w:rFonts w:ascii="Times New Roman;Times;Serif" w:hAnsi="Times New Roman;Times;Serif"/>
          <w:b w:val="false"/>
          <w:i w:val="false"/>
          <w:caps w:val="false"/>
          <w:smallCaps w:val="false"/>
          <w:sz w:val="20"/>
        </w:rPr>
        <w:t xml:space="preserve">4,525,751, respectively. Stock-based compensation of </w:t>
      </w:r>
      <w:bookmarkStart w:id="337" w:name="xdx_901_eus-gaap--AllocatedShareBasedCom"/>
      <w:bookmarkEnd w:id="337"/>
      <w:r>
        <w:rPr>
          <w:rFonts w:ascii="Times New Roman;Times;Serif" w:hAnsi="Times New Roman;Times;Serif"/>
          <w:b w:val="false"/>
          <w:i w:val="false"/>
          <w:caps w:val="false"/>
          <w:smallCaps w:val="false"/>
          <w:sz w:val="20"/>
        </w:rPr>
        <w:t>($862,634) and $</w:t>
      </w:r>
      <w:bookmarkStart w:id="338" w:name="xdx_90F_eus-gaap--AllocatedShareBasedCom"/>
      <w:bookmarkEnd w:id="338"/>
      <w:r>
        <w:rPr>
          <w:rFonts w:ascii="Times New Roman;Times;Serif" w:hAnsi="Times New Roman;Times;Serif"/>
          <w:b w:val="false"/>
          <w:i w:val="false"/>
          <w:caps w:val="false"/>
          <w:smallCaps w:val="false"/>
          <w:sz w:val="20"/>
        </w:rPr>
        <w:t>152,595 was incurred during the three months ended March 31,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39" w:name="xdx_862_zPAjiz5QBRLk"/>
      <w:bookmarkStart w:id="340" w:name="xdx_848_eus-gaap--AdvertisingCostsPolicy"/>
      <w:bookmarkEnd w:id="339"/>
      <w:bookmarkEnd w:id="340"/>
      <w:r>
        <w:rPr>
          <w:rFonts w:ascii="Times New Roman;Times;Serif" w:hAnsi="Times New Roman;Times;Serif"/>
          <w:b/>
          <w:i/>
          <w:caps w:val="false"/>
          <w:smallCaps w:val="false"/>
          <w:sz w:val="20"/>
        </w:rPr>
        <w:t>Advertising and Marketing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advertising and marketing costs as incurred. For the three months ended March 31, 2024 and 2023, advertising and marketing expenses totaled $</w:t>
      </w:r>
      <w:bookmarkStart w:id="341" w:name="xdx_906_eus-gaap--AdvertisingExpense_pp0"/>
      <w:bookmarkEnd w:id="341"/>
      <w:r>
        <w:rPr>
          <w:rFonts w:ascii="Times New Roman;Times;Serif" w:hAnsi="Times New Roman;Times;Serif"/>
          <w:b w:val="false"/>
          <w:i w:val="false"/>
          <w:caps w:val="false"/>
          <w:smallCaps w:val="false"/>
          <w:sz w:val="20"/>
        </w:rPr>
        <w:t>141,030 and $</w:t>
      </w:r>
      <w:bookmarkStart w:id="342" w:name="xdx_906_eus-gaap--AdvertisingExpense_pp0"/>
      <w:bookmarkEnd w:id="342"/>
      <w:r>
        <w:rPr>
          <w:rFonts w:ascii="Times New Roman;Times;Serif" w:hAnsi="Times New Roman;Times;Serif"/>
          <w:b w:val="false"/>
          <w:i w:val="false"/>
          <w:caps w:val="false"/>
          <w:smallCaps w:val="false"/>
          <w:sz w:val="20"/>
        </w:rPr>
        <w:t>104,549,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43" w:name="xdx_862_zur83hXG18k4"/>
      <w:bookmarkStart w:id="344" w:name="xdx_84F_eus-gaap--ResearchAndDevelopment"/>
      <w:bookmarkEnd w:id="343"/>
      <w:bookmarkEnd w:id="344"/>
      <w:r>
        <w:rPr>
          <w:rFonts w:ascii="Times New Roman;Times;Serif" w:hAnsi="Times New Roman;Times;Serif"/>
          <w:b/>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are expensed as incurred. Research and development costs include travel, payroll, and other general expenses specific to research and development activities. Research and development costs for the three months ended March 31, 2024 and 2023 were $</w:t>
      </w:r>
      <w:bookmarkStart w:id="345" w:name="xdx_901_eus-gaap--ResearchAndDevelopment"/>
      <w:bookmarkEnd w:id="345"/>
      <w:r>
        <w:rPr>
          <w:rFonts w:ascii="Times New Roman;Times;Serif" w:hAnsi="Times New Roman;Times;Serif"/>
          <w:b w:val="false"/>
          <w:i w:val="false"/>
          <w:caps w:val="false"/>
          <w:smallCaps w:val="false"/>
          <w:sz w:val="20"/>
        </w:rPr>
        <w:t>1,776,522 and $</w:t>
      </w:r>
      <w:bookmarkStart w:id="346" w:name="xdx_904_eus-gaap--ResearchAndDevelopment"/>
      <w:bookmarkEnd w:id="346"/>
      <w:r>
        <w:rPr>
          <w:rFonts w:ascii="Times New Roman;Times;Serif" w:hAnsi="Times New Roman;Times;Serif"/>
          <w:b w:val="false"/>
          <w:i w:val="false"/>
          <w:caps w:val="false"/>
          <w:smallCaps w:val="false"/>
          <w:sz w:val="20"/>
        </w:rPr>
        <w:t xml:space="preserve">1,373,797, respectively. Stock-based compensation of </w:t>
      </w:r>
      <w:bookmarkStart w:id="347" w:name="xdx_906_eus-gaap--AllocatedShareBasedCom"/>
      <w:bookmarkEnd w:id="347"/>
      <w:r>
        <w:rPr>
          <w:rFonts w:ascii="Times New Roman;Times;Serif" w:hAnsi="Times New Roman;Times;Serif"/>
          <w:b w:val="false"/>
          <w:i w:val="false"/>
          <w:caps w:val="false"/>
          <w:smallCaps w:val="false"/>
          <w:sz w:val="20"/>
        </w:rPr>
        <w:t xml:space="preserve">($64,241) was incurred during the three months ended March 31, 2024; </w:t>
      </w:r>
      <w:bookmarkStart w:id="348" w:name="xdx_90C_eus-gaap--AllocatedShareBasedCom"/>
      <w:bookmarkEnd w:id="348"/>
      <w:r>
        <w:rPr>
          <w:rFonts w:ascii="Times New Roman;Times;Serif" w:hAnsi="Times New Roman;Times;Serif"/>
          <w:b w:val="false"/>
          <w:i w:val="false"/>
          <w:caps w:val="false"/>
          <w:smallCaps w:val="false"/>
          <w:sz w:val="20"/>
        </w:rPr>
        <w:t>no stock-based compensation was incurred during the three months ended March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49" w:name="xdx_861_zRXAsTQuuSnh"/>
      <w:bookmarkStart w:id="350" w:name="xdx_84F_ecustom--NonControllingInterestP"/>
      <w:bookmarkEnd w:id="349"/>
      <w:bookmarkEnd w:id="350"/>
      <w:r>
        <w:rPr>
          <w:rFonts w:ascii="Times New Roman;Times;Serif" w:hAnsi="Times New Roman;Times;Serif"/>
          <w:b/>
          <w:i/>
          <w:caps w:val="false"/>
          <w:smallCaps w:val="false"/>
          <w:sz w:val="20"/>
        </w:rPr>
        <w:t>Non-controlling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 on the condensed consolidated balance sheets and condensed consolidated statements of operations and comprehensive income (loss) include the equity allocated to non-controlling interest holders. As of March 31, 2024 and December 31, 2023, there were non-controlling interests with the following subsidiaries:</w:t>
      </w:r>
    </w:p>
    <w:p>
      <w:pPr>
        <w:pStyle w:val="TextBody"/>
        <w:bidi w:val="0"/>
        <w:spacing w:before="0" w:after="0"/>
        <w:ind w:left="0" w:right="0" w:hanging="0"/>
        <w:jc w:val="both"/>
        <w:rPr>
          <w:caps w:val="false"/>
          <w:smallCaps w:val="false"/>
        </w:rPr>
      </w:pPr>
      <w:bookmarkStart w:id="351" w:name="xdx_899_ecustom--ScheduleOfEquityInteres"/>
      <w:bookmarkEnd w:id="351"/>
      <w:r>
        <w:rPr>
          <w:caps w:val="false"/>
          <w:smallCaps w:val="false"/>
        </w:rPr>
        <w:t> </w:t>
      </w:r>
      <w:bookmarkStart w:id="352" w:name="xdx_8BB_zcJpyWWPsnll"/>
      <w:bookmarkEnd w:id="352"/>
      <w:r>
        <w:rPr>
          <w:rFonts w:ascii="Times New Roman;Times;Serif" w:hAnsi="Times New Roman;Times;Serif"/>
          <w:b w:val="false"/>
          <w:i w:val="false"/>
          <w:caps w:val="false"/>
          <w:smallCaps w:val="false"/>
          <w:sz w:val="20"/>
        </w:rPr>
        <w:t>SCHEDULE OF EQUITY INTEREST AND NON CONTROLLING INTEREST IN SUBSIDIARIES</w:t>
      </w:r>
    </w:p>
    <w:tbl>
      <w:tblPr>
        <w:tblW w:w="6758" w:type="dxa"/>
        <w:jc w:val="left"/>
        <w:tblInd w:w="0" w:type="dxa"/>
        <w:tblLayout w:type="fixed"/>
        <w:tblCellMar>
          <w:top w:w="0" w:type="dxa"/>
          <w:left w:w="0" w:type="dxa"/>
          <w:bottom w:w="28" w:type="dxa"/>
          <w:right w:w="0" w:type="dxa"/>
        </w:tblCellMar>
      </w:tblPr>
      <w:tblGrid>
        <w:gridCol w:w="2390"/>
        <w:gridCol w:w="60"/>
        <w:gridCol w:w="337"/>
        <w:gridCol w:w="1467"/>
        <w:gridCol w:w="215"/>
        <w:gridCol w:w="60"/>
        <w:gridCol w:w="374"/>
        <w:gridCol w:w="1625"/>
        <w:gridCol w:w="230"/>
      </w:tblGrid>
      <w:tr>
        <w:trPr/>
        <w:tc>
          <w:tcPr>
            <w:tcW w:w="2390" w:type="dxa"/>
            <w:tcBorders>
              <w:bottom w:val="single" w:sz="12" w:space="0" w:color="000000"/>
            </w:tcBorders>
            <w:vAlign w:val="center"/>
          </w:tcPr>
          <w:p>
            <w:pPr>
              <w:pStyle w:val="TableContents"/>
              <w:bidi w:val="0"/>
              <w:spacing w:before="0" w:after="283"/>
              <w:jc w:val="left"/>
              <w:rPr>
                <w:b/>
              </w:rPr>
            </w:pPr>
            <w:r>
              <w:rPr>
                <w:b/>
              </w:rPr>
              <w:t>Subsidiary Name</w:t>
            </w:r>
          </w:p>
        </w:tc>
        <w:tc>
          <w:tcPr>
            <w:tcW w:w="60" w:type="dxa"/>
            <w:tcBorders/>
            <w:tcMar>
              <w:bottom w:w="0" w:type="dxa"/>
            </w:tcMar>
            <w:vAlign w:val="center"/>
          </w:tcPr>
          <w:p>
            <w:pPr>
              <w:pStyle w:val="TableContents"/>
              <w:bidi w:val="0"/>
              <w:spacing w:before="0" w:after="283"/>
              <w:jc w:val="left"/>
              <w:rPr/>
            </w:pPr>
            <w:r>
              <w:rPr/>
              <w:t> </w:t>
            </w:r>
          </w:p>
        </w:tc>
        <w:tc>
          <w:tcPr>
            <w:tcW w:w="1804" w:type="dxa"/>
            <w:gridSpan w:val="2"/>
            <w:tcBorders>
              <w:bottom w:val="single" w:sz="12" w:space="0" w:color="000000"/>
            </w:tcBorders>
            <w:vAlign w:val="center"/>
          </w:tcPr>
          <w:p>
            <w:pPr>
              <w:pStyle w:val="TableContents"/>
              <w:bidi w:val="0"/>
              <w:spacing w:before="0" w:after="283"/>
              <w:jc w:val="center"/>
              <w:rPr>
                <w:b/>
              </w:rPr>
            </w:pPr>
            <w:r>
              <w:rPr>
                <w:b/>
              </w:rPr>
              <w:t>Equity % Owned</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99" w:type="dxa"/>
            <w:gridSpan w:val="2"/>
            <w:tcBorders>
              <w:bottom w:val="single" w:sz="12" w:space="0" w:color="000000"/>
            </w:tcBorders>
            <w:vAlign w:val="center"/>
          </w:tcPr>
          <w:p>
            <w:pPr>
              <w:pStyle w:val="TableContents"/>
              <w:bidi w:val="0"/>
              <w:spacing w:before="0" w:after="283"/>
              <w:jc w:val="center"/>
              <w:rPr>
                <w:b/>
              </w:rPr>
            </w:pPr>
            <w:r>
              <w:rPr>
                <w:b/>
              </w:rPr>
              <w:t>Non-Controlling %</w:t>
            </w:r>
          </w:p>
        </w:tc>
        <w:tc>
          <w:tcPr>
            <w:tcW w:w="230" w:type="dxa"/>
            <w:tcBorders/>
            <w:tcMar>
              <w:bottom w:w="0" w:type="dxa"/>
            </w:tcMar>
            <w:vAlign w:val="center"/>
          </w:tcPr>
          <w:p>
            <w:pPr>
              <w:pStyle w:val="TableContents"/>
              <w:bidi w:val="0"/>
              <w:spacing w:before="0" w:after="283"/>
              <w:jc w:val="left"/>
              <w:rPr/>
            </w:pPr>
            <w:r>
              <w:rPr/>
              <w:t> </w:t>
            </w:r>
          </w:p>
        </w:tc>
      </w:tr>
      <w:tr>
        <w:trPr/>
        <w:tc>
          <w:tcPr>
            <w:tcW w:w="2390" w:type="dxa"/>
            <w:tcBorders/>
            <w:shd w:fill="CCEEFF" w:val="clear"/>
            <w:tcMar>
              <w:bottom w:w="0" w:type="dxa"/>
            </w:tcMar>
            <w:vAlign w:val="center"/>
          </w:tcPr>
          <w:p>
            <w:pPr>
              <w:pStyle w:val="TableContents"/>
              <w:bidi w:val="0"/>
              <w:spacing w:before="0" w:after="283"/>
              <w:jc w:val="left"/>
              <w:rPr/>
            </w:pPr>
            <w:r>
              <w:rPr/>
              <w:t>Snail Innovative Institute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7" w:type="dxa"/>
            <w:tcBorders/>
            <w:shd w:fill="CCEEFF" w:val="clear"/>
            <w:tcMar>
              <w:bottom w:w="0" w:type="dxa"/>
            </w:tcMar>
            <w:vAlign w:val="center"/>
          </w:tcPr>
          <w:p>
            <w:pPr>
              <w:pStyle w:val="TableContents"/>
              <w:bidi w:val="0"/>
              <w:spacing w:before="0" w:after="283"/>
              <w:jc w:val="left"/>
              <w:rPr/>
            </w:pPr>
            <w:r>
              <w:rPr/>
              <w:t> </w:t>
            </w:r>
          </w:p>
        </w:tc>
        <w:tc>
          <w:tcPr>
            <w:tcW w:w="1467" w:type="dxa"/>
            <w:tcBorders/>
            <w:shd w:fill="CCEEFF" w:val="clear"/>
            <w:tcMar>
              <w:bottom w:w="0" w:type="dxa"/>
            </w:tcMar>
            <w:vAlign w:val="center"/>
          </w:tcPr>
          <w:p>
            <w:pPr>
              <w:pStyle w:val="TableContents"/>
              <w:bidi w:val="0"/>
              <w:spacing w:before="0" w:after="283"/>
              <w:jc w:val="right"/>
              <w:rPr/>
            </w:pPr>
            <w:bookmarkStart w:id="353" w:name="xdx_900_eus-gaap--MinorityInterestOwners"/>
            <w:bookmarkStart w:id="354" w:name="xdx_909_eus-gaap--MinorityInterestOwners"/>
            <w:bookmarkEnd w:id="353"/>
            <w:bookmarkEnd w:id="354"/>
            <w:r>
              <w:rPr/>
              <w:t>70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4"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right"/>
              <w:rPr/>
            </w:pPr>
            <w:bookmarkStart w:id="355" w:name="xdx_90E_eus-gaap--MinorityInterestOwners"/>
            <w:bookmarkStart w:id="356" w:name="xdx_907_eus-gaap--MinorityInterestOwners"/>
            <w:bookmarkEnd w:id="355"/>
            <w:bookmarkEnd w:id="356"/>
            <w:r>
              <w:rPr/>
              <w:t>30</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2390" w:type="dxa"/>
            <w:tcBorders/>
            <w:shd w:fill="FFFFFF" w:val="clear"/>
            <w:tcMar>
              <w:bottom w:w="0" w:type="dxa"/>
            </w:tcMar>
            <w:vAlign w:val="center"/>
          </w:tcPr>
          <w:p>
            <w:pPr>
              <w:pStyle w:val="TableContents"/>
              <w:bidi w:val="0"/>
              <w:spacing w:before="0" w:after="283"/>
              <w:jc w:val="left"/>
              <w:rPr/>
            </w:pPr>
            <w:r>
              <w:rPr/>
              <w:t>BTBX.IO,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7" w:type="dxa"/>
            <w:tcBorders/>
            <w:shd w:fill="FFFFFF" w:val="clear"/>
            <w:tcMar>
              <w:bottom w:w="0" w:type="dxa"/>
            </w:tcMar>
            <w:vAlign w:val="center"/>
          </w:tcPr>
          <w:p>
            <w:pPr>
              <w:pStyle w:val="TableContents"/>
              <w:bidi w:val="0"/>
              <w:spacing w:before="0" w:after="283"/>
              <w:jc w:val="left"/>
              <w:rPr/>
            </w:pPr>
            <w:r>
              <w:rPr/>
              <w:t> </w:t>
            </w:r>
          </w:p>
        </w:tc>
        <w:tc>
          <w:tcPr>
            <w:tcW w:w="1467" w:type="dxa"/>
            <w:tcBorders/>
            <w:shd w:fill="FFFFFF" w:val="clear"/>
            <w:tcMar>
              <w:bottom w:w="0" w:type="dxa"/>
            </w:tcMar>
            <w:vAlign w:val="center"/>
          </w:tcPr>
          <w:p>
            <w:pPr>
              <w:pStyle w:val="TableContents"/>
              <w:bidi w:val="0"/>
              <w:spacing w:before="0" w:after="283"/>
              <w:jc w:val="right"/>
              <w:rPr/>
            </w:pPr>
            <w:bookmarkStart w:id="357" w:name="xdx_90C_eus-gaap--MinorityInterestOwners"/>
            <w:bookmarkStart w:id="358" w:name="xdx_906_eus-gaap--MinorityInterestOwners"/>
            <w:bookmarkEnd w:id="357"/>
            <w:bookmarkEnd w:id="358"/>
            <w:r>
              <w:rPr/>
              <w:t>70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4"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right"/>
              <w:rPr/>
            </w:pPr>
            <w:bookmarkStart w:id="359" w:name="xdx_901_eus-gaap--MinorityInterestOwners"/>
            <w:bookmarkStart w:id="360" w:name="xdx_900_eus-gaap--MinorityInterestOwners"/>
            <w:bookmarkEnd w:id="359"/>
            <w:bookmarkEnd w:id="360"/>
            <w:r>
              <w:rPr/>
              <w:t>30</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2390" w:type="dxa"/>
            <w:tcBorders/>
            <w:shd w:fill="CCEEFF" w:val="clear"/>
            <w:tcMar>
              <w:bottom w:w="0" w:type="dxa"/>
            </w:tcMar>
            <w:vAlign w:val="center"/>
          </w:tcPr>
          <w:p>
            <w:pPr>
              <w:pStyle w:val="TableContents"/>
              <w:bidi w:val="0"/>
              <w:spacing w:before="0" w:after="283"/>
              <w:jc w:val="left"/>
              <w:rPr/>
            </w:pPr>
            <w:r>
              <w:rPr/>
              <w:t>Donkey Crew,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7" w:type="dxa"/>
            <w:tcBorders/>
            <w:shd w:fill="CCEEFF" w:val="clear"/>
            <w:tcMar>
              <w:bottom w:w="0" w:type="dxa"/>
            </w:tcMar>
            <w:vAlign w:val="center"/>
          </w:tcPr>
          <w:p>
            <w:pPr>
              <w:pStyle w:val="TableContents"/>
              <w:bidi w:val="0"/>
              <w:spacing w:before="0" w:after="283"/>
              <w:jc w:val="left"/>
              <w:rPr/>
            </w:pPr>
            <w:r>
              <w:rPr/>
              <w:t> </w:t>
            </w:r>
          </w:p>
        </w:tc>
        <w:tc>
          <w:tcPr>
            <w:tcW w:w="1467" w:type="dxa"/>
            <w:tcBorders/>
            <w:shd w:fill="CCEEFF" w:val="clear"/>
            <w:tcMar>
              <w:bottom w:w="0" w:type="dxa"/>
            </w:tcMar>
            <w:vAlign w:val="center"/>
          </w:tcPr>
          <w:p>
            <w:pPr>
              <w:pStyle w:val="TableContents"/>
              <w:bidi w:val="0"/>
              <w:spacing w:before="0" w:after="283"/>
              <w:jc w:val="right"/>
              <w:rPr/>
            </w:pPr>
            <w:bookmarkStart w:id="361" w:name="xdx_909_eus-gaap--MinorityInterestOwners"/>
            <w:bookmarkStart w:id="362" w:name="xdx_90D_eus-gaap--MinorityInterestOwners"/>
            <w:bookmarkEnd w:id="361"/>
            <w:bookmarkEnd w:id="362"/>
            <w:r>
              <w:rPr/>
              <w:t>99</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4"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right"/>
              <w:rPr/>
            </w:pPr>
            <w:bookmarkStart w:id="363" w:name="xdx_901_eus-gaap--MinorityInterestOwners"/>
            <w:bookmarkStart w:id="364" w:name="xdx_906_eus-gaap--MinorityInterestOwners"/>
            <w:bookmarkEnd w:id="363"/>
            <w:bookmarkEnd w:id="364"/>
            <w:r>
              <w:rPr/>
              <w:t>1</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365" w:name="xdx_8AF_zUUPfjG94IC8"/>
      <w:bookmarkEnd w:id="365"/>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66" w:name="xdx_86B_zNsOnN9dIoMb"/>
      <w:bookmarkStart w:id="367" w:name="xdx_84C_eus-gaap--CashAndCashEquivalents"/>
      <w:bookmarkEnd w:id="366"/>
      <w:bookmarkEnd w:id="367"/>
      <w:r>
        <w:rPr>
          <w:rFonts w:ascii="Times New Roman;Times;Serif" w:hAnsi="Times New Roman;Times;Serif"/>
          <w:b/>
          <w:i/>
          <w:caps w:val="false"/>
          <w:smallCaps w:val="false"/>
          <w:sz w:val="20"/>
        </w:rPr>
        <w:t>Cash and Cash Equivalents and Restricted Cash and Cash Equivalents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is available for use in current operations or other activities such as capital expenditures and business combinations. Restricted cash and cash equivalents are time deposits, that are currently provided as a standby letter of credit to landlords. The Company’s policy for determining whether an item is treated as cash, or a cash equivalent, is based on its original maturity, liquidity, and risk profile. Investments with maturities of three months or less, are highly liquid and have insignificant risk are considered to be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68" w:name="xdx_868_zIyzqq3IjQk1"/>
      <w:bookmarkStart w:id="369" w:name="xdx_845_ecustom--RestrictedEscrowDeposit"/>
      <w:bookmarkEnd w:id="368"/>
      <w:bookmarkEnd w:id="369"/>
      <w:r>
        <w:rPr>
          <w:rFonts w:ascii="Times New Roman;Times;Serif" w:hAnsi="Times New Roman;Times;Serif"/>
          <w:b/>
          <w:i/>
          <w:caps w:val="false"/>
          <w:smallCaps w:val="false"/>
          <w:sz w:val="20"/>
        </w:rPr>
        <w:t>Restricted Escrow Deposits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restricted deposits held in escrow are to provide a source of funding for certain indemnification obligations of Snail, Inc. to our underwriters in connection with our IPO. The deposit and related interest earnings were restricted for one year from the IPO date and were released from restrictions in November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70" w:name="xdx_865_znZdBZ2Jt19b"/>
      <w:bookmarkStart w:id="371" w:name="xdx_84C_eus-gaap--TradeAndOtherAccountsR"/>
      <w:bookmarkEnd w:id="370"/>
      <w:bookmarkEnd w:id="371"/>
      <w:r>
        <w:rPr>
          <w:rFonts w:ascii="Times New Roman;Times;Serif" w:hAnsi="Times New Roman;Times;Serif"/>
          <w:b/>
          <w:i/>
          <w:caps w:val="false"/>
          <w:smallCaps w:val="false"/>
          <w:sz w:val="20"/>
        </w:rPr>
        <w:t>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records a receivable related to revenue when it has an unconditional right to invoice and receive payment. Accounts receivable are carried at original invoice amount less an allowance made for credit losses. The Company uses a combination of quantitative and qualitative risk factors to estimate the allowance, including an analysis of the customers’ creditworthiness, historical experience, age of current accounts receivable balances, changes in financial condition or payment terms of our customers, and reasonable forecasts of the collectability of the accounts receivable. The Company evaluates the allowance for credit losses on a periodic basis and adjusts it as necessary based on the risk factors mentioned above. Any increase in the provision for credit losses is recorded as a charge to general and administrative expense in the current period. Any amounts deemed uncollectible are written off against the allowance for credit losses. Management judgment is required to estimate our allowance for credit losses in any accounting period. The amount and timing of our credit losses and cash collection could change significantly because of a change in any of the risk factors mentioned above. There were no credit losses recognized during the three months ended March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72" w:name="xdx_860_z86z9AUDta0c"/>
      <w:bookmarkStart w:id="373" w:name="xdx_846_eus-gaap--FairValueMeasurementPo"/>
      <w:bookmarkEnd w:id="372"/>
      <w:bookmarkEnd w:id="373"/>
      <w:r>
        <w:rPr>
          <w:rFonts w:ascii="Times New Roman;Times;Serif" w:hAnsi="Times New Roman;Times;Serif"/>
          <w:b/>
          <w:i/>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Financial Accounting Standards Board (“FASB”) ASC Topic 820, Fair Value Measurements. ASC 820 defines fair value, establishes a framework for measuring fair value under generally accepted accounting principles and enhances disclosures about fair value measurements. Fair value is defined under ASC 820 as the exchange price that would be received for an asset or paid to transfer a liability in the principal or most advantageous market for the asset or liability in an orderly transaction between market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establishes a hierarchy of valuation inputs based on the extent to which the inputs are observable in the marketplace. Observable inputs reflect market data obtained from sources independent of the reporting entity and unobservable inputs reflect the entity’s own assumptions about how market participants would value an asset or liability based on the best information available. Valuation techniques used to measure fair value under ASC 820 must maximize the use of observable inputs and minimize the use of unobservable inputs. The standard describes a fair value hierarchy based on three levels of inputs, of which the first two are considered observable and the last unobservable, that may be used to measure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describes the hierarchy of inputs used to measure fair value and the primary valuation methodologies used by the Company for financial instruments measured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three levels of inputs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1</w:t>
            </w:r>
            <w:r>
              <w:rPr>
                <w:rFonts w:ascii="Times New Roman;Times;Serif" w:hAnsi="Times New Roman;Times;Serif"/>
                <w:b w:val="false"/>
                <w:i w:val="false"/>
                <w:caps w:val="false"/>
                <w:smallCaps w:val="false"/>
                <w:sz w:val="20"/>
              </w:rPr>
              <w:t>: Quoted prices in active markets for identical assets or liabilities that the Company has an ability to access as of the measurement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2</w:t>
            </w:r>
            <w:r>
              <w:rPr>
                <w:rFonts w:ascii="Times New Roman;Times;Serif" w:hAnsi="Times New Roman;Times;Serif"/>
                <w:b w:val="false"/>
                <w:i w:val="false"/>
                <w:caps w:val="false"/>
                <w:smallCaps w:val="false"/>
                <w:sz w:val="20"/>
              </w:rPr>
              <w:t>: Inputs that are observable, either directly or indirectly, such as quoted prices for similar assets or liabilities, quoted prices in markets that are not active, or other inputs that are observable or can be corroborated by observable market data for substantially the same term of the assets or liabilities.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3</w:t>
            </w:r>
            <w:r>
              <w:rPr>
                <w:rFonts w:ascii="Times New Roman;Times;Serif" w:hAnsi="Times New Roman;Times;Serif"/>
                <w:b w:val="false"/>
                <w:i w:val="false"/>
                <w:caps w:val="false"/>
                <w:smallCaps w:val="false"/>
                <w:sz w:val="20"/>
              </w:rPr>
              <w:t>: Unobservable inputs that are supported by little or no market activity and that are significant to the fair value of the assets or liabilities.</w:t>
            </w:r>
          </w:p>
        </w:tc>
      </w:tr>
    </w:tbl>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financial instrument’s categorization within the valuation hierarchy is based upon the lowest level of input that is significant to the fair value measurement. Our financial instruments include cash and cash equivalents, restricted cash and cash equivalents, short-term financial instruments, short-term loans, accounts receivable and accounts payable. The carrying values of these financial instruments approximate their fair value due to their short maturities or economic substance. The carrying amount of our revolving loan and notes payable approximates fair value because the interest rates on these instruments approximate the interest rate on debt with similar terms available to us for a similar duration. The fair value of the Company’s promissory note which has a fixed rate for </w:t>
      </w:r>
      <w:bookmarkStart w:id="374" w:name="xdx_900_ecustom--DebtInstrumentInterestR"/>
      <w:bookmarkEnd w:id="374"/>
      <w:r>
        <w:rPr>
          <w:rFonts w:ascii="Times New Roman;Times;Serif" w:hAnsi="Times New Roman;Times;Serif"/>
          <w:b w:val="false"/>
          <w:i w:val="false"/>
          <w:caps w:val="false"/>
          <w:smallCaps w:val="false"/>
          <w:sz w:val="20"/>
        </w:rPr>
        <w:t xml:space="preserve">5 years, then a floating rate that approximates the Wall Street Journal Prime Rate plus </w:t>
      </w:r>
      <w:bookmarkStart w:id="375" w:name="xdx_90A_eus-gaap--DebtInstrumentBasisSpr"/>
      <w:bookmarkEnd w:id="375"/>
      <w:r>
        <w:rPr>
          <w:rFonts w:ascii="Times New Roman;Times;Serif" w:hAnsi="Times New Roman;Times;Serif"/>
          <w:b w:val="false"/>
          <w:i w:val="false"/>
          <w:caps w:val="false"/>
          <w:smallCaps w:val="false"/>
          <w:sz w:val="20"/>
        </w:rPr>
        <w:t>0.50%. The Company considers the carrying amount of the loan to approximate fair value as the discounted cost in comparison to market rates would not be materially different than the cost to acquire a loan with similar terms. The fair value of the Company’s convertible notes is disclosed in Note 16, and the Company’s warrant liability and derivative instruments are valued at fair value each reporting period, using level 3 inputs and the Monte-Carlo pricing model. The most significant of the inputs are the stock price, exercise price, contractual term, volatility, and the risk-free rate. The Company does not have any other assets or liabilities measured at fair value on a recurring or non-recurring basis as of March 31, 2024 and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76" w:name="xdx_860_z7dt7Ww7l4Mf"/>
      <w:bookmarkStart w:id="377" w:name="xdx_842_eus-gaap--ImpairmentOrDisposalOf"/>
      <w:bookmarkEnd w:id="376"/>
      <w:bookmarkEnd w:id="377"/>
      <w:r>
        <w:rPr>
          <w:rFonts w:ascii="Times New Roman;Times;Serif" w:hAnsi="Times New Roman;Times;Serif"/>
          <w:b/>
          <w:i/>
          <w:caps w:val="false"/>
          <w:smallCaps w:val="false"/>
          <w:sz w:val="20"/>
        </w:rPr>
        <w:t>Amortizable Intangibles and Other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long-lived assets and other assets consisting of property, plant and equipment and purchased intangible assets, are reviewed for impairment in accordance with the guidance of FASB Topic ASC 360, Property, Plant, and Equipment. Intangible assets subject to amortization are carried at cost less accumulated amortization and amortized over the estimated useful life in proportion to the economic benefits received. The Company evaluates the recoverability of definite-lived intangible assets and other long-lived assets in accordance with ASC Subtopic 360-10, which generally requires the assessment of these assets for recoverability when events or circumstances indicate a potential impairment exists. The Company considers certain events and circumstances in determining whether the carrying value of identifiable intangible assets and other long-lived assets, other than indefinite lived intangible assets, may not be recoverable including, but not limited to: significant changes in performance relative to expected operating results; significant changes in the use of the assets; significant negative industry or economic trends; and changes in the Company’s business strategy. If the Company determines that the carrying value may not be recoverable, the Company estimates the undiscounted cash flows to be generated from the use and ultimate disposition of the asset group to determine whether an impairment exists. If an impairment is indicated based on a comparison of the asset groups’ carrying values and the undiscounted cash flows, the impairment loss is measured as the amount by which the carrying amount of the asset group exceeds its fair value. Fair value is determined through various valuation techniques including discounted cash flow models, quoted market values and third-party independent appraisals, as considered necessary. There can be no assurance, however, that market conditions will not change or demand for the Company’s products under development will continue. Either of these could result in future impairment of long-lived assets. Actual useful lives and cash flows could be different from those estimated by management which could have a material effect on our consolidated reporting results and financial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78" w:name="xdx_864_zHCPtJSBtIP9"/>
      <w:bookmarkStart w:id="379" w:name="xdx_843_eus-gaap--IncomeTaxPolicyTextBlo"/>
      <w:bookmarkEnd w:id="378"/>
      <w:bookmarkEnd w:id="379"/>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provided for the tax effects of transactions reported in the condensed consolidated financial statements and consisted of taxes currently due and deferred taxes. Deferred taxes are recognized for the differences between the basis of assets and liabilities for financial statement and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FASB Topic ASC 740, Income Taxes, which requires the recognition of deferred tax assets and liabilities for the expected future tax consequences of events that have been included in the consolidated financial statements or tax returns.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tax assets to the amount expected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FASB ASC 740-10-25 provides criteria for the recognition, measurement, presentation, and disclosure of uncertain tax positions. The Company must recognize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a position are measured based on the largest benefit that has a greater than 50% likelihood of being realized upon ultimate resolution. The Company recognizes liabilities for uncertain tax positions pursuant to FASB ASC 740-10-25. Such amounts are included in the long-term accrued expenses on the accompanying condensed consolidated balance sheets in the amount of $</w:t>
      </w:r>
      <w:bookmarkStart w:id="380" w:name="xdx_900_eus-gaap--UnrecognizedTaxBenefit"/>
      <w:bookmarkStart w:id="381" w:name="xdx_902_eus-gaap--UnrecognizedTaxBenefit"/>
      <w:bookmarkEnd w:id="380"/>
      <w:bookmarkEnd w:id="381"/>
      <w:r>
        <w:rPr>
          <w:rFonts w:ascii="Times New Roman;Times;Serif" w:hAnsi="Times New Roman;Times;Serif"/>
          <w:b w:val="false"/>
          <w:i w:val="false"/>
          <w:caps w:val="false"/>
          <w:smallCaps w:val="false"/>
          <w:sz w:val="20"/>
        </w:rPr>
        <w:t>254,731 as of March 31, 2024 and December 31, 2023. The Company accrues and recognizes interest and penalties related to unrecognized tax benefits in operating expenses.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82" w:name="xdx_86F_zb7Y0O3MsKkd"/>
      <w:bookmarkStart w:id="383" w:name="xdx_847_eus-gaap--ConcentrationRiskCredi"/>
      <w:bookmarkEnd w:id="382"/>
      <w:bookmarkEnd w:id="383"/>
      <w:r>
        <w:rPr>
          <w:rFonts w:ascii="Times New Roman;Times;Serif" w:hAnsi="Times New Roman;Times;Serif"/>
          <w:b/>
          <w:i/>
          <w:caps w:val="false"/>
          <w:smallCaps w:val="false"/>
          <w:sz w:val="20"/>
        </w:rPr>
        <w:t>Concentration of Credit Risk and Significant Customers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cash balances at several major financial institutions. While the Company attempts to limit credit exposure with any single institution, balances often exceed insurable amounts. As of March 31, 2024 and December 31, 2023, the Company had deposits of $</w:t>
      </w:r>
      <w:bookmarkStart w:id="384" w:name="xdx_908_eus-gaap--CashUninsuredAmount_iI"/>
      <w:bookmarkEnd w:id="384"/>
      <w:r>
        <w:rPr>
          <w:rFonts w:ascii="Times New Roman;Times;Serif" w:hAnsi="Times New Roman;Times;Serif"/>
          <w:b w:val="false"/>
          <w:i w:val="false"/>
          <w:caps w:val="false"/>
          <w:smallCaps w:val="false"/>
          <w:sz w:val="20"/>
        </w:rPr>
        <w:t>15,410,350 and $</w:t>
      </w:r>
      <w:bookmarkStart w:id="385" w:name="xdx_903_eus-gaap--CashUninsuredAmount_iI"/>
      <w:bookmarkEnd w:id="385"/>
      <w:r>
        <w:rPr>
          <w:rFonts w:ascii="Times New Roman;Times;Serif" w:hAnsi="Times New Roman;Times;Serif"/>
          <w:b w:val="false"/>
          <w:i w:val="false"/>
          <w:caps w:val="false"/>
          <w:smallCaps w:val="false"/>
          <w:sz w:val="20"/>
        </w:rPr>
        <w:t>14,716,652, respectively, that were not insured by the Federal Deposit Insurance Corporation and are included in the cash and cash equivalents, and restricted cash and cash equivalents, in the accompanying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extends credit to various digital resellers and partners. Collection of trade receivables may be affected by changes in economic or other industry conditions and may, accordingly, impact our overall credit risk. The Company does not require collateral or other security to support financial instruments subject to credit risk. The Company performs ongoing credit evaluations of customers and maintains reserves for potentially uncollectible accounts. The Company had three customers as of March 31, 2024, and four customers as of December 31, 2023, who accounted for approximately </w:t>
      </w:r>
      <w:bookmarkStart w:id="386" w:name="xdx_90D_eus-gaap--ConcentrationRiskPerce"/>
      <w:bookmarkEnd w:id="386"/>
      <w:r>
        <w:rPr>
          <w:rFonts w:ascii="Times New Roman;Times;Serif" w:hAnsi="Times New Roman;Times;Serif"/>
          <w:b w:val="false"/>
          <w:i w:val="false"/>
          <w:caps w:val="false"/>
          <w:smallCaps w:val="false"/>
          <w:sz w:val="20"/>
        </w:rPr>
        <w:t xml:space="preserve">72% and </w:t>
      </w:r>
      <w:bookmarkStart w:id="387" w:name="xdx_904_eus-gaap--ConcentrationRiskPerce"/>
      <w:bookmarkEnd w:id="387"/>
      <w:r>
        <w:rPr>
          <w:rFonts w:ascii="Times New Roman;Times;Serif" w:hAnsi="Times New Roman;Times;Serif"/>
          <w:b w:val="false"/>
          <w:i w:val="false"/>
          <w:caps w:val="false"/>
          <w:smallCaps w:val="false"/>
          <w:sz w:val="20"/>
        </w:rPr>
        <w:t xml:space="preserve">95% of consolidated gross receivables, respectively. Among the three customers as of March 31, 2024, and four customers as of December 31, 2023, each customer accounted for </w:t>
      </w:r>
      <w:bookmarkStart w:id="388" w:name="xdx_90C_eus-gaap--ConcentrationRiskPerce"/>
      <w:bookmarkEnd w:id="388"/>
      <w:r>
        <w:rPr>
          <w:rFonts w:ascii="Times New Roman;Times;Serif" w:hAnsi="Times New Roman;Times;Serif"/>
          <w:b w:val="false"/>
          <w:i w:val="false"/>
          <w:caps w:val="false"/>
          <w:smallCaps w:val="false"/>
          <w:sz w:val="20"/>
        </w:rPr>
        <w:t xml:space="preserve">34%, </w:t>
      </w:r>
      <w:bookmarkStart w:id="389" w:name="xdx_90A_eus-gaap--ConcentrationRiskPerce"/>
      <w:bookmarkEnd w:id="389"/>
      <w:r>
        <w:rPr>
          <w:rFonts w:ascii="Times New Roman;Times;Serif" w:hAnsi="Times New Roman;Times;Serif"/>
          <w:b w:val="false"/>
          <w:i w:val="false"/>
          <w:caps w:val="false"/>
          <w:smallCaps w:val="false"/>
          <w:sz w:val="20"/>
        </w:rPr>
        <w:t xml:space="preserve">21%, and </w:t>
      </w:r>
      <w:bookmarkStart w:id="390" w:name="xdx_90B_eus-gaap--ConcentrationRiskPerce"/>
      <w:bookmarkEnd w:id="390"/>
      <w:r>
        <w:rPr>
          <w:rFonts w:ascii="Times New Roman;Times;Serif" w:hAnsi="Times New Roman;Times;Serif"/>
          <w:b w:val="false"/>
          <w:i w:val="false"/>
          <w:caps w:val="false"/>
          <w:smallCaps w:val="false"/>
          <w:sz w:val="20"/>
        </w:rPr>
        <w:t xml:space="preserve">17% as of March 31, 2024, and </w:t>
      </w:r>
      <w:bookmarkStart w:id="391" w:name="xdx_908_eus-gaap--ConcentrationRiskPerce"/>
      <w:bookmarkEnd w:id="391"/>
      <w:r>
        <w:rPr>
          <w:rFonts w:ascii="Times New Roman;Times;Serif" w:hAnsi="Times New Roman;Times;Serif"/>
          <w:b w:val="false"/>
          <w:i w:val="false"/>
          <w:caps w:val="false"/>
          <w:smallCaps w:val="false"/>
          <w:sz w:val="20"/>
        </w:rPr>
        <w:t xml:space="preserve">43%, </w:t>
      </w:r>
      <w:bookmarkStart w:id="392" w:name="xdx_901_eus-gaap--ConcentrationRiskPerce"/>
      <w:bookmarkEnd w:id="392"/>
      <w:r>
        <w:rPr>
          <w:rFonts w:ascii="Times New Roman;Times;Serif" w:hAnsi="Times New Roman;Times;Serif"/>
          <w:b w:val="false"/>
          <w:i w:val="false"/>
          <w:caps w:val="false"/>
          <w:smallCaps w:val="false"/>
          <w:sz w:val="20"/>
        </w:rPr>
        <w:t xml:space="preserve">20%, </w:t>
      </w:r>
      <w:bookmarkStart w:id="393" w:name="xdx_905_eus-gaap--ConcentrationRiskPerce"/>
      <w:bookmarkEnd w:id="393"/>
      <w:r>
        <w:rPr>
          <w:rFonts w:ascii="Times New Roman;Times;Serif" w:hAnsi="Times New Roman;Times;Serif"/>
          <w:b w:val="false"/>
          <w:i w:val="false"/>
          <w:caps w:val="false"/>
          <w:smallCaps w:val="false"/>
          <w:sz w:val="20"/>
        </w:rPr>
        <w:t xml:space="preserve">16% and </w:t>
      </w:r>
      <w:bookmarkStart w:id="394" w:name="xdx_901_eus-gaap--ConcentrationRiskPerce"/>
      <w:bookmarkEnd w:id="394"/>
      <w:r>
        <w:rPr>
          <w:rFonts w:ascii="Times New Roman;Times;Serif" w:hAnsi="Times New Roman;Times;Serif"/>
          <w:b w:val="false"/>
          <w:i w:val="false"/>
          <w:caps w:val="false"/>
          <w:smallCaps w:val="false"/>
          <w:sz w:val="20"/>
        </w:rPr>
        <w:t xml:space="preserve">16% as of December 31, 2023 of the consolidated gross receivables outstanding. During the three months ended March 31, 2024 and 2023, approximately </w:t>
      </w:r>
      <w:bookmarkStart w:id="395" w:name="xdx_903_eus-gaap--ConcentrationRiskPerce"/>
      <w:bookmarkEnd w:id="395"/>
      <w:r>
        <w:rPr>
          <w:rFonts w:ascii="Times New Roman;Times;Serif" w:hAnsi="Times New Roman;Times;Serif"/>
          <w:b w:val="false"/>
          <w:i w:val="false"/>
          <w:caps w:val="false"/>
          <w:smallCaps w:val="false"/>
          <w:sz w:val="20"/>
        </w:rPr>
        <w:t xml:space="preserve">62% and </w:t>
      </w:r>
      <w:bookmarkStart w:id="396" w:name="xdx_909_eus-gaap--ConcentrationRiskPerce"/>
      <w:bookmarkEnd w:id="396"/>
      <w:r>
        <w:rPr>
          <w:rFonts w:ascii="Times New Roman;Times;Serif" w:hAnsi="Times New Roman;Times;Serif"/>
          <w:b w:val="false"/>
          <w:i w:val="false"/>
          <w:caps w:val="false"/>
          <w:smallCaps w:val="false"/>
          <w:sz w:val="20"/>
        </w:rPr>
        <w:t xml:space="preserve">70%, respectively, of net revenue was derived from these customers. The Company had four customers in the three months ended March 31, 2024, and three customers in the three months ended March 31, 2023, that accounted for </w:t>
      </w:r>
      <w:bookmarkStart w:id="397" w:name="xdx_905_eus-gaap--ConcentrationRiskPerce"/>
      <w:bookmarkEnd w:id="397"/>
      <w:r>
        <w:rPr>
          <w:rFonts w:ascii="Times New Roman;Times;Serif" w:hAnsi="Times New Roman;Times;Serif"/>
          <w:b w:val="false"/>
          <w:i w:val="false"/>
          <w:caps w:val="false"/>
          <w:smallCaps w:val="false"/>
          <w:sz w:val="20"/>
        </w:rPr>
        <w:t xml:space="preserve">37%, </w:t>
      </w:r>
      <w:bookmarkStart w:id="398" w:name="xdx_909_eus-gaap--ConcentrationRiskPerce"/>
      <w:bookmarkEnd w:id="398"/>
      <w:r>
        <w:rPr>
          <w:rFonts w:ascii="Times New Roman;Times;Serif" w:hAnsi="Times New Roman;Times;Serif"/>
          <w:b w:val="false"/>
          <w:i w:val="false"/>
          <w:caps w:val="false"/>
          <w:smallCaps w:val="false"/>
          <w:sz w:val="20"/>
        </w:rPr>
        <w:t xml:space="preserve">15%, </w:t>
      </w:r>
      <w:bookmarkStart w:id="399" w:name="xdx_901_eus-gaap--ConcentrationRiskPerce"/>
      <w:bookmarkEnd w:id="399"/>
      <w:r>
        <w:rPr>
          <w:rFonts w:ascii="Times New Roman;Times;Serif" w:hAnsi="Times New Roman;Times;Serif"/>
          <w:b w:val="false"/>
          <w:i w:val="false"/>
          <w:caps w:val="false"/>
          <w:smallCaps w:val="false"/>
          <w:sz w:val="20"/>
        </w:rPr>
        <w:t xml:space="preserve">13% and </w:t>
      </w:r>
      <w:bookmarkStart w:id="400" w:name="xdx_908_eus-gaap--ConcentrationRiskPerce"/>
      <w:bookmarkEnd w:id="400"/>
      <w:r>
        <w:rPr>
          <w:rFonts w:ascii="Times New Roman;Times;Serif" w:hAnsi="Times New Roman;Times;Serif"/>
          <w:b w:val="false"/>
          <w:i w:val="false"/>
          <w:caps w:val="false"/>
          <w:smallCaps w:val="false"/>
          <w:sz w:val="20"/>
        </w:rPr>
        <w:t xml:space="preserve">11%, and </w:t>
      </w:r>
      <w:bookmarkStart w:id="401" w:name="xdx_908_eus-gaap--ConcentrationRiskPerce"/>
      <w:bookmarkEnd w:id="401"/>
      <w:r>
        <w:rPr>
          <w:rFonts w:ascii="Times New Roman;Times;Serif" w:hAnsi="Times New Roman;Times;Serif"/>
          <w:b w:val="false"/>
          <w:i w:val="false"/>
          <w:caps w:val="false"/>
          <w:smallCaps w:val="false"/>
          <w:sz w:val="20"/>
        </w:rPr>
        <w:t xml:space="preserve">36%, </w:t>
      </w:r>
      <w:bookmarkStart w:id="402" w:name="xdx_909_eus-gaap--ConcentrationRiskPerce"/>
      <w:bookmarkEnd w:id="402"/>
      <w:r>
        <w:rPr>
          <w:rFonts w:ascii="Times New Roman;Times;Serif" w:hAnsi="Times New Roman;Times;Serif"/>
          <w:b w:val="false"/>
          <w:i w:val="false"/>
          <w:caps w:val="false"/>
          <w:smallCaps w:val="false"/>
          <w:sz w:val="20"/>
        </w:rPr>
        <w:t xml:space="preserve">18% and </w:t>
      </w:r>
      <w:bookmarkStart w:id="403" w:name="xdx_908_eus-gaap--ConcentrationRiskPerce"/>
      <w:bookmarkEnd w:id="403"/>
      <w:r>
        <w:rPr>
          <w:rFonts w:ascii="Times New Roman;Times;Serif" w:hAnsi="Times New Roman;Times;Serif"/>
          <w:b w:val="false"/>
          <w:i w:val="false"/>
          <w:caps w:val="false"/>
          <w:smallCaps w:val="false"/>
          <w:sz w:val="20"/>
        </w:rPr>
        <w:t>10% of the Company’s net revenue, respectively. The loss of these customers or declines in the forecasts of their accounts receivable collectability would have a significant impact on the Company’s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2024 and December 31, 2023, the Company had one vendor who accounted for approximately </w:t>
      </w:r>
      <w:bookmarkStart w:id="404" w:name="xdx_90D_eus-gaap--ConcentrationRiskPerce"/>
      <w:bookmarkEnd w:id="404"/>
      <w:r>
        <w:rPr>
          <w:rFonts w:ascii="Times New Roman;Times;Serif" w:hAnsi="Times New Roman;Times;Serif"/>
          <w:b w:val="false"/>
          <w:i w:val="false"/>
          <w:caps w:val="false"/>
          <w:smallCaps w:val="false"/>
          <w:sz w:val="20"/>
        </w:rPr>
        <w:t xml:space="preserve">73% and one vendor who accounted for approximately </w:t>
      </w:r>
      <w:bookmarkStart w:id="405" w:name="xdx_90E_eus-gaap--ConcentrationRiskPerce"/>
      <w:bookmarkEnd w:id="405"/>
      <w:r>
        <w:rPr>
          <w:rFonts w:ascii="Times New Roman;Times;Serif" w:hAnsi="Times New Roman;Times;Serif"/>
          <w:b w:val="false"/>
          <w:i w:val="false"/>
          <w:caps w:val="false"/>
          <w:smallCaps w:val="false"/>
          <w:sz w:val="20"/>
        </w:rPr>
        <w:t>69% of consolidated gross payables, respectively. The loss of these vendors could have a significant impact on the Company’s financial performance and regulatory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had one vendor, SDE, a related party, that accounted for </w:t>
      </w:r>
      <w:bookmarkStart w:id="406" w:name="xdx_904_eus-gaap--ConcentrationRiskPerce"/>
      <w:bookmarkEnd w:id="406"/>
      <w:r>
        <w:rPr>
          <w:rFonts w:ascii="Times New Roman;Times;Serif" w:hAnsi="Times New Roman;Times;Serif"/>
          <w:b w:val="false"/>
          <w:i w:val="false"/>
          <w:caps w:val="false"/>
          <w:smallCaps w:val="false"/>
          <w:sz w:val="20"/>
        </w:rPr>
        <w:t xml:space="preserve">66% and </w:t>
      </w:r>
      <w:bookmarkStart w:id="407" w:name="xdx_90B_eus-gaap--ConcentrationRiskPerce"/>
      <w:bookmarkEnd w:id="407"/>
      <w:r>
        <w:rPr>
          <w:rFonts w:ascii="Times New Roman;Times;Serif" w:hAnsi="Times New Roman;Times;Serif"/>
          <w:b w:val="false"/>
          <w:i w:val="false"/>
          <w:caps w:val="false"/>
          <w:smallCaps w:val="false"/>
          <w:sz w:val="20"/>
        </w:rPr>
        <w:t>58% of the Company’s combined cost of revenues and operating expenses during the three months ended March 31, 2024 and 2023, respectively. Amounts payable to SDE are included in accounts payable - related parties in the consolidated balance sheets as of March 31, 2024 and December 31, 2023. The loss of SDE as a vendor would significantly and adversely affect the Company’s core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08" w:name="xdx_860_z73J4FXNigff"/>
      <w:bookmarkStart w:id="409" w:name="xdx_844_eus-gaap--NewAccountingPronounce"/>
      <w:bookmarkEnd w:id="408"/>
      <w:bookmarkEnd w:id="409"/>
      <w:r>
        <w:rPr>
          <w:rFonts w:ascii="Times New Roman;Times;Serif" w:hAnsi="Times New Roman;Times;Serif"/>
          <w:b/>
          <w:i/>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August 2020, the FASB issued ASU 2020-06, </w:t>
      </w:r>
      <w:r>
        <w:rPr>
          <w:rFonts w:ascii="Times New Roman;Times;Serif" w:hAnsi="Times New Roman;Times;Serif"/>
          <w:b w:val="false"/>
          <w:i/>
          <w:caps w:val="false"/>
          <w:smallCaps w:val="false"/>
          <w:sz w:val="20"/>
        </w:rPr>
        <w:t>Contracts in Entity’s Own Equity (Subtopic 815-40) – Accounting for Convertible Instruments and Contracts in an Entity’s Own Equity</w:t>
      </w:r>
      <w:r>
        <w:rPr>
          <w:rFonts w:ascii="Times New Roman;Times;Serif" w:hAnsi="Times New Roman;Times;Serif"/>
          <w:b w:val="false"/>
          <w:i w:val="false"/>
          <w:caps w:val="false"/>
          <w:smallCaps w:val="false"/>
          <w:sz w:val="20"/>
        </w:rPr>
        <w:t>, to simplify the application of GAAP for certain financial instruments with characteristics of liabilities and equity. The FASB decided to eliminate certain accounting models to simplify the accounting for convertible instruments, reduce complexity for preparers and practitioners, and improve the decision usefulness and relevance of the information provided to financial statement users. The FASB also amended the guidance for derivatives scope exception for contracts in an entity’s own equity to reduce form-over-substance-based accounting conclusion and amended the related earnings per share guidance. The Company has adopted this standard on January 1, 2024 and it did not have a material impact on the Company’s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2023, the FASB issued ASU 2023-06, </w:t>
      </w:r>
      <w:r>
        <w:rPr>
          <w:rFonts w:ascii="Times New Roman;Times;Serif" w:hAnsi="Times New Roman;Times;Serif"/>
          <w:b w:val="false"/>
          <w:i/>
          <w:caps w:val="false"/>
          <w:smallCaps w:val="false"/>
          <w:sz w:val="20"/>
        </w:rPr>
        <w:t xml:space="preserve">Codification Amendments in Response to the SEC’s Disclosure Update and Simplification Initiative, </w:t>
      </w:r>
      <w:r>
        <w:rPr>
          <w:rFonts w:ascii="Times New Roman;Times;Serif" w:hAnsi="Times New Roman;Times;Serif"/>
          <w:b w:val="false"/>
          <w:i w:val="false"/>
          <w:caps w:val="false"/>
          <w:smallCaps w:val="false"/>
          <w:sz w:val="20"/>
        </w:rPr>
        <w:t>to clarify or improve disclosure and presentation requirements of a variety of topics. Certain of the amendments represent clarifications to or technical corrections of the current requirements. Many of the amendments allow users to more easily compare entities subject to the SEC’s existing disclosures with those entities that were not previously subject to the SEC’s requirements. ASU 2023-06 is effective for companies subject to the SEC’s disclosure requirements. The effective date for each amendment will be the date on which the SEC’s removal of that related disclosure from Regulation S-X or Regulation S-K becomes effected. For all other entities the amendments will be effective two years. The Company expects the implementation of this standard to require modification of certain disclosures and we do not expect the standard to have a material impact on the Company’s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2023, the FASB issued ASU 2023-07, </w:t>
      </w:r>
      <w:r>
        <w:rPr>
          <w:rFonts w:ascii="Times New Roman;Times;Serif" w:hAnsi="Times New Roman;Times;Serif"/>
          <w:b w:val="false"/>
          <w:i/>
          <w:caps w:val="false"/>
          <w:smallCaps w:val="false"/>
          <w:sz w:val="20"/>
        </w:rPr>
        <w:t>Improvements to Reportable Segment Disclosure (Topic 280),</w:t>
      </w:r>
      <w:r>
        <w:rPr>
          <w:rFonts w:ascii="Times New Roman;Times;Serif" w:hAnsi="Times New Roman;Times;Serif"/>
          <w:b w:val="false"/>
          <w:i w:val="false"/>
          <w:caps w:val="false"/>
          <w:smallCaps w:val="false"/>
          <w:sz w:val="20"/>
        </w:rPr>
        <w:t xml:space="preserve"> to improve financial reporting by requiring disclosure of incremental segment information on an annual and interim basis for all public entities. The update does not change how a public entity identifies its operating segments, aggregates those operating segments, or applied the quantitative thresholds to determine its reportable segments. The amendments in this update are effective for fiscal years beginning after December 15, 2023, and interim periods beginning after December 15, 2024. The Company is evaluating the impact of adopting the new standard.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2023-09, </w:t>
      </w:r>
      <w:r>
        <w:rPr>
          <w:rFonts w:ascii="Times New Roman;Times;Serif" w:hAnsi="Times New Roman;Times;Serif"/>
          <w:b w:val="false"/>
          <w:i/>
          <w:caps w:val="false"/>
          <w:smallCaps w:val="false"/>
          <w:sz w:val="20"/>
        </w:rPr>
        <w:t xml:space="preserve">Income Taxes (Topic 740): Improvements to Income Tax Disclosures, </w:t>
      </w:r>
      <w:r>
        <w:rPr>
          <w:rFonts w:ascii="Times New Roman;Times;Serif" w:hAnsi="Times New Roman;Times;Serif"/>
          <w:b w:val="false"/>
          <w:i w:val="false"/>
          <w:caps w:val="false"/>
          <w:smallCaps w:val="false"/>
          <w:sz w:val="20"/>
        </w:rPr>
        <w:t>to improve the transparency of income tax disclosures requiring consistent categories and greater disaggregation of information in the rate reconciliation and income taxes paid disaggregated by jurisdiction. The amendments in the update requires that public business entities, on an annual basis, disclose specific categories in the rate reconciliation and provide additional information for reconciling items that meet a quantitative threshold. The amendments in this update are effective for annual periods beginning after December 15, 2024. The Company is evaluating the impact of adopting the new standard.</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10" w:name="xdx_863_zYtXVq18f894"/>
      <w:bookmarkStart w:id="411" w:name="xdx_84D_ecustom--EmployeeSavingPlansPoli"/>
      <w:bookmarkEnd w:id="410"/>
      <w:bookmarkEnd w:id="411"/>
      <w:r>
        <w:rPr>
          <w:rFonts w:ascii="Times New Roman;Times;Serif" w:hAnsi="Times New Roman;Times;Serif"/>
          <w:b/>
          <w:i/>
          <w:caps w:val="false"/>
          <w:smallCaps w:val="false"/>
          <w:sz w:val="20"/>
        </w:rPr>
        <w:t>Employee Savings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401(k) for its United States based employees. The plan is offered to all eligible employees to make voluntary contributions. Employer contributions to the plan are reported under general and administrative costs in the amounts of $</w:t>
      </w:r>
      <w:bookmarkStart w:id="412" w:name="xdx_900_eus-gaap--DefinedBenefitPlanCont"/>
      <w:bookmarkEnd w:id="412"/>
      <w:r>
        <w:rPr>
          <w:rFonts w:ascii="Times New Roman;Times;Serif" w:hAnsi="Times New Roman;Times;Serif"/>
          <w:b w:val="false"/>
          <w:i w:val="false"/>
          <w:caps w:val="false"/>
          <w:smallCaps w:val="false"/>
          <w:sz w:val="20"/>
        </w:rPr>
        <w:t>24,274 and $</w:t>
      </w:r>
      <w:bookmarkStart w:id="413" w:name="xdx_905_eus-gaap--DefinedBenefitPlanCont"/>
      <w:bookmarkEnd w:id="413"/>
      <w:r>
        <w:rPr>
          <w:rFonts w:ascii="Times New Roman;Times;Serif" w:hAnsi="Times New Roman;Times;Serif"/>
          <w:b w:val="false"/>
          <w:i w:val="false"/>
          <w:caps w:val="false"/>
          <w:smallCaps w:val="false"/>
          <w:sz w:val="20"/>
        </w:rPr>
        <w:t>26,619 for the three months ended March 31,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14" w:name="xdx_864_zL4nxH6zocwl"/>
      <w:bookmarkStart w:id="415" w:name="xdx_84A_eus-gaap--CompensationRelatedCos"/>
      <w:bookmarkEnd w:id="414"/>
      <w:bookmarkEnd w:id="415"/>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compensation cost for stock-based awards to employees based on the awards’ estimated grant-date fair value using a straight-line approach over the service period for which such awards are expected to vest. The Company accounts for forfeitures as they occur. The Company did not issue any restricted stock units (“Restricted Stock Units” or “restricted stock units”) during the three months ended March 31, 2024, and 2023. The fair value of Restricted Stock Units is determined based on the quoted market price of our common stock on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2022 Omnibus Incentive Plan (the “2022 Plan”) became effective upon the consummation of the IPO. The 2022 Omnibus Incentive allows us to grant options to purchase our common stock and to grant stock options, stock appreciation rights, restricted stock, restricted stock units and performance awards and other cash-based awards and other stock-based awards to our employees, officers, and directors, up to a maximum of </w:t>
      </w:r>
      <w:bookmarkStart w:id="416" w:name="xdx_903_eus-gaap--ShareBasedCompensation"/>
      <w:bookmarkEnd w:id="416"/>
      <w:r>
        <w:rPr>
          <w:rFonts w:ascii="Times New Roman;Times;Serif" w:hAnsi="Times New Roman;Times;Serif"/>
          <w:b w:val="false"/>
          <w:i w:val="false"/>
          <w:caps w:val="false"/>
          <w:smallCaps w:val="false"/>
          <w:sz w:val="20"/>
        </w:rPr>
        <w:t xml:space="preserve">5,718,000 shares. Stock options may be granted to employees and officers and non-qualified options may be granted to employees, officers, and directors, at not less than the fair market value on the date of grant. The number of shares of common stock available for issuance under the 2022 Plan will be increased annually on the first day of each fiscal year during the term of the 2022 Plan, beginning with the 2023 fiscal year, by an amount equal to the lesser of (a) </w:t>
      </w:r>
      <w:bookmarkStart w:id="417" w:name="xdx_907_eus-gaap--CommonStockCapitalShar"/>
      <w:bookmarkEnd w:id="417"/>
      <w:r>
        <w:rPr>
          <w:rFonts w:ascii="Times New Roman;Times;Serif" w:hAnsi="Times New Roman;Times;Serif"/>
          <w:b w:val="false"/>
          <w:i w:val="false"/>
          <w:caps w:val="false"/>
          <w:smallCaps w:val="false"/>
          <w:sz w:val="20"/>
        </w:rPr>
        <w:t xml:space="preserve">5,718,000 shares, (b) </w:t>
      </w:r>
      <w:bookmarkStart w:id="418" w:name="xdx_90B_ecustom--ShareBasedCompensationA"/>
      <w:bookmarkEnd w:id="418"/>
      <w:r>
        <w:rPr>
          <w:rFonts w:ascii="Times New Roman;Times;Serif" w:hAnsi="Times New Roman;Times;Serif"/>
          <w:b w:val="false"/>
          <w:i w:val="false"/>
          <w:caps w:val="false"/>
          <w:smallCaps w:val="false"/>
          <w:sz w:val="20"/>
        </w:rPr>
        <w:t xml:space="preserve">1% of the shares of the Company’s Class B common stock outstanding (on a fully diluted basis) on the final day of the immediately preceding calendar year or (c) such smaller number of shares as determined by the Company’s board of directors. As of March 31, 2024, and December 31, 2023, there were </w:t>
      </w:r>
      <w:bookmarkStart w:id="419" w:name="xdx_902_eus-gaap--CommonStockCapitalShar"/>
      <w:bookmarkStart w:id="420" w:name="xdx_904_eus-gaap--CommonStockCapitalShar"/>
      <w:bookmarkEnd w:id="419"/>
      <w:bookmarkEnd w:id="420"/>
      <w:r>
        <w:rPr>
          <w:rFonts w:ascii="Times New Roman;Times;Serif" w:hAnsi="Times New Roman;Times;Serif"/>
          <w:b w:val="false"/>
          <w:i w:val="false"/>
          <w:caps w:val="false"/>
          <w:smallCaps w:val="false"/>
          <w:sz w:val="20"/>
        </w:rPr>
        <w:t>4,487,675 shares reserved for issuance under the 2022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21" w:name="xdx_864_zLqJDzhBrCse"/>
      <w:bookmarkStart w:id="422" w:name="xdx_847_ecustom--RestrictedStockUnitsPol"/>
      <w:bookmarkEnd w:id="421"/>
      <w:bookmarkEnd w:id="422"/>
      <w:r>
        <w:rPr>
          <w:rFonts w:ascii="Times New Roman;Times;Serif" w:hAnsi="Times New Roman;Times;Serif"/>
          <w:b/>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granted restricted stock units under our 2022 Omnibus Incentive Plan to employees and directors. Restricted stock units are unfunded, unsecured rights to receive common stock upon the satisfaction of certain vesting criteria. Upon vesting, a number of shares of common stock equivalent to the number of restricted stock units is typically issued net of required tax withholding requirements, if any. Restricted stock units are subject to forfeiture and transfer restrictions. For the three months ended March 31, 2024 and 2023, stock-based compensations expenses amounted to </w:t>
      </w:r>
      <w:bookmarkStart w:id="423" w:name="xdx_900_eus-gaap--EmployeeBenefitsAndSha"/>
      <w:bookmarkEnd w:id="423"/>
      <w:r>
        <w:rPr>
          <w:rFonts w:ascii="Times New Roman;Times;Serif" w:hAnsi="Times New Roman;Times;Serif"/>
          <w:b w:val="false"/>
          <w:i w:val="false"/>
          <w:caps w:val="false"/>
          <w:smallCaps w:val="false"/>
          <w:sz w:val="20"/>
        </w:rPr>
        <w:t>($926,875) and $</w:t>
      </w:r>
      <w:bookmarkStart w:id="424" w:name="xdx_906_eus-gaap--EmployeeBenefitsAndSha"/>
      <w:bookmarkEnd w:id="424"/>
      <w:r>
        <w:rPr>
          <w:rFonts w:ascii="Times New Roman;Times;Serif" w:hAnsi="Times New Roman;Times;Serif"/>
          <w:b w:val="false"/>
          <w:i w:val="false"/>
          <w:caps w:val="false"/>
          <w:smallCaps w:val="false"/>
          <w:sz w:val="20"/>
        </w:rPr>
        <w:t>152,595,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25" w:name="xdx_863_zmjEPTWwTGf9"/>
      <w:bookmarkStart w:id="426" w:name="xdx_847_ecustom--WarrantsPolicyTextBlock"/>
      <w:bookmarkEnd w:id="425"/>
      <w:bookmarkEnd w:id="426"/>
      <w:r>
        <w:rPr>
          <w:rFonts w:ascii="Times New Roman;Times;Serif" w:hAnsi="Times New Roman;Times;Serif"/>
          <w:b/>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IPO, offering costs related to legal, accounting, and underwriting costs were net with the proceeds and recorded as a reduction in additional paid in capital, in the stockholders’ equity section of the consolidated balance sheets. The Company also issued Underwriters Warrants (as defined below) for services provided during the IPO to purchase </w:t>
      </w:r>
      <w:bookmarkStart w:id="427" w:name="xdx_902_eus-gaap--ClassOfWarrantOrRightN"/>
      <w:bookmarkEnd w:id="427"/>
      <w:r>
        <w:rPr>
          <w:rFonts w:ascii="Times New Roman;Times;Serif" w:hAnsi="Times New Roman;Times;Serif"/>
          <w:b w:val="false"/>
          <w:i w:val="false"/>
          <w:caps w:val="false"/>
          <w:smallCaps w:val="false"/>
          <w:sz w:val="20"/>
        </w:rPr>
        <w:t>120,000 shares of Class A common stock. The Underwriters Warrants are accounted for as equity instruments and are included in the stockholders’ equity section of the condensed consolidated balance sheets. The fair value of the Underwriters Warrants has been estimated using the Black-Scholes option pricing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24, 2023, the Company issued warrants in connection with its convertible debt for the purchase of </w:t>
      </w:r>
      <w:bookmarkStart w:id="428" w:name="xdx_90D_eus-gaap--DebtConversionConverte"/>
      <w:bookmarkEnd w:id="428"/>
      <w:r>
        <w:rPr>
          <w:rFonts w:ascii="Times New Roman;Times;Serif" w:hAnsi="Times New Roman;Times;Serif"/>
          <w:b w:val="false"/>
          <w:i w:val="false"/>
          <w:caps w:val="false"/>
          <w:smallCaps w:val="false"/>
          <w:sz w:val="20"/>
        </w:rPr>
        <w:t>714,285 shares (the “Convertible Note Warrants”). The Convertible Note Warrants are accounted for as a liability and are included in the accrued expenses and other liabilities in the condensed consolidated balance sheets. The Convertible Note Warrants may require partial cash settlement in the future, include various adjustment provisions, meet the definition of a derivative and are classified as a liability, as such the warrants are measured at fair value in accordance with ASC 815 –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The fair value of the Convertible Note Warrants has been estimated using the Monte-Carlo pricing model. For more information regarding convertible notes and related warrants see Note 16 - </w:t>
      </w:r>
      <w:r>
        <w:rPr>
          <w:rFonts w:ascii="Times New Roman;Times;Serif" w:hAnsi="Times New Roman;Times;Serif"/>
          <w:b w:val="false"/>
          <w:i/>
          <w:caps w:val="false"/>
          <w:smallCaps w:val="false"/>
          <w:sz w:val="20"/>
        </w:rPr>
        <w:t>Equity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24, 2023, the Company issued a warrant to an investor (the “Equity Line Warrant”) for the purchase of </w:t>
      </w:r>
      <w:bookmarkStart w:id="429" w:name="xdx_90E_eus-gaap--ClassOfWarrantOrRightN"/>
      <w:bookmarkEnd w:id="429"/>
      <w:r>
        <w:rPr>
          <w:rFonts w:ascii="Times New Roman;Times;Serif" w:hAnsi="Times New Roman;Times;Serif"/>
          <w:b w:val="false"/>
          <w:i w:val="false"/>
          <w:caps w:val="false"/>
          <w:smallCaps w:val="false"/>
          <w:sz w:val="20"/>
        </w:rPr>
        <w:t>367,647 shares of Class A common stock in consideration of the investor’s commitment to purchase Class A common stock. The fair value of the Equity Line Warrant is recorded as a warrant liability and is included in the accrued expenses and other liabilities in the Company’s condensed consolidated balance sheets. The Equity Line Warrants may require partial cash settlement in the future, include various adjustment provisions, meet the definition of a derivative and are classified as a liability, as such the warrants are measured at fair value in accordance with ASC 815 –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The fair value of the Equity Line Warrants has been estimated using the Monte-Carlo pricing model using level 3 inputs. The most significant of the inputs used are the underlying stock price, the exercise price, the contractual term, volatility and the risk-free rate. For more information regarding equity line and related warrants see Note 16 – </w:t>
      </w:r>
      <w:r>
        <w:rPr>
          <w:rFonts w:ascii="Times New Roman;Times;Serif" w:hAnsi="Times New Roman;Times;Serif"/>
          <w:b w:val="false"/>
          <w:i/>
          <w:caps w:val="false"/>
          <w:smallCaps w:val="false"/>
          <w:sz w:val="20"/>
        </w:rPr>
        <w:t>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30" w:name="xdx_867_z8qpcaQuEms7"/>
      <w:bookmarkStart w:id="431" w:name="xdx_84A_eus-gaap--RepurchaseAgreementsCo"/>
      <w:bookmarkEnd w:id="430"/>
      <w:bookmarkEnd w:id="431"/>
      <w:r>
        <w:rPr>
          <w:rFonts w:ascii="Times New Roman;Times;Serif" w:hAnsi="Times New Roman;Times;Serif"/>
          <w:b/>
          <w:i/>
          <w:caps w:val="false"/>
          <w:smallCaps w:val="false"/>
          <w:sz w:val="20"/>
        </w:rPr>
        <w:t>Share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10, 2022, the Company’s board of directors authorized a share repurchase program under which the Company may repurchase up to $</w:t>
      </w:r>
      <w:bookmarkStart w:id="432" w:name="xdx_909_esrt--StockRepurchaseProgramAuth"/>
      <w:bookmarkEnd w:id="432"/>
      <w:r>
        <w:rPr>
          <w:rFonts w:ascii="Times New Roman;Times;Serif" w:hAnsi="Times New Roman;Times;Serif"/>
          <w:b w:val="false"/>
          <w:i w:val="false"/>
          <w:caps w:val="false"/>
          <w:smallCaps w:val="false"/>
          <w:sz w:val="20"/>
        </w:rPr>
        <w:t xml:space="preserve">5 million of outstanding shares of Class A common stock of the Company, subject to ongoing compliance with the Nasdaq listing rules. The program does not have a fixed expiration date. Repurchased shares are accounted for at cost and reported as a reduction of equity in the condensed consolidated balance sheets under treasury stock. </w:t>
      </w:r>
      <w:bookmarkStart w:id="433" w:name="xdx_90E_eus-gaap--StockIssuedDuringPerio"/>
      <w:bookmarkStart w:id="434" w:name="xdx_906_eus-gaap--StockIssuedDuringPerio"/>
      <w:bookmarkEnd w:id="433"/>
      <w:bookmarkEnd w:id="434"/>
      <w:r>
        <w:rPr>
          <w:rFonts w:ascii="Times New Roman;Times;Serif" w:hAnsi="Times New Roman;Times;Serif"/>
          <w:b w:val="false"/>
          <w:i w:val="false"/>
          <w:caps w:val="false"/>
          <w:smallCaps w:val="false"/>
          <w:sz w:val="20"/>
        </w:rPr>
        <w:t xml:space="preserve">No treasury stock was sold during the three months ended March 31, 2024 and 2023. As of March 31, 2024 and 2023, </w:t>
      </w:r>
      <w:bookmarkStart w:id="435" w:name="xdx_907_eus-gaap--TreasuryStockSharesAcq"/>
      <w:bookmarkStart w:id="436" w:name="xdx_904_eus-gaap--TreasuryStockSharesAcq"/>
      <w:bookmarkEnd w:id="435"/>
      <w:bookmarkEnd w:id="436"/>
      <w:r>
        <w:rPr>
          <w:rFonts w:ascii="Times New Roman;Times;Serif" w:hAnsi="Times New Roman;Times;Serif"/>
          <w:b w:val="false"/>
          <w:i w:val="false"/>
          <w:caps w:val="false"/>
          <w:smallCaps w:val="false"/>
          <w:sz w:val="20"/>
        </w:rPr>
        <w:t>1,350,275 shares of Class A common stock were repurchased pursuant to the Share Repurchase Program for an aggregate purchase price of approximately $</w:t>
      </w:r>
      <w:bookmarkStart w:id="437" w:name="xdx_904_eus-gaap--TreasuryStockValueAcqu"/>
      <w:bookmarkEnd w:id="437"/>
      <w:r>
        <w:rPr>
          <w:rFonts w:ascii="Times New Roman;Times;Serif" w:hAnsi="Times New Roman;Times;Serif"/>
          <w:b w:val="false"/>
          <w:i w:val="false"/>
          <w:caps w:val="false"/>
          <w:smallCaps w:val="false"/>
          <w:sz w:val="20"/>
        </w:rPr>
        <w:t>3.7 million. The average price paid per share was $</w:t>
      </w:r>
      <w:bookmarkStart w:id="438" w:name="xdx_90E_eus-gaap--TreasuryStockAcquiredA"/>
      <w:bookmarkEnd w:id="438"/>
      <w:r>
        <w:rPr>
          <w:rFonts w:ascii="Times New Roman;Times;Serif" w:hAnsi="Times New Roman;Times;Serif"/>
          <w:b w:val="false"/>
          <w:i w:val="false"/>
          <w:caps w:val="false"/>
          <w:smallCaps w:val="false"/>
          <w:sz w:val="20"/>
        </w:rPr>
        <w:t>2.72 and approximately $</w:t>
      </w:r>
      <w:bookmarkStart w:id="439" w:name="xdx_905_eus-gaap--StockRepurchaseProgram"/>
      <w:bookmarkEnd w:id="439"/>
      <w:r>
        <w:rPr>
          <w:rFonts w:ascii="Times New Roman;Times;Serif" w:hAnsi="Times New Roman;Times;Serif"/>
          <w:b w:val="false"/>
          <w:i w:val="false"/>
          <w:caps w:val="false"/>
          <w:smallCaps w:val="false"/>
          <w:sz w:val="20"/>
        </w:rPr>
        <w:t>1.3 million aggregate amount of shares of Class A common stock remain available for repurchase under the Share Repurchase Program.</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40" w:name="xdx_866_zzJRzPsFQE36"/>
      <w:bookmarkStart w:id="441" w:name="xdx_843_eus-gaap--EarningsPerSharePolicy"/>
      <w:bookmarkEnd w:id="440"/>
      <w:bookmarkEnd w:id="441"/>
      <w:r>
        <w:rPr>
          <w:rFonts w:ascii="Times New Roman;Times;Serif" w:hAnsi="Times New Roman;Times;Serif"/>
          <w:b/>
          <w:i/>
          <w:caps w:val="false"/>
          <w:smallCaps w:val="false"/>
          <w:sz w:val="20"/>
        </w:rPr>
        <w:t>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per share (“EPS”) is calculated by dividing the net loss that is applicable to the common stockholders for the period by the weighted average number of shares of common stock during that period. The diluted EPS for the period is calculated by dividing the net loss applicable to common stockholders for the period by the weighted average number of shares of common stock and common stock equivalents outstanding during the period. The Company’s common stock equivalents are measured using the treasury stock method and represent unvested restricted stock units and warrants. The Company issues two classes of common stock with differing voting rights, and as such, reports EPS using the dual class method. For more information see Note 15 –</w:t>
      </w:r>
      <w:r>
        <w:rPr>
          <w:rFonts w:ascii="Times New Roman;Times;Serif" w:hAnsi="Times New Roman;Times;Serif"/>
          <w:b w:val="false"/>
          <w:i/>
          <w:caps w:val="false"/>
          <w:smallCaps w:val="false"/>
          <w:sz w:val="20"/>
        </w:rPr>
        <w:t>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42" w:name="xdx_86A_znY8s1OGVuth"/>
      <w:bookmarkStart w:id="443" w:name="xdx_841_eus-gaap--PolicyholdersDividendP"/>
      <w:bookmarkEnd w:id="442"/>
      <w:bookmarkEnd w:id="443"/>
      <w:r>
        <w:rPr>
          <w:rFonts w:ascii="Times New Roman;Times;Serif" w:hAnsi="Times New Roman;Times;Serif"/>
          <w:b/>
          <w:i/>
          <w:caps w:val="false"/>
          <w:smallCaps w:val="false"/>
          <w:sz w:val="20"/>
        </w:rPr>
        <w:t>Dividend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pay cash dividends is currently restricted by the terms of our credit facilities.</w:t>
      </w:r>
    </w:p>
    <w:p>
      <w:pPr>
        <w:pStyle w:val="TextBody"/>
        <w:bidi w:val="0"/>
        <w:spacing w:before="0" w:after="0"/>
        <w:ind w:left="0" w:right="0" w:hanging="0"/>
        <w:jc w:val="both"/>
        <w:rPr>
          <w:caps w:val="false"/>
          <w:smallCaps w:val="false"/>
        </w:rPr>
      </w:pPr>
      <w:bookmarkStart w:id="444" w:name="xdx_854_zrLrVOgFLwg3"/>
      <w:bookmarkEnd w:id="444"/>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5" w:name="xdx_80C_eus-gaap--RevenueFromContractWit"/>
      <w:bookmarkEnd w:id="445"/>
      <w:r>
        <w:rPr>
          <w:rFonts w:ascii="Times New Roman;Times;Serif" w:hAnsi="Times New Roman;Times;Serif"/>
          <w:b/>
          <w:i w:val="false"/>
          <w:caps w:val="false"/>
          <w:smallCaps w:val="false"/>
          <w:sz w:val="20"/>
        </w:rPr>
        <w:t xml:space="preserve">NOTE 3 – </w:t>
      </w:r>
      <w:bookmarkStart w:id="446" w:name="xdx_827_zf1NQWYf3MW6"/>
      <w:bookmarkEnd w:id="446"/>
      <w:r>
        <w:rPr>
          <w:rFonts w:ascii="Times New Roman;Times;Serif" w:hAnsi="Times New Roman;Times;Serif"/>
          <w:b/>
          <w:i w:val="false"/>
          <w:caps w:val="false"/>
          <w:smallCaps w:val="false"/>
          <w:sz w:val="20"/>
        </w:rPr>
        <w:t>REVENUE FROM CONTRACTS WITH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Timing of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at a point in time for performance obligations that are met at the time of sale or over a period based on the estimated service period of the product, additional performance obligations, or timing of releases. Net revenue by timing of recognition during the three months ended March 31, 2024 and 2023 were as follows:</w:t>
      </w:r>
    </w:p>
    <w:p>
      <w:pPr>
        <w:pStyle w:val="TextBody"/>
        <w:bidi w:val="0"/>
        <w:spacing w:before="0" w:after="0"/>
        <w:ind w:left="0" w:right="0" w:hanging="0"/>
        <w:jc w:val="both"/>
        <w:rPr>
          <w:caps w:val="false"/>
          <w:smallCaps w:val="false"/>
        </w:rPr>
      </w:pPr>
      <w:bookmarkStart w:id="447" w:name="xdx_893_eus-gaap--DisaggregationOfRevenu"/>
      <w:bookmarkEnd w:id="447"/>
      <w:r>
        <w:rPr>
          <w:caps w:val="false"/>
          <w:smallCaps w:val="false"/>
        </w:rPr>
        <w:t> </w:t>
      </w:r>
      <w:bookmarkStart w:id="448" w:name="xdx_8B7_zjL2Kp7a5KTk"/>
      <w:bookmarkEnd w:id="448"/>
      <w:r>
        <w:rPr>
          <w:rFonts w:ascii="Times New Roman;Times;Serif" w:hAnsi="Times New Roman;Times;Serif"/>
          <w:b w:val="false"/>
          <w:i w:val="false"/>
          <w:caps w:val="false"/>
          <w:smallCaps w:val="false"/>
          <w:sz w:val="20"/>
        </w:rPr>
        <w:t>SCHEDULE OF DISAGGREGATION OF REVENUE</w:t>
      </w:r>
    </w:p>
    <w:tbl>
      <w:tblPr>
        <w:tblW w:w="7390" w:type="dxa"/>
        <w:jc w:val="left"/>
        <w:tblInd w:w="0" w:type="dxa"/>
        <w:tblLayout w:type="fixed"/>
        <w:tblCellMar>
          <w:top w:w="0" w:type="dxa"/>
          <w:left w:w="0" w:type="dxa"/>
          <w:bottom w:w="0" w:type="dxa"/>
          <w:right w:w="0" w:type="dxa"/>
        </w:tblCellMar>
      </w:tblPr>
      <w:tblGrid>
        <w:gridCol w:w="4655"/>
        <w:gridCol w:w="60"/>
        <w:gridCol w:w="140"/>
        <w:gridCol w:w="1100"/>
        <w:gridCol w:w="60"/>
        <w:gridCol w:w="60"/>
        <w:gridCol w:w="140"/>
        <w:gridCol w:w="1100"/>
        <w:gridCol w:w="75"/>
      </w:tblGrid>
      <w:tr>
        <w:trPr/>
        <w:tc>
          <w:tcPr>
            <w:tcW w:w="46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49" w:name="xdx_49C_20240101__20240331_zO5J1dxcUw2i"/>
            <w:bookmarkEnd w:id="449"/>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0" w:name="xdx_499_20230101__20230331_zTypHzu3fAFi"/>
            <w:bookmarkEnd w:id="450"/>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bookmarkStart w:id="451" w:name="xdx_40B_eus-gaap--RevenueFromContractWit"/>
            <w:bookmarkEnd w:id="451"/>
          </w:p>
        </w:tc>
      </w:tr>
      <w:tr>
        <w:trPr/>
        <w:tc>
          <w:tcPr>
            <w:tcW w:w="4655" w:type="dxa"/>
            <w:tcBorders/>
            <w:shd w:fill="CCEEFF" w:val="clear"/>
            <w:vAlign w:val="center"/>
          </w:tcPr>
          <w:p>
            <w:pPr>
              <w:pStyle w:val="TableContents"/>
              <w:bidi w:val="0"/>
              <w:spacing w:before="0" w:after="283"/>
              <w:jc w:val="left"/>
              <w:rPr/>
            </w:pPr>
            <w:r>
              <w:rPr/>
              <w:t>Over time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2,535,834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1,936,375</w:t>
            </w:r>
          </w:p>
        </w:tc>
        <w:tc>
          <w:tcPr>
            <w:tcW w:w="75" w:type="dxa"/>
            <w:tcBorders/>
            <w:shd w:fill="CCEEFF" w:val="clear"/>
            <w:vAlign w:val="center"/>
          </w:tcPr>
          <w:p>
            <w:pPr>
              <w:pStyle w:val="TableContents"/>
              <w:bidi w:val="0"/>
              <w:spacing w:before="0" w:after="283"/>
              <w:jc w:val="left"/>
              <w:rPr/>
            </w:pPr>
            <w:r>
              <w:rPr/>
              <w:t> </w:t>
            </w:r>
            <w:bookmarkStart w:id="452" w:name="xdx_40D_eus-gaap--RevenueFromContractWit"/>
            <w:bookmarkEnd w:id="452"/>
          </w:p>
        </w:tc>
      </w:tr>
      <w:tr>
        <w:trPr/>
        <w:tc>
          <w:tcPr>
            <w:tcW w:w="4655" w:type="dxa"/>
            <w:tcBorders/>
            <w:shd w:fill="FFFFFF" w:val="clear"/>
            <w:vAlign w:val="center"/>
          </w:tcPr>
          <w:p>
            <w:pPr>
              <w:pStyle w:val="TableContents"/>
              <w:bidi w:val="0"/>
              <w:spacing w:before="0" w:after="283"/>
              <w:jc w:val="left"/>
              <w:rPr/>
            </w:pPr>
            <w:r>
              <w:rPr/>
              <w:t>Point in time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11,579,895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11,522,113</w:t>
            </w:r>
          </w:p>
        </w:tc>
        <w:tc>
          <w:tcPr>
            <w:tcW w:w="75" w:type="dxa"/>
            <w:tcBorders/>
            <w:shd w:fill="FFFFFF" w:val="clear"/>
            <w:vAlign w:val="center"/>
          </w:tcPr>
          <w:p>
            <w:pPr>
              <w:pStyle w:val="TableContents"/>
              <w:bidi w:val="0"/>
              <w:spacing w:before="0" w:after="283"/>
              <w:jc w:val="left"/>
              <w:rPr/>
            </w:pPr>
            <w:r>
              <w:rPr/>
              <w:t> </w:t>
            </w:r>
            <w:bookmarkStart w:id="453" w:name="xdx_409_eus-gaap--RevenueFromContractWit"/>
            <w:bookmarkEnd w:id="453"/>
          </w:p>
        </w:tc>
      </w:tr>
      <w:tr>
        <w:trPr/>
        <w:tc>
          <w:tcPr>
            <w:tcW w:w="4655" w:type="dxa"/>
            <w:tcBorders/>
            <w:shd w:fill="CCEEFF" w:val="clear"/>
            <w:vAlign w:val="center"/>
          </w:tcPr>
          <w:p>
            <w:pPr>
              <w:pStyle w:val="TableContents"/>
              <w:bidi w:val="0"/>
              <w:spacing w:before="0" w:after="283"/>
              <w:jc w:val="left"/>
              <w:rPr>
                <w:b/>
              </w:rPr>
            </w:pPr>
            <w:r>
              <w:rPr>
                <w:b/>
              </w:rPr>
              <w:t>Total revenue from contracts with customers: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14,115,729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13,458,488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Geography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attributes net revenue to geographic regions based on customer location. Net revenue by geographic region for the three months ended March 31, 2024 and 2023 were as follows:</w:t>
      </w:r>
    </w:p>
    <w:p>
      <w:pPr>
        <w:pStyle w:val="TextBody"/>
        <w:bidi w:val="0"/>
        <w:spacing w:before="0" w:after="0"/>
        <w:ind w:left="0" w:right="0" w:hanging="0"/>
        <w:jc w:val="both"/>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4655"/>
        <w:gridCol w:w="60"/>
        <w:gridCol w:w="140"/>
        <w:gridCol w:w="1100"/>
        <w:gridCol w:w="60"/>
        <w:gridCol w:w="60"/>
        <w:gridCol w:w="140"/>
        <w:gridCol w:w="1100"/>
        <w:gridCol w:w="75"/>
      </w:tblGrid>
      <w:tr>
        <w:trPr/>
        <w:tc>
          <w:tcPr>
            <w:tcW w:w="46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54" w:name="xdx_49C_20240101__20240331_ztI3SRnzuau1"/>
            <w:bookmarkEnd w:id="454"/>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5" w:name="xdx_499_20230101__20230331_z2EDk52TVIr5"/>
            <w:bookmarkEnd w:id="455"/>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bookmarkStart w:id="456" w:name="xdx_407_eus-gaap--RevenueFromContractWit"/>
            <w:bookmarkEnd w:id="456"/>
          </w:p>
        </w:tc>
      </w:tr>
      <w:tr>
        <w:trPr/>
        <w:tc>
          <w:tcPr>
            <w:tcW w:w="4655" w:type="dxa"/>
            <w:tcBorders/>
            <w:shd w:fill="CCEEFF" w:val="clear"/>
            <w:vAlign w:val="center"/>
          </w:tcPr>
          <w:p>
            <w:pPr>
              <w:pStyle w:val="TableContents"/>
              <w:bidi w:val="0"/>
              <w:spacing w:before="0" w:after="283"/>
              <w:jc w:val="left"/>
              <w:rPr/>
            </w:pPr>
            <w:r>
              <w:rPr/>
              <w:t>United States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11,898,607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11,777,874</w:t>
            </w:r>
          </w:p>
        </w:tc>
        <w:tc>
          <w:tcPr>
            <w:tcW w:w="75" w:type="dxa"/>
            <w:tcBorders/>
            <w:shd w:fill="CCEEFF" w:val="clear"/>
            <w:vAlign w:val="center"/>
          </w:tcPr>
          <w:p>
            <w:pPr>
              <w:pStyle w:val="TableContents"/>
              <w:bidi w:val="0"/>
              <w:spacing w:before="0" w:after="283"/>
              <w:jc w:val="left"/>
              <w:rPr/>
            </w:pPr>
            <w:r>
              <w:rPr/>
              <w:t> </w:t>
            </w:r>
            <w:bookmarkStart w:id="457" w:name="xdx_404_eus-gaap--RevenueFromContractWit"/>
            <w:bookmarkEnd w:id="457"/>
          </w:p>
        </w:tc>
      </w:tr>
      <w:tr>
        <w:trPr/>
        <w:tc>
          <w:tcPr>
            <w:tcW w:w="4655" w:type="dxa"/>
            <w:tcBorders/>
            <w:shd w:fill="FFFFFF" w:val="clear"/>
            <w:vAlign w:val="center"/>
          </w:tcPr>
          <w:p>
            <w:pPr>
              <w:pStyle w:val="TableContents"/>
              <w:bidi w:val="0"/>
              <w:spacing w:before="0" w:after="283"/>
              <w:jc w:val="left"/>
              <w:rPr/>
            </w:pPr>
            <w:r>
              <w:rPr/>
              <w:t>International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2,217,122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1,680,614</w:t>
            </w:r>
          </w:p>
        </w:tc>
        <w:tc>
          <w:tcPr>
            <w:tcW w:w="75" w:type="dxa"/>
            <w:tcBorders/>
            <w:shd w:fill="FFFFFF" w:val="clear"/>
            <w:vAlign w:val="center"/>
          </w:tcPr>
          <w:p>
            <w:pPr>
              <w:pStyle w:val="TableContents"/>
              <w:bidi w:val="0"/>
              <w:spacing w:before="0" w:after="283"/>
              <w:jc w:val="left"/>
              <w:rPr/>
            </w:pPr>
            <w:r>
              <w:rPr/>
              <w:t> </w:t>
            </w:r>
            <w:bookmarkStart w:id="458" w:name="xdx_403_eus-gaap--RevenueFromContractWit"/>
            <w:bookmarkEnd w:id="458"/>
          </w:p>
        </w:tc>
      </w:tr>
      <w:tr>
        <w:trPr/>
        <w:tc>
          <w:tcPr>
            <w:tcW w:w="4655" w:type="dxa"/>
            <w:tcBorders/>
            <w:shd w:fill="CCEEFF" w:val="clear"/>
            <w:vAlign w:val="center"/>
          </w:tcPr>
          <w:p>
            <w:pPr>
              <w:pStyle w:val="TableContents"/>
              <w:bidi w:val="0"/>
              <w:spacing w:before="0" w:after="283"/>
              <w:jc w:val="left"/>
              <w:rPr>
                <w:b/>
              </w:rPr>
            </w:pPr>
            <w:r>
              <w:rPr>
                <w:b/>
              </w:rPr>
              <w:t>Total revenue from contracts with customers: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14,115,729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13,458,488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 by platform for the three months ended March 31, 2024 and 2023 were as follows:</w:t>
      </w:r>
    </w:p>
    <w:p>
      <w:pPr>
        <w:pStyle w:val="TextBody"/>
        <w:bidi w:val="0"/>
        <w:spacing w:before="0" w:after="0"/>
        <w:ind w:left="0" w:right="0" w:hanging="0"/>
        <w:jc w:val="both"/>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4655"/>
        <w:gridCol w:w="60"/>
        <w:gridCol w:w="140"/>
        <w:gridCol w:w="1100"/>
        <w:gridCol w:w="60"/>
        <w:gridCol w:w="60"/>
        <w:gridCol w:w="140"/>
        <w:gridCol w:w="1100"/>
        <w:gridCol w:w="75"/>
      </w:tblGrid>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9" w:name="xdx_49C_20240101__20240331_znV5PdjpO1U1"/>
            <w:bookmarkEnd w:id="459"/>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0" w:name="xdx_499_20230101__20230331_zA67lPJ3rRc5"/>
            <w:bookmarkEnd w:id="460"/>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bookmarkStart w:id="461" w:name="xdx_40C_eus-gaap--RevenueFromContractWit"/>
            <w:bookmarkEnd w:id="461"/>
          </w:p>
        </w:tc>
      </w:tr>
      <w:tr>
        <w:trPr/>
        <w:tc>
          <w:tcPr>
            <w:tcW w:w="4655" w:type="dxa"/>
            <w:tcBorders/>
            <w:shd w:fill="CCEEFF" w:val="clear"/>
            <w:vAlign w:val="center"/>
          </w:tcPr>
          <w:p>
            <w:pPr>
              <w:pStyle w:val="TableContents"/>
              <w:bidi w:val="0"/>
              <w:spacing w:before="0" w:after="283"/>
              <w:jc w:val="left"/>
              <w:rPr/>
            </w:pPr>
            <w:r>
              <w:rPr/>
              <w:t>Console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6,002,817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5,773,590</w:t>
            </w:r>
          </w:p>
        </w:tc>
        <w:tc>
          <w:tcPr>
            <w:tcW w:w="75" w:type="dxa"/>
            <w:tcBorders/>
            <w:shd w:fill="CCEEFF" w:val="clear"/>
            <w:vAlign w:val="center"/>
          </w:tcPr>
          <w:p>
            <w:pPr>
              <w:pStyle w:val="TableContents"/>
              <w:bidi w:val="0"/>
              <w:spacing w:before="0" w:after="283"/>
              <w:jc w:val="left"/>
              <w:rPr/>
            </w:pPr>
            <w:r>
              <w:rPr/>
              <w:t> </w:t>
            </w:r>
            <w:bookmarkStart w:id="462" w:name="xdx_404_eus-gaap--RevenueFromContractWit"/>
            <w:bookmarkEnd w:id="462"/>
          </w:p>
        </w:tc>
      </w:tr>
      <w:tr>
        <w:trPr/>
        <w:tc>
          <w:tcPr>
            <w:tcW w:w="4655" w:type="dxa"/>
            <w:tcBorders/>
            <w:shd w:fill="FFFFFF" w:val="clear"/>
            <w:vAlign w:val="center"/>
          </w:tcPr>
          <w:p>
            <w:pPr>
              <w:pStyle w:val="TableContents"/>
              <w:bidi w:val="0"/>
              <w:spacing w:before="0" w:after="283"/>
              <w:jc w:val="left"/>
              <w:rPr/>
            </w:pPr>
            <w:r>
              <w:rPr/>
              <w:t>PC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5,104,723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5,012,180</w:t>
            </w:r>
          </w:p>
        </w:tc>
        <w:tc>
          <w:tcPr>
            <w:tcW w:w="75" w:type="dxa"/>
            <w:tcBorders/>
            <w:shd w:fill="FFFFFF" w:val="clear"/>
            <w:vAlign w:val="center"/>
          </w:tcPr>
          <w:p>
            <w:pPr>
              <w:pStyle w:val="TableContents"/>
              <w:bidi w:val="0"/>
              <w:spacing w:before="0" w:after="283"/>
              <w:jc w:val="left"/>
              <w:rPr/>
            </w:pPr>
            <w:r>
              <w:rPr/>
              <w:t> </w:t>
            </w:r>
            <w:bookmarkStart w:id="463" w:name="xdx_401_eus-gaap--RevenueFromContractWit"/>
            <w:bookmarkEnd w:id="463"/>
          </w:p>
        </w:tc>
      </w:tr>
      <w:tr>
        <w:trPr/>
        <w:tc>
          <w:tcPr>
            <w:tcW w:w="4655" w:type="dxa"/>
            <w:tcBorders/>
            <w:shd w:fill="CCEEFF" w:val="clear"/>
            <w:vAlign w:val="center"/>
          </w:tcPr>
          <w:p>
            <w:pPr>
              <w:pStyle w:val="TableContents"/>
              <w:bidi w:val="0"/>
              <w:spacing w:before="0" w:after="283"/>
              <w:jc w:val="left"/>
              <w:rPr/>
            </w:pPr>
            <w:r>
              <w:rPr/>
              <w:t>Mobile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962,941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1,718,032</w:t>
            </w:r>
          </w:p>
        </w:tc>
        <w:tc>
          <w:tcPr>
            <w:tcW w:w="75" w:type="dxa"/>
            <w:tcBorders/>
            <w:shd w:fill="CCEEFF" w:val="clear"/>
            <w:vAlign w:val="center"/>
          </w:tcPr>
          <w:p>
            <w:pPr>
              <w:pStyle w:val="TableContents"/>
              <w:bidi w:val="0"/>
              <w:spacing w:before="0" w:after="283"/>
              <w:jc w:val="left"/>
              <w:rPr/>
            </w:pPr>
            <w:r>
              <w:rPr/>
              <w:t> </w:t>
            </w:r>
            <w:bookmarkStart w:id="464" w:name="xdx_405_eus-gaap--RevenueFromContractWit"/>
            <w:bookmarkEnd w:id="464"/>
          </w:p>
        </w:tc>
      </w:tr>
      <w:tr>
        <w:trPr/>
        <w:tc>
          <w:tcPr>
            <w:tcW w:w="465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2,045,248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954,686</w:t>
            </w:r>
          </w:p>
        </w:tc>
        <w:tc>
          <w:tcPr>
            <w:tcW w:w="75" w:type="dxa"/>
            <w:tcBorders/>
            <w:shd w:fill="FFFFFF" w:val="clear"/>
            <w:vAlign w:val="center"/>
          </w:tcPr>
          <w:p>
            <w:pPr>
              <w:pStyle w:val="TableContents"/>
              <w:bidi w:val="0"/>
              <w:spacing w:before="0" w:after="283"/>
              <w:jc w:val="left"/>
              <w:rPr/>
            </w:pPr>
            <w:r>
              <w:rPr/>
              <w:t> </w:t>
            </w:r>
            <w:bookmarkStart w:id="465" w:name="xdx_402_eus-gaap--RevenueFromContractWit"/>
            <w:bookmarkEnd w:id="465"/>
          </w:p>
        </w:tc>
      </w:tr>
      <w:tr>
        <w:trPr/>
        <w:tc>
          <w:tcPr>
            <w:tcW w:w="4655" w:type="dxa"/>
            <w:tcBorders/>
            <w:shd w:fill="CCEEFF" w:val="clear"/>
            <w:vAlign w:val="center"/>
          </w:tcPr>
          <w:p>
            <w:pPr>
              <w:pStyle w:val="TableContents"/>
              <w:bidi w:val="0"/>
              <w:spacing w:before="0" w:after="283"/>
              <w:jc w:val="left"/>
              <w:rPr>
                <w:b/>
              </w:rPr>
            </w:pPr>
            <w:r>
              <w:rPr>
                <w:b/>
              </w:rPr>
              <w:t>Total revenue from contracts with customers: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14,115,729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13,458,488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 channel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are delivered through digital online services (digital download, online platforms, and cloud streaming), mobile, and retail distribution and other. Net revenue by distribution channel for the three months ended March 31, 2024 and 2023 was as follows:</w:t>
      </w:r>
    </w:p>
    <w:p>
      <w:pPr>
        <w:pStyle w:val="TextBody"/>
        <w:bidi w:val="0"/>
        <w:spacing w:before="0" w:after="0"/>
        <w:ind w:left="0" w:right="0" w:hanging="0"/>
        <w:jc w:val="both"/>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4655"/>
        <w:gridCol w:w="60"/>
        <w:gridCol w:w="140"/>
        <w:gridCol w:w="1100"/>
        <w:gridCol w:w="60"/>
        <w:gridCol w:w="60"/>
        <w:gridCol w:w="140"/>
        <w:gridCol w:w="1100"/>
        <w:gridCol w:w="75"/>
      </w:tblGrid>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6" w:name="xdx_49C_20240101__20240331_z0TMeFf1rqwc"/>
            <w:bookmarkEnd w:id="466"/>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7" w:name="xdx_499_20230101__20230331_zMTHx8Nx2P12"/>
            <w:bookmarkEnd w:id="467"/>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bookmarkStart w:id="468" w:name="xdx_400_eus-gaap--RevenueFromContractWit"/>
            <w:bookmarkEnd w:id="468"/>
          </w:p>
        </w:tc>
      </w:tr>
      <w:tr>
        <w:trPr/>
        <w:tc>
          <w:tcPr>
            <w:tcW w:w="4655" w:type="dxa"/>
            <w:tcBorders/>
            <w:shd w:fill="CCEEFF" w:val="clear"/>
            <w:vAlign w:val="center"/>
          </w:tcPr>
          <w:p>
            <w:pPr>
              <w:pStyle w:val="TableContents"/>
              <w:bidi w:val="0"/>
              <w:spacing w:before="0" w:after="283"/>
              <w:jc w:val="left"/>
              <w:rPr/>
            </w:pPr>
            <w:r>
              <w:rPr/>
              <w:t>Digital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11,107,540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10,785,770</w:t>
            </w:r>
          </w:p>
        </w:tc>
        <w:tc>
          <w:tcPr>
            <w:tcW w:w="75" w:type="dxa"/>
            <w:tcBorders/>
            <w:shd w:fill="CCEEFF" w:val="clear"/>
            <w:vAlign w:val="center"/>
          </w:tcPr>
          <w:p>
            <w:pPr>
              <w:pStyle w:val="TableContents"/>
              <w:bidi w:val="0"/>
              <w:spacing w:before="0" w:after="283"/>
              <w:jc w:val="left"/>
              <w:rPr/>
            </w:pPr>
            <w:r>
              <w:rPr/>
              <w:t> </w:t>
            </w:r>
            <w:bookmarkStart w:id="469" w:name="xdx_404_eus-gaap--RevenueFromContractWit"/>
            <w:bookmarkEnd w:id="469"/>
          </w:p>
        </w:tc>
      </w:tr>
      <w:tr>
        <w:trPr/>
        <w:tc>
          <w:tcPr>
            <w:tcW w:w="4655" w:type="dxa"/>
            <w:tcBorders/>
            <w:shd w:fill="FFFFFF" w:val="clear"/>
            <w:vAlign w:val="center"/>
          </w:tcPr>
          <w:p>
            <w:pPr>
              <w:pStyle w:val="TableContents"/>
              <w:bidi w:val="0"/>
              <w:spacing w:before="0" w:after="283"/>
              <w:jc w:val="left"/>
              <w:rPr/>
            </w:pPr>
            <w:r>
              <w:rPr/>
              <w:t>Mobile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962,941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1,718,032</w:t>
            </w:r>
          </w:p>
        </w:tc>
        <w:tc>
          <w:tcPr>
            <w:tcW w:w="75" w:type="dxa"/>
            <w:tcBorders/>
            <w:shd w:fill="FFFFFF" w:val="clear"/>
            <w:vAlign w:val="center"/>
          </w:tcPr>
          <w:p>
            <w:pPr>
              <w:pStyle w:val="TableContents"/>
              <w:bidi w:val="0"/>
              <w:spacing w:before="0" w:after="283"/>
              <w:jc w:val="left"/>
              <w:rPr/>
            </w:pPr>
            <w:r>
              <w:rPr/>
              <w:t> </w:t>
            </w:r>
            <w:bookmarkStart w:id="470" w:name="xdx_402_eus-gaap--RevenueFromContractWit"/>
            <w:bookmarkEnd w:id="470"/>
          </w:p>
        </w:tc>
      </w:tr>
      <w:tr>
        <w:trPr/>
        <w:tc>
          <w:tcPr>
            <w:tcW w:w="4655" w:type="dxa"/>
            <w:tcBorders/>
            <w:shd w:fill="CCEEFF" w:val="clear"/>
            <w:vAlign w:val="center"/>
          </w:tcPr>
          <w:p>
            <w:pPr>
              <w:pStyle w:val="TableContents"/>
              <w:bidi w:val="0"/>
              <w:spacing w:before="0" w:after="283"/>
              <w:jc w:val="left"/>
              <w:rPr/>
            </w:pPr>
            <w:r>
              <w:rPr/>
              <w:t>Physical retail and 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2,045,248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954,686</w:t>
            </w:r>
          </w:p>
        </w:tc>
        <w:tc>
          <w:tcPr>
            <w:tcW w:w="75" w:type="dxa"/>
            <w:tcBorders/>
            <w:shd w:fill="CCEEFF" w:val="clear"/>
            <w:vAlign w:val="center"/>
          </w:tcPr>
          <w:p>
            <w:pPr>
              <w:pStyle w:val="TableContents"/>
              <w:bidi w:val="0"/>
              <w:spacing w:before="0" w:after="283"/>
              <w:jc w:val="left"/>
              <w:rPr/>
            </w:pPr>
            <w:r>
              <w:rPr/>
              <w:t> </w:t>
            </w:r>
            <w:bookmarkStart w:id="471" w:name="xdx_400_eus-gaap--RevenueFromContractWit"/>
            <w:bookmarkEnd w:id="471"/>
          </w:p>
        </w:tc>
      </w:tr>
      <w:tr>
        <w:trPr/>
        <w:tc>
          <w:tcPr>
            <w:tcW w:w="4655" w:type="dxa"/>
            <w:tcBorders/>
            <w:shd w:fill="FFFFFF" w:val="clear"/>
            <w:vAlign w:val="center"/>
          </w:tcPr>
          <w:p>
            <w:pPr>
              <w:pStyle w:val="TableContents"/>
              <w:bidi w:val="0"/>
              <w:spacing w:before="0" w:after="283"/>
              <w:jc w:val="left"/>
              <w:rPr>
                <w:b/>
              </w:rPr>
            </w:pPr>
            <w:r>
              <w:rPr>
                <w:b/>
              </w:rPr>
              <w:t>Total revenue from contracts with customers: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14,115,729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13,458,488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72" w:name="xdx_8AB_z2N2l4hEds44"/>
      <w:bookmarkEnd w:id="472"/>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14, the Company recognized the $</w:t>
      </w:r>
      <w:bookmarkStart w:id="473" w:name="xdx_90D_eus-gaap--DeferredRevenueRevenue"/>
      <w:bookmarkEnd w:id="473"/>
      <w:r>
        <w:rPr>
          <w:rFonts w:ascii="Times New Roman;Times;Serif" w:hAnsi="Times New Roman;Times;Serif"/>
          <w:b w:val="false"/>
          <w:i w:val="false"/>
          <w:caps w:val="false"/>
          <w:smallCaps w:val="false"/>
          <w:sz w:val="20"/>
        </w:rPr>
        <w:t>1.2 million payment related to the Angela Games settlement upon satisfaction of performance obligations included in the contract. This amount is included in other revenues.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Revenue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deferred revenue when payments are due or received in advance of the fulfillment of our associated performance obligations; reductions to deferred revenue balance were primarily due to the recognition of revenue upon fulfillment of its performance obligations, which were in the ordinary course of business. As of March 31, 2024, the balance of deferred revenue was $</w:t>
      </w:r>
      <w:bookmarkStart w:id="474" w:name="xdx_908_eus-gaap--ContractWithCustomerLi"/>
      <w:bookmarkEnd w:id="474"/>
      <w:r>
        <w:rPr>
          <w:rFonts w:ascii="Times New Roman;Times;Serif" w:hAnsi="Times New Roman;Times;Serif"/>
          <w:b w:val="false"/>
          <w:i w:val="false"/>
          <w:caps w:val="false"/>
          <w:smallCaps w:val="false"/>
          <w:sz w:val="20"/>
        </w:rPr>
        <w:t>39.0 million, of which $</w:t>
      </w:r>
      <w:bookmarkStart w:id="475" w:name="xdx_909_ecustom--RevenueRemainingPerform"/>
      <w:bookmarkEnd w:id="475"/>
      <w:r>
        <w:rPr>
          <w:rFonts w:ascii="Times New Roman;Times;Serif" w:hAnsi="Times New Roman;Times;Serif"/>
          <w:b w:val="false"/>
          <w:i w:val="false"/>
          <w:caps w:val="false"/>
          <w:smallCaps w:val="false"/>
          <w:sz w:val="20"/>
        </w:rPr>
        <w:t>37.5 million is due to non-refundable payments. The Company is expecting to recognize $</w:t>
      </w:r>
      <w:bookmarkStart w:id="476" w:name="xdx_901_ecustom--ContractWithCustomerLia"/>
      <w:bookmarkEnd w:id="476"/>
      <w:r>
        <w:rPr>
          <w:rFonts w:ascii="Times New Roman;Times;Serif" w:hAnsi="Times New Roman;Times;Serif"/>
          <w:b w:val="false"/>
          <w:i w:val="false"/>
          <w:caps w:val="false"/>
          <w:smallCaps w:val="false"/>
          <w:sz w:val="20"/>
        </w:rPr>
        <w:t xml:space="preserve">17.1 million of the non-refundable payments in the next </w:t>
      </w:r>
      <w:bookmarkStart w:id="477" w:name="xdx_901_ecustom--ContractWithCustomerLia"/>
      <w:bookmarkEnd w:id="477"/>
      <w:r>
        <w:rPr>
          <w:rFonts w:ascii="Times New Roman;Times;Serif" w:hAnsi="Times New Roman;Times;Serif"/>
          <w:b w:val="false"/>
          <w:i w:val="false"/>
          <w:caps w:val="false"/>
          <w:smallCaps w:val="false"/>
          <w:sz w:val="20"/>
        </w:rPr>
        <w:t>12 months through the platform releases of certain DLCs, $</w:t>
      </w:r>
      <w:bookmarkStart w:id="478" w:name="xdx_901_eus-gaap--ContractWithCustomerLi"/>
      <w:bookmarkEnd w:id="478"/>
      <w:r>
        <w:rPr>
          <w:rFonts w:ascii="Times New Roman;Times;Serif" w:hAnsi="Times New Roman;Times;Serif"/>
          <w:b w:val="false"/>
          <w:i w:val="false"/>
          <w:caps w:val="false"/>
          <w:smallCaps w:val="false"/>
          <w:sz w:val="20"/>
        </w:rPr>
        <w:t xml:space="preserve">0.6 million upon the launch of </w:t>
      </w:r>
      <w:r>
        <w:rPr>
          <w:rFonts w:ascii="Times New Roman;Times;Serif" w:hAnsi="Times New Roman;Times;Serif"/>
          <w:b w:val="false"/>
          <w:i/>
          <w:caps w:val="false"/>
          <w:smallCaps w:val="false"/>
          <w:sz w:val="20"/>
        </w:rPr>
        <w:t xml:space="preserve">Myth of Empires </w:t>
      </w:r>
      <w:r>
        <w:rPr>
          <w:rFonts w:ascii="Times New Roman;Times;Serif" w:hAnsi="Times New Roman;Times;Serif"/>
          <w:b w:val="false"/>
          <w:i w:val="false"/>
          <w:caps w:val="false"/>
          <w:smallCaps w:val="false"/>
          <w:sz w:val="20"/>
        </w:rPr>
        <w:t>in China, $</w:t>
      </w:r>
      <w:bookmarkStart w:id="479" w:name="xdx_903_ecustom--ContractWithCustomerLia"/>
      <w:bookmarkEnd w:id="479"/>
      <w:r>
        <w:rPr>
          <w:rFonts w:ascii="Times New Roman;Times;Serif" w:hAnsi="Times New Roman;Times;Serif"/>
          <w:b w:val="false"/>
          <w:i w:val="false"/>
          <w:caps w:val="false"/>
          <w:smallCaps w:val="false"/>
          <w:sz w:val="20"/>
        </w:rPr>
        <w:t xml:space="preserve">13.4 million of non-refundable payments in the next </w:t>
      </w:r>
      <w:bookmarkStart w:id="480" w:name="xdx_906_ecustom--ContractWithCustomerLia"/>
      <w:bookmarkEnd w:id="480"/>
      <w:r>
        <w:rPr>
          <w:rFonts w:ascii="Times New Roman;Times;Serif" w:hAnsi="Times New Roman;Times;Serif"/>
          <w:b w:val="false"/>
          <w:i w:val="false"/>
          <w:caps w:val="false"/>
          <w:smallCaps w:val="false"/>
          <w:sz w:val="20"/>
        </w:rPr>
        <w:t xml:space="preserve">12 to </w:t>
      </w:r>
      <w:bookmarkStart w:id="481" w:name="xdx_906_ecustom--ContractWithCustomerLia"/>
      <w:bookmarkEnd w:id="481"/>
      <w:r>
        <w:rPr>
          <w:rFonts w:ascii="Times New Roman;Times;Serif" w:hAnsi="Times New Roman;Times;Serif"/>
          <w:b w:val="false"/>
          <w:i w:val="false"/>
          <w:caps w:val="false"/>
          <w:smallCaps w:val="false"/>
          <w:sz w:val="20"/>
        </w:rPr>
        <w:t xml:space="preserve">24 months through the release of DLC’s and additional </w:t>
      </w:r>
      <w:r>
        <w:rPr>
          <w:rFonts w:ascii="Times New Roman;Times;Serif" w:hAnsi="Times New Roman;Times;Serif"/>
          <w:b w:val="false"/>
          <w:i/>
          <w:caps w:val="false"/>
          <w:smallCaps w:val="false"/>
          <w:sz w:val="20"/>
        </w:rPr>
        <w:t xml:space="preserve">ARK </w:t>
      </w:r>
      <w:r>
        <w:rPr>
          <w:rFonts w:ascii="Times New Roman;Times;Serif" w:hAnsi="Times New Roman;Times;Serif"/>
          <w:b w:val="false"/>
          <w:i w:val="false"/>
          <w:caps w:val="false"/>
          <w:smallCaps w:val="false"/>
          <w:sz w:val="20"/>
        </w:rPr>
        <w:t>titles. The remaining $</w:t>
      </w:r>
      <w:bookmarkStart w:id="482" w:name="xdx_90E_ecustom--ContractWithCustomerLia"/>
      <w:bookmarkEnd w:id="482"/>
      <w:r>
        <w:rPr>
          <w:rFonts w:ascii="Times New Roman;Times;Serif" w:hAnsi="Times New Roman;Times;Serif"/>
          <w:b w:val="false"/>
          <w:i w:val="false"/>
          <w:caps w:val="false"/>
          <w:smallCaps w:val="false"/>
          <w:sz w:val="20"/>
        </w:rPr>
        <w:t>3.8 million of current non-refundable deferred revenues and $</w:t>
      </w:r>
      <w:bookmarkStart w:id="483" w:name="xdx_904_ecustom--ContractWithCustomerLia"/>
      <w:bookmarkEnd w:id="483"/>
      <w:r>
        <w:rPr>
          <w:rFonts w:ascii="Times New Roman;Times;Serif" w:hAnsi="Times New Roman;Times;Serif"/>
          <w:b w:val="false"/>
          <w:i w:val="false"/>
          <w:caps w:val="false"/>
          <w:smallCaps w:val="false"/>
          <w:sz w:val="20"/>
        </w:rPr>
        <w:t xml:space="preserve">2.6 million of long term non-refundable deferred revenue will be recognized as revenue primarily on a straight-line basis over the next </w:t>
      </w:r>
      <w:bookmarkStart w:id="484" w:name="xdx_90A_ecustom--ContractWithCustomerLia"/>
      <w:bookmarkEnd w:id="484"/>
      <w:r>
        <w:rPr>
          <w:rFonts w:ascii="Times New Roman;Times;Serif" w:hAnsi="Times New Roman;Times;Serif"/>
          <w:b w:val="false"/>
          <w:i w:val="false"/>
          <w:caps w:val="false"/>
          <w:smallCaps w:val="false"/>
          <w:sz w:val="20"/>
        </w:rPr>
        <w:t>60 months, based on our estimates of technical support obligations, the usage of consumable virtual goods and estimated period of time an end user will play the game. The Company’s refundable deferred revenue consists of the advance payments received in accordance with the agreement the Company has made with its retail distributor. The Company expects to recognize $</w:t>
      </w:r>
      <w:bookmarkStart w:id="485" w:name="xdx_90E_ecustom--ContractWithCustomerLia"/>
      <w:bookmarkEnd w:id="485"/>
      <w:r>
        <w:rPr>
          <w:rFonts w:ascii="Times New Roman;Times;Serif" w:hAnsi="Times New Roman;Times;Serif"/>
          <w:b w:val="false"/>
          <w:i w:val="false"/>
          <w:caps w:val="false"/>
          <w:smallCaps w:val="false"/>
          <w:sz w:val="20"/>
        </w:rPr>
        <w:t>0.4 million in the next 12 months and the remainder of $</w:t>
      </w:r>
      <w:bookmarkStart w:id="486" w:name="xdx_906_ecustom--ContractWithCustomerLia"/>
      <w:bookmarkEnd w:id="486"/>
      <w:r>
        <w:rPr>
          <w:rFonts w:ascii="Times New Roman;Times;Serif" w:hAnsi="Times New Roman;Times;Serif"/>
          <w:b w:val="false"/>
          <w:i w:val="false"/>
          <w:caps w:val="false"/>
          <w:smallCaps w:val="false"/>
          <w:sz w:val="20"/>
        </w:rPr>
        <w:t>1.1 million in fiscal year 2025. Activities in the Company’s deferred revenue as of March 31, 2024 and 2023 were as follows:</w:t>
      </w:r>
    </w:p>
    <w:p>
      <w:pPr>
        <w:pStyle w:val="TextBody"/>
        <w:bidi w:val="0"/>
        <w:spacing w:before="0" w:after="0"/>
        <w:jc w:val="center"/>
        <w:rPr>
          <w:caps w:val="false"/>
          <w:smallCaps w:val="false"/>
        </w:rPr>
      </w:pPr>
      <w:bookmarkStart w:id="487" w:name="xdx_891_ecustom--ScheduleOfDeferredReven"/>
      <w:bookmarkEnd w:id="487"/>
      <w:r>
        <w:rPr>
          <w:caps w:val="false"/>
          <w:smallCaps w:val="false"/>
        </w:rPr>
        <w:t> </w:t>
      </w:r>
      <w:bookmarkStart w:id="488" w:name="xdx_8BD_zOUtcR9V7Rz8"/>
      <w:bookmarkEnd w:id="488"/>
      <w:r>
        <w:rPr>
          <w:rFonts w:ascii="Times New Roman;Times;Serif" w:hAnsi="Times New Roman;Times;Serif"/>
          <w:b w:val="false"/>
          <w:i w:val="false"/>
          <w:caps w:val="false"/>
          <w:smallCaps w:val="false"/>
          <w:sz w:val="20"/>
        </w:rPr>
        <w:t>SCHEDULE OF DEFERRED REVENUE </w:t>
      </w:r>
    </w:p>
    <w:tbl>
      <w:tblPr>
        <w:tblW w:w="10205" w:type="dxa"/>
        <w:jc w:val="left"/>
        <w:tblInd w:w="0" w:type="dxa"/>
        <w:tblLayout w:type="fixed"/>
        <w:tblCellMar>
          <w:top w:w="0" w:type="dxa"/>
          <w:left w:w="0" w:type="dxa"/>
          <w:bottom w:w="0" w:type="dxa"/>
          <w:right w:w="0" w:type="dxa"/>
        </w:tblCellMar>
      </w:tblPr>
      <w:tblGrid>
        <w:gridCol w:w="7370"/>
        <w:gridCol w:w="60"/>
        <w:gridCol w:w="140"/>
        <w:gridCol w:w="1175"/>
        <w:gridCol w:w="95"/>
        <w:gridCol w:w="60"/>
        <w:gridCol w:w="140"/>
        <w:gridCol w:w="1055"/>
        <w:gridCol w:w="110"/>
      </w:tblGrid>
      <w:tr>
        <w:trPr/>
        <w:tc>
          <w:tcPr>
            <w:tcW w:w="7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283"/>
              <w:jc w:val="left"/>
              <w:rPr/>
            </w:pPr>
            <w:r>
              <w:rPr/>
              <w:t>Deferred revenue, beginning balance in advance of revenue recognition billing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489" w:name="xdx_98E_eus-gaap--ContractWithCustomerLi"/>
            <w:bookmarkEnd w:id="489"/>
          </w:p>
        </w:tc>
        <w:tc>
          <w:tcPr>
            <w:tcW w:w="1175" w:type="dxa"/>
            <w:tcBorders/>
            <w:shd w:fill="CCEEFF" w:val="clear"/>
            <w:vAlign w:val="center"/>
          </w:tcPr>
          <w:p>
            <w:pPr>
              <w:pStyle w:val="TableContents"/>
              <w:bidi w:val="0"/>
              <w:spacing w:before="0" w:after="283"/>
              <w:jc w:val="right"/>
              <w:rPr/>
            </w:pPr>
            <w:r>
              <w:rPr/>
              <w:t>34,316,706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490" w:name="xdx_98F_eus-gaap--ContractWithCustomerLi"/>
            <w:bookmarkEnd w:id="490"/>
          </w:p>
        </w:tc>
        <w:tc>
          <w:tcPr>
            <w:tcW w:w="1055" w:type="dxa"/>
            <w:tcBorders/>
            <w:shd w:fill="CCEEFF" w:val="clear"/>
            <w:vAlign w:val="center"/>
          </w:tcPr>
          <w:p>
            <w:pPr>
              <w:pStyle w:val="TableContents"/>
              <w:bidi w:val="0"/>
              <w:spacing w:before="0" w:after="283"/>
              <w:jc w:val="right"/>
              <w:rPr/>
            </w:pPr>
            <w:r>
              <w:rPr/>
              <w:t>9,551,446</w:t>
            </w:r>
          </w:p>
        </w:tc>
        <w:tc>
          <w:tcPr>
            <w:tcW w:w="110"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pPr>
            <w:r>
              <w:rPr/>
              <w:t>Revenue recognized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91" w:name="xdx_984_eus-gaap--ContractWithCustomerLi"/>
            <w:bookmarkEnd w:id="491"/>
          </w:p>
        </w:tc>
        <w:tc>
          <w:tcPr>
            <w:tcW w:w="1175" w:type="dxa"/>
            <w:tcBorders/>
            <w:shd w:fill="FFFFFF" w:val="clear"/>
            <w:vAlign w:val="center"/>
          </w:tcPr>
          <w:p>
            <w:pPr>
              <w:pStyle w:val="TableContents"/>
              <w:bidi w:val="0"/>
              <w:spacing w:before="0" w:after="283"/>
              <w:jc w:val="right"/>
              <w:rPr/>
            </w:pPr>
            <w:r>
              <w:rPr/>
              <w:t>(2,535,834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92" w:name="xdx_986_eus-gaap--ContractWithCustomerLi"/>
            <w:bookmarkEnd w:id="492"/>
          </w:p>
        </w:tc>
        <w:tc>
          <w:tcPr>
            <w:tcW w:w="1055" w:type="dxa"/>
            <w:tcBorders/>
            <w:shd w:fill="FFFFFF" w:val="clear"/>
            <w:vAlign w:val="center"/>
          </w:tcPr>
          <w:p>
            <w:pPr>
              <w:pStyle w:val="TableContents"/>
              <w:bidi w:val="0"/>
              <w:spacing w:before="0" w:after="283"/>
              <w:jc w:val="right"/>
              <w:rPr/>
            </w:pPr>
            <w:r>
              <w:rPr/>
              <w:t>(453,223</w:t>
            </w:r>
          </w:p>
        </w:tc>
        <w:tc>
          <w:tcPr>
            <w:tcW w:w="110" w:type="dxa"/>
            <w:tcBorders/>
            <w:shd w:fill="FFFFFF" w:val="clear"/>
            <w:vAlign w:val="center"/>
          </w:tcPr>
          <w:p>
            <w:pPr>
              <w:pStyle w:val="TableContents"/>
              <w:bidi w:val="0"/>
              <w:spacing w:before="0" w:after="283"/>
              <w:jc w:val="left"/>
              <w:rPr/>
            </w:pPr>
            <w:r>
              <w:rPr/>
              <w:t>)</w:t>
            </w:r>
          </w:p>
        </w:tc>
      </w:tr>
      <w:tr>
        <w:trPr/>
        <w:tc>
          <w:tcPr>
            <w:tcW w:w="7370" w:type="dxa"/>
            <w:tcBorders/>
            <w:shd w:fill="CCEEFF" w:val="clear"/>
            <w:vAlign w:val="center"/>
          </w:tcPr>
          <w:p>
            <w:pPr>
              <w:pStyle w:val="TableContents"/>
              <w:bidi w:val="0"/>
              <w:spacing w:before="0" w:after="283"/>
              <w:jc w:val="left"/>
              <w:rPr/>
            </w:pPr>
            <w:r>
              <w:rPr/>
              <w:t>Revenue deferred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493" w:name="xdx_98A_ecustom--ContractWithCustomerLia"/>
            <w:bookmarkEnd w:id="493"/>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7,259,296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494" w:name="xdx_98A_ecustom--ContractWithCustomerLia"/>
            <w:bookmarkEnd w:id="494"/>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302,094</w:t>
            </w:r>
          </w:p>
        </w:tc>
        <w:tc>
          <w:tcPr>
            <w:tcW w:w="110"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pPr>
            <w:r>
              <w:rPr/>
              <w:t>Deferred revenue, ending balance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95" w:name="xdx_981_eus-gaap--ContractWithCustomerLi"/>
            <w:bookmarkEnd w:id="495"/>
          </w:p>
        </w:tc>
        <w:tc>
          <w:tcPr>
            <w:tcW w:w="1175" w:type="dxa"/>
            <w:tcBorders/>
            <w:shd w:fill="FFFFFF" w:val="clear"/>
            <w:vAlign w:val="center"/>
          </w:tcPr>
          <w:p>
            <w:pPr>
              <w:pStyle w:val="TableContents"/>
              <w:bidi w:val="0"/>
              <w:spacing w:before="0" w:after="283"/>
              <w:jc w:val="right"/>
              <w:rPr/>
            </w:pPr>
            <w:r>
              <w:rPr/>
              <w:t>39,040,168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96" w:name="xdx_985_eus-gaap--ContractWithCustomerLi"/>
            <w:bookmarkEnd w:id="496"/>
          </w:p>
        </w:tc>
        <w:tc>
          <w:tcPr>
            <w:tcW w:w="1055" w:type="dxa"/>
            <w:tcBorders/>
            <w:shd w:fill="FFFFFF" w:val="clear"/>
            <w:vAlign w:val="center"/>
          </w:tcPr>
          <w:p>
            <w:pPr>
              <w:pStyle w:val="TableContents"/>
              <w:bidi w:val="0"/>
              <w:spacing w:before="0" w:after="283"/>
              <w:jc w:val="right"/>
              <w:rPr/>
            </w:pPr>
            <w:r>
              <w:rPr/>
              <w:t>9,400,317</w:t>
            </w:r>
          </w:p>
        </w:tc>
        <w:tc>
          <w:tcPr>
            <w:tcW w:w="110"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283"/>
              <w:jc w:val="left"/>
              <w:rPr/>
            </w:pPr>
            <w:r>
              <w:rPr/>
              <w:t>Less: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497" w:name="xdx_985_eus-gaap--ContractWithCustomerLi"/>
            <w:bookmarkEnd w:id="497"/>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(21,937,421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498" w:name="xdx_98D_eus-gaap--ContractWithCustomerLi"/>
            <w:bookmarkEnd w:id="498"/>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(4,517,573</w:t>
            </w:r>
          </w:p>
        </w:tc>
        <w:tc>
          <w:tcPr>
            <w:tcW w:w="110" w:type="dxa"/>
            <w:tcBorders/>
            <w:shd w:fill="CCEEFF" w:val="clear"/>
            <w:vAlign w:val="center"/>
          </w:tcPr>
          <w:p>
            <w:pPr>
              <w:pStyle w:val="TableContents"/>
              <w:bidi w:val="0"/>
              <w:spacing w:before="0" w:after="283"/>
              <w:jc w:val="left"/>
              <w:rPr/>
            </w:pPr>
            <w:r>
              <w:rPr/>
              <w:t>)</w:t>
            </w:r>
          </w:p>
        </w:tc>
      </w:tr>
      <w:tr>
        <w:trPr/>
        <w:tc>
          <w:tcPr>
            <w:tcW w:w="7370" w:type="dxa"/>
            <w:tcBorders/>
            <w:shd w:fill="FFFFFF" w:val="clear"/>
            <w:vAlign w:val="center"/>
          </w:tcPr>
          <w:p>
            <w:pPr>
              <w:pStyle w:val="TableContents"/>
              <w:bidi w:val="0"/>
              <w:spacing w:before="0" w:after="283"/>
              <w:jc w:val="left"/>
              <w:rPr/>
            </w:pPr>
            <w:r>
              <w:rPr/>
              <w:t>Deferred revenue, long term</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99" w:name="xdx_98E_eus-gaap--ContractWithCustomerLi"/>
            <w:bookmarkEnd w:id="499"/>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17,102,747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00" w:name="xdx_98F_eus-gaap--ContractWithCustomerLi"/>
            <w:bookmarkEnd w:id="500"/>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4,882,744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501" w:name="xdx_8A2_zfhh5dHVw185"/>
      <w:bookmarkEnd w:id="501"/>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02" w:name="xdx_80B_ecustom--CashCashEquivalentsRest"/>
      <w:bookmarkEnd w:id="502"/>
      <w:r>
        <w:rPr>
          <w:rFonts w:ascii="Times New Roman;Times;Serif" w:hAnsi="Times New Roman;Times;Serif"/>
          <w:b/>
          <w:i w:val="false"/>
          <w:caps w:val="false"/>
          <w:smallCaps w:val="false"/>
          <w:sz w:val="20"/>
        </w:rPr>
        <w:t xml:space="preserve">NOTE 4 – </w:t>
      </w:r>
      <w:bookmarkStart w:id="503" w:name="xdx_828_zAfOfZESsqoc"/>
      <w:bookmarkEnd w:id="503"/>
      <w:r>
        <w:rPr>
          <w:rFonts w:ascii="Times New Roman;Times;Serif" w:hAnsi="Times New Roman;Times;Serif"/>
          <w:b/>
          <w:i w:val="false"/>
          <w:caps w:val="false"/>
          <w:smallCaps w:val="false"/>
          <w:sz w:val="20"/>
        </w:rPr>
        <w:t>CASH AND CASH EQUIVALENTS, AND RESTRICTED CASH AND CASH EQUIVALENTS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equivalents are valued using quoted market prices or other readily available market information. The Company has restricted cash and cash equivalents of $</w:t>
      </w:r>
      <w:bookmarkStart w:id="504" w:name="xdx_901_eus-gaap--RestrictedCashAndCashE"/>
      <w:bookmarkEnd w:id="504"/>
      <w:r>
        <w:rPr>
          <w:rFonts w:ascii="Times New Roman;Times;Serif" w:hAnsi="Times New Roman;Times;Serif"/>
          <w:b w:val="false"/>
          <w:i w:val="false"/>
          <w:caps w:val="false"/>
          <w:smallCaps w:val="false"/>
          <w:sz w:val="20"/>
        </w:rPr>
        <w:t>1,117,310 and $</w:t>
      </w:r>
      <w:bookmarkStart w:id="505" w:name="xdx_904_eus-gaap--RestrictedCashAndCashE"/>
      <w:bookmarkEnd w:id="505"/>
      <w:r>
        <w:rPr>
          <w:rFonts w:ascii="Times New Roman;Times;Serif" w:hAnsi="Times New Roman;Times;Serif"/>
          <w:b w:val="false"/>
          <w:i w:val="false"/>
          <w:caps w:val="false"/>
          <w:smallCaps w:val="false"/>
          <w:sz w:val="20"/>
        </w:rPr>
        <w:t xml:space="preserve">1,116,196 as of March 31, 2024 and December 31, 2023, respectively. The amounts of restricted cash and cash equivalents held as of March 31, 2024, are to secure the standby letter of credit with landlords and the amounts of restricted cash and cash equivalents as of March 31, 2023, were held as security for the debt with a financial institution (see Note 11 — </w:t>
      </w:r>
      <w:r>
        <w:rPr>
          <w:rFonts w:ascii="Times New Roman;Times;Serif" w:hAnsi="Times New Roman;Times;Serif"/>
          <w:b w:val="false"/>
          <w:i/>
          <w:caps w:val="false"/>
          <w:smallCaps w:val="false"/>
          <w:sz w:val="20"/>
        </w:rPr>
        <w:t>Revolving Loan, Short Term Note, and Long-Term Debt</w:t>
      </w:r>
      <w:r>
        <w:rPr>
          <w:rFonts w:ascii="Times New Roman;Times;Serif" w:hAnsi="Times New Roman;Times;Serif"/>
          <w:b w:val="false"/>
          <w:i w:val="false"/>
          <w:caps w:val="false"/>
          <w:smallCaps w:val="false"/>
          <w:sz w:val="20"/>
        </w:rPr>
        <w:t>) and to secure standby letters of credit with landlords. On June 21, 2023, the Company amended its revolving loan and $</w:t>
      </w:r>
      <w:bookmarkStart w:id="506" w:name="xdx_908_eus-gaap--RestrictedCashAndCashE"/>
      <w:bookmarkEnd w:id="506"/>
      <w:r>
        <w:rPr>
          <w:rFonts w:ascii="Times New Roman;Times;Serif" w:hAnsi="Times New Roman;Times;Serif"/>
          <w:b w:val="false"/>
          <w:i w:val="false"/>
          <w:caps w:val="false"/>
          <w:smallCaps w:val="false"/>
          <w:sz w:val="20"/>
        </w:rPr>
        <w:t>5,273,391 of restricted cash and cash equivalents was released. The following table summarizes the components of the Company’s cash and cash equivalents, and restricted cash and cash equivalents as of March 31, 2024 and 2023:</w:t>
      </w:r>
    </w:p>
    <w:p>
      <w:pPr>
        <w:pStyle w:val="TextBody"/>
        <w:bidi w:val="0"/>
        <w:spacing w:before="0" w:after="0"/>
        <w:ind w:left="0" w:right="0" w:hanging="0"/>
        <w:jc w:val="both"/>
        <w:rPr>
          <w:caps w:val="false"/>
          <w:smallCaps w:val="false"/>
        </w:rPr>
      </w:pPr>
      <w:bookmarkStart w:id="507" w:name="xdx_895_ecustom--ScheduleOfCashCashEquiv"/>
      <w:bookmarkEnd w:id="507"/>
      <w:r>
        <w:rPr>
          <w:caps w:val="false"/>
          <w:smallCaps w:val="false"/>
        </w:rPr>
        <w:t> </w:t>
      </w:r>
      <w:bookmarkStart w:id="508" w:name="xdx_8BE_zLyWlgmLL7fl"/>
      <w:bookmarkEnd w:id="508"/>
      <w:r>
        <w:rPr>
          <w:rFonts w:ascii="Times New Roman;Times;Serif" w:hAnsi="Times New Roman;Times;Serif"/>
          <w:b w:val="false"/>
          <w:i w:val="false"/>
          <w:caps w:val="false"/>
          <w:smallCaps w:val="false"/>
          <w:sz w:val="20"/>
        </w:rPr>
        <w:t>SUMMARY OF COMPONENTS OF CASH AND CASH EQUIVALENTS AND RESTRICTED CASH AND CASH EQUIVALENTS</w:t>
      </w:r>
    </w:p>
    <w:tbl>
      <w:tblPr>
        <w:tblW w:w="9130" w:type="dxa"/>
        <w:jc w:val="left"/>
        <w:tblInd w:w="0" w:type="dxa"/>
        <w:tblLayout w:type="fixed"/>
        <w:tblCellMar>
          <w:top w:w="0" w:type="dxa"/>
          <w:left w:w="0" w:type="dxa"/>
          <w:bottom w:w="0" w:type="dxa"/>
          <w:right w:w="0" w:type="dxa"/>
        </w:tblCellMar>
      </w:tblPr>
      <w:tblGrid>
        <w:gridCol w:w="6395"/>
        <w:gridCol w:w="60"/>
        <w:gridCol w:w="140"/>
        <w:gridCol w:w="1100"/>
        <w:gridCol w:w="60"/>
        <w:gridCol w:w="60"/>
        <w:gridCol w:w="140"/>
        <w:gridCol w:w="1100"/>
        <w:gridCol w:w="75"/>
      </w:tblGrid>
      <w:tr>
        <w:trPr/>
        <w:tc>
          <w:tcPr>
            <w:tcW w:w="63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09" w:name="xdx_494_20240331_zPAjhF8wPtre"/>
            <w:bookmarkEnd w:id="509"/>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10" w:name="xdx_49C_20230331_zmRfW9Dl64Lk"/>
            <w:bookmarkEnd w:id="510"/>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bookmarkStart w:id="511" w:name="xdx_403_eus-gaap--CashAndCashEquivalents"/>
            <w:bookmarkEnd w:id="511"/>
          </w:p>
        </w:tc>
      </w:tr>
      <w:tr>
        <w:trPr/>
        <w:tc>
          <w:tcPr>
            <w:tcW w:w="639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16,068,729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4,108,251</w:t>
            </w:r>
          </w:p>
        </w:tc>
        <w:tc>
          <w:tcPr>
            <w:tcW w:w="75" w:type="dxa"/>
            <w:tcBorders/>
            <w:shd w:fill="CCEEFF" w:val="clear"/>
            <w:vAlign w:val="center"/>
          </w:tcPr>
          <w:p>
            <w:pPr>
              <w:pStyle w:val="TableContents"/>
              <w:bidi w:val="0"/>
              <w:spacing w:before="0" w:after="283"/>
              <w:jc w:val="left"/>
              <w:rPr/>
            </w:pPr>
            <w:r>
              <w:rPr/>
              <w:t> </w:t>
            </w:r>
            <w:bookmarkStart w:id="512" w:name="xdx_409_eus-gaap--RestrictedCashAndCashE"/>
            <w:bookmarkEnd w:id="512"/>
          </w:p>
        </w:tc>
      </w:tr>
      <w:tr>
        <w:trPr/>
        <w:tc>
          <w:tcPr>
            <w:tcW w:w="6395" w:type="dxa"/>
            <w:tcBorders/>
            <w:shd w:fill="FFFFFF" w:val="clear"/>
            <w:vAlign w:val="center"/>
          </w:tcPr>
          <w:p>
            <w:pPr>
              <w:pStyle w:val="TableContents"/>
              <w:bidi w:val="0"/>
              <w:spacing w:before="0" w:after="283"/>
              <w:jc w:val="left"/>
              <w:rPr/>
            </w:pPr>
            <w:r>
              <w:rPr/>
              <w:t>Restricted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1,117,310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6,380,657</w:t>
            </w:r>
          </w:p>
        </w:tc>
        <w:tc>
          <w:tcPr>
            <w:tcW w:w="75" w:type="dxa"/>
            <w:tcBorders/>
            <w:shd w:fill="FFFFFF" w:val="clear"/>
            <w:vAlign w:val="center"/>
          </w:tcPr>
          <w:p>
            <w:pPr>
              <w:pStyle w:val="TableContents"/>
              <w:bidi w:val="0"/>
              <w:spacing w:before="0" w:after="283"/>
              <w:jc w:val="left"/>
              <w:rPr/>
            </w:pPr>
            <w:r>
              <w:rPr/>
              <w:t> </w:t>
            </w:r>
            <w:bookmarkStart w:id="513" w:name="xdx_40E_eus-gaap--CashCashEquivalentsRes"/>
            <w:bookmarkEnd w:id="513"/>
          </w:p>
        </w:tc>
      </w:tr>
      <w:tr>
        <w:trPr/>
        <w:tc>
          <w:tcPr>
            <w:tcW w:w="6395" w:type="dxa"/>
            <w:tcBorders/>
            <w:shd w:fill="CCEEFF" w:val="clear"/>
            <w:vAlign w:val="center"/>
          </w:tcPr>
          <w:p>
            <w:pPr>
              <w:pStyle w:val="TableContents"/>
              <w:bidi w:val="0"/>
              <w:spacing w:before="0" w:after="283"/>
              <w:jc w:val="left"/>
              <w:rPr/>
            </w:pPr>
            <w:r>
              <w:rPr/>
              <w:t>Cash and cash equivalents, and restricted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17,186,039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10,488,908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14" w:name="xdx_8A0_zMZ6Kk3PIXr"/>
      <w:bookmarkEnd w:id="514"/>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15" w:name="xdx_809_ecustom--RelatedPartyTransaction"/>
      <w:bookmarkEnd w:id="515"/>
      <w:r>
        <w:rPr>
          <w:rFonts w:ascii="Times New Roman;Times;Serif" w:hAnsi="Times New Roman;Times;Serif"/>
          <w:b/>
          <w:i w:val="false"/>
          <w:caps w:val="false"/>
          <w:smallCaps w:val="false"/>
          <w:sz w:val="20"/>
        </w:rPr>
        <w:t xml:space="preserve">NOTE 5 – </w:t>
      </w:r>
      <w:bookmarkStart w:id="516" w:name="xdx_82A_zhx9L3c8CtGh"/>
      <w:bookmarkEnd w:id="516"/>
      <w:r>
        <w:rPr>
          <w:rFonts w:ascii="Times New Roman;Times;Serif" w:hAnsi="Times New Roman;Times;Serif"/>
          <w:b/>
          <w:i w:val="false"/>
          <w:caps w:val="false"/>
          <w:smallCaps w:val="false"/>
          <w:sz w:val="20"/>
        </w:rPr>
        <w:t>ACCOUNTS RECEIVABLE (PAYABLE)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Accounts receivable — related party represents receivables in the ordinary course of business attributable to certain mobile game revenues that, for administrative reasons, were collected by a related party and that the related party has not yet remitted back to the Company. Accounts receivable — related party is non-interest bearing and due on demand. The related party, SDE Inc. (“SDE”), is </w:t>
      </w:r>
      <w:bookmarkStart w:id="517" w:name="xdx_905_ecustom--RelatedPartyTransaction"/>
      <w:bookmarkEnd w:id="517"/>
      <w:r>
        <w:rPr>
          <w:rFonts w:ascii="Times New Roman;Times;Serif" w:hAnsi="Times New Roman;Times;Serif"/>
          <w:b w:val="false"/>
          <w:i w:val="false"/>
          <w:caps w:val="false"/>
          <w:smallCaps w:val="false"/>
          <w:sz w:val="20"/>
        </w:rPr>
        <w:t>100% owned and controlled by the wife of the Founder, Co-Chief Executive Officer, Chief Strategy Officer and Chairman of the Company. In January 2024, the Company entered into an offset agreement with SDE. The Company has the right to offset payables due to the related party for royalties, internet, server, and datacenter costs (“IDC”) and marketing costs as they are determinable, mutual, and the right is enforceable by law. The Company will offset $</w:t>
      </w:r>
      <w:bookmarkStart w:id="518" w:name="xdx_901_ecustom--AccountsPayableOffsetWi"/>
      <w:bookmarkEnd w:id="518"/>
      <w:r>
        <w:rPr>
          <w:rFonts w:ascii="Times New Roman;Times;Serif" w:hAnsi="Times New Roman;Times;Serif"/>
          <w:b w:val="false"/>
          <w:i w:val="false"/>
          <w:caps w:val="false"/>
          <w:smallCaps w:val="false"/>
          <w:sz w:val="20"/>
        </w:rPr>
        <w:t>0.5 million per month, or $</w:t>
      </w:r>
      <w:bookmarkStart w:id="519" w:name="xdx_90A_ecustom--AccountsPayableOffsetWi"/>
      <w:bookmarkEnd w:id="519"/>
      <w:r>
        <w:rPr>
          <w:rFonts w:ascii="Times New Roman;Times;Serif" w:hAnsi="Times New Roman;Times;Serif"/>
          <w:b w:val="false"/>
          <w:i w:val="false"/>
          <w:caps w:val="false"/>
          <w:smallCaps w:val="false"/>
          <w:sz w:val="20"/>
        </w:rPr>
        <w:t>6.0 million annually, beginning in January 2024, until the receivable has been collected or offset in full. To reflect the timing of the offset agreement, a portion of the SDE receivable is presented as a long-term asset. During the three months ended March 31, 2024, the Company made cash payments to SDE in the amount of $</w:t>
      </w:r>
      <w:bookmarkStart w:id="520" w:name="xdx_90E_ecustom--PaymentsForCash_iI_pn5n"/>
      <w:bookmarkEnd w:id="520"/>
      <w:r>
        <w:rPr>
          <w:rFonts w:ascii="Times New Roman;Times;Serif" w:hAnsi="Times New Roman;Times;Serif"/>
          <w:b w:val="false"/>
          <w:i w:val="false"/>
          <w:caps w:val="false"/>
          <w:smallCaps w:val="false"/>
          <w:sz w:val="20"/>
        </w:rPr>
        <w:t>16.8 million and anticipates continuing to make cash payment to SDE in future years. As of March 31, 2024 and December 31, 2023, the outstanding balance of net accounts receivable from related party was as follows:</w:t>
      </w:r>
    </w:p>
    <w:p>
      <w:pPr>
        <w:pStyle w:val="TextBody"/>
        <w:bidi w:val="0"/>
        <w:spacing w:before="0" w:after="0"/>
        <w:ind w:left="0" w:right="0" w:hanging="0"/>
        <w:jc w:val="both"/>
        <w:rPr>
          <w:caps w:val="false"/>
          <w:smallCaps w:val="false"/>
        </w:rPr>
      </w:pPr>
      <w:bookmarkStart w:id="521" w:name="xdx_89E_ecustom--ScheduleOfRelatedPartyT"/>
      <w:bookmarkEnd w:id="521"/>
      <w:r>
        <w:rPr>
          <w:caps w:val="false"/>
          <w:smallCaps w:val="false"/>
        </w:rPr>
        <w:t> </w:t>
      </w:r>
      <w:bookmarkStart w:id="522" w:name="xdx_8BB_zP2VRWkrdpbc"/>
      <w:bookmarkEnd w:id="522"/>
      <w:r>
        <w:rPr>
          <w:rFonts w:ascii="Times New Roman;Times;Serif" w:hAnsi="Times New Roman;Times;Serif"/>
          <w:b w:val="false"/>
          <w:i w:val="false"/>
          <w:caps w:val="false"/>
          <w:smallCaps w:val="false"/>
          <w:sz w:val="20"/>
        </w:rPr>
        <w:t>SCHEDULE OF ACCOUNTS RECEIVABLE (PAYABLE) - RELATED PARTY</w:t>
      </w:r>
    </w:p>
    <w:tbl>
      <w:tblPr>
        <w:tblW w:w="8840" w:type="dxa"/>
        <w:jc w:val="left"/>
        <w:tblInd w:w="0" w:type="dxa"/>
        <w:tblLayout w:type="fixed"/>
        <w:tblCellMar>
          <w:top w:w="0" w:type="dxa"/>
          <w:left w:w="0" w:type="dxa"/>
          <w:bottom w:w="0" w:type="dxa"/>
          <w:right w:w="0" w:type="dxa"/>
        </w:tblCellMar>
      </w:tblPr>
      <w:tblGrid>
        <w:gridCol w:w="5960"/>
        <w:gridCol w:w="60"/>
        <w:gridCol w:w="140"/>
        <w:gridCol w:w="1100"/>
        <w:gridCol w:w="95"/>
        <w:gridCol w:w="60"/>
        <w:gridCol w:w="140"/>
        <w:gridCol w:w="1175"/>
        <w:gridCol w:w="110"/>
      </w:tblGrid>
      <w:tr>
        <w:trPr/>
        <w:tc>
          <w:tcPr>
            <w:tcW w:w="5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23" w:name="xdx_49B_20240331_zNcVDpe4Ffeg"/>
            <w:bookmarkEnd w:id="523"/>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24" w:name="xdx_49A_20231231_z2yWL6hG0319"/>
            <w:bookmarkEnd w:id="524"/>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bookmarkStart w:id="525" w:name="xdx_407_eus-gaap--AccountsReceivableGros"/>
            <w:bookmarkEnd w:id="525"/>
          </w:p>
        </w:tc>
      </w:tr>
      <w:tr>
        <w:trPr/>
        <w:tc>
          <w:tcPr>
            <w:tcW w:w="5960" w:type="dxa"/>
            <w:tcBorders/>
            <w:shd w:fill="CCEEFF" w:val="clear"/>
            <w:vAlign w:val="center"/>
          </w:tcPr>
          <w:p>
            <w:pPr>
              <w:pStyle w:val="TableContents"/>
              <w:bidi w:val="0"/>
              <w:spacing w:before="0" w:after="283"/>
              <w:jc w:val="left"/>
              <w:rPr/>
            </w:pPr>
            <w:r>
              <w:rPr/>
              <w:t>Accounts receivable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12,000,592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13,500,592</w:t>
            </w:r>
          </w:p>
        </w:tc>
        <w:tc>
          <w:tcPr>
            <w:tcW w:w="110" w:type="dxa"/>
            <w:tcBorders/>
            <w:shd w:fill="CCEEFF" w:val="clear"/>
            <w:vAlign w:val="center"/>
          </w:tcPr>
          <w:p>
            <w:pPr>
              <w:pStyle w:val="TableContents"/>
              <w:bidi w:val="0"/>
              <w:spacing w:before="0" w:after="283"/>
              <w:jc w:val="left"/>
              <w:rPr/>
            </w:pPr>
            <w:r>
              <w:rPr/>
              <w:t> </w:t>
            </w:r>
            <w:bookmarkStart w:id="526" w:name="xdx_406_eus-gaap--AccountsPayableCurrent"/>
            <w:bookmarkEnd w:id="526"/>
          </w:p>
        </w:tc>
      </w:tr>
      <w:tr>
        <w:trPr/>
        <w:tc>
          <w:tcPr>
            <w:tcW w:w="5960" w:type="dxa"/>
            <w:tcBorders/>
            <w:shd w:fill="FFFFFF" w:val="clear"/>
            <w:vAlign w:val="center"/>
          </w:tcPr>
          <w:p>
            <w:pPr>
              <w:pStyle w:val="TableContents"/>
              <w:bidi w:val="0"/>
              <w:spacing w:before="0" w:after="283"/>
              <w:jc w:val="left"/>
              <w:rPr/>
            </w:pPr>
            <w:r>
              <w:rPr/>
              <w:t>Less: accounts payable – related party – SDE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(3,414,787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(10,946,478</w:t>
            </w:r>
          </w:p>
        </w:tc>
        <w:tc>
          <w:tcPr>
            <w:tcW w:w="110" w:type="dxa"/>
            <w:tcBorders/>
            <w:shd w:fill="FFFFFF" w:val="clear"/>
            <w:vAlign w:val="center"/>
          </w:tcPr>
          <w:p>
            <w:pPr>
              <w:pStyle w:val="TableContents"/>
              <w:bidi w:val="0"/>
              <w:spacing w:before="0" w:after="283"/>
              <w:jc w:val="left"/>
              <w:rPr/>
            </w:pPr>
            <w:r>
              <w:rPr/>
              <w:t>)</w:t>
            </w:r>
            <w:bookmarkStart w:id="527" w:name="xdx_400_eus-gaap--AccountsReceivableNet_"/>
            <w:bookmarkEnd w:id="527"/>
          </w:p>
        </w:tc>
      </w:tr>
      <w:tr>
        <w:trPr/>
        <w:tc>
          <w:tcPr>
            <w:tcW w:w="5960" w:type="dxa"/>
            <w:tcBorders/>
            <w:shd w:fill="CCEEFF" w:val="clear"/>
            <w:vAlign w:val="center"/>
          </w:tcPr>
          <w:p>
            <w:pPr>
              <w:pStyle w:val="TableContents"/>
              <w:bidi w:val="0"/>
              <w:spacing w:before="0" w:after="283"/>
              <w:jc w:val="left"/>
              <w:rPr/>
            </w:pPr>
            <w:r>
              <w:rPr/>
              <w:t>Net accounts receivable, related party - SDE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8,585,805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2,554,114</w:t>
            </w:r>
          </w:p>
        </w:tc>
        <w:tc>
          <w:tcPr>
            <w:tcW w:w="110" w:type="dxa"/>
            <w:tcBorders/>
            <w:shd w:fill="CCEEFF" w:val="clear"/>
            <w:vAlign w:val="center"/>
          </w:tcPr>
          <w:p>
            <w:pPr>
              <w:pStyle w:val="TableContents"/>
              <w:bidi w:val="0"/>
              <w:spacing w:before="0" w:after="283"/>
              <w:jc w:val="left"/>
              <w:rPr/>
            </w:pPr>
            <w:r>
              <w:rPr/>
              <w:t> </w:t>
            </w:r>
            <w:bookmarkStart w:id="528" w:name="xdx_409_eus-gaap--AccountsReceivableNetN"/>
            <w:bookmarkEnd w:id="528"/>
          </w:p>
        </w:tc>
      </w:tr>
      <w:tr>
        <w:trPr/>
        <w:tc>
          <w:tcPr>
            <w:tcW w:w="5960" w:type="dxa"/>
            <w:tcBorders/>
            <w:shd w:fill="FFFFFF" w:val="clear"/>
            <w:vAlign w:val="center"/>
          </w:tcPr>
          <w:p>
            <w:pPr>
              <w:pStyle w:val="TableContents"/>
              <w:bidi w:val="0"/>
              <w:spacing w:before="0" w:after="283"/>
              <w:jc w:val="left"/>
              <w:rPr/>
            </w:pPr>
            <w:r>
              <w:rPr/>
              <w:t>Less: accounts receivable – related party, net of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6,000,592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7,500,592</w:t>
            </w:r>
          </w:p>
        </w:tc>
        <w:tc>
          <w:tcPr>
            <w:tcW w:w="110" w:type="dxa"/>
            <w:tcBorders/>
            <w:shd w:fill="FFFFFF" w:val="clear"/>
            <w:vAlign w:val="center"/>
          </w:tcPr>
          <w:p>
            <w:pPr>
              <w:pStyle w:val="TableContents"/>
              <w:bidi w:val="0"/>
              <w:spacing w:before="0" w:after="283"/>
              <w:jc w:val="left"/>
              <w:rPr/>
            </w:pPr>
            <w:r>
              <w:rPr/>
              <w:t> </w:t>
            </w:r>
            <w:bookmarkStart w:id="529" w:name="xdx_401_ecustom--AccountsReceivablePayab"/>
            <w:bookmarkEnd w:id="529"/>
          </w:p>
        </w:tc>
      </w:tr>
      <w:tr>
        <w:trPr/>
        <w:tc>
          <w:tcPr>
            <w:tcW w:w="5960" w:type="dxa"/>
            <w:tcBorders/>
            <w:shd w:fill="CCEEFF" w:val="clear"/>
            <w:vAlign w:val="center"/>
          </w:tcPr>
          <w:p>
            <w:pPr>
              <w:pStyle w:val="TableContents"/>
              <w:bidi w:val="0"/>
              <w:spacing w:before="0" w:after="283"/>
              <w:jc w:val="left"/>
              <w:rPr/>
            </w:pPr>
            <w:r>
              <w:rPr/>
              <w:t>Net accounts receivable (payable), related party, current - SDE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2,585,213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(4,946,478</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bookmarkStart w:id="530" w:name="xdx_8A6_zasF63us7Af3"/>
      <w:bookmarkEnd w:id="530"/>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31" w:name="xdx_80A_ecustom--PrepaidExpensesRelatedP"/>
      <w:bookmarkEnd w:id="531"/>
      <w:r>
        <w:rPr>
          <w:rFonts w:ascii="Times New Roman;Times;Serif" w:hAnsi="Times New Roman;Times;Serif"/>
          <w:b/>
          <w:i w:val="false"/>
          <w:caps w:val="false"/>
          <w:smallCaps w:val="false"/>
          <w:sz w:val="20"/>
        </w:rPr>
        <w:t xml:space="preserve">NOTE 6 – </w:t>
      </w:r>
      <w:bookmarkStart w:id="532" w:name="xdx_829_zfxHsV1slLg5"/>
      <w:bookmarkEnd w:id="532"/>
      <w:r>
        <w:rPr>
          <w:rFonts w:ascii="Times New Roman;Times;Serif" w:hAnsi="Times New Roman;Times;Serif"/>
          <w:b/>
          <w:i w:val="false"/>
          <w:caps w:val="false"/>
          <w:smallCaps w:val="false"/>
          <w:sz w:val="20"/>
        </w:rPr>
        <w:t>PREPAID EXPENSES - RELATED PARTY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10, 2023, the Company amended its exclusive software license agreement with SDE relating to the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For DLC’s, the Company plans to release during the term of the agreement, the Company has the option to pay the $</w:t>
      </w:r>
      <w:bookmarkStart w:id="533" w:name="xdx_904_ecustom--AmountPrepaidUnderExclu"/>
      <w:bookmarkEnd w:id="533"/>
      <w:r>
        <w:rPr>
          <w:rFonts w:ascii="Times New Roman;Times;Serif" w:hAnsi="Times New Roman;Times;Serif"/>
          <w:b w:val="false"/>
          <w:i w:val="false"/>
          <w:caps w:val="false"/>
          <w:smallCaps w:val="false"/>
          <w:sz w:val="20"/>
        </w:rPr>
        <w:t>5.0 million DLC payment in whole or in part, when paid in advance; or in full, upon the DLC release. No payment for any DLC under this agreement will exceed $</w:t>
      </w:r>
      <w:bookmarkStart w:id="534" w:name="xdx_90F_ecustom--MaximumAmountPayableUnd"/>
      <w:bookmarkEnd w:id="534"/>
      <w:r>
        <w:rPr>
          <w:rFonts w:ascii="Times New Roman;Times;Serif" w:hAnsi="Times New Roman;Times;Serif"/>
          <w:b w:val="false"/>
          <w:i w:val="false"/>
          <w:caps w:val="false"/>
          <w:smallCaps w:val="false"/>
          <w:sz w:val="20"/>
        </w:rPr>
        <w:t>5.0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2024, the Company made $</w:t>
      </w:r>
      <w:bookmarkStart w:id="535" w:name="xdx_902_eus-gaap--PrepaidRoyalties_iI_pn"/>
      <w:bookmarkEnd w:id="535"/>
      <w:r>
        <w:rPr>
          <w:rFonts w:ascii="Times New Roman;Times;Serif" w:hAnsi="Times New Roman;Times;Serif"/>
          <w:b w:val="false"/>
          <w:i w:val="false"/>
          <w:caps w:val="false"/>
          <w:smallCaps w:val="false"/>
          <w:sz w:val="20"/>
        </w:rPr>
        <w:t xml:space="preserve">1.4 million in prepaid royalty payments related to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DLC’s which have not yet been released. During the year ended December 31, 2023, the Company prepaid $</w:t>
      </w:r>
      <w:bookmarkStart w:id="536" w:name="xdx_90F_ecustom--PrepaidLicenses_iI_pn5n"/>
      <w:bookmarkEnd w:id="536"/>
      <w:r>
        <w:rPr>
          <w:rFonts w:ascii="Times New Roman;Times;Serif" w:hAnsi="Times New Roman;Times;Serif"/>
          <w:b w:val="false"/>
          <w:i w:val="false"/>
          <w:caps w:val="false"/>
          <w:smallCaps w:val="false"/>
          <w:sz w:val="20"/>
        </w:rPr>
        <w:t xml:space="preserve">2.5 million for exclusive license rights for an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DLC to SDE and $</w:t>
      </w:r>
      <w:bookmarkStart w:id="537" w:name="xdx_909_eus-gaap--PrepaidRoyalties_iI_pn"/>
      <w:bookmarkEnd w:id="537"/>
      <w:r>
        <w:rPr>
          <w:rFonts w:ascii="Times New Roman;Times;Serif" w:hAnsi="Times New Roman;Times;Serif"/>
          <w:b w:val="false"/>
          <w:i w:val="false"/>
          <w:caps w:val="false"/>
          <w:smallCaps w:val="false"/>
          <w:sz w:val="20"/>
        </w:rPr>
        <w:t xml:space="preserve">5.5 million in prepaid royalties related to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DLC’s which have not yet been released. Prepaid expenses — related party consisted of the following as of March 31, 2024 and December 31, 2023:</w:t>
      </w:r>
    </w:p>
    <w:p>
      <w:pPr>
        <w:pStyle w:val="TextBody"/>
        <w:bidi w:val="0"/>
        <w:spacing w:before="0" w:after="0"/>
        <w:ind w:left="0" w:right="0" w:hanging="0"/>
        <w:jc w:val="both"/>
        <w:rPr>
          <w:caps w:val="false"/>
          <w:smallCaps w:val="false"/>
        </w:rPr>
      </w:pPr>
      <w:bookmarkStart w:id="538" w:name="xdx_899_ecustom--ScheduleOfPrepaidExpens"/>
      <w:bookmarkEnd w:id="538"/>
      <w:r>
        <w:rPr>
          <w:caps w:val="false"/>
          <w:smallCaps w:val="false"/>
        </w:rPr>
        <w:t> </w:t>
      </w:r>
      <w:bookmarkStart w:id="539" w:name="xdx_8BF_zvnuiU1HmQz4"/>
      <w:bookmarkEnd w:id="539"/>
      <w:r>
        <w:rPr>
          <w:rFonts w:ascii="Times New Roman;Times;Serif" w:hAnsi="Times New Roman;Times;Serif"/>
          <w:b w:val="false"/>
          <w:i w:val="false"/>
          <w:caps w:val="false"/>
          <w:smallCaps w:val="false"/>
          <w:sz w:val="20"/>
        </w:rPr>
        <w:t>SCHEDULE OF PREPAID EXPENSES - RELATED PARTY</w:t>
      </w:r>
    </w:p>
    <w:tbl>
      <w:tblPr>
        <w:tblW w:w="7415" w:type="dxa"/>
        <w:jc w:val="left"/>
        <w:tblInd w:w="0" w:type="dxa"/>
        <w:tblLayout w:type="fixed"/>
        <w:tblCellMar>
          <w:top w:w="0" w:type="dxa"/>
          <w:left w:w="0" w:type="dxa"/>
          <w:bottom w:w="0" w:type="dxa"/>
          <w:right w:w="0" w:type="dxa"/>
        </w:tblCellMar>
      </w:tblPr>
      <w:tblGrid>
        <w:gridCol w:w="4610"/>
        <w:gridCol w:w="60"/>
        <w:gridCol w:w="140"/>
        <w:gridCol w:w="1100"/>
        <w:gridCol w:w="95"/>
        <w:gridCol w:w="60"/>
        <w:gridCol w:w="140"/>
        <w:gridCol w:w="1100"/>
        <w:gridCol w:w="110"/>
      </w:tblGrid>
      <w:tr>
        <w:trPr/>
        <w:tc>
          <w:tcPr>
            <w:tcW w:w="46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40" w:name="xdx_494_20240331__us-gaap--RelatedPartyT"/>
            <w:bookmarkEnd w:id="540"/>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41" w:name="xdx_49C_20231231__us-gaap--RelatedPartyT"/>
            <w:bookmarkEnd w:id="541"/>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bookmarkStart w:id="542" w:name="xdx_40A_eus-gaap--PrepaidRoyalties_iI_ma"/>
            <w:bookmarkEnd w:id="542"/>
          </w:p>
        </w:tc>
      </w:tr>
      <w:tr>
        <w:trPr/>
        <w:tc>
          <w:tcPr>
            <w:tcW w:w="4610" w:type="dxa"/>
            <w:tcBorders/>
            <w:shd w:fill="CCEEFF" w:val="clear"/>
            <w:vAlign w:val="center"/>
          </w:tcPr>
          <w:p>
            <w:pPr>
              <w:pStyle w:val="TableContents"/>
              <w:bidi w:val="0"/>
              <w:spacing w:before="0" w:after="283"/>
              <w:jc w:val="left"/>
              <w:rPr/>
            </w:pPr>
            <w:r>
              <w:rPr/>
              <w:t>Prepaid royalties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7,483,120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6,086,406</w:t>
            </w:r>
          </w:p>
        </w:tc>
        <w:tc>
          <w:tcPr>
            <w:tcW w:w="110" w:type="dxa"/>
            <w:tcBorders/>
            <w:shd w:fill="CCEEFF" w:val="clear"/>
            <w:vAlign w:val="center"/>
          </w:tcPr>
          <w:p>
            <w:pPr>
              <w:pStyle w:val="TableContents"/>
              <w:bidi w:val="0"/>
              <w:spacing w:before="0" w:after="283"/>
              <w:jc w:val="left"/>
              <w:rPr/>
            </w:pPr>
            <w:r>
              <w:rPr/>
              <w:t> </w:t>
            </w:r>
            <w:bookmarkStart w:id="543" w:name="xdx_409_ecustom--PrepaidLicenses_iI_maPE"/>
            <w:bookmarkEnd w:id="543"/>
          </w:p>
        </w:tc>
      </w:tr>
      <w:tr>
        <w:trPr/>
        <w:tc>
          <w:tcPr>
            <w:tcW w:w="4610" w:type="dxa"/>
            <w:tcBorders/>
            <w:shd w:fill="FFFFFF" w:val="clear"/>
            <w:vAlign w:val="center"/>
          </w:tcPr>
          <w:p>
            <w:pPr>
              <w:pStyle w:val="TableContents"/>
              <w:bidi w:val="0"/>
              <w:spacing w:before="0" w:after="283"/>
              <w:jc w:val="left"/>
              <w:rPr/>
            </w:pPr>
            <w:r>
              <w:rPr/>
              <w:t>Prepaid licenses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7,500,000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7,500,000</w:t>
            </w:r>
          </w:p>
        </w:tc>
        <w:tc>
          <w:tcPr>
            <w:tcW w:w="110" w:type="dxa"/>
            <w:tcBorders/>
            <w:shd w:fill="FFFFFF" w:val="clear"/>
            <w:vAlign w:val="center"/>
          </w:tcPr>
          <w:p>
            <w:pPr>
              <w:pStyle w:val="TableContents"/>
              <w:bidi w:val="0"/>
              <w:spacing w:before="0" w:after="283"/>
              <w:jc w:val="left"/>
              <w:rPr/>
            </w:pPr>
            <w:r>
              <w:rPr/>
              <w:t> </w:t>
            </w:r>
            <w:bookmarkStart w:id="544" w:name="xdx_407_eus-gaap--OtherPrepaidExpenseCur"/>
            <w:bookmarkEnd w:id="544"/>
          </w:p>
        </w:tc>
      </w:tr>
      <w:tr>
        <w:trPr/>
        <w:tc>
          <w:tcPr>
            <w:tcW w:w="4610" w:type="dxa"/>
            <w:tcBorders/>
            <w:shd w:fill="CCEEFF" w:val="clear"/>
            <w:vAlign w:val="center"/>
          </w:tcPr>
          <w:p>
            <w:pPr>
              <w:pStyle w:val="TableContents"/>
              <w:bidi w:val="0"/>
              <w:spacing w:before="0" w:after="283"/>
              <w:jc w:val="left"/>
              <w:rPr/>
            </w:pPr>
            <w:r>
              <w:rPr/>
              <w:t>Other prepaids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197,184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242,060</w:t>
            </w:r>
          </w:p>
        </w:tc>
        <w:tc>
          <w:tcPr>
            <w:tcW w:w="110" w:type="dxa"/>
            <w:tcBorders/>
            <w:shd w:fill="CCEEFF" w:val="clear"/>
            <w:vAlign w:val="center"/>
          </w:tcPr>
          <w:p>
            <w:pPr>
              <w:pStyle w:val="TableContents"/>
              <w:bidi w:val="0"/>
              <w:spacing w:before="0" w:after="283"/>
              <w:jc w:val="left"/>
              <w:rPr/>
            </w:pPr>
            <w:r>
              <w:rPr/>
              <w:t> </w:t>
            </w:r>
            <w:bookmarkStart w:id="545" w:name="xdx_401_eus-gaap--PrepaidExpenseCurrentA"/>
            <w:bookmarkEnd w:id="545"/>
          </w:p>
        </w:tc>
      </w:tr>
      <w:tr>
        <w:trPr/>
        <w:tc>
          <w:tcPr>
            <w:tcW w:w="4610" w:type="dxa"/>
            <w:tcBorders/>
            <w:shd w:fill="FFFFFF" w:val="clear"/>
            <w:vAlign w:val="center"/>
          </w:tcPr>
          <w:p>
            <w:pPr>
              <w:pStyle w:val="TableContents"/>
              <w:bidi w:val="0"/>
              <w:spacing w:before="0" w:after="283"/>
              <w:jc w:val="left"/>
              <w:rPr/>
            </w:pPr>
            <w:r>
              <w:rPr/>
              <w:t>Prepaid expenses - related party, ending balance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15,180,304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13,828,466</w:t>
            </w:r>
          </w:p>
        </w:tc>
        <w:tc>
          <w:tcPr>
            <w:tcW w:w="110" w:type="dxa"/>
            <w:tcBorders/>
            <w:shd w:fill="FFFFFF" w:val="clear"/>
            <w:vAlign w:val="center"/>
          </w:tcPr>
          <w:p>
            <w:pPr>
              <w:pStyle w:val="TableContents"/>
              <w:bidi w:val="0"/>
              <w:spacing w:before="0" w:after="283"/>
              <w:jc w:val="left"/>
              <w:rPr/>
            </w:pPr>
            <w:r>
              <w:rPr/>
              <w:t> </w:t>
            </w:r>
            <w:bookmarkStart w:id="546" w:name="xdx_407_eus-gaap--PrepaidExpenseCurrent_"/>
            <w:bookmarkEnd w:id="546"/>
          </w:p>
        </w:tc>
      </w:tr>
      <w:tr>
        <w:trPr/>
        <w:tc>
          <w:tcPr>
            <w:tcW w:w="4610" w:type="dxa"/>
            <w:tcBorders/>
            <w:shd w:fill="CCEEFF" w:val="clear"/>
            <w:vAlign w:val="center"/>
          </w:tcPr>
          <w:p>
            <w:pPr>
              <w:pStyle w:val="TableContents"/>
              <w:bidi w:val="0"/>
              <w:spacing w:before="0" w:after="283"/>
              <w:jc w:val="left"/>
              <w:rPr/>
            </w:pPr>
            <w:r>
              <w:rPr/>
              <w:t>Less: short-term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(4,337,556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(6,044,404</w:t>
            </w:r>
          </w:p>
        </w:tc>
        <w:tc>
          <w:tcPr>
            <w:tcW w:w="110" w:type="dxa"/>
            <w:tcBorders/>
            <w:shd w:fill="CCEEFF" w:val="clear"/>
            <w:vAlign w:val="center"/>
          </w:tcPr>
          <w:p>
            <w:pPr>
              <w:pStyle w:val="TableContents"/>
              <w:bidi w:val="0"/>
              <w:spacing w:before="0" w:after="283"/>
              <w:jc w:val="left"/>
              <w:rPr/>
            </w:pPr>
            <w:r>
              <w:rPr/>
              <w:t>)</w:t>
            </w:r>
            <w:bookmarkStart w:id="547" w:name="xdx_402_eus-gaap--PrepaidExpenseNoncurre"/>
            <w:bookmarkEnd w:id="547"/>
          </w:p>
        </w:tc>
      </w:tr>
      <w:tr>
        <w:trPr/>
        <w:tc>
          <w:tcPr>
            <w:tcW w:w="4610" w:type="dxa"/>
            <w:tcBorders/>
            <w:shd w:fill="FFFFFF" w:val="clear"/>
            <w:vAlign w:val="center"/>
          </w:tcPr>
          <w:p>
            <w:pPr>
              <w:pStyle w:val="TableContents"/>
              <w:bidi w:val="0"/>
              <w:spacing w:before="0" w:after="283"/>
              <w:jc w:val="left"/>
              <w:rPr/>
            </w:pPr>
            <w:r>
              <w:rPr/>
              <w:t>Total prepaid expenses - related party, long-term</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10,842,748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7,784,062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48" w:name="xdx_8A9_zznXC92qez7c"/>
      <w:bookmarkEnd w:id="54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 classified as short-term, as of March 31, 2024, includes prepaid royalties for </w:t>
      </w:r>
      <w:r>
        <w:rPr>
          <w:rFonts w:ascii="Times New Roman;Times;Serif" w:hAnsi="Times New Roman;Times;Serif"/>
          <w:b w:val="false"/>
          <w:i/>
          <w:caps w:val="false"/>
          <w:smallCaps w:val="false"/>
          <w:sz w:val="20"/>
        </w:rPr>
        <w:t>ARK: Survival Ascended</w:t>
      </w:r>
      <w:r>
        <w:rPr>
          <w:rFonts w:ascii="Times New Roman;Times;Serif" w:hAnsi="Times New Roman;Times;Serif"/>
          <w:b w:val="false"/>
          <w:i w:val="false"/>
          <w:caps w:val="false"/>
          <w:smallCaps w:val="false"/>
          <w:sz w:val="20"/>
        </w:rPr>
        <w:t xml:space="preserve"> DLC’s which have not yet been released and various operational software licenses obtained through SDE.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49" w:name="xdx_80F_ecustom--PrepaidExpensesAndOther"/>
      <w:bookmarkEnd w:id="549"/>
      <w:r>
        <w:rPr>
          <w:rFonts w:ascii="Times New Roman;Times;Serif" w:hAnsi="Times New Roman;Times;Serif"/>
          <w:b/>
          <w:i w:val="false"/>
          <w:caps w:val="false"/>
          <w:smallCaps w:val="false"/>
          <w:sz w:val="20"/>
        </w:rPr>
        <w:t xml:space="preserve">NOTE 7 – </w:t>
      </w:r>
      <w:bookmarkStart w:id="550" w:name="xdx_829_zqy8FkWoEYk4"/>
      <w:bookmarkEnd w:id="550"/>
      <w:r>
        <w:rPr>
          <w:rFonts w:ascii="Times New Roman;Times;Serif" w:hAnsi="Times New Roman;Times;Serif"/>
          <w:b/>
          <w:i w:val="false"/>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51" w:name="xdx_89D_eus-gaap--DeferredCostsCapitaliz"/>
      <w:bookmarkEnd w:id="551"/>
      <w:r>
        <w:rPr>
          <w:rFonts w:ascii="Times New Roman;Times;Serif" w:hAnsi="Times New Roman;Times;Serif"/>
          <w:b w:val="false"/>
          <w:i w:val="false"/>
          <w:caps w:val="false"/>
          <w:smallCaps w:val="false"/>
          <w:sz w:val="20"/>
        </w:rPr>
        <w:t>Prepaid expenses and other current assets consisted of the following as of March 31, 2024 and December 31, 2023:</w:t>
      </w:r>
    </w:p>
    <w:p>
      <w:pPr>
        <w:pStyle w:val="TextBody"/>
        <w:bidi w:val="0"/>
        <w:spacing w:before="0" w:after="0"/>
        <w:ind w:left="0" w:right="0" w:hanging="0"/>
        <w:jc w:val="both"/>
        <w:rPr>
          <w:caps w:val="false"/>
          <w:smallCaps w:val="false"/>
        </w:rPr>
      </w:pPr>
      <w:r>
        <w:rPr>
          <w:caps w:val="false"/>
          <w:smallCaps w:val="false"/>
        </w:rPr>
        <w:t> </w:t>
      </w:r>
      <w:bookmarkStart w:id="552" w:name="xdx_8B6_zaetorKJvAR9"/>
      <w:bookmarkEnd w:id="552"/>
      <w:r>
        <w:rPr>
          <w:rFonts w:ascii="Times New Roman;Times;Serif" w:hAnsi="Times New Roman;Times;Serif"/>
          <w:b w:val="false"/>
          <w:i w:val="false"/>
          <w:caps w:val="false"/>
          <w:smallCaps w:val="false"/>
          <w:sz w:val="20"/>
        </w:rPr>
        <w:t>SCHEDULE OF PREPAID EXPENSES AND OTHER CURRENT ASSETS</w:t>
      </w:r>
    </w:p>
    <w:tbl>
      <w:tblPr>
        <w:tblW w:w="6790" w:type="dxa"/>
        <w:jc w:val="left"/>
        <w:tblInd w:w="0" w:type="dxa"/>
        <w:tblLayout w:type="fixed"/>
        <w:tblCellMar>
          <w:top w:w="0" w:type="dxa"/>
          <w:left w:w="0" w:type="dxa"/>
          <w:bottom w:w="0" w:type="dxa"/>
          <w:right w:w="0" w:type="dxa"/>
        </w:tblCellMar>
      </w:tblPr>
      <w:tblGrid>
        <w:gridCol w:w="4475"/>
        <w:gridCol w:w="60"/>
        <w:gridCol w:w="140"/>
        <w:gridCol w:w="980"/>
        <w:gridCol w:w="60"/>
        <w:gridCol w:w="60"/>
        <w:gridCol w:w="140"/>
        <w:gridCol w:w="800"/>
        <w:gridCol w:w="75"/>
      </w:tblGrid>
      <w:tr>
        <w:trPr/>
        <w:tc>
          <w:tcPr>
            <w:tcW w:w="4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53" w:name="xdx_49A_20240331_ziTNCprjN3Oa"/>
            <w:bookmarkEnd w:id="553"/>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54" w:name="xdx_495_20231231_z34DHOanOBYb"/>
            <w:bookmarkEnd w:id="554"/>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bookmarkStart w:id="555" w:name="xdx_405_ecustom--PrepaidOtherReceivable_"/>
            <w:bookmarkEnd w:id="555"/>
          </w:p>
        </w:tc>
      </w:tr>
      <w:tr>
        <w:trPr/>
        <w:tc>
          <w:tcPr>
            <w:tcW w:w="4475"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1,814,274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556" w:name="xdx_400_eus-gaap--DeferredOfferingCosts_"/>
            <w:bookmarkEnd w:id="556"/>
          </w:p>
        </w:tc>
      </w:tr>
      <w:tr>
        <w:trPr/>
        <w:tc>
          <w:tcPr>
            <w:tcW w:w="4475" w:type="dxa"/>
            <w:tcBorders/>
            <w:shd w:fill="FFFFFF" w:val="clear"/>
            <w:vAlign w:val="center"/>
          </w:tcPr>
          <w:p>
            <w:pPr>
              <w:pStyle w:val="TableContents"/>
              <w:bidi w:val="0"/>
              <w:spacing w:before="0" w:after="283"/>
              <w:jc w:val="left"/>
              <w:rPr/>
            </w:pPr>
            <w:r>
              <w:rPr/>
              <w:t>Deferred offering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105,411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105,411</w:t>
            </w:r>
          </w:p>
        </w:tc>
        <w:tc>
          <w:tcPr>
            <w:tcW w:w="75" w:type="dxa"/>
            <w:tcBorders/>
            <w:shd w:fill="FFFFFF" w:val="clear"/>
            <w:vAlign w:val="center"/>
          </w:tcPr>
          <w:p>
            <w:pPr>
              <w:pStyle w:val="TableContents"/>
              <w:bidi w:val="0"/>
              <w:spacing w:before="0" w:after="283"/>
              <w:jc w:val="left"/>
              <w:rPr/>
            </w:pPr>
            <w:r>
              <w:rPr/>
              <w:t> </w:t>
            </w:r>
            <w:bookmarkStart w:id="557" w:name="xdx_40A_eus-gaap--OtherPrepaidExpenseCur"/>
            <w:bookmarkEnd w:id="557"/>
          </w:p>
        </w:tc>
      </w:tr>
      <w:tr>
        <w:trPr/>
        <w:tc>
          <w:tcPr>
            <w:tcW w:w="4475" w:type="dxa"/>
            <w:tcBorders/>
            <w:shd w:fill="CCEEFF" w:val="clear"/>
            <w:vAlign w:val="center"/>
          </w:tcPr>
          <w:p>
            <w:pPr>
              <w:pStyle w:val="TableContents"/>
              <w:bidi w:val="0"/>
              <w:spacing w:before="0" w:after="283"/>
              <w:jc w:val="left"/>
              <w:rPr/>
            </w:pPr>
            <w:r>
              <w:rPr/>
              <w:t>Other prepaids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56,921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70,967</w:t>
            </w:r>
          </w:p>
        </w:tc>
        <w:tc>
          <w:tcPr>
            <w:tcW w:w="75" w:type="dxa"/>
            <w:tcBorders/>
            <w:shd w:fill="CCEEFF" w:val="clear"/>
            <w:vAlign w:val="center"/>
          </w:tcPr>
          <w:p>
            <w:pPr>
              <w:pStyle w:val="TableContents"/>
              <w:bidi w:val="0"/>
              <w:spacing w:before="0" w:after="283"/>
              <w:jc w:val="left"/>
              <w:rPr/>
            </w:pPr>
            <w:r>
              <w:rPr/>
              <w:t> </w:t>
            </w:r>
            <w:bookmarkStart w:id="558" w:name="xdx_408_eus-gaap--OtherAssetsCurrent_iI_"/>
            <w:bookmarkEnd w:id="558"/>
          </w:p>
        </w:tc>
      </w:tr>
      <w:tr>
        <w:trPr/>
        <w:tc>
          <w:tcPr>
            <w:tcW w:w="4475"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442,595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463,315</w:t>
            </w:r>
          </w:p>
        </w:tc>
        <w:tc>
          <w:tcPr>
            <w:tcW w:w="75" w:type="dxa"/>
            <w:tcBorders/>
            <w:shd w:fill="FFFFFF" w:val="clear"/>
            <w:vAlign w:val="center"/>
          </w:tcPr>
          <w:p>
            <w:pPr>
              <w:pStyle w:val="TableContents"/>
              <w:bidi w:val="0"/>
              <w:spacing w:before="0" w:after="283"/>
              <w:jc w:val="left"/>
              <w:rPr/>
            </w:pPr>
            <w:r>
              <w:rPr/>
              <w:t> </w:t>
            </w:r>
            <w:bookmarkStart w:id="559" w:name="xdx_404_eus-gaap--PrepaidExpenseAndOther"/>
            <w:bookmarkEnd w:id="559"/>
          </w:p>
        </w:tc>
      </w:tr>
      <w:tr>
        <w:trPr/>
        <w:tc>
          <w:tcPr>
            <w:tcW w:w="4475" w:type="dxa"/>
            <w:tcBorders/>
            <w:shd w:fill="CCEEFF" w:val="clear"/>
            <w:vAlign w:val="center"/>
          </w:tcPr>
          <w:p>
            <w:pPr>
              <w:pStyle w:val="TableContents"/>
              <w:bidi w:val="0"/>
              <w:spacing w:before="0" w:after="283"/>
              <w:jc w:val="left"/>
              <w:rPr/>
            </w:pPr>
            <w:r>
              <w:rPr/>
              <w:t>Total 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2,419,201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639,693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560" w:name="xdx_8A0_zO926Bro0343"/>
      <w:bookmarkEnd w:id="560"/>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61" w:name="xdx_805_eus-gaap--PropertyPlantAndEquipm"/>
      <w:bookmarkEnd w:id="561"/>
      <w:r>
        <w:rPr>
          <w:rFonts w:ascii="Times New Roman;Times;Serif" w:hAnsi="Times New Roman;Times;Serif"/>
          <w:b/>
          <w:i w:val="false"/>
          <w:caps w:val="false"/>
          <w:smallCaps w:val="false"/>
          <w:sz w:val="20"/>
        </w:rPr>
        <w:t xml:space="preserve">NOTE 8 – </w:t>
      </w:r>
      <w:bookmarkStart w:id="562" w:name="xdx_82E_zpAqlmFRjlng"/>
      <w:bookmarkEnd w:id="562"/>
      <w:r>
        <w:rPr>
          <w:rFonts w:ascii="Times New Roman;Times;Serif" w:hAnsi="Times New Roman;Times;Serif"/>
          <w:b/>
          <w:i w:val="false"/>
          <w:caps w:val="false"/>
          <w:smallCaps w:val="false"/>
          <w:sz w:val="20"/>
        </w:rPr>
        <w:t>PROPERTY, PLANT AND EQUIPMENT, NET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63" w:name="xdx_89B_eus-gaap--PropertyPlantAndEquipm"/>
      <w:bookmarkEnd w:id="563"/>
      <w:r>
        <w:rPr>
          <w:rFonts w:ascii="Times New Roman;Times;Serif" w:hAnsi="Times New Roman;Times;Serif"/>
          <w:b w:val="false"/>
          <w:i w:val="false"/>
          <w:caps w:val="false"/>
          <w:smallCaps w:val="false"/>
          <w:sz w:val="20"/>
        </w:rPr>
        <w:t>Property, plant and equipment, net consisted of the following as of March 31, 2024 and December 31, 2023:</w:t>
      </w:r>
    </w:p>
    <w:p>
      <w:pPr>
        <w:pStyle w:val="TextBody"/>
        <w:bidi w:val="0"/>
        <w:spacing w:before="0" w:after="0"/>
        <w:jc w:val="center"/>
        <w:rPr>
          <w:rFonts w:ascii="Times New Roman;Times;Serif" w:hAnsi="Times New Roman;Times;Serif"/>
          <w:b w:val="false"/>
          <w:i w:val="false"/>
          <w:caps w:val="false"/>
          <w:smallCaps w:val="false"/>
          <w:sz w:val="20"/>
        </w:rPr>
      </w:pPr>
      <w:bookmarkStart w:id="564" w:name="xdx_8B1_zsrbwLiBtLJi"/>
      <w:bookmarkEnd w:id="564"/>
      <w:r>
        <w:rPr>
          <w:rFonts w:ascii="Times New Roman;Times;Serif" w:hAnsi="Times New Roman;Times;Serif"/>
          <w:b w:val="false"/>
          <w:i w:val="false"/>
          <w:caps w:val="false"/>
          <w:smallCaps w:val="false"/>
          <w:sz w:val="20"/>
        </w:rPr>
        <w:t>SCHEDULE OF PROPERTY, PLANT AND EQUIPMENT, NET </w:t>
      </w:r>
    </w:p>
    <w:tbl>
      <w:tblPr>
        <w:tblW w:w="6005" w:type="dxa"/>
        <w:jc w:val="left"/>
        <w:tblInd w:w="0" w:type="dxa"/>
        <w:tblLayout w:type="fixed"/>
        <w:tblCellMar>
          <w:top w:w="0" w:type="dxa"/>
          <w:left w:w="0" w:type="dxa"/>
          <w:bottom w:w="0" w:type="dxa"/>
          <w:right w:w="0" w:type="dxa"/>
        </w:tblCellMar>
      </w:tblPr>
      <w:tblGrid>
        <w:gridCol w:w="3290"/>
        <w:gridCol w:w="60"/>
        <w:gridCol w:w="140"/>
        <w:gridCol w:w="1055"/>
        <w:gridCol w:w="95"/>
        <w:gridCol w:w="60"/>
        <w:gridCol w:w="140"/>
        <w:gridCol w:w="1055"/>
        <w:gridCol w:w="110"/>
      </w:tblGrid>
      <w:tr>
        <w:trPr/>
        <w:tc>
          <w:tcPr>
            <w:tcW w:w="3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65" w:name="xdx_49E_20240331_zxR6IVTV5uT"/>
            <w:bookmarkEnd w:id="565"/>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66" w:name="xdx_498_20231231_zUbJ4u21hQSi"/>
            <w:bookmarkEnd w:id="566"/>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bookmarkStart w:id="567" w:name="xdx_403_eus-gaap--PropertyPlantAndEquipm"/>
            <w:bookmarkEnd w:id="567"/>
          </w:p>
        </w:tc>
      </w:tr>
      <w:tr>
        <w:trPr/>
        <w:tc>
          <w:tcPr>
            <w:tcW w:w="3290" w:type="dxa"/>
            <w:tcBorders/>
            <w:shd w:fill="CCEEFF" w:val="clear"/>
            <w:vAlign w:val="center"/>
          </w:tcPr>
          <w:p>
            <w:pPr>
              <w:pStyle w:val="TableContents"/>
              <w:bidi w:val="0"/>
              <w:spacing w:before="0" w:after="283"/>
              <w:jc w:val="left"/>
              <w:rPr/>
            </w:pPr>
            <w:r>
              <w:rPr/>
              <w:t>Building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1,874,049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1,874,049</w:t>
            </w:r>
          </w:p>
        </w:tc>
        <w:tc>
          <w:tcPr>
            <w:tcW w:w="110" w:type="dxa"/>
            <w:tcBorders/>
            <w:shd w:fill="CCEEFF" w:val="clear"/>
            <w:vAlign w:val="center"/>
          </w:tcPr>
          <w:p>
            <w:pPr>
              <w:pStyle w:val="TableContents"/>
              <w:bidi w:val="0"/>
              <w:spacing w:before="0" w:after="283"/>
              <w:jc w:val="left"/>
              <w:rPr/>
            </w:pPr>
            <w:r>
              <w:rPr/>
              <w:t> </w:t>
            </w:r>
            <w:bookmarkStart w:id="568" w:name="xdx_40B_eus-gaap--PropertyPlantAndEquipm"/>
            <w:bookmarkEnd w:id="568"/>
          </w:p>
        </w:tc>
      </w:tr>
      <w:tr>
        <w:trPr/>
        <w:tc>
          <w:tcPr>
            <w:tcW w:w="3290" w:type="dxa"/>
            <w:tcBorders/>
            <w:shd w:fill="FFFFFF" w:val="clear"/>
            <w:vAlign w:val="center"/>
          </w:tcPr>
          <w:p>
            <w:pPr>
              <w:pStyle w:val="TableContents"/>
              <w:bidi w:val="0"/>
              <w:spacing w:before="0" w:after="283"/>
              <w:jc w:val="left"/>
              <w:rPr/>
            </w:pPr>
            <w:r>
              <w:rPr/>
              <w:t>Land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2,700,000</w:t>
            </w:r>
          </w:p>
        </w:tc>
        <w:tc>
          <w:tcPr>
            <w:tcW w:w="110" w:type="dxa"/>
            <w:tcBorders/>
            <w:shd w:fill="FFFFFF" w:val="clear"/>
            <w:vAlign w:val="center"/>
          </w:tcPr>
          <w:p>
            <w:pPr>
              <w:pStyle w:val="TableContents"/>
              <w:bidi w:val="0"/>
              <w:spacing w:before="0" w:after="283"/>
              <w:jc w:val="left"/>
              <w:rPr/>
            </w:pPr>
            <w:r>
              <w:rPr/>
              <w:t> </w:t>
            </w:r>
            <w:bookmarkStart w:id="569" w:name="xdx_401_eus-gaap--PropertyPlantAndEquipm"/>
            <w:bookmarkEnd w:id="569"/>
          </w:p>
        </w:tc>
      </w:tr>
      <w:tr>
        <w:trPr/>
        <w:tc>
          <w:tcPr>
            <w:tcW w:w="3290" w:type="dxa"/>
            <w:tcBorders/>
            <w:shd w:fill="CCEEFF" w:val="clear"/>
            <w:vAlign w:val="center"/>
          </w:tcPr>
          <w:p>
            <w:pPr>
              <w:pStyle w:val="TableContents"/>
              <w:bidi w:val="0"/>
              <w:spacing w:before="0" w:after="283"/>
              <w:jc w:val="left"/>
              <w:rPr/>
            </w:pPr>
            <w:r>
              <w:rPr/>
              <w:t>Building improvements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1,010,218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1,010,218</w:t>
            </w:r>
          </w:p>
        </w:tc>
        <w:tc>
          <w:tcPr>
            <w:tcW w:w="110" w:type="dxa"/>
            <w:tcBorders/>
            <w:shd w:fill="CCEEFF" w:val="clear"/>
            <w:vAlign w:val="center"/>
          </w:tcPr>
          <w:p>
            <w:pPr>
              <w:pStyle w:val="TableContents"/>
              <w:bidi w:val="0"/>
              <w:spacing w:before="0" w:after="283"/>
              <w:jc w:val="left"/>
              <w:rPr/>
            </w:pPr>
            <w:r>
              <w:rPr/>
              <w:t> </w:t>
            </w:r>
            <w:bookmarkStart w:id="570" w:name="xdx_40D_eus-gaap--PropertyPlantAndEquipm"/>
            <w:bookmarkEnd w:id="570"/>
          </w:p>
        </w:tc>
      </w:tr>
      <w:tr>
        <w:trPr/>
        <w:tc>
          <w:tcPr>
            <w:tcW w:w="3290"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1,537,775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1,537,775</w:t>
            </w:r>
          </w:p>
        </w:tc>
        <w:tc>
          <w:tcPr>
            <w:tcW w:w="110" w:type="dxa"/>
            <w:tcBorders/>
            <w:shd w:fill="FFFFFF" w:val="clear"/>
            <w:vAlign w:val="center"/>
          </w:tcPr>
          <w:p>
            <w:pPr>
              <w:pStyle w:val="TableContents"/>
              <w:bidi w:val="0"/>
              <w:spacing w:before="0" w:after="283"/>
              <w:jc w:val="left"/>
              <w:rPr/>
            </w:pPr>
            <w:r>
              <w:rPr/>
              <w:t> </w:t>
            </w:r>
            <w:bookmarkStart w:id="571" w:name="xdx_404_eus-gaap--PropertyPlantAndEquipm"/>
            <w:bookmarkEnd w:id="571"/>
          </w:p>
        </w:tc>
      </w:tr>
      <w:tr>
        <w:trPr/>
        <w:tc>
          <w:tcPr>
            <w:tcW w:w="3290" w:type="dxa"/>
            <w:tcBorders/>
            <w:shd w:fill="CCEEFF" w:val="clear"/>
            <w:vAlign w:val="center"/>
          </w:tcPr>
          <w:p>
            <w:pPr>
              <w:pStyle w:val="TableContents"/>
              <w:bidi w:val="0"/>
              <w:spacing w:before="0" w:after="283"/>
              <w:jc w:val="left"/>
              <w:rPr/>
            </w:pPr>
            <w:r>
              <w:rPr/>
              <w:t>Autos and trucks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178,695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178,695</w:t>
            </w:r>
          </w:p>
        </w:tc>
        <w:tc>
          <w:tcPr>
            <w:tcW w:w="110" w:type="dxa"/>
            <w:tcBorders/>
            <w:shd w:fill="CCEEFF" w:val="clear"/>
            <w:vAlign w:val="center"/>
          </w:tcPr>
          <w:p>
            <w:pPr>
              <w:pStyle w:val="TableContents"/>
              <w:bidi w:val="0"/>
              <w:spacing w:before="0" w:after="283"/>
              <w:jc w:val="left"/>
              <w:rPr/>
            </w:pPr>
            <w:r>
              <w:rPr/>
              <w:t> </w:t>
            </w:r>
            <w:bookmarkStart w:id="572" w:name="xdx_408_eus-gaap--PropertyPlantAndEquipm"/>
            <w:bookmarkEnd w:id="572"/>
          </w:p>
        </w:tc>
      </w:tr>
      <w:tr>
        <w:trPr/>
        <w:tc>
          <w:tcPr>
            <w:tcW w:w="3290" w:type="dxa"/>
            <w:tcBorders/>
            <w:shd w:fill="FFFFFF" w:val="clear"/>
            <w:vAlign w:val="center"/>
          </w:tcPr>
          <w:p>
            <w:pPr>
              <w:pStyle w:val="TableContents"/>
              <w:bidi w:val="0"/>
              <w:spacing w:before="0" w:after="283"/>
              <w:jc w:val="left"/>
              <w:rPr/>
            </w:pPr>
            <w:r>
              <w:rPr/>
              <w:t>Computer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1,809,214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1,809,214</w:t>
            </w:r>
          </w:p>
        </w:tc>
        <w:tc>
          <w:tcPr>
            <w:tcW w:w="110" w:type="dxa"/>
            <w:tcBorders/>
            <w:shd w:fill="FFFFFF" w:val="clear"/>
            <w:vAlign w:val="center"/>
          </w:tcPr>
          <w:p>
            <w:pPr>
              <w:pStyle w:val="TableContents"/>
              <w:bidi w:val="0"/>
              <w:spacing w:before="0" w:after="283"/>
              <w:jc w:val="left"/>
              <w:rPr/>
            </w:pPr>
            <w:r>
              <w:rPr/>
              <w:t> </w:t>
            </w:r>
            <w:bookmarkStart w:id="573" w:name="xdx_40F_eus-gaap--PropertyPlantAndEquipm"/>
            <w:bookmarkEnd w:id="573"/>
          </w:p>
        </w:tc>
      </w:tr>
      <w:tr>
        <w:trPr/>
        <w:tc>
          <w:tcPr>
            <w:tcW w:w="3290" w:type="dxa"/>
            <w:tcBorders/>
            <w:shd w:fill="CCEEFF" w:val="clear"/>
            <w:vAlign w:val="center"/>
          </w:tcPr>
          <w:p>
            <w:pPr>
              <w:pStyle w:val="TableContents"/>
              <w:bidi w:val="0"/>
              <w:spacing w:before="0" w:after="283"/>
              <w:jc w:val="left"/>
              <w:rPr/>
            </w:pPr>
            <w:r>
              <w:rPr/>
              <w:t>Furniture and fixtures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411,801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411,801</w:t>
            </w:r>
          </w:p>
        </w:tc>
        <w:tc>
          <w:tcPr>
            <w:tcW w:w="110" w:type="dxa"/>
            <w:tcBorders/>
            <w:shd w:fill="CCEEFF" w:val="clear"/>
            <w:vAlign w:val="center"/>
          </w:tcPr>
          <w:p>
            <w:pPr>
              <w:pStyle w:val="TableContents"/>
              <w:bidi w:val="0"/>
              <w:spacing w:before="0" w:after="283"/>
              <w:jc w:val="left"/>
              <w:rPr/>
            </w:pPr>
            <w:r>
              <w:rPr/>
              <w:t> </w:t>
            </w:r>
            <w:bookmarkStart w:id="574" w:name="xdx_40B_eus-gaap--PropertyPlantAndEquipm"/>
            <w:bookmarkEnd w:id="574"/>
          </w:p>
        </w:tc>
      </w:tr>
      <w:tr>
        <w:trPr/>
        <w:tc>
          <w:tcPr>
            <w:tcW w:w="32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plant and equipment, gross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9,521,752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9,521,752</w:t>
            </w:r>
          </w:p>
        </w:tc>
        <w:tc>
          <w:tcPr>
            <w:tcW w:w="110" w:type="dxa"/>
            <w:tcBorders/>
            <w:shd w:fill="FFFFFF" w:val="clear"/>
            <w:vAlign w:val="center"/>
          </w:tcPr>
          <w:p>
            <w:pPr>
              <w:pStyle w:val="TableContents"/>
              <w:bidi w:val="0"/>
              <w:spacing w:before="0" w:after="283"/>
              <w:jc w:val="left"/>
              <w:rPr/>
            </w:pPr>
            <w:r>
              <w:rPr/>
              <w:t> </w:t>
            </w:r>
            <w:bookmarkStart w:id="575" w:name="xdx_40E_eus-gaap--AccumulatedDepreciatio"/>
            <w:bookmarkEnd w:id="575"/>
          </w:p>
        </w:tc>
      </w:tr>
      <w:tr>
        <w:trPr/>
        <w:tc>
          <w:tcPr>
            <w:tcW w:w="3290" w:type="dxa"/>
            <w:tcBorders/>
            <w:shd w:fill="CCEEFF" w:val="clear"/>
            <w:vAlign w:val="center"/>
          </w:tcPr>
          <w:p>
            <w:pPr>
              <w:pStyle w:val="TableContents"/>
              <w:bidi w:val="0"/>
              <w:spacing w:before="0" w:after="283"/>
              <w:jc w:val="left"/>
              <w:rPr/>
            </w:pPr>
            <w:r>
              <w:rPr/>
              <w:t>Accumulated 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(4,922,024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(4,839,686</w:t>
            </w:r>
          </w:p>
        </w:tc>
        <w:tc>
          <w:tcPr>
            <w:tcW w:w="110" w:type="dxa"/>
            <w:tcBorders/>
            <w:shd w:fill="CCEEFF" w:val="clear"/>
            <w:vAlign w:val="center"/>
          </w:tcPr>
          <w:p>
            <w:pPr>
              <w:pStyle w:val="TableContents"/>
              <w:bidi w:val="0"/>
              <w:spacing w:before="0" w:after="283"/>
              <w:jc w:val="left"/>
              <w:rPr/>
            </w:pPr>
            <w:r>
              <w:rPr/>
              <w:t>)</w:t>
            </w:r>
            <w:bookmarkStart w:id="576" w:name="xdx_401_eus-gaap--PropertyPlantAndEquipm"/>
            <w:bookmarkEnd w:id="576"/>
          </w:p>
        </w:tc>
      </w:tr>
      <w:tr>
        <w:trPr/>
        <w:tc>
          <w:tcPr>
            <w:tcW w:w="3290" w:type="dxa"/>
            <w:tcBorders/>
            <w:shd w:fill="FFFFFF" w:val="clear"/>
            <w:vAlign w:val="center"/>
          </w:tcPr>
          <w:p>
            <w:pPr>
              <w:pStyle w:val="TableContents"/>
              <w:bidi w:val="0"/>
              <w:spacing w:before="0" w:after="283"/>
              <w:jc w:val="left"/>
              <w:rPr/>
            </w:pPr>
            <w:r>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4,599,728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4,682,066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577" w:name="xdx_8A8_zPBxcWrWIzXk"/>
      <w:bookmarkEnd w:id="57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 was $</w:t>
      </w:r>
      <w:bookmarkStart w:id="578" w:name="xdx_902_eus-gaap--DepreciationDepletionA"/>
      <w:bookmarkEnd w:id="578"/>
      <w:r>
        <w:rPr>
          <w:rFonts w:ascii="Times New Roman;Times;Serif" w:hAnsi="Times New Roman;Times;Serif"/>
          <w:b w:val="false"/>
          <w:i w:val="false"/>
          <w:caps w:val="false"/>
          <w:smallCaps w:val="false"/>
          <w:sz w:val="20"/>
        </w:rPr>
        <w:t>82,338 and $</w:t>
      </w:r>
      <w:bookmarkStart w:id="579" w:name="xdx_905_eus-gaap--DepreciationDepletionA"/>
      <w:bookmarkEnd w:id="579"/>
      <w:r>
        <w:rPr>
          <w:rFonts w:ascii="Times New Roman;Times;Serif" w:hAnsi="Times New Roman;Times;Serif"/>
          <w:b w:val="false"/>
          <w:i w:val="false"/>
          <w:caps w:val="false"/>
          <w:smallCaps w:val="false"/>
          <w:sz w:val="20"/>
        </w:rPr>
        <w:t>115,060 for the three months ended March 31, 2024 and 2023, respectively. The Company did not have any disposals in the three months ended March 31, 2024 or 2023.</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80" w:name="xdx_803_ecustom--AccountsPayableToRelate"/>
      <w:bookmarkEnd w:id="580"/>
      <w:r>
        <w:rPr>
          <w:rFonts w:ascii="Times New Roman;Times;Serif" w:hAnsi="Times New Roman;Times;Serif"/>
          <w:b/>
          <w:i w:val="false"/>
          <w:caps w:val="false"/>
          <w:smallCaps w:val="false"/>
          <w:sz w:val="20"/>
        </w:rPr>
        <w:t xml:space="preserve">NOTE 9 – </w:t>
      </w:r>
      <w:bookmarkStart w:id="581" w:name="xdx_829_z3qkUHtMzBLa"/>
      <w:bookmarkEnd w:id="581"/>
      <w:r>
        <w:rPr>
          <w:rFonts w:ascii="Times New Roman;Times;Serif" w:hAnsi="Times New Roman;Times;Serif"/>
          <w:b/>
          <w:i w:val="false"/>
          <w:caps w:val="false"/>
          <w:smallCaps w:val="false"/>
          <w:sz w:val="20"/>
        </w:rPr>
        <w:t>ACCOUNTS PAYABLE —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due to related parties represents payables in the ordinary course of business primarily for purchases of game distribution licenses, research and development costs and also the royalties due to Suzhou Snail and SDE. As of March 31, 2024 and December 31, 2023, the Company had $</w:t>
      </w:r>
      <w:bookmarkStart w:id="582" w:name="xdx_901_eus-gaap--AccountsPayableCurrent"/>
      <w:bookmarkEnd w:id="582"/>
      <w:r>
        <w:rPr>
          <w:rFonts w:ascii="Times New Roman;Times;Serif" w:hAnsi="Times New Roman;Times;Serif"/>
          <w:b w:val="false"/>
          <w:i w:val="false"/>
          <w:caps w:val="false"/>
          <w:smallCaps w:val="false"/>
          <w:sz w:val="20"/>
        </w:rPr>
        <w:t>16,951,062 and $</w:t>
      </w:r>
      <w:bookmarkStart w:id="583" w:name="xdx_905_eus-gaap--AccountsPayableCurrent"/>
      <w:bookmarkEnd w:id="583"/>
      <w:r>
        <w:rPr>
          <w:rFonts w:ascii="Times New Roman;Times;Serif" w:hAnsi="Times New Roman;Times;Serif"/>
          <w:b w:val="false"/>
          <w:i w:val="false"/>
          <w:caps w:val="false"/>
          <w:smallCaps w:val="false"/>
          <w:sz w:val="20"/>
        </w:rPr>
        <w:t>18,147,958, respectively, as accounts payable due to Suzhou Snail; and $</w:t>
      </w:r>
      <w:bookmarkStart w:id="584" w:name="xdx_90B_eus-gaap--AccountsPayableCurrent"/>
      <w:bookmarkEnd w:id="584"/>
      <w:r>
        <w:rPr>
          <w:rFonts w:ascii="Times New Roman;Times;Serif" w:hAnsi="Times New Roman;Times;Serif"/>
          <w:b w:val="false"/>
          <w:i w:val="false"/>
          <w:caps w:val="false"/>
          <w:smallCaps w:val="false"/>
          <w:sz w:val="20"/>
        </w:rPr>
        <w:t xml:space="preserve">4,946,478, as net accounts payable due to SDE as of December 31, 2023, see Note 5 — </w:t>
      </w:r>
      <w:r>
        <w:rPr>
          <w:rFonts w:ascii="Times New Roman;Times;Serif" w:hAnsi="Times New Roman;Times;Serif"/>
          <w:b w:val="false"/>
          <w:i/>
          <w:caps w:val="false"/>
          <w:smallCaps w:val="false"/>
          <w:sz w:val="20"/>
        </w:rPr>
        <w:t>Accounts Receivable (Payable) — Related Party</w:t>
      </w:r>
      <w:r>
        <w:rPr>
          <w:rFonts w:ascii="Times New Roman;Times;Serif" w:hAnsi="Times New Roman;Times;Serif"/>
          <w:b w:val="false"/>
          <w:i w:val="false"/>
          <w:caps w:val="false"/>
          <w:smallCaps w:val="false"/>
          <w:sz w:val="20"/>
        </w:rPr>
        <w:t>. During the three months ended March 31, 2024 and 2023, the Company incurred $</w:t>
      </w:r>
      <w:bookmarkStart w:id="585" w:name="xdx_90F_eus-gaap--CostsAndExpensesRelate"/>
      <w:bookmarkEnd w:id="585"/>
      <w:r>
        <w:rPr>
          <w:rFonts w:ascii="Times New Roman;Times;Serif" w:hAnsi="Times New Roman;Times;Serif"/>
          <w:b w:val="false"/>
          <w:i w:val="false"/>
          <w:caps w:val="false"/>
          <w:smallCaps w:val="false"/>
          <w:sz w:val="20"/>
        </w:rPr>
        <w:t>47,105 and $</w:t>
      </w:r>
      <w:bookmarkStart w:id="586" w:name="xdx_90C_eus-gaap--CostsAndExpensesRelate"/>
      <w:bookmarkEnd w:id="586"/>
      <w:r>
        <w:rPr>
          <w:rFonts w:ascii="Times New Roman;Times;Serif" w:hAnsi="Times New Roman;Times;Serif"/>
          <w:b w:val="false"/>
          <w:i w:val="false"/>
          <w:caps w:val="false"/>
          <w:smallCaps w:val="false"/>
          <w:sz w:val="20"/>
        </w:rPr>
        <w:t>72,524, respectively as license costs due to Suzhou Snail and included in cost of revenues. In March 2024, the Company entered into a development agreement with Suzhou Snail, to outsource the completion of an internal project, Hermes. Under the terms of the agreement, Suzhou Snail will outsource the labor needed to complete the development of an internal project and provide technical support for a period of twelve months. In consideration, the Company will pay Suzhou Snail twelve equal monthly payments of $</w:t>
      </w:r>
      <w:bookmarkStart w:id="587" w:name="xdx_90A_eus-gaap--ReplacementReserveEscr"/>
      <w:bookmarkEnd w:id="587"/>
      <w:r>
        <w:rPr>
          <w:rFonts w:ascii="Times New Roman;Times;Serif" w:hAnsi="Times New Roman;Times;Serif"/>
          <w:b w:val="false"/>
          <w:i w:val="false"/>
          <w:caps w:val="false"/>
          <w:smallCaps w:val="false"/>
          <w:sz w:val="20"/>
        </w:rPr>
        <w:t>253,000. During the three months ended March 31, 2024 the Company incurred $</w:t>
      </w:r>
      <w:bookmarkStart w:id="588" w:name="xdx_902_eus-gaap--ResearchAndDevelopment"/>
      <w:bookmarkEnd w:id="588"/>
      <w:r>
        <w:rPr>
          <w:rFonts w:ascii="Times New Roman;Times;Serif" w:hAnsi="Times New Roman;Times;Serif"/>
          <w:b w:val="false"/>
          <w:i w:val="false"/>
          <w:caps w:val="false"/>
          <w:smallCaps w:val="false"/>
          <w:sz w:val="20"/>
        </w:rPr>
        <w:t xml:space="preserve">759,000 of research and development costs passed through Suzhou Snail, there were </w:t>
      </w:r>
      <w:bookmarkStart w:id="589" w:name="xdx_904_eus-gaap--ResearchAndDevelopment"/>
      <w:bookmarkEnd w:id="589"/>
      <w:r>
        <w:rPr>
          <w:rFonts w:ascii="Times New Roman;Times;Serif" w:hAnsi="Times New Roman;Times;Serif"/>
          <w:b w:val="false"/>
          <w:i w:val="false"/>
          <w:caps w:val="false"/>
          <w:smallCaps w:val="false"/>
          <w:sz w:val="20"/>
        </w:rPr>
        <w:t>no such costs passed through Suzhou Snail during the three months ended March 31, 2023. During the three months ended March 31, 2024 and 2023, respectively, there were $</w:t>
      </w:r>
      <w:bookmarkStart w:id="590" w:name="xdx_906_eus-gaap--RelatedPartyTransactio"/>
      <w:bookmarkEnd w:id="590"/>
      <w:r>
        <w:rPr>
          <w:rFonts w:ascii="Times New Roman;Times;Serif" w:hAnsi="Times New Roman;Times;Serif"/>
          <w:b w:val="false"/>
          <w:i w:val="false"/>
          <w:caps w:val="false"/>
          <w:smallCaps w:val="false"/>
          <w:sz w:val="20"/>
        </w:rPr>
        <w:t>1,575,000 and $</w:t>
      </w:r>
      <w:bookmarkStart w:id="591" w:name="xdx_907_eus-gaap--RelatedPartyTransactio"/>
      <w:bookmarkEnd w:id="591"/>
      <w:r>
        <w:rPr>
          <w:rFonts w:ascii="Times New Roman;Times;Serif" w:hAnsi="Times New Roman;Times;Serif"/>
          <w:b w:val="false"/>
          <w:i w:val="false"/>
          <w:caps w:val="false"/>
          <w:smallCaps w:val="false"/>
          <w:sz w:val="20"/>
        </w:rPr>
        <w:t>450,000 in payments to Suzhou Snail for royalties and research and development costs. Accounts payable – related parties consisted of the following as of March 31, 2024 and December 31, 2023: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92" w:name="xdx_8B3_zOrDhDTt8i6l"/>
      <w:bookmarkStart w:id="593" w:name="xdx_89F_eus-gaap--ScheduleOfAccountsPaya"/>
      <w:bookmarkEnd w:id="592"/>
      <w:bookmarkEnd w:id="593"/>
      <w:r>
        <w:rPr>
          <w:rFonts w:ascii="Times New Roman;Times;Serif" w:hAnsi="Times New Roman;Times;Serif"/>
          <w:b w:val="false"/>
          <w:i w:val="false"/>
          <w:caps w:val="false"/>
          <w:smallCaps w:val="false"/>
          <w:sz w:val="20"/>
        </w:rPr>
        <w:t>SCHEDULE OF ACCOUNTS PAYABLE- RELATED PARTIES </w:t>
      </w:r>
    </w:p>
    <w:tbl>
      <w:tblPr>
        <w:tblW w:w="6710" w:type="dxa"/>
        <w:jc w:val="left"/>
        <w:tblInd w:w="0" w:type="dxa"/>
        <w:tblLayout w:type="fixed"/>
        <w:tblCellMar>
          <w:top w:w="0" w:type="dxa"/>
          <w:left w:w="0" w:type="dxa"/>
          <w:bottom w:w="0" w:type="dxa"/>
          <w:right w:w="0" w:type="dxa"/>
        </w:tblCellMar>
      </w:tblPr>
      <w:tblGrid>
        <w:gridCol w:w="3755"/>
        <w:gridCol w:w="60"/>
        <w:gridCol w:w="140"/>
        <w:gridCol w:w="1175"/>
        <w:gridCol w:w="95"/>
        <w:gridCol w:w="60"/>
        <w:gridCol w:w="140"/>
        <w:gridCol w:w="1175"/>
        <w:gridCol w:w="110"/>
      </w:tblGrid>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94" w:name="xdx_49D_20240331_zbhCiWi81Pii"/>
            <w:bookmarkEnd w:id="594"/>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95" w:name="xdx_493_20231231_zzby4Ov9w5Lg"/>
            <w:bookmarkEnd w:id="595"/>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bookmarkStart w:id="596" w:name="xdx_409_eus-gaap--AccountsPayableCurrent"/>
            <w:bookmarkEnd w:id="596"/>
          </w:p>
        </w:tc>
      </w:tr>
      <w:tr>
        <w:trPr/>
        <w:tc>
          <w:tcPr>
            <w:tcW w:w="3755" w:type="dxa"/>
            <w:tcBorders/>
            <w:shd w:fill="CCEEFF" w:val="clear"/>
            <w:vAlign w:val="center"/>
          </w:tcPr>
          <w:p>
            <w:pPr>
              <w:pStyle w:val="TableContents"/>
              <w:bidi w:val="0"/>
              <w:spacing w:before="0" w:after="283"/>
              <w:jc w:val="left"/>
              <w:rPr/>
            </w:pPr>
            <w:r>
              <w:rPr/>
              <w:t>Accounts payable - Suzhou</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54,565,974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55,762,870</w:t>
            </w:r>
          </w:p>
        </w:tc>
        <w:tc>
          <w:tcPr>
            <w:tcW w:w="110" w:type="dxa"/>
            <w:tcBorders/>
            <w:shd w:fill="CCEEFF" w:val="clear"/>
            <w:vAlign w:val="center"/>
          </w:tcPr>
          <w:p>
            <w:pPr>
              <w:pStyle w:val="TableContents"/>
              <w:bidi w:val="0"/>
              <w:spacing w:before="0" w:after="283"/>
              <w:jc w:val="left"/>
              <w:rPr/>
            </w:pPr>
            <w:r>
              <w:rPr/>
              <w:t> </w:t>
            </w:r>
            <w:bookmarkStart w:id="597" w:name="xdx_40C_eus-gaap--AccountsReceivableGros"/>
            <w:bookmarkEnd w:id="597"/>
          </w:p>
        </w:tc>
      </w:tr>
      <w:tr>
        <w:trPr/>
        <w:tc>
          <w:tcPr>
            <w:tcW w:w="3755" w:type="dxa"/>
            <w:tcBorders/>
            <w:shd w:fill="FFFFFF" w:val="clear"/>
            <w:vAlign w:val="center"/>
          </w:tcPr>
          <w:p>
            <w:pPr>
              <w:pStyle w:val="TableContents"/>
              <w:bidi w:val="0"/>
              <w:spacing w:before="0" w:after="283"/>
              <w:jc w:val="left"/>
              <w:rPr/>
            </w:pPr>
            <w:r>
              <w:rPr/>
              <w:t>Less: accounts receivable - Suzhou</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(37,614,912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(37,614,912</w:t>
            </w:r>
          </w:p>
        </w:tc>
        <w:tc>
          <w:tcPr>
            <w:tcW w:w="110" w:type="dxa"/>
            <w:tcBorders/>
            <w:shd w:fill="FFFFFF" w:val="clear"/>
            <w:vAlign w:val="center"/>
          </w:tcPr>
          <w:p>
            <w:pPr>
              <w:pStyle w:val="TableContents"/>
              <w:bidi w:val="0"/>
              <w:spacing w:before="0" w:after="283"/>
              <w:jc w:val="left"/>
              <w:rPr/>
            </w:pPr>
            <w:r>
              <w:rPr/>
              <w:t>)</w:t>
            </w:r>
            <w:bookmarkStart w:id="598" w:name="xdx_400_eus-gaap--AccountsReceivableGros"/>
            <w:bookmarkEnd w:id="598"/>
          </w:p>
        </w:tc>
      </w:tr>
      <w:tr>
        <w:trPr/>
        <w:tc>
          <w:tcPr>
            <w:tcW w:w="3755" w:type="dxa"/>
            <w:tcBorders/>
            <w:shd w:fill="FFFFFF" w:val="clear"/>
            <w:vAlign w:val="center"/>
          </w:tcPr>
          <w:p>
            <w:pPr>
              <w:pStyle w:val="TableContents"/>
              <w:bidi w:val="0"/>
              <w:spacing w:before="0" w:after="283"/>
              <w:jc w:val="left"/>
              <w:rPr/>
            </w:pPr>
            <w:r>
              <w:rPr/>
              <w:t>Less: 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(37,614,912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(37,614,912</w:t>
            </w:r>
          </w:p>
        </w:tc>
        <w:tc>
          <w:tcPr>
            <w:tcW w:w="110" w:type="dxa"/>
            <w:tcBorders/>
            <w:shd w:fill="FFFFFF" w:val="clear"/>
            <w:vAlign w:val="center"/>
          </w:tcPr>
          <w:p>
            <w:pPr>
              <w:pStyle w:val="TableContents"/>
              <w:bidi w:val="0"/>
              <w:spacing w:before="0" w:after="283"/>
              <w:jc w:val="left"/>
              <w:rPr/>
            </w:pPr>
            <w:r>
              <w:rPr/>
              <w:t>)</w:t>
            </w:r>
            <w:bookmarkStart w:id="599" w:name="xdx_405_eus-gaap--AccountsPayableCurrent"/>
            <w:bookmarkEnd w:id="599"/>
          </w:p>
        </w:tc>
      </w:tr>
      <w:tr>
        <w:trPr/>
        <w:tc>
          <w:tcPr>
            <w:tcW w:w="3755" w:type="dxa"/>
            <w:tcBorders/>
            <w:shd w:fill="CCEEFF" w:val="clear"/>
            <w:vAlign w:val="center"/>
          </w:tcPr>
          <w:p>
            <w:pPr>
              <w:pStyle w:val="TableContents"/>
              <w:bidi w:val="0"/>
              <w:spacing w:before="0" w:after="283"/>
              <w:jc w:val="left"/>
              <w:rPr/>
            </w:pPr>
            <w:r>
              <w:rPr/>
              <w:t>Accounts payable - SDE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4,946,478</w:t>
            </w:r>
          </w:p>
        </w:tc>
        <w:tc>
          <w:tcPr>
            <w:tcW w:w="110" w:type="dxa"/>
            <w:tcBorders/>
            <w:shd w:fill="CCEEFF" w:val="clear"/>
            <w:vAlign w:val="center"/>
          </w:tcPr>
          <w:p>
            <w:pPr>
              <w:pStyle w:val="TableContents"/>
              <w:bidi w:val="0"/>
              <w:spacing w:before="0" w:after="283"/>
              <w:jc w:val="left"/>
              <w:rPr/>
            </w:pPr>
            <w:r>
              <w:rPr/>
              <w:t> </w:t>
            </w:r>
            <w:bookmarkStart w:id="600" w:name="xdx_406_eus-gaap--AccountsPayableCurrent"/>
            <w:bookmarkEnd w:id="600"/>
          </w:p>
        </w:tc>
      </w:tr>
      <w:tr>
        <w:trPr/>
        <w:tc>
          <w:tcPr>
            <w:tcW w:w="375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4,946,478</w:t>
            </w:r>
          </w:p>
        </w:tc>
        <w:tc>
          <w:tcPr>
            <w:tcW w:w="110" w:type="dxa"/>
            <w:tcBorders/>
            <w:shd w:fill="CCEEFF" w:val="clear"/>
            <w:vAlign w:val="center"/>
          </w:tcPr>
          <w:p>
            <w:pPr>
              <w:pStyle w:val="TableContents"/>
              <w:bidi w:val="0"/>
              <w:spacing w:before="0" w:after="283"/>
              <w:jc w:val="left"/>
              <w:rPr/>
            </w:pPr>
            <w:r>
              <w:rPr/>
              <w:t> </w:t>
            </w:r>
            <w:bookmarkStart w:id="601" w:name="xdx_402_eus-gaap--AccountsPayableCurrent"/>
            <w:bookmarkEnd w:id="601"/>
          </w:p>
        </w:tc>
      </w:tr>
      <w:tr>
        <w:trPr/>
        <w:tc>
          <w:tcPr>
            <w:tcW w:w="3755" w:type="dxa"/>
            <w:tcBorders/>
            <w:shd w:fill="FFFFFF" w:val="clear"/>
            <w:vAlign w:val="center"/>
          </w:tcPr>
          <w:p>
            <w:pPr>
              <w:pStyle w:val="TableContents"/>
              <w:bidi w:val="0"/>
              <w:spacing w:before="0" w:after="283"/>
              <w:jc w:val="left"/>
              <w:rPr/>
            </w:pPr>
            <w:r>
              <w:rPr/>
              <w:t>Total accounts payable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16,951,062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23,094,436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02" w:name="xdx_8A8_zAG9n8Ge3vD2"/>
      <w:bookmarkEnd w:id="602"/>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03" w:name="xdx_805_ecustom--LoanAndInterestReceivab"/>
      <w:bookmarkEnd w:id="603"/>
      <w:r>
        <w:rPr>
          <w:rFonts w:ascii="Times New Roman;Times;Serif" w:hAnsi="Times New Roman;Times;Serif"/>
          <w:b/>
          <w:i w:val="false"/>
          <w:caps w:val="false"/>
          <w:smallCaps w:val="false"/>
          <w:sz w:val="20"/>
        </w:rPr>
        <w:t xml:space="preserve">NOTE 10 – </w:t>
      </w:r>
      <w:bookmarkStart w:id="604" w:name="xdx_824_zovfA9XWsIJh"/>
      <w:bookmarkEnd w:id="604"/>
      <w:r>
        <w:rPr>
          <w:rFonts w:ascii="Times New Roman;Times;Serif" w:hAnsi="Times New Roman;Times;Serif"/>
          <w:b/>
          <w:i w:val="false"/>
          <w:caps w:val="false"/>
          <w:smallCaps w:val="false"/>
          <w:sz w:val="20"/>
        </w:rPr>
        <w:t>LOAN AND INTEREST RECEIVABLE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2021, the Company loaned $</w:t>
      </w:r>
      <w:bookmarkStart w:id="605" w:name="xdx_90A_eus-gaap--PaymentsToFundLongterm"/>
      <w:bookmarkEnd w:id="605"/>
      <w:r>
        <w:rPr>
          <w:rFonts w:ascii="Times New Roman;Times;Serif" w:hAnsi="Times New Roman;Times;Serif"/>
          <w:b w:val="false"/>
          <w:i w:val="false"/>
          <w:caps w:val="false"/>
          <w:smallCaps w:val="false"/>
          <w:sz w:val="20"/>
        </w:rPr>
        <w:t xml:space="preserve">200,000 to a wholly owned subsidiary of Suzhou Snail. The loan bears </w:t>
      </w:r>
      <w:bookmarkStart w:id="606" w:name="xdx_901_eus-gaap--RelatedPartyTransactio"/>
      <w:bookmarkEnd w:id="606"/>
      <w:r>
        <w:rPr>
          <w:rFonts w:ascii="Times New Roman;Times;Serif" w:hAnsi="Times New Roman;Times;Serif"/>
          <w:b w:val="false"/>
          <w:i w:val="false"/>
          <w:caps w:val="false"/>
          <w:smallCaps w:val="false"/>
          <w:sz w:val="20"/>
        </w:rPr>
        <w:t>2.0% per annum interest, interest and principal are due in February 2022. In February 2022, Suzhou Snail signed an agreement with this subsidiary and assumed the loan and related interest for a total of $</w:t>
      </w:r>
      <w:bookmarkStart w:id="607" w:name="xdx_901_ecustom--RelatedPartyLoanAmountA"/>
      <w:bookmarkEnd w:id="607"/>
      <w:r>
        <w:rPr>
          <w:rFonts w:ascii="Times New Roman;Times;Serif" w:hAnsi="Times New Roman;Times;Serif"/>
          <w:b w:val="false"/>
          <w:i w:val="false"/>
          <w:caps w:val="false"/>
          <w:smallCaps w:val="false"/>
          <w:sz w:val="20"/>
        </w:rPr>
        <w:t>203,890. Subsequently, $</w:t>
      </w:r>
      <w:bookmarkStart w:id="608" w:name="xdx_907_ecustom--AmountOfLoanAndInterest"/>
      <w:bookmarkEnd w:id="608"/>
      <w:r>
        <w:rPr>
          <w:rFonts w:ascii="Times New Roman;Times;Serif" w:hAnsi="Times New Roman;Times;Serif"/>
          <w:b w:val="false"/>
          <w:i w:val="false"/>
          <w:caps w:val="false"/>
          <w:smallCaps w:val="false"/>
          <w:sz w:val="20"/>
        </w:rPr>
        <w:t>103,890 was offset against the loan and interest payable owed to Suzhou Snail on a separate note. The total amount of loan and interest receivable — related party was $</w:t>
      </w:r>
      <w:bookmarkStart w:id="609" w:name="xdx_906_eus-gaap--OtherReceivablesNetCur"/>
      <w:bookmarkEnd w:id="609"/>
      <w:r>
        <w:rPr>
          <w:rFonts w:ascii="Times New Roman;Times;Serif" w:hAnsi="Times New Roman;Times;Serif"/>
          <w:b w:val="false"/>
          <w:i w:val="false"/>
          <w:caps w:val="false"/>
          <w:smallCaps w:val="false"/>
          <w:sz w:val="20"/>
        </w:rPr>
        <w:t>104,252 and $</w:t>
      </w:r>
      <w:bookmarkStart w:id="610" w:name="xdx_907_eus-gaap--OtherReceivablesNetCur"/>
      <w:bookmarkEnd w:id="610"/>
      <w:r>
        <w:rPr>
          <w:rFonts w:ascii="Times New Roman;Times;Serif" w:hAnsi="Times New Roman;Times;Serif"/>
          <w:b w:val="false"/>
          <w:i w:val="false"/>
          <w:caps w:val="false"/>
          <w:smallCaps w:val="false"/>
          <w:sz w:val="20"/>
        </w:rPr>
        <w:t>103,753, as of March 31, 2024 and December 31, 2023, respectively. The Company earned $</w:t>
      </w:r>
      <w:bookmarkStart w:id="611" w:name="xdx_908_eus-gaap--InterestIncomeOperatin"/>
      <w:bookmarkEnd w:id="611"/>
      <w:r>
        <w:rPr>
          <w:rFonts w:ascii="Times New Roman;Times;Serif" w:hAnsi="Times New Roman;Times;Serif"/>
          <w:b w:val="false"/>
          <w:i w:val="false"/>
          <w:caps w:val="false"/>
          <w:smallCaps w:val="false"/>
          <w:sz w:val="20"/>
        </w:rPr>
        <w:t>499 and $</w:t>
      </w:r>
      <w:bookmarkStart w:id="612" w:name="xdx_90C_eus-gaap--InterestIncomeOperatin"/>
      <w:bookmarkEnd w:id="612"/>
      <w:r>
        <w:rPr>
          <w:rFonts w:ascii="Times New Roman;Times;Serif" w:hAnsi="Times New Roman;Times;Serif"/>
          <w:b w:val="false"/>
          <w:i w:val="false"/>
          <w:caps w:val="false"/>
          <w:smallCaps w:val="false"/>
          <w:sz w:val="20"/>
        </w:rPr>
        <w:t>493 in interest on the related party loans receivable during the three months ended March 31, 2024 and 2023,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3" w:name="xdx_806_eus-gaap--DebtDisclosureTextBloc"/>
      <w:bookmarkEnd w:id="613"/>
      <w:r>
        <w:rPr>
          <w:rFonts w:ascii="Times New Roman;Times;Serif" w:hAnsi="Times New Roman;Times;Serif"/>
          <w:b/>
          <w:i w:val="false"/>
          <w:caps w:val="false"/>
          <w:smallCaps w:val="false"/>
          <w:sz w:val="20"/>
        </w:rPr>
        <w:t xml:space="preserve">NOTE 11 – </w:t>
      </w:r>
      <w:bookmarkStart w:id="614" w:name="xdx_829_zjkMqK8fmt5b"/>
      <w:bookmarkEnd w:id="614"/>
      <w:r>
        <w:rPr>
          <w:rFonts w:ascii="Times New Roman;Times;Serif" w:hAnsi="Times New Roman;Times;Serif"/>
          <w:b/>
          <w:i w:val="false"/>
          <w:caps w:val="false"/>
          <w:smallCaps w:val="false"/>
          <w:sz w:val="20"/>
        </w:rPr>
        <w:t>REVOLVING LOAN, SHORT TERM NOTES AND LONG - TERM DEBT</w:t>
      </w:r>
    </w:p>
    <w:p>
      <w:pPr>
        <w:pStyle w:val="TextBody"/>
        <w:bidi w:val="0"/>
        <w:spacing w:before="0" w:after="0"/>
        <w:jc w:val="center"/>
        <w:rPr>
          <w:rFonts w:ascii="Times New Roman;Times;Serif" w:hAnsi="Times New Roman;Times;Serif"/>
          <w:b w:val="false"/>
          <w:i w:val="false"/>
          <w:caps w:val="false"/>
          <w:smallCaps w:val="false"/>
          <w:sz w:val="20"/>
        </w:rPr>
      </w:pPr>
      <w:bookmarkStart w:id="615" w:name="xdx_8B3_z67cv65Iqa68"/>
      <w:bookmarkStart w:id="616" w:name="xdx_89B_eus-gaap--ScheduleOfDebtInstrume"/>
      <w:bookmarkEnd w:id="615"/>
      <w:bookmarkEnd w:id="616"/>
      <w:r>
        <w:rPr>
          <w:rFonts w:ascii="Times New Roman;Times;Serif" w:hAnsi="Times New Roman;Times;Serif"/>
          <w:b w:val="false"/>
          <w:i w:val="false"/>
          <w:caps w:val="false"/>
          <w:smallCaps w:val="false"/>
          <w:sz w:val="20"/>
        </w:rPr>
        <w:t>SCHEDULE OF LONG TERM DEBT </w:t>
      </w:r>
    </w:p>
    <w:tbl>
      <w:tblPr>
        <w:tblW w:w="10205" w:type="dxa"/>
        <w:jc w:val="left"/>
        <w:tblInd w:w="0" w:type="dxa"/>
        <w:tblLayout w:type="fixed"/>
        <w:tblCellMar>
          <w:top w:w="0" w:type="dxa"/>
          <w:left w:w="0" w:type="dxa"/>
          <w:bottom w:w="0" w:type="dxa"/>
          <w:right w:w="0" w:type="dxa"/>
        </w:tblCellMar>
      </w:tblPr>
      <w:tblGrid>
        <w:gridCol w:w="7500"/>
        <w:gridCol w:w="60"/>
        <w:gridCol w:w="144"/>
        <w:gridCol w:w="1011"/>
        <w:gridCol w:w="60"/>
        <w:gridCol w:w="60"/>
        <w:gridCol w:w="145"/>
        <w:gridCol w:w="1146"/>
        <w:gridCol w:w="79"/>
      </w:tblGrid>
      <w:tr>
        <w:trPr/>
        <w:tc>
          <w:tcPr>
            <w:tcW w:w="75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617" w:name="xdx_49D_20240331_z2QyCoMce4Bf"/>
            <w:bookmarkEnd w:id="617"/>
          </w:p>
        </w:tc>
        <w:tc>
          <w:tcPr>
            <w:tcW w:w="11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18" w:name="xdx_49E_20231231_z3umMGCa8WQ3"/>
            <w:bookmarkEnd w:id="618"/>
          </w:p>
        </w:tc>
        <w:tc>
          <w:tcPr>
            <w:tcW w:w="129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2023</w:t>
            </w:r>
          </w:p>
        </w:tc>
        <w:tc>
          <w:tcPr>
            <w:tcW w:w="79" w:type="dxa"/>
            <w:tcBorders/>
            <w:vAlign w:val="center"/>
          </w:tcPr>
          <w:p>
            <w:pPr>
              <w:pStyle w:val="TableContents"/>
              <w:bidi w:val="0"/>
              <w:spacing w:before="0" w:after="283"/>
              <w:jc w:val="left"/>
              <w:rPr/>
            </w:pPr>
            <w:r>
              <w:rPr/>
              <w:t> </w:t>
            </w:r>
            <w:bookmarkStart w:id="619" w:name="xdx_408_eus-gaap--DebtLongtermAndShortte"/>
            <w:bookmarkEnd w:id="619"/>
          </w:p>
        </w:tc>
      </w:tr>
      <w:tr>
        <w:trPr/>
        <w:tc>
          <w:tcPr>
            <w:tcW w:w="7500" w:type="dxa"/>
            <w:tcBorders/>
            <w:shd w:fill="CCEEFF" w:val="clear"/>
            <w:vAlign w:val="center"/>
          </w:tcPr>
          <w:p>
            <w:pPr>
              <w:pStyle w:val="TableContents"/>
              <w:bidi w:val="0"/>
              <w:spacing w:before="0" w:after="283"/>
              <w:jc w:val="both"/>
              <w:rPr/>
            </w:pPr>
            <w:r>
              <w:rPr>
                <w:b/>
              </w:rPr>
              <w:t>2021 Revolving Loan -</w:t>
            </w:r>
            <w:r>
              <w:rPr/>
              <w:t xml:space="preserve"> On June 21, 2023, the Company amended its revolving loan agreement (“amended revolver”) and decreased the maximum balance from $</w:t>
            </w:r>
            <w:bookmarkStart w:id="620" w:name="xdx_90C_eus-gaap--LineOfCreditFacilityMa"/>
            <w:bookmarkEnd w:id="620"/>
            <w:r>
              <w:rPr/>
              <w:t>9,000,000 to $</w:t>
            </w:r>
            <w:bookmarkStart w:id="621" w:name="xdx_90F_eus-gaap--LineOfCreditFacilityMa"/>
            <w:bookmarkEnd w:id="621"/>
            <w:r>
              <w:rPr/>
              <w:t xml:space="preserve">6,000,000. The amended revolver matures on </w:t>
            </w:r>
            <w:bookmarkStart w:id="622" w:name="xdx_901_eus-gaap--LineOfCreditFacilityEx"/>
            <w:bookmarkEnd w:id="622"/>
            <w:r>
              <w:rPr/>
              <w:t xml:space="preserve">December 31, 2024 and has an annual interest rate equal to the prime rate less </w:t>
            </w:r>
            <w:bookmarkStart w:id="623" w:name="xdx_903_ecustom--DebtInstrumentBasisSpre"/>
            <w:bookmarkEnd w:id="623"/>
            <w:r>
              <w:rPr/>
              <w:t xml:space="preserve">0.25%. At March 31, 2024, the interest rate on this loan was </w:t>
            </w:r>
            <w:bookmarkStart w:id="624" w:name="xdx_904_eus-gaap--DebtInstrumentInterest"/>
            <w:bookmarkEnd w:id="624"/>
            <w:r>
              <w:rPr/>
              <w:t xml:space="preserve">8.25%. Debt covenants of this loan require the Company to maintain a minimum debt service coverage ratio of at least </w:t>
            </w:r>
            <w:bookmarkStart w:id="625" w:name="xdx_909_ecustom--MinimumRequirementOfDeb"/>
            <w:bookmarkEnd w:id="625"/>
            <w:r>
              <w:rPr/>
              <w:t>1.5 to 1. The Company was not in compliance with the debt service coverage ratio for the trailing twelve month period ended March 31, 2024 and received a waiver for the debt service coverage ratio requirement for the period ended March 31, 2024.</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011" w:type="dxa"/>
            <w:tcBorders/>
            <w:shd w:fill="CCEEFF" w:val="clear"/>
            <w:vAlign w:val="center"/>
          </w:tcPr>
          <w:p>
            <w:pPr>
              <w:pStyle w:val="TableContents"/>
              <w:bidi w:val="0"/>
              <w:spacing w:before="0" w:after="283"/>
              <w:jc w:val="right"/>
              <w:rPr/>
            </w:pPr>
            <w:r>
              <w:rPr/>
              <w:t>3,000,000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146" w:type="dxa"/>
            <w:tcBorders/>
            <w:shd w:fill="CCEEFF" w:val="clear"/>
            <w:vAlign w:val="center"/>
          </w:tcPr>
          <w:p>
            <w:pPr>
              <w:pStyle w:val="TableContents"/>
              <w:bidi w:val="0"/>
              <w:spacing w:before="0" w:after="283"/>
              <w:jc w:val="right"/>
              <w:rPr/>
            </w:pPr>
            <w:r>
              <w:rPr/>
              <w:t>6,000,000</w:t>
            </w:r>
          </w:p>
        </w:tc>
        <w:tc>
          <w:tcPr>
            <w:tcW w:w="79" w:type="dxa"/>
            <w:tcBorders/>
            <w:shd w:fill="CCEEFF" w:val="clear"/>
            <w:vAlign w:val="center"/>
          </w:tcPr>
          <w:p>
            <w:pPr>
              <w:pStyle w:val="TableContents"/>
              <w:bidi w:val="0"/>
              <w:spacing w:before="0" w:after="283"/>
              <w:jc w:val="left"/>
              <w:rPr/>
            </w:pPr>
            <w:r>
              <w:rPr/>
              <w:t> </w:t>
            </w:r>
            <w:bookmarkStart w:id="626" w:name="xdx_400_eus-gaap--DebtLongtermAndShortte"/>
            <w:bookmarkEnd w:id="626"/>
          </w:p>
        </w:tc>
      </w:tr>
      <w:tr>
        <w:trPr/>
        <w:tc>
          <w:tcPr>
            <w:tcW w:w="7500" w:type="dxa"/>
            <w:tcBorders/>
            <w:shd w:fill="FFFFFF" w:val="clear"/>
            <w:vAlign w:val="center"/>
          </w:tcPr>
          <w:p>
            <w:pPr>
              <w:pStyle w:val="TableContents"/>
              <w:bidi w:val="0"/>
              <w:spacing w:before="0" w:after="283"/>
              <w:jc w:val="both"/>
              <w:rPr/>
            </w:pPr>
            <w:r>
              <w:rPr>
                <w:b/>
              </w:rPr>
              <w:t>2021 Promissory Note –</w:t>
            </w:r>
            <w:r>
              <w:rPr/>
              <w:t xml:space="preserve"> On June 17, 2021, the Company amended its loan agreement to reduce the principal amount with financial institution for </w:t>
            </w:r>
            <w:bookmarkStart w:id="627" w:name="xdx_90F_ecustom--DebtInstrumentInterestR"/>
            <w:bookmarkEnd w:id="627"/>
            <w:r>
              <w:rPr/>
              <w:t xml:space="preserve">10 years, annual interest rate of </w:t>
            </w:r>
            <w:bookmarkStart w:id="628" w:name="xdx_90C_eus-gaap--DebtInstrumentInterest"/>
            <w:bookmarkEnd w:id="628"/>
            <w:r>
              <w:rPr/>
              <w:t xml:space="preserve">3.5% for the first </w:t>
            </w:r>
            <w:bookmarkStart w:id="629" w:name="xdx_90C_ecustom--DebtInstrumentInterestR"/>
            <w:bookmarkEnd w:id="629"/>
            <w:r>
              <w:rPr/>
              <w:t xml:space="preserve">5 years, and then floating at Wall Street Journal rate from years </w:t>
            </w:r>
            <w:bookmarkStart w:id="630" w:name="xdx_906_eus-gaap--DebtInstrumentDescript"/>
            <w:bookmarkEnd w:id="630"/>
            <w:r>
              <w:rPr/>
              <w:t>6 to 10. The loan is secured by the Company’s building, with a carrying value of $</w:t>
            </w:r>
            <w:bookmarkStart w:id="631" w:name="xdx_903_eus-gaap--SecuredDebt_iI_pn5n6_c"/>
            <w:bookmarkEnd w:id="631"/>
            <w:r>
              <w:rPr/>
              <w:t xml:space="preserve">4.2 million, and matures on </w:t>
            </w:r>
            <w:bookmarkStart w:id="632" w:name="xdx_90F_eus-gaap--DebtInstrumentMaturity"/>
            <w:bookmarkEnd w:id="632"/>
            <w:r>
              <w:rPr/>
              <w:t xml:space="preserve">June 30, 2031. The note is subject to a prepayment penalty. Debt covenants of this loan require the Company to maintain a minimum debt service coverage ratio of at least </w:t>
            </w:r>
            <w:bookmarkStart w:id="633" w:name="xdx_90D_ecustom--MinimumRequirementOfDeb"/>
            <w:bookmarkEnd w:id="633"/>
            <w:r>
              <w:rPr/>
              <w:t>1.5 to 1. The Company was not in compliance with the debt service coverage ratio for the trailing twelve month period ended March 31, 2024 and received a waiver for the debt service coverage ratio requirement for the period ended March 31, 2024.</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2,791,438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2,811,923</w:t>
            </w:r>
          </w:p>
        </w:tc>
        <w:tc>
          <w:tcPr>
            <w:tcW w:w="79" w:type="dxa"/>
            <w:tcBorders/>
            <w:shd w:fill="FFFFFF" w:val="clear"/>
            <w:vAlign w:val="center"/>
          </w:tcPr>
          <w:p>
            <w:pPr>
              <w:pStyle w:val="TableContents"/>
              <w:bidi w:val="0"/>
              <w:spacing w:before="0" w:after="283"/>
              <w:jc w:val="left"/>
              <w:rPr/>
            </w:pPr>
            <w:r>
              <w:rPr/>
              <w:t> </w:t>
            </w:r>
            <w:bookmarkStart w:id="634" w:name="xdx_403_eus-gaap--DebtLongtermAndShortte"/>
            <w:bookmarkEnd w:id="634"/>
          </w:p>
        </w:tc>
      </w:tr>
      <w:tr>
        <w:trPr/>
        <w:tc>
          <w:tcPr>
            <w:tcW w:w="7500" w:type="dxa"/>
            <w:tcBorders/>
            <w:shd w:fill="CCEEFF" w:val="clear"/>
            <w:vAlign w:val="center"/>
          </w:tcPr>
          <w:p>
            <w:pPr>
              <w:pStyle w:val="TableContents"/>
              <w:bidi w:val="0"/>
              <w:spacing w:before="0" w:after="283"/>
              <w:jc w:val="both"/>
              <w:rPr/>
            </w:pPr>
            <w:r>
              <w:rPr>
                <w:b/>
              </w:rPr>
              <w:t>2022 Short Term Note -</w:t>
            </w:r>
            <w:r>
              <w:rPr/>
              <w:t xml:space="preserve"> On January 26, 2022, the Company amended its revolving loan and long-term debt agreements to obtain an additional note with a principal balance of $</w:t>
            </w:r>
            <w:bookmarkStart w:id="635" w:name="xdx_905_eus-gaap--PaymentsForLoans_pp0p0"/>
            <w:bookmarkEnd w:id="635"/>
            <w:r>
              <w:rPr/>
              <w:t xml:space="preserve">10,000,000 which was originally set to mature on </w:t>
            </w:r>
            <w:bookmarkStart w:id="636" w:name="xdx_90E_eus-gaap--DebtInstrumentMaturity"/>
            <w:bookmarkEnd w:id="636"/>
            <w:r>
              <w:rPr/>
              <w:t xml:space="preserve">January 26, 2023. Interest was equal to the higher of </w:t>
            </w:r>
            <w:bookmarkStart w:id="637" w:name="xdx_902_eus-gaap--DebtInstrumentBasisSpr"/>
            <w:bookmarkEnd w:id="637"/>
            <w:r>
              <w:rPr/>
              <w:t xml:space="preserve">3.75% or the Wall Street Journal Prime Rate plus </w:t>
            </w:r>
            <w:bookmarkStart w:id="638" w:name="xdx_908_eus-gaap--DebtInstrumentBasisSpr"/>
            <w:bookmarkEnd w:id="638"/>
            <w:r>
              <w:rPr/>
              <w:t xml:space="preserve">0.50%. The loan was secured by the Company’s assets. In the event of a default, all outstanding amounts under the note would bear interest at a default rate equal to </w:t>
            </w:r>
            <w:bookmarkStart w:id="639" w:name="xdx_909_ecustom--DebtInstrumentDefaultIn"/>
            <w:bookmarkEnd w:id="639"/>
            <w:r>
              <w:rPr/>
              <w:t xml:space="preserve">5% over the note rate. Debt covenants of this loan required the Company to maintain a minimum debt service coverage ratio of at least </w:t>
            </w:r>
            <w:bookmarkStart w:id="640" w:name="xdx_907_ecustom--MinimumRequirementOfDeb"/>
            <w:bookmarkEnd w:id="640"/>
            <w:r>
              <w:rPr/>
              <w:t xml:space="preserve">1.5 to 1 and would be measured quarterly. In November 2022, the maturity was extended to </w:t>
            </w:r>
            <w:bookmarkStart w:id="641" w:name="xdx_90C_eus-gaap--DebtInstrumentMaturity"/>
            <w:bookmarkEnd w:id="641"/>
            <w:r>
              <w:rPr/>
              <w:t xml:space="preserve">January 26, 2024 and at December 31, 2023, the interest rate on this loan was </w:t>
            </w:r>
            <w:bookmarkStart w:id="642" w:name="xdx_90E_eus-gaap--DebtInstrumentInterest"/>
            <w:bookmarkEnd w:id="642"/>
            <w:r>
              <w:rPr/>
              <w:t>8.25%. The Company repaid the balance of $</w:t>
            </w:r>
            <w:bookmarkStart w:id="643" w:name="xdx_906_eus-gaap--RepaymentsOfDebt_pp0p0"/>
            <w:bookmarkEnd w:id="643"/>
            <w:r>
              <w:rPr/>
              <w:t>833,333 during the three month period ended March 31, 2024.</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833,333</w:t>
            </w:r>
          </w:p>
        </w:tc>
        <w:tc>
          <w:tcPr>
            <w:tcW w:w="79" w:type="dxa"/>
            <w:tcBorders/>
            <w:shd w:fill="CCEEFF" w:val="clear"/>
            <w:vAlign w:val="center"/>
          </w:tcPr>
          <w:p>
            <w:pPr>
              <w:pStyle w:val="TableContents"/>
              <w:bidi w:val="0"/>
              <w:spacing w:before="0" w:after="283"/>
              <w:jc w:val="left"/>
              <w:rPr/>
            </w:pPr>
            <w:r>
              <w:rPr/>
              <w:t> </w:t>
            </w:r>
            <w:bookmarkStart w:id="644" w:name="xdx_400_eus-gaap--DebtLongtermAndShortte"/>
            <w:bookmarkEnd w:id="644"/>
          </w:p>
        </w:tc>
      </w:tr>
      <w:tr>
        <w:trPr/>
        <w:tc>
          <w:tcPr>
            <w:tcW w:w="7500" w:type="dxa"/>
            <w:tcBorders/>
            <w:shd w:fill="FFFFFF" w:val="clear"/>
            <w:vAlign w:val="center"/>
          </w:tcPr>
          <w:p>
            <w:pPr>
              <w:pStyle w:val="TableContents"/>
              <w:bidi w:val="0"/>
              <w:spacing w:before="0" w:after="283"/>
              <w:jc w:val="both"/>
              <w:rPr/>
            </w:pPr>
            <w:r>
              <w:rPr>
                <w:b/>
              </w:rPr>
              <w:t>2023 Convertible Notes –</w:t>
            </w:r>
            <w:r>
              <w:rPr/>
              <w:t xml:space="preserve"> On August 24, 2023, the Company issued convertible notes at a </w:t>
            </w:r>
            <w:bookmarkStart w:id="645" w:name="xdx_905_ecustom--ConvertibleNoteDiscount"/>
            <w:bookmarkEnd w:id="645"/>
            <w:r>
              <w:rPr/>
              <w:t>7.4% discount and a principal balance of $</w:t>
            </w:r>
            <w:bookmarkStart w:id="646" w:name="xdx_908_eus-gaap--ConvertibleNotesPayabl"/>
            <w:bookmarkEnd w:id="646"/>
            <w:r>
              <w:rPr/>
              <w:t xml:space="preserve">1,080,000. The notes have an interest rate of </w:t>
            </w:r>
            <w:bookmarkStart w:id="647" w:name="xdx_901_eus-gaap--DebtInstrumentInterest"/>
            <w:bookmarkEnd w:id="647"/>
            <w:r>
              <w:rPr/>
              <w:t xml:space="preserve">7.5%, will be paid in consecutive monthly installments beginning </w:t>
            </w:r>
            <w:bookmarkStart w:id="648" w:name="xdx_904_eus-gaap--DebtInstrumentMaturity"/>
            <w:bookmarkEnd w:id="648"/>
            <w:r>
              <w:rPr/>
              <w:t xml:space="preserve">February 24, 2024 and will mature on </w:t>
            </w:r>
            <w:bookmarkStart w:id="649" w:name="xdx_902_eus-gaap--DebtInstrumentMaturity"/>
            <w:bookmarkEnd w:id="649"/>
            <w:r>
              <w:rPr/>
              <w:t xml:space="preserve">May 24, 2024. In the event of a default the interest rate will be increased to the lower of </w:t>
            </w:r>
            <w:bookmarkStart w:id="650" w:name="xdx_90A_eus-gaap--DebtInstrumentInterest"/>
            <w:bookmarkEnd w:id="650"/>
            <w:r>
              <w:rPr/>
              <w:t>16% per annum or the highest amount permitted by applicable law. The Company has the option to prepay the notes at any time and the note holders have the option to convert the notes, in whole or in part, at any time. The Company recognized a discount of $</w:t>
            </w:r>
            <w:bookmarkStart w:id="651" w:name="xdx_90B_eus-gaap--DebtInstrumentUnamorti"/>
            <w:bookmarkEnd w:id="651"/>
            <w:r>
              <w:rPr/>
              <w:t xml:space="preserve">678,254 on the notes to account for the stated discount, the fair value of the warrants issued in connection with the notes and the costs of issuance. The discount is amortized using the effective interest rate of </w:t>
            </w:r>
            <w:bookmarkStart w:id="652" w:name="xdx_902_eus-gaap--DebtInstrumentInterest"/>
            <w:bookmarkEnd w:id="652"/>
            <w:r>
              <w:rPr/>
              <w:t>103.4%.</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750,450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1,080,000</w:t>
            </w:r>
          </w:p>
        </w:tc>
        <w:tc>
          <w:tcPr>
            <w:tcW w:w="79" w:type="dxa"/>
            <w:tcBorders/>
            <w:shd w:fill="FFFFFF" w:val="clear"/>
            <w:vAlign w:val="center"/>
          </w:tcPr>
          <w:p>
            <w:pPr>
              <w:pStyle w:val="TableContents"/>
              <w:bidi w:val="0"/>
              <w:spacing w:before="0" w:after="283"/>
              <w:jc w:val="left"/>
              <w:rPr/>
            </w:pPr>
            <w:r>
              <w:rPr/>
              <w:t> </w:t>
            </w:r>
            <w:bookmarkStart w:id="653" w:name="xdx_402_eus-gaap--DebtLongtermAndShortte"/>
            <w:bookmarkEnd w:id="653"/>
          </w:p>
        </w:tc>
      </w:tr>
      <w:tr>
        <w:trPr/>
        <w:tc>
          <w:tcPr>
            <w:tcW w:w="750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2023 Note Payable – </w:t>
            </w:r>
            <w:r>
              <w:rPr>
                <w:rFonts w:ascii="Times New Roman;Times;Serif" w:hAnsi="Times New Roman;Times;Serif"/>
                <w:sz w:val="20"/>
              </w:rPr>
              <w:t xml:space="preserve">In July 2023, the Company entered into a cooperation agreement with its internet, server and datacenter vendor. The Company agreed to make the vendor the official server host of </w:t>
            </w:r>
            <w:r>
              <w:rPr>
                <w:rFonts w:ascii="Times New Roman;Times;Serif" w:hAnsi="Times New Roman;Times;Serif"/>
                <w:i/>
                <w:sz w:val="20"/>
              </w:rPr>
              <w:t>Ark: Survival Evolved</w:t>
            </w:r>
            <w:r>
              <w:rPr>
                <w:rFonts w:ascii="Times New Roman;Times;Serif" w:hAnsi="Times New Roman;Times;Serif"/>
                <w:sz w:val="20"/>
              </w:rPr>
              <w:t xml:space="preserve"> and future iterations and sequels of the game for a period of </w:t>
            </w:r>
            <w:bookmarkStart w:id="654" w:name="xdx_90D_eus-gaap--DebtInstrumentTerm_dtY"/>
            <w:bookmarkEnd w:id="654"/>
            <w:r>
              <w:rPr>
                <w:rFonts w:ascii="Times New Roman;Times;Serif" w:hAnsi="Times New Roman;Times;Serif"/>
                <w:sz w:val="20"/>
              </w:rPr>
              <w:t>7 years. In return the vendor has agreed to provide the Company with funds in cash of up to $</w:t>
            </w:r>
            <w:bookmarkStart w:id="655" w:name="xdx_90B_eus-gaap--ShortTermDebtRefinance"/>
            <w:bookmarkEnd w:id="655"/>
            <w:r>
              <w:rPr>
                <w:rFonts w:ascii="Times New Roman;Times;Serif" w:hAnsi="Times New Roman;Times;Serif"/>
                <w:sz w:val="20"/>
              </w:rPr>
              <w:t xml:space="preserve">3.0 million without discount and free of charges and costs to the Company. </w:t>
            </w:r>
            <w:bookmarkStart w:id="656" w:name="xdx_90D_eus-gaap--DebtInstrumentFrequenc"/>
            <w:bookmarkEnd w:id="656"/>
            <w:r>
              <w:rPr>
                <w:rFonts w:ascii="Times New Roman;Times;Serif" w:hAnsi="Times New Roman;Times;Serif"/>
                <w:sz w:val="20"/>
              </w:rPr>
              <w:t xml:space="preserve">The funds are repaid based on 20% of the gross monthly </w:t>
            </w:r>
            <w:r>
              <w:rPr>
                <w:rFonts w:ascii="Times New Roman;Times;Serif" w:hAnsi="Times New Roman;Times;Serif"/>
                <w:i/>
                <w:sz w:val="20"/>
              </w:rPr>
              <w:t>ARK: Survival Ascended</w:t>
            </w:r>
            <w:r>
              <w:rPr>
                <w:rFonts w:ascii="Times New Roman;Times;Serif" w:hAnsi="Times New Roman;Times;Serif"/>
                <w:sz w:val="20"/>
              </w:rPr>
              <w:t xml:space="preserve"> revenues. The Company has imputed interest at </w:t>
            </w:r>
            <w:bookmarkStart w:id="657" w:name="xdx_903_eus-gaap--DebtInstrumentInterest"/>
            <w:bookmarkEnd w:id="657"/>
            <w:r>
              <w:rPr>
                <w:rFonts w:ascii="Times New Roman;Times;Serif" w:hAnsi="Times New Roman;Times;Serif"/>
                <w:sz w:val="20"/>
              </w:rPr>
              <w:t xml:space="preserve">8.0% on draws made. If in default, the interest rate is levied on the outstanding balances at a rate of </w:t>
            </w:r>
            <w:bookmarkStart w:id="658" w:name="xdx_900_ecustom--DebtInstrumentDefaultIn"/>
            <w:bookmarkEnd w:id="658"/>
            <w:r>
              <w:rPr>
                <w:rFonts w:ascii="Times New Roman;Times;Serif" w:hAnsi="Times New Roman;Times;Serif"/>
                <w:sz w:val="20"/>
              </w:rPr>
              <w:t>12.0% per annum. The Company repaid the balance of $</w:t>
            </w:r>
            <w:bookmarkStart w:id="659" w:name="xdx_90D_eus-gaap--RepaymentsOfDebt_pn5n6"/>
            <w:bookmarkEnd w:id="659"/>
            <w:r>
              <w:rPr>
                <w:rFonts w:ascii="Times New Roman;Times;Serif" w:hAnsi="Times New Roman;Times;Serif"/>
                <w:sz w:val="20"/>
              </w:rPr>
              <w:t xml:space="preserve">1.5 million during the three month period ended March 31, 2024.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6" w:type="dxa"/>
            <w:tcBorders>
              <w:bottom w:val="single" w:sz="12" w:space="0" w:color="000000"/>
            </w:tcBorders>
            <w:shd w:fill="CCEEFF" w:val="clear"/>
            <w:tcMar>
              <w:bottom w:w="28" w:type="dxa"/>
            </w:tcMar>
            <w:vAlign w:val="center"/>
          </w:tcPr>
          <w:p>
            <w:pPr>
              <w:pStyle w:val="TableContents"/>
              <w:bidi w:val="0"/>
              <w:spacing w:before="0" w:after="283"/>
              <w:jc w:val="right"/>
              <w:rPr/>
            </w:pPr>
            <w:r>
              <w:rPr/>
              <w:t>1,500,000</w:t>
            </w:r>
          </w:p>
        </w:tc>
        <w:tc>
          <w:tcPr>
            <w:tcW w:w="79" w:type="dxa"/>
            <w:tcBorders/>
            <w:shd w:fill="CCEEFF" w:val="clear"/>
            <w:vAlign w:val="center"/>
          </w:tcPr>
          <w:p>
            <w:pPr>
              <w:pStyle w:val="TableContents"/>
              <w:bidi w:val="0"/>
              <w:spacing w:before="0" w:after="283"/>
              <w:jc w:val="left"/>
              <w:rPr/>
            </w:pPr>
            <w:r>
              <w:rPr/>
              <w:t> </w:t>
            </w:r>
            <w:bookmarkStart w:id="660" w:name="xdx_405_eus-gaap--DebtLongtermAndShortte"/>
            <w:bookmarkEnd w:id="660"/>
          </w:p>
        </w:tc>
      </w:tr>
      <w:tr>
        <w:trPr/>
        <w:tc>
          <w:tcPr>
            <w:tcW w:w="7500" w:type="dxa"/>
            <w:tcBorders/>
            <w:shd w:fill="FFFFFF" w:val="clear"/>
            <w:vAlign w:val="center"/>
          </w:tcPr>
          <w:p>
            <w:pPr>
              <w:pStyle w:val="TableContents"/>
              <w:bidi w:val="0"/>
              <w:spacing w:before="0" w:after="283"/>
              <w:jc w:val="both"/>
              <w:rPr/>
            </w:pPr>
            <w:r>
              <w:rPr/>
              <w:t xml:space="preserve">Total debt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6,541,888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12,225,256</w:t>
            </w:r>
          </w:p>
        </w:tc>
        <w:tc>
          <w:tcPr>
            <w:tcW w:w="79" w:type="dxa"/>
            <w:tcBorders/>
            <w:shd w:fill="FFFFFF" w:val="clear"/>
            <w:vAlign w:val="center"/>
          </w:tcPr>
          <w:p>
            <w:pPr>
              <w:pStyle w:val="TableContents"/>
              <w:bidi w:val="0"/>
              <w:spacing w:before="0" w:after="283"/>
              <w:jc w:val="left"/>
              <w:rPr/>
            </w:pPr>
            <w:r>
              <w:rPr/>
              <w:t> </w:t>
            </w:r>
            <w:bookmarkStart w:id="661" w:name="xdx_40F_eus-gaap--DebtInstrumentUnamorti"/>
            <w:bookmarkEnd w:id="661"/>
          </w:p>
        </w:tc>
      </w:tr>
      <w:tr>
        <w:trPr/>
        <w:tc>
          <w:tcPr>
            <w:tcW w:w="7500" w:type="dxa"/>
            <w:tcBorders/>
            <w:shd w:fill="CCEEFF" w:val="clear"/>
            <w:vAlign w:val="center"/>
          </w:tcPr>
          <w:p>
            <w:pPr>
              <w:pStyle w:val="TableContents"/>
              <w:bidi w:val="0"/>
              <w:spacing w:before="0" w:after="283"/>
              <w:jc w:val="both"/>
              <w:rPr/>
            </w:pPr>
            <w:r>
              <w:rPr/>
              <w:t xml:space="preserve">Less: discount on convertible notes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48,166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282,639</w:t>
            </w:r>
          </w:p>
        </w:tc>
        <w:tc>
          <w:tcPr>
            <w:tcW w:w="79" w:type="dxa"/>
            <w:tcBorders/>
            <w:shd w:fill="CCEEFF" w:val="clear"/>
            <w:vAlign w:val="center"/>
          </w:tcPr>
          <w:p>
            <w:pPr>
              <w:pStyle w:val="TableContents"/>
              <w:bidi w:val="0"/>
              <w:spacing w:before="0" w:after="283"/>
              <w:jc w:val="left"/>
              <w:rPr/>
            </w:pPr>
            <w:r>
              <w:rPr/>
              <w:t> </w:t>
            </w:r>
            <w:bookmarkStart w:id="662" w:name="xdx_40E_eus-gaap--LongTermDebtCurrent_iI"/>
            <w:bookmarkEnd w:id="662"/>
          </w:p>
        </w:tc>
      </w:tr>
      <w:tr>
        <w:trPr/>
        <w:tc>
          <w:tcPr>
            <w:tcW w:w="7500" w:type="dxa"/>
            <w:tcBorders/>
            <w:shd w:fill="FFFFFF" w:val="clear"/>
            <w:vAlign w:val="center"/>
          </w:tcPr>
          <w:p>
            <w:pPr>
              <w:pStyle w:val="TableContents"/>
              <w:bidi w:val="0"/>
              <w:spacing w:before="0" w:after="283"/>
              <w:jc w:val="both"/>
              <w:rPr/>
            </w:pPr>
            <w:r>
              <w:rPr/>
              <w:t>Less: current portion of promissory note</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2,791,438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2,811,923</w:t>
            </w:r>
          </w:p>
        </w:tc>
        <w:tc>
          <w:tcPr>
            <w:tcW w:w="79" w:type="dxa"/>
            <w:tcBorders/>
            <w:shd w:fill="FFFFFF" w:val="clear"/>
            <w:vAlign w:val="center"/>
          </w:tcPr>
          <w:p>
            <w:pPr>
              <w:pStyle w:val="TableContents"/>
              <w:bidi w:val="0"/>
              <w:spacing w:before="0" w:after="283"/>
              <w:jc w:val="left"/>
              <w:rPr/>
            </w:pPr>
            <w:r>
              <w:rPr/>
              <w:t> </w:t>
            </w:r>
            <w:bookmarkStart w:id="663" w:name="xdx_40C_ecustom--RevolvingLoanPayableCur"/>
            <w:bookmarkEnd w:id="663"/>
          </w:p>
        </w:tc>
      </w:tr>
      <w:tr>
        <w:trPr/>
        <w:tc>
          <w:tcPr>
            <w:tcW w:w="7500" w:type="dxa"/>
            <w:tcBorders/>
            <w:shd w:fill="CCEEFF" w:val="clear"/>
            <w:vAlign w:val="center"/>
          </w:tcPr>
          <w:p>
            <w:pPr>
              <w:pStyle w:val="TableContents"/>
              <w:bidi w:val="0"/>
              <w:spacing w:before="0" w:after="283"/>
              <w:jc w:val="both"/>
              <w:rPr/>
            </w:pPr>
            <w:r>
              <w:rPr/>
              <w:t xml:space="preserve">Less: revolving loan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3,000,000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6,000,000</w:t>
            </w:r>
          </w:p>
        </w:tc>
        <w:tc>
          <w:tcPr>
            <w:tcW w:w="79" w:type="dxa"/>
            <w:tcBorders/>
            <w:shd w:fill="CCEEFF" w:val="clear"/>
            <w:vAlign w:val="center"/>
          </w:tcPr>
          <w:p>
            <w:pPr>
              <w:pStyle w:val="TableContents"/>
              <w:bidi w:val="0"/>
              <w:spacing w:before="0" w:after="283"/>
              <w:jc w:val="left"/>
              <w:rPr/>
            </w:pPr>
            <w:r>
              <w:rPr/>
              <w:t> </w:t>
            </w:r>
            <w:bookmarkStart w:id="664" w:name="xdx_40F_eus-gaap--ShortTermBorrowings_iI"/>
            <w:bookmarkEnd w:id="664"/>
          </w:p>
        </w:tc>
      </w:tr>
      <w:tr>
        <w:trPr/>
        <w:tc>
          <w:tcPr>
            <w:tcW w:w="7500" w:type="dxa"/>
            <w:tcBorders/>
            <w:shd w:fill="FFFFFF" w:val="clear"/>
            <w:vAlign w:val="center"/>
          </w:tcPr>
          <w:p>
            <w:pPr>
              <w:pStyle w:val="TableContents"/>
              <w:bidi w:val="0"/>
              <w:spacing w:before="0" w:after="283"/>
              <w:jc w:val="both"/>
              <w:rPr/>
            </w:pPr>
            <w:r>
              <w:rPr/>
              <w:t xml:space="preserve">Less: notes payable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2,333,333</w:t>
            </w:r>
          </w:p>
        </w:tc>
        <w:tc>
          <w:tcPr>
            <w:tcW w:w="79" w:type="dxa"/>
            <w:tcBorders/>
            <w:shd w:fill="FFFFFF" w:val="clear"/>
            <w:vAlign w:val="center"/>
          </w:tcPr>
          <w:p>
            <w:pPr>
              <w:pStyle w:val="TableContents"/>
              <w:bidi w:val="0"/>
              <w:spacing w:before="0" w:after="283"/>
              <w:jc w:val="left"/>
              <w:rPr/>
            </w:pPr>
            <w:r>
              <w:rPr/>
              <w:t> </w:t>
            </w:r>
            <w:bookmarkStart w:id="665" w:name="xdx_40D_eus-gaap--ConvertibleNotesPayabl"/>
            <w:bookmarkEnd w:id="665"/>
          </w:p>
        </w:tc>
      </w:tr>
      <w:tr>
        <w:trPr/>
        <w:tc>
          <w:tcPr>
            <w:tcW w:w="7500" w:type="dxa"/>
            <w:tcBorders/>
            <w:shd w:fill="CCEEFF" w:val="clear"/>
            <w:vAlign w:val="center"/>
          </w:tcPr>
          <w:p>
            <w:pPr>
              <w:pStyle w:val="TableContents"/>
              <w:bidi w:val="0"/>
              <w:spacing w:before="0" w:after="283"/>
              <w:jc w:val="both"/>
              <w:rPr/>
            </w:pPr>
            <w:r>
              <w:rPr/>
              <w:t>Less: convertible notes, net of discount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CCEEFF" w:val="clear"/>
            <w:tcMar>
              <w:bottom w:w="28" w:type="dxa"/>
            </w:tcMar>
            <w:vAlign w:val="center"/>
          </w:tcPr>
          <w:p>
            <w:pPr>
              <w:pStyle w:val="TableContents"/>
              <w:bidi w:val="0"/>
              <w:spacing w:before="0" w:after="283"/>
              <w:jc w:val="right"/>
              <w:rPr/>
            </w:pPr>
            <w:r>
              <w:rPr/>
              <w:t>702,284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6" w:type="dxa"/>
            <w:tcBorders>
              <w:bottom w:val="single" w:sz="12" w:space="0" w:color="000000"/>
            </w:tcBorders>
            <w:shd w:fill="CCEEFF" w:val="clear"/>
            <w:tcMar>
              <w:bottom w:w="28" w:type="dxa"/>
            </w:tcMar>
            <w:vAlign w:val="center"/>
          </w:tcPr>
          <w:p>
            <w:pPr>
              <w:pStyle w:val="TableContents"/>
              <w:bidi w:val="0"/>
              <w:spacing w:before="0" w:after="283"/>
              <w:jc w:val="right"/>
              <w:rPr/>
            </w:pPr>
            <w:r>
              <w:rPr/>
              <w:t>797,361</w:t>
            </w:r>
          </w:p>
        </w:tc>
        <w:tc>
          <w:tcPr>
            <w:tcW w:w="79" w:type="dxa"/>
            <w:tcBorders/>
            <w:shd w:fill="CCEEFF" w:val="clear"/>
            <w:vAlign w:val="center"/>
          </w:tcPr>
          <w:p>
            <w:pPr>
              <w:pStyle w:val="TableContents"/>
              <w:bidi w:val="0"/>
              <w:spacing w:before="0" w:after="283"/>
              <w:jc w:val="left"/>
              <w:rPr/>
            </w:pPr>
            <w:r>
              <w:rPr/>
              <w:t> </w:t>
            </w:r>
            <w:bookmarkStart w:id="666" w:name="xdx_402_eus-gaap--LongTermDebtNoncurrent"/>
            <w:bookmarkEnd w:id="666"/>
          </w:p>
        </w:tc>
      </w:tr>
      <w:tr>
        <w:trPr/>
        <w:tc>
          <w:tcPr>
            <w:tcW w:w="7500" w:type="dxa"/>
            <w:tcBorders/>
            <w:shd w:fill="FFFFFF" w:val="clear"/>
            <w:vAlign w:val="center"/>
          </w:tcPr>
          <w:p>
            <w:pPr>
              <w:pStyle w:val="TableContents"/>
              <w:bidi w:val="0"/>
              <w:spacing w:before="0" w:after="283"/>
              <w:jc w:val="both"/>
              <w:rPr/>
            </w:pPr>
            <w:r>
              <w:rPr/>
              <w:t xml:space="preserve">Total long-term debt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1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4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667" w:name="xdx_8A0_zIf8x2dEpbC5"/>
      <w:bookmarkEnd w:id="66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interest expense for the above debt and revolver loan amounted to $</w:t>
      </w:r>
      <w:bookmarkStart w:id="668" w:name="xdx_907_eus-gaap--InterestExpenseDebt_pp"/>
      <w:bookmarkEnd w:id="668"/>
      <w:r>
        <w:rPr>
          <w:rFonts w:ascii="Times New Roman;Times;Serif" w:hAnsi="Times New Roman;Times;Serif"/>
          <w:b w:val="false"/>
          <w:i w:val="false"/>
          <w:caps w:val="false"/>
          <w:smallCaps w:val="false"/>
          <w:sz w:val="20"/>
        </w:rPr>
        <w:t>395,964 and $</w:t>
      </w:r>
      <w:bookmarkStart w:id="669" w:name="xdx_909_eus-gaap--InterestExpenseDebt_pp"/>
      <w:bookmarkEnd w:id="669"/>
      <w:r>
        <w:rPr>
          <w:rFonts w:ascii="Times New Roman;Times;Serif" w:hAnsi="Times New Roman;Times;Serif"/>
          <w:b w:val="false"/>
          <w:i w:val="false"/>
          <w:caps w:val="false"/>
          <w:smallCaps w:val="false"/>
          <w:sz w:val="20"/>
        </w:rPr>
        <w:t>294,245 for the three months ended March 31, 2024 and 2023, respectively. Accretion of the convertible notes and amortization of loan origination expenses and loan discounts of $</w:t>
      </w:r>
      <w:bookmarkStart w:id="670" w:name="xdx_900_eus-gaap--AmortizationOfDeferred"/>
      <w:bookmarkEnd w:id="670"/>
      <w:r>
        <w:rPr>
          <w:rFonts w:ascii="Times New Roman;Times;Serif" w:hAnsi="Times New Roman;Times;Serif"/>
          <w:b w:val="false"/>
          <w:i w:val="false"/>
          <w:caps w:val="false"/>
          <w:smallCaps w:val="false"/>
          <w:sz w:val="20"/>
        </w:rPr>
        <w:t>294,683 and $</w:t>
      </w:r>
      <w:bookmarkStart w:id="671" w:name="xdx_90C_eus-gaap--AmortizationOfDeferred"/>
      <w:bookmarkEnd w:id="671"/>
      <w:r>
        <w:rPr>
          <w:rFonts w:ascii="Times New Roman;Times;Serif" w:hAnsi="Times New Roman;Times;Serif"/>
          <w:b w:val="false"/>
          <w:i w:val="false"/>
          <w:caps w:val="false"/>
          <w:smallCaps w:val="false"/>
          <w:sz w:val="20"/>
        </w:rPr>
        <w:t xml:space="preserve">8,911 are included as part of interest expense for the three months ended March 31, 2024 and 2023, respectively. The Company has a weighted average interest rate of </w:t>
      </w:r>
      <w:bookmarkStart w:id="672" w:name="xdx_90B_eus-gaap--DebtWeightedAverageInt"/>
      <w:bookmarkEnd w:id="672"/>
      <w:r>
        <w:rPr>
          <w:rFonts w:ascii="Times New Roman;Times;Serif" w:hAnsi="Times New Roman;Times;Serif"/>
          <w:b w:val="false"/>
          <w:i w:val="false"/>
          <w:caps w:val="false"/>
          <w:smallCaps w:val="false"/>
          <w:sz w:val="20"/>
        </w:rPr>
        <w:t xml:space="preserve">8.0% and </w:t>
      </w:r>
      <w:bookmarkStart w:id="673" w:name="xdx_904_eus-gaap--DebtWeightedAverageInt"/>
      <w:bookmarkEnd w:id="673"/>
      <w:r>
        <w:rPr>
          <w:rFonts w:ascii="Times New Roman;Times;Serif" w:hAnsi="Times New Roman;Times;Serif"/>
          <w:b w:val="false"/>
          <w:i w:val="false"/>
          <w:caps w:val="false"/>
          <w:smallCaps w:val="false"/>
          <w:sz w:val="20"/>
        </w:rPr>
        <w:t>8.1% on its short-term obligations as of March 31, 2024 and December 31, 2023, respectively. The Company is in compliance with, or received waivers for, its debt covenant requirement of maintaining a 1.5 to 1 ratio of trailing twelve month EBITDA to the previous twelve months principal and interest payments on all debt maintained with the lender, as of March 31, 2024 and December 31, 2023.</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74" w:name="xdx_893_eus-gaap--ScheduleOfMaturitiesOf"/>
      <w:bookmarkEnd w:id="674"/>
      <w:r>
        <w:rPr>
          <w:rFonts w:ascii="Times New Roman;Times;Serif" w:hAnsi="Times New Roman;Times;Serif"/>
          <w:b w:val="false"/>
          <w:i w:val="false"/>
          <w:caps w:val="false"/>
          <w:smallCaps w:val="false"/>
          <w:sz w:val="20"/>
        </w:rPr>
        <w:t>The following table provides future minimum payments of its long-term debt as of March 31, 2024:</w:t>
      </w:r>
    </w:p>
    <w:p>
      <w:pPr>
        <w:pStyle w:val="TextBody"/>
        <w:bidi w:val="0"/>
        <w:spacing w:before="0" w:after="0"/>
        <w:jc w:val="center"/>
        <w:rPr>
          <w:rFonts w:ascii="Times New Roman;Times;Serif" w:hAnsi="Times New Roman;Times;Serif"/>
          <w:b w:val="false"/>
          <w:i w:val="false"/>
          <w:caps w:val="false"/>
          <w:smallCaps w:val="false"/>
          <w:sz w:val="20"/>
        </w:rPr>
      </w:pPr>
      <w:bookmarkStart w:id="675" w:name="xdx_8BE_zhM64Mez5iz1"/>
      <w:bookmarkEnd w:id="675"/>
      <w:r>
        <w:rPr>
          <w:rFonts w:ascii="Times New Roman;Times;Serif" w:hAnsi="Times New Roman;Times;Serif"/>
          <w:b w:val="false"/>
          <w:i w:val="false"/>
          <w:caps w:val="false"/>
          <w:smallCaps w:val="false"/>
          <w:sz w:val="20"/>
        </w:rPr>
        <w:t>SCHEDULE OF FUTURE MINIMUM PAYMENTS OF LONG TERM DEBT </w:t>
      </w:r>
    </w:p>
    <w:tbl>
      <w:tblPr>
        <w:tblW w:w="4095" w:type="dxa"/>
        <w:jc w:val="left"/>
        <w:tblInd w:w="0" w:type="dxa"/>
        <w:tblLayout w:type="fixed"/>
        <w:tblCellMar>
          <w:top w:w="0" w:type="dxa"/>
          <w:left w:w="0" w:type="dxa"/>
          <w:bottom w:w="28" w:type="dxa"/>
          <w:right w:w="0" w:type="dxa"/>
        </w:tblCellMar>
      </w:tblPr>
      <w:tblGrid>
        <w:gridCol w:w="2840"/>
        <w:gridCol w:w="60"/>
        <w:gridCol w:w="140"/>
        <w:gridCol w:w="980"/>
        <w:gridCol w:w="75"/>
      </w:tblGrid>
      <w:tr>
        <w:trPr/>
        <w:tc>
          <w:tcPr>
            <w:tcW w:w="2840" w:type="dxa"/>
            <w:tcBorders>
              <w:bottom w:val="single" w:sz="12" w:space="0" w:color="000000"/>
            </w:tcBorders>
            <w:vAlign w:val="center"/>
          </w:tcPr>
          <w:p>
            <w:pPr>
              <w:pStyle w:val="TableContents"/>
              <w:bidi w:val="0"/>
              <w:spacing w:before="0" w:after="283"/>
              <w:jc w:val="both"/>
              <w:rPr>
                <w:b/>
              </w:rPr>
            </w:pPr>
            <w:r>
              <w:rPr>
                <w:b/>
              </w:rPr>
              <w:t>Years ending December 31,</w:t>
            </w:r>
          </w:p>
        </w:tc>
        <w:tc>
          <w:tcPr>
            <w:tcW w:w="60" w:type="dxa"/>
            <w:tcBorders/>
            <w:tcMar>
              <w:bottom w:w="0" w:type="dxa"/>
            </w:tcMar>
            <w:vAlign w:val="center"/>
          </w:tcPr>
          <w:p>
            <w:pPr>
              <w:pStyle w:val="TableContents"/>
              <w:bidi w:val="0"/>
              <w:spacing w:before="0" w:after="283"/>
              <w:jc w:val="left"/>
              <w:rPr/>
            </w:pPr>
            <w:r>
              <w:rPr/>
              <w:t> </w:t>
            </w:r>
            <w:bookmarkStart w:id="676" w:name="xdx_49B_20240331_zkcBEd5AlHb4"/>
            <w:bookmarkEnd w:id="676"/>
          </w:p>
        </w:tc>
        <w:tc>
          <w:tcPr>
            <w:tcW w:w="112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75" w:type="dxa"/>
            <w:tcBorders/>
            <w:tcMar>
              <w:bottom w:w="0" w:type="dxa"/>
            </w:tcMar>
            <w:vAlign w:val="center"/>
          </w:tcPr>
          <w:p>
            <w:pPr>
              <w:pStyle w:val="TableContents"/>
              <w:bidi w:val="0"/>
              <w:spacing w:before="0" w:after="283"/>
              <w:jc w:val="left"/>
              <w:rPr/>
            </w:pPr>
            <w:r>
              <w:rPr/>
              <w:t> </w:t>
            </w:r>
            <w:bookmarkStart w:id="677" w:name="xdx_40C_eus-gaap--LongTermDebtMaturities"/>
            <w:bookmarkEnd w:id="677"/>
          </w:p>
        </w:tc>
      </w:tr>
      <w:tr>
        <w:trPr/>
        <w:tc>
          <w:tcPr>
            <w:tcW w:w="2840" w:type="dxa"/>
            <w:tcBorders/>
            <w:shd w:fill="CCEEFF" w:val="clear"/>
            <w:tcMar>
              <w:bottom w:w="0" w:type="dxa"/>
            </w:tcMar>
            <w:vAlign w:val="center"/>
          </w:tcPr>
          <w:p>
            <w:pPr>
              <w:pStyle w:val="TableContents"/>
              <w:bidi w:val="0"/>
              <w:spacing w:before="0" w:after="283"/>
              <w:jc w:val="both"/>
              <w:rPr/>
            </w:pPr>
            <w:r>
              <w:rPr/>
              <w:t>Remainder of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3,819,340</w:t>
            </w:r>
          </w:p>
        </w:tc>
        <w:tc>
          <w:tcPr>
            <w:tcW w:w="75" w:type="dxa"/>
            <w:tcBorders/>
            <w:shd w:fill="CCEEFF" w:val="clear"/>
            <w:tcMar>
              <w:bottom w:w="0" w:type="dxa"/>
            </w:tcMar>
            <w:vAlign w:val="center"/>
          </w:tcPr>
          <w:p>
            <w:pPr>
              <w:pStyle w:val="TableContents"/>
              <w:bidi w:val="0"/>
              <w:spacing w:before="0" w:after="283"/>
              <w:jc w:val="left"/>
              <w:rPr/>
            </w:pPr>
            <w:r>
              <w:rPr/>
              <w:t> </w:t>
            </w:r>
            <w:bookmarkStart w:id="678" w:name="xdx_40A_eus-gaap--LongTermDebtMaturities"/>
            <w:bookmarkEnd w:id="678"/>
          </w:p>
        </w:tc>
      </w:tr>
      <w:tr>
        <w:trPr/>
        <w:tc>
          <w:tcPr>
            <w:tcW w:w="2840" w:type="dxa"/>
            <w:tcBorders/>
            <w:shd w:fill="FFFFFF" w:val="clear"/>
            <w:tcMar>
              <w:bottom w:w="0" w:type="dxa"/>
            </w:tcMar>
            <w:vAlign w:val="center"/>
          </w:tcPr>
          <w:p>
            <w:pPr>
              <w:pStyle w:val="TableContents"/>
              <w:bidi w:val="0"/>
              <w:spacing w:before="0" w:after="283"/>
              <w:jc w:val="both"/>
              <w:rPr/>
            </w:pPr>
            <w:r>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86,013</w:t>
            </w:r>
          </w:p>
        </w:tc>
        <w:tc>
          <w:tcPr>
            <w:tcW w:w="75" w:type="dxa"/>
            <w:tcBorders/>
            <w:shd w:fill="FFFFFF" w:val="clear"/>
            <w:tcMar>
              <w:bottom w:w="0" w:type="dxa"/>
            </w:tcMar>
            <w:vAlign w:val="center"/>
          </w:tcPr>
          <w:p>
            <w:pPr>
              <w:pStyle w:val="TableContents"/>
              <w:bidi w:val="0"/>
              <w:spacing w:before="0" w:after="283"/>
              <w:jc w:val="left"/>
              <w:rPr/>
            </w:pPr>
            <w:r>
              <w:rPr/>
              <w:t> </w:t>
            </w:r>
            <w:bookmarkStart w:id="679" w:name="xdx_40B_eus-gaap--LongTermDebtMaturities"/>
            <w:bookmarkEnd w:id="679"/>
          </w:p>
        </w:tc>
      </w:tr>
      <w:tr>
        <w:trPr/>
        <w:tc>
          <w:tcPr>
            <w:tcW w:w="2840" w:type="dxa"/>
            <w:tcBorders/>
            <w:shd w:fill="CCEEFF" w:val="clear"/>
            <w:tcMar>
              <w:bottom w:w="0" w:type="dxa"/>
            </w:tcMar>
            <w:vAlign w:val="center"/>
          </w:tcPr>
          <w:p>
            <w:pPr>
              <w:pStyle w:val="TableContents"/>
              <w:bidi w:val="0"/>
              <w:spacing w:before="0" w:after="283"/>
              <w:jc w:val="both"/>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89,115</w:t>
            </w:r>
          </w:p>
        </w:tc>
        <w:tc>
          <w:tcPr>
            <w:tcW w:w="75" w:type="dxa"/>
            <w:tcBorders/>
            <w:shd w:fill="CCEEFF" w:val="clear"/>
            <w:tcMar>
              <w:bottom w:w="0" w:type="dxa"/>
            </w:tcMar>
            <w:vAlign w:val="center"/>
          </w:tcPr>
          <w:p>
            <w:pPr>
              <w:pStyle w:val="TableContents"/>
              <w:bidi w:val="0"/>
              <w:spacing w:before="0" w:after="283"/>
              <w:jc w:val="left"/>
              <w:rPr/>
            </w:pPr>
            <w:r>
              <w:rPr/>
              <w:t> </w:t>
            </w:r>
            <w:bookmarkStart w:id="680" w:name="xdx_40E_eus-gaap--LongTermDebtMaturities"/>
            <w:bookmarkEnd w:id="680"/>
          </w:p>
        </w:tc>
      </w:tr>
      <w:tr>
        <w:trPr/>
        <w:tc>
          <w:tcPr>
            <w:tcW w:w="2840" w:type="dxa"/>
            <w:tcBorders/>
            <w:shd w:fill="FFFFFF" w:val="clear"/>
            <w:tcMar>
              <w:bottom w:w="0" w:type="dxa"/>
            </w:tcMar>
            <w:vAlign w:val="center"/>
          </w:tcPr>
          <w:p>
            <w:pPr>
              <w:pStyle w:val="TableContents"/>
              <w:bidi w:val="0"/>
              <w:spacing w:before="0" w:after="283"/>
              <w:jc w:val="both"/>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92,329</w:t>
            </w:r>
          </w:p>
        </w:tc>
        <w:tc>
          <w:tcPr>
            <w:tcW w:w="75" w:type="dxa"/>
            <w:tcBorders/>
            <w:shd w:fill="FFFFFF" w:val="clear"/>
            <w:tcMar>
              <w:bottom w:w="0" w:type="dxa"/>
            </w:tcMar>
            <w:vAlign w:val="center"/>
          </w:tcPr>
          <w:p>
            <w:pPr>
              <w:pStyle w:val="TableContents"/>
              <w:bidi w:val="0"/>
              <w:spacing w:before="0" w:after="283"/>
              <w:jc w:val="left"/>
              <w:rPr/>
            </w:pPr>
            <w:r>
              <w:rPr/>
              <w:t> </w:t>
            </w:r>
            <w:bookmarkStart w:id="681" w:name="xdx_406_eus-gaap--LongTermDebtMaturities"/>
            <w:bookmarkEnd w:id="681"/>
          </w:p>
        </w:tc>
      </w:tr>
      <w:tr>
        <w:trPr/>
        <w:tc>
          <w:tcPr>
            <w:tcW w:w="2840" w:type="dxa"/>
            <w:tcBorders/>
            <w:shd w:fill="CCEEFF" w:val="clear"/>
            <w:tcMar>
              <w:bottom w:w="0" w:type="dxa"/>
            </w:tcMar>
            <w:vAlign w:val="center"/>
          </w:tcPr>
          <w:p>
            <w:pPr>
              <w:pStyle w:val="TableContents"/>
              <w:bidi w:val="0"/>
              <w:spacing w:before="0" w:after="283"/>
              <w:jc w:val="both"/>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95,414</w:t>
            </w:r>
          </w:p>
        </w:tc>
        <w:tc>
          <w:tcPr>
            <w:tcW w:w="75" w:type="dxa"/>
            <w:tcBorders/>
            <w:shd w:fill="CCEEFF" w:val="clear"/>
            <w:tcMar>
              <w:bottom w:w="0" w:type="dxa"/>
            </w:tcMar>
            <w:vAlign w:val="center"/>
          </w:tcPr>
          <w:p>
            <w:pPr>
              <w:pStyle w:val="TableContents"/>
              <w:bidi w:val="0"/>
              <w:spacing w:before="0" w:after="283"/>
              <w:jc w:val="left"/>
              <w:rPr/>
            </w:pPr>
            <w:r>
              <w:rPr/>
              <w:t> </w:t>
            </w:r>
            <w:bookmarkStart w:id="682" w:name="xdx_40C_ecustom--LongTermDebtMaturitiesR"/>
            <w:bookmarkEnd w:id="682"/>
          </w:p>
        </w:tc>
      </w:tr>
      <w:tr>
        <w:trPr/>
        <w:tc>
          <w:tcPr>
            <w:tcW w:w="2840" w:type="dxa"/>
            <w:tcBorders/>
            <w:shd w:fill="FFFFFF" w:val="clear"/>
            <w:tcMar>
              <w:bottom w:w="0" w:type="dxa"/>
            </w:tcMar>
            <w:vAlign w:val="center"/>
          </w:tcPr>
          <w:p>
            <w:pPr>
              <w:pStyle w:val="TableContents"/>
              <w:bidi w:val="0"/>
              <w:spacing w:before="0" w:after="283"/>
              <w:jc w:val="both"/>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2,359,677</w:t>
            </w:r>
          </w:p>
        </w:tc>
        <w:tc>
          <w:tcPr>
            <w:tcW w:w="75" w:type="dxa"/>
            <w:tcBorders/>
            <w:shd w:fill="FFFFFF" w:val="clear"/>
            <w:tcMar>
              <w:bottom w:w="0" w:type="dxa"/>
            </w:tcMar>
            <w:vAlign w:val="center"/>
          </w:tcPr>
          <w:p>
            <w:pPr>
              <w:pStyle w:val="TableContents"/>
              <w:bidi w:val="0"/>
              <w:spacing w:before="0" w:after="283"/>
              <w:jc w:val="left"/>
              <w:rPr/>
            </w:pPr>
            <w:r>
              <w:rPr/>
              <w:t> </w:t>
            </w:r>
            <w:bookmarkStart w:id="683" w:name="xdx_402_eus-gaap--LongTermDebt_iTI_mtLTD"/>
            <w:bookmarkEnd w:id="683"/>
          </w:p>
        </w:tc>
      </w:tr>
      <w:tr>
        <w:trPr/>
        <w:tc>
          <w:tcPr>
            <w:tcW w:w="284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Long term debt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980" w:type="dxa"/>
            <w:tcBorders>
              <w:bottom w:val="double" w:sz="6" w:space="0" w:color="000000"/>
            </w:tcBorders>
            <w:shd w:fill="CCEEFF" w:val="clear"/>
            <w:vAlign w:val="center"/>
          </w:tcPr>
          <w:p>
            <w:pPr>
              <w:pStyle w:val="TableContents"/>
              <w:bidi w:val="0"/>
              <w:spacing w:before="0" w:after="283"/>
              <w:jc w:val="right"/>
              <w:rPr/>
            </w:pPr>
            <w:r>
              <w:rPr/>
              <w:t>6,541,888</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684" w:name="xdx_8A4_zJR6U3gJ6qti"/>
      <w:bookmarkEnd w:id="684"/>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85" w:name="xdx_805_eus-gaap--IncomeTaxDisclosureTex"/>
      <w:bookmarkEnd w:id="685"/>
      <w:r>
        <w:rPr>
          <w:rFonts w:ascii="Times New Roman;Times;Serif" w:hAnsi="Times New Roman;Times;Serif"/>
          <w:b/>
          <w:i w:val="false"/>
          <w:caps w:val="false"/>
          <w:smallCaps w:val="false"/>
          <w:sz w:val="20"/>
        </w:rPr>
        <w:t xml:space="preserve">NOTE 12 – </w:t>
      </w:r>
      <w:bookmarkStart w:id="686" w:name="xdx_820_zxHBpb6hRVa6"/>
      <w:bookmarkEnd w:id="686"/>
      <w:r>
        <w:rPr>
          <w:rFonts w:ascii="Times New Roman;Times;Serif" w:hAnsi="Times New Roman;Times;Serif"/>
          <w:b/>
          <w:i w:val="false"/>
          <w:caps w:val="false"/>
          <w:smallCaps w:val="false"/>
          <w:sz w:val="20"/>
        </w:rPr>
        <w:t>INCOME TAXES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an income tax benefit of $</w:t>
      </w:r>
      <w:bookmarkStart w:id="687" w:name="xdx_906_eus-gaap--IncomeTaxExpenseBenefi"/>
      <w:bookmarkEnd w:id="687"/>
      <w:r>
        <w:rPr>
          <w:rFonts w:ascii="Times New Roman;Times;Serif" w:hAnsi="Times New Roman;Times;Serif"/>
          <w:b w:val="false"/>
          <w:i w:val="false"/>
          <w:caps w:val="false"/>
          <w:smallCaps w:val="false"/>
          <w:sz w:val="20"/>
        </w:rPr>
        <w:t>477,950 and $</w:t>
      </w:r>
      <w:bookmarkStart w:id="688" w:name="xdx_908_eus-gaap--IncomeTaxExpenseBenefi"/>
      <w:bookmarkEnd w:id="688"/>
      <w:r>
        <w:rPr>
          <w:rFonts w:ascii="Times New Roman;Times;Serif" w:hAnsi="Times New Roman;Times;Serif"/>
          <w:b w:val="false"/>
          <w:i w:val="false"/>
          <w:caps w:val="false"/>
          <w:smallCaps w:val="false"/>
          <w:sz w:val="20"/>
        </w:rPr>
        <w:t xml:space="preserve">805,818 for the three months ended March 31, 2024 and 2023, respectively. The Company’s effective tax rates were </w:t>
      </w:r>
      <w:bookmarkStart w:id="689" w:name="xdx_909_eus-gaap--EffectiveIncomeTaxRate"/>
      <w:bookmarkEnd w:id="689"/>
      <w:r>
        <w:rPr>
          <w:rFonts w:ascii="Times New Roman;Times;Serif" w:hAnsi="Times New Roman;Times;Serif"/>
          <w:b w:val="false"/>
          <w:i w:val="false"/>
          <w:caps w:val="false"/>
          <w:smallCaps w:val="false"/>
          <w:sz w:val="20"/>
        </w:rPr>
        <w:t xml:space="preserve">21% and </w:t>
      </w:r>
      <w:bookmarkStart w:id="690" w:name="xdx_901_eus-gaap--EffectiveIncomeTaxRate"/>
      <w:bookmarkEnd w:id="690"/>
      <w:r>
        <w:rPr>
          <w:rFonts w:ascii="Times New Roman;Times;Serif" w:hAnsi="Times New Roman;Times;Serif"/>
          <w:b w:val="false"/>
          <w:i w:val="false"/>
          <w:caps w:val="false"/>
          <w:smallCaps w:val="false"/>
          <w:sz w:val="20"/>
        </w:rPr>
        <w:t xml:space="preserve">21%, for the three months ended March 31, 2024 and 2023, respectively. As of March 31, 2023 the Company’s effective tax rate did not differ from the federal statutory rate of </w:t>
      </w:r>
      <w:bookmarkStart w:id="691" w:name="xdx_900_eus-gaap--EffectiveIncomeTaxRate"/>
      <w:bookmarkEnd w:id="691"/>
      <w:r>
        <w:rPr>
          <w:rFonts w:ascii="Times New Roman;Times;Serif" w:hAnsi="Times New Roman;Times;Serif"/>
          <w:b w:val="false"/>
          <w:i w:val="false"/>
          <w:caps w:val="false"/>
          <w:smallCaps w:val="false"/>
          <w:sz w:val="20"/>
        </w:rPr>
        <w:t>21%.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assessed all available positive and negative evidence of whether sufficient future taxable income will be generated to realize the deferred tax assets, including the results of recent operations and projections of future taxable income. After evaluating the positive and negative evidence, management believes it is more likely than not that the Company will realize the benefits of these deductible differences. </w:t>
      </w:r>
      <w:r>
        <w:rPr>
          <w:rFonts w:ascii="Times New Roman;Times;Serif" w:hAnsi="Times New Roman;Times;Serif"/>
          <w:b w:val="false"/>
          <w:i w:val="false"/>
          <w:caps w:val="false"/>
          <w:smallCaps w:val="false"/>
          <w:sz w:val="20"/>
          <w:shd w:fill="FFFFFF" w:val="clear"/>
        </w:rPr>
        <w:t>In the event that negative evidence outweighs positive evidence in future periods, the Company may need to record additional valuation allowance, which could have a material impact on our financial position. The Company continues to maintain a valuation allowance against certain deferred tax assets that are not more likely than not to be realized.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92" w:name="xdx_80B_eus-gaap--LesseeOperatingLeasesT"/>
      <w:bookmarkEnd w:id="692"/>
      <w:r>
        <w:rPr>
          <w:rFonts w:ascii="Times New Roman;Times;Serif" w:hAnsi="Times New Roman;Times;Serif"/>
          <w:b/>
          <w:i w:val="false"/>
          <w:caps w:val="false"/>
          <w:smallCaps w:val="false"/>
          <w:sz w:val="20"/>
        </w:rPr>
        <w:t xml:space="preserve">NOTE 13 – </w:t>
      </w:r>
      <w:bookmarkStart w:id="693" w:name="xdx_82A_zeSeviumTn24"/>
      <w:bookmarkEnd w:id="693"/>
      <w:r>
        <w:rPr>
          <w:rFonts w:ascii="Times New Roman;Times;Serif" w:hAnsi="Times New Roman;Times;Serif"/>
          <w:b/>
          <w:i w:val="false"/>
          <w:caps w:val="false"/>
          <w:smallCaps w:val="false"/>
          <w:sz w:val="20"/>
        </w:rPr>
        <w:t>OPERATING LEASE RIGHT-OF-USE ASSETS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right-of-use assets represent arrangements related primarily to office facilities used in the ordinary business operations of the Company and its subsidiaries. In April 2018, a commercial bank issued an irrevocable standby letter of credit on behalf of the Company to the landlord for $</w:t>
      </w:r>
      <w:bookmarkStart w:id="694" w:name="xdx_901_eus-gaap--LineOfCreditFacilityMa"/>
      <w:bookmarkEnd w:id="694"/>
      <w:r>
        <w:rPr>
          <w:rFonts w:ascii="Times New Roman;Times;Serif" w:hAnsi="Times New Roman;Times;Serif"/>
          <w:b w:val="false"/>
          <w:i w:val="false"/>
          <w:caps w:val="false"/>
          <w:smallCaps w:val="false"/>
          <w:sz w:val="20"/>
        </w:rPr>
        <w:t>1,075,000 to lease office space. The standby letter of credit was valid for a one-year term and was amended in January 2021 to extend to January 31, 2026. As of March 31, 2024 and December 31, 2023, the Company’s net operating lease right-of-use assets amounted to $</w:t>
      </w:r>
      <w:bookmarkStart w:id="695" w:name="xdx_905_eus-gaap--OperatingLeaseRightOfU"/>
      <w:bookmarkEnd w:id="695"/>
      <w:r>
        <w:rPr>
          <w:rFonts w:ascii="Times New Roman;Times;Serif" w:hAnsi="Times New Roman;Times;Serif"/>
          <w:b w:val="false"/>
          <w:i w:val="false"/>
          <w:caps w:val="false"/>
          <w:smallCaps w:val="false"/>
          <w:sz w:val="20"/>
        </w:rPr>
        <w:t>2,138,285 and $</w:t>
      </w:r>
      <w:bookmarkStart w:id="696" w:name="xdx_90A_eus-gaap--OperatingLeaseRightOfU"/>
      <w:bookmarkEnd w:id="696"/>
      <w:r>
        <w:rPr>
          <w:rFonts w:ascii="Times New Roman;Times;Serif" w:hAnsi="Times New Roman;Times;Serif"/>
          <w:b w:val="false"/>
          <w:i w:val="false"/>
          <w:caps w:val="false"/>
          <w:smallCaps w:val="false"/>
          <w:sz w:val="20"/>
        </w:rPr>
        <w:t>2,440,690, respectively. The Company had variable lease payments of approximately $</w:t>
      </w:r>
      <w:bookmarkStart w:id="697" w:name="xdx_902_eus-gaap--VariableLeasePayment_p"/>
      <w:bookmarkEnd w:id="697"/>
      <w:r>
        <w:rPr>
          <w:rFonts w:ascii="Times New Roman;Times;Serif" w:hAnsi="Times New Roman;Times;Serif"/>
          <w:b w:val="false"/>
          <w:i w:val="false"/>
          <w:caps w:val="false"/>
          <w:smallCaps w:val="false"/>
          <w:sz w:val="20"/>
        </w:rPr>
        <w:t>27,332 and $</w:t>
      </w:r>
      <w:bookmarkStart w:id="698" w:name="xdx_90D_eus-gaap--VariableLeasePayment_p"/>
      <w:bookmarkEnd w:id="698"/>
      <w:r>
        <w:rPr>
          <w:rFonts w:ascii="Times New Roman;Times;Serif" w:hAnsi="Times New Roman;Times;Serif"/>
          <w:b w:val="false"/>
          <w:i w:val="false"/>
          <w:caps w:val="false"/>
          <w:smallCaps w:val="false"/>
          <w:sz w:val="20"/>
        </w:rPr>
        <w:t>24,510 during the three months ended March 31, 2024 and 2023, respectively, which consisted primarily of common area maintenance charges and administrative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99" w:name="xdx_898_eus-gaap--LeaseCostTableTextBloc"/>
      <w:bookmarkEnd w:id="699"/>
      <w:r>
        <w:rPr>
          <w:rFonts w:ascii="Times New Roman;Times;Serif" w:hAnsi="Times New Roman;Times;Serif"/>
          <w:b w:val="false"/>
          <w:i w:val="false"/>
          <w:caps w:val="false"/>
          <w:smallCaps w:val="false"/>
          <w:sz w:val="20"/>
        </w:rPr>
        <w:t>Operating lease costs included in the general and administrative expenses in our condensed consolidated statements of operations and comprehensive loss for the three months ended March 31, 2024 and 2023,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00" w:name="xdx_8B0_zwZBJZ38NrXg"/>
      <w:bookmarkEnd w:id="700"/>
      <w:r>
        <w:rPr>
          <w:rFonts w:ascii="Times New Roman;Times;Serif" w:hAnsi="Times New Roman;Times;Serif"/>
          <w:b w:val="false"/>
          <w:i w:val="false"/>
          <w:caps w:val="false"/>
          <w:smallCaps w:val="false"/>
          <w:sz w:val="20"/>
        </w:rPr>
        <w:t>SCHEDULE OF OPERATING LEASE COSTS </w:t>
      </w:r>
    </w:p>
    <w:tbl>
      <w:tblPr>
        <w:tblW w:w="4165" w:type="dxa"/>
        <w:jc w:val="left"/>
        <w:tblInd w:w="0" w:type="dxa"/>
        <w:tblLayout w:type="fixed"/>
        <w:tblCellMar>
          <w:top w:w="0" w:type="dxa"/>
          <w:left w:w="0" w:type="dxa"/>
          <w:bottom w:w="0" w:type="dxa"/>
          <w:right w:w="0" w:type="dxa"/>
        </w:tblCellMar>
      </w:tblPr>
      <w:tblGrid>
        <w:gridCol w:w="2030"/>
        <w:gridCol w:w="60"/>
        <w:gridCol w:w="140"/>
        <w:gridCol w:w="800"/>
        <w:gridCol w:w="60"/>
        <w:gridCol w:w="60"/>
        <w:gridCol w:w="140"/>
        <w:gridCol w:w="800"/>
        <w:gridCol w:w="75"/>
      </w:tblGrid>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01" w:name="xdx_49B_20240101__20240331_zlPGXYQlD3Tl"/>
            <w:bookmarkEnd w:id="701"/>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02" w:name="xdx_492_20230101__20230331_zyvU7C0XCyZh"/>
            <w:bookmarkEnd w:id="702"/>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bookmarkStart w:id="703" w:name="xdx_404_eus-gaap--OperatingLeaseCost_z78"/>
            <w:bookmarkEnd w:id="703"/>
          </w:p>
        </w:tc>
      </w:tr>
      <w:tr>
        <w:trPr/>
        <w:tc>
          <w:tcPr>
            <w:tcW w:w="2030" w:type="dxa"/>
            <w:tcBorders/>
            <w:shd w:fill="CCEEFF" w:val="clear"/>
            <w:vAlign w:val="center"/>
          </w:tcPr>
          <w:p>
            <w:pPr>
              <w:pStyle w:val="TableContents"/>
              <w:bidi w:val="0"/>
              <w:spacing w:before="0" w:after="283"/>
              <w:jc w:val="left"/>
              <w:rPr/>
            </w:pPr>
            <w:r>
              <w:rPr/>
              <w:t>Operating lease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396,515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397,562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04" w:name="xdx_8AC_zPkz8KUrYJTe"/>
      <w:bookmarkEnd w:id="70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05" w:name="xdx_89B_ecustom--LesseeOperatingLeaseSup"/>
      <w:bookmarkEnd w:id="705"/>
      <w:r>
        <w:rPr>
          <w:rFonts w:ascii="Times New Roman;Times;Serif" w:hAnsi="Times New Roman;Times;Serif"/>
          <w:b w:val="false"/>
          <w:i w:val="false"/>
          <w:caps w:val="false"/>
          <w:smallCaps w:val="false"/>
          <w:sz w:val="20"/>
        </w:rPr>
        <w:t>Supplemental information related to operating leases for lease liabilities as of March 31, 2024 and March 31, 2023, is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06" w:name="xdx_8B5_zyWXNhhr46Ye"/>
      <w:bookmarkEnd w:id="706"/>
      <w:r>
        <w:rPr>
          <w:rFonts w:ascii="Times New Roman;Times;Serif" w:hAnsi="Times New Roman;Times;Serif"/>
          <w:b w:val="false"/>
          <w:i w:val="false"/>
          <w:caps w:val="false"/>
          <w:smallCaps w:val="false"/>
          <w:sz w:val="20"/>
        </w:rPr>
        <w:t>SCHEDULE OF SUPPLEMENTAL INFORMATION RELATED TO OPERATING LEASES</w:t>
      </w:r>
    </w:p>
    <w:tbl>
      <w:tblPr>
        <w:tblW w:w="9050" w:type="dxa"/>
        <w:jc w:val="left"/>
        <w:tblInd w:w="0" w:type="dxa"/>
        <w:tblLayout w:type="fixed"/>
        <w:tblCellMar>
          <w:top w:w="0" w:type="dxa"/>
          <w:left w:w="0" w:type="dxa"/>
          <w:bottom w:w="0" w:type="dxa"/>
          <w:right w:w="0" w:type="dxa"/>
        </w:tblCellMar>
      </w:tblPr>
      <w:tblGrid>
        <w:gridCol w:w="6605"/>
        <w:gridCol w:w="60"/>
        <w:gridCol w:w="140"/>
        <w:gridCol w:w="800"/>
        <w:gridCol w:w="215"/>
        <w:gridCol w:w="60"/>
        <w:gridCol w:w="140"/>
        <w:gridCol w:w="800"/>
        <w:gridCol w:w="230"/>
      </w:tblGrid>
      <w:tr>
        <w:trPr/>
        <w:tc>
          <w:tcPr>
            <w:tcW w:w="6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30" w:type="dxa"/>
            <w:tcBorders/>
            <w:vAlign w:val="center"/>
          </w:tcPr>
          <w:p>
            <w:pPr>
              <w:pStyle w:val="TableContents"/>
              <w:bidi w:val="0"/>
              <w:spacing w:before="0" w:after="283"/>
              <w:jc w:val="left"/>
              <w:rPr/>
            </w:pPr>
            <w:r>
              <w:rPr/>
              <w:t> </w:t>
            </w:r>
          </w:p>
        </w:tc>
      </w:tr>
      <w:tr>
        <w:trPr/>
        <w:tc>
          <w:tcPr>
            <w:tcW w:w="6605" w:type="dxa"/>
            <w:tcBorders/>
            <w:shd w:fill="CCEEFF" w:val="clear"/>
            <w:vAlign w:val="center"/>
          </w:tcPr>
          <w:p>
            <w:pPr>
              <w:pStyle w:val="TableContents"/>
              <w:bidi w:val="0"/>
              <w:spacing w:before="0" w:after="283"/>
              <w:jc w:val="left"/>
              <w:rPr/>
            </w:pPr>
            <w:r>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07" w:name="xdx_986_ecustom--CashPaidForAmountsInclu"/>
            <w:bookmarkEnd w:id="707"/>
          </w:p>
        </w:tc>
        <w:tc>
          <w:tcPr>
            <w:tcW w:w="800" w:type="dxa"/>
            <w:tcBorders/>
            <w:shd w:fill="CCEEFF" w:val="clear"/>
            <w:vAlign w:val="center"/>
          </w:tcPr>
          <w:p>
            <w:pPr>
              <w:pStyle w:val="TableContents"/>
              <w:bidi w:val="0"/>
              <w:spacing w:before="0" w:after="283"/>
              <w:jc w:val="right"/>
              <w:rPr/>
            </w:pPr>
            <w:r>
              <w:rPr/>
              <w:t>400,662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08" w:name="xdx_98D_ecustom--CashPaidForAmountsInclu"/>
            <w:bookmarkEnd w:id="708"/>
          </w:p>
        </w:tc>
        <w:tc>
          <w:tcPr>
            <w:tcW w:w="800" w:type="dxa"/>
            <w:tcBorders/>
            <w:shd w:fill="CCEEFF" w:val="clear"/>
            <w:vAlign w:val="center"/>
          </w:tcPr>
          <w:p>
            <w:pPr>
              <w:pStyle w:val="TableContents"/>
              <w:bidi w:val="0"/>
              <w:spacing w:before="0" w:after="283"/>
              <w:jc w:val="right"/>
              <w:rPr/>
            </w:pPr>
            <w:r>
              <w:rPr/>
              <w:t>385,254</w:t>
            </w:r>
          </w:p>
        </w:tc>
        <w:tc>
          <w:tcPr>
            <w:tcW w:w="230" w:type="dxa"/>
            <w:tcBorders/>
            <w:shd w:fill="CCEEFF" w:val="clear"/>
            <w:vAlign w:val="center"/>
          </w:tcPr>
          <w:p>
            <w:pPr>
              <w:pStyle w:val="TableContents"/>
              <w:bidi w:val="0"/>
              <w:spacing w:before="0" w:after="283"/>
              <w:jc w:val="left"/>
              <w:rPr/>
            </w:pPr>
            <w:r>
              <w:rPr/>
              <w:t> </w:t>
            </w:r>
          </w:p>
        </w:tc>
      </w:tr>
      <w:tr>
        <w:trPr/>
        <w:tc>
          <w:tcPr>
            <w:tcW w:w="6605" w:type="dxa"/>
            <w:tcBorders/>
            <w:shd w:fill="FFFFFF" w:val="clear"/>
            <w:vAlign w:val="center"/>
          </w:tcPr>
          <w:p>
            <w:pPr>
              <w:pStyle w:val="TableContents"/>
              <w:bidi w:val="0"/>
              <w:spacing w:before="0" w:after="283"/>
              <w:jc w:val="left"/>
              <w:rPr/>
            </w:pPr>
            <w:r>
              <w:rPr/>
              <w:t>Weighted average remaining lease 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20"/>
              </w:rPr>
            </w:pPr>
            <w:bookmarkStart w:id="709" w:name="xdx_90B_eus-gaap--LesseeOperatingLeaseRe"/>
            <w:bookmarkEnd w:id="709"/>
            <w:r>
              <w:rPr>
                <w:rFonts w:ascii="Times New Roman;Times;Serif" w:hAnsi="Times New Roman;Times;Serif"/>
                <w:sz w:val="20"/>
              </w:rPr>
              <w:t>1.7 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20"/>
              </w:rPr>
            </w:pPr>
            <w:bookmarkStart w:id="710" w:name="xdx_906_eus-gaap--LesseeOperatingLeaseRe"/>
            <w:bookmarkEnd w:id="710"/>
            <w:r>
              <w:rPr>
                <w:rFonts w:ascii="Times New Roman;Times;Serif" w:hAnsi="Times New Roman;Times;Serif"/>
                <w:sz w:val="20"/>
              </w:rPr>
              <w:t>2.7 years</w:t>
            </w:r>
          </w:p>
        </w:tc>
        <w:tc>
          <w:tcPr>
            <w:tcW w:w="230" w:type="dxa"/>
            <w:tcBorders/>
            <w:shd w:fill="FFFFFF" w:val="clear"/>
            <w:vAlign w:val="center"/>
          </w:tcPr>
          <w:p>
            <w:pPr>
              <w:pStyle w:val="TableContents"/>
              <w:bidi w:val="0"/>
              <w:spacing w:before="0" w:after="283"/>
              <w:jc w:val="left"/>
              <w:rPr/>
            </w:pPr>
            <w:r>
              <w:rPr/>
              <w:t> </w:t>
            </w:r>
          </w:p>
        </w:tc>
      </w:tr>
      <w:tr>
        <w:trPr/>
        <w:tc>
          <w:tcPr>
            <w:tcW w:w="6605" w:type="dxa"/>
            <w:tcBorders/>
            <w:shd w:fill="CCEEFF" w:val="clear"/>
            <w:vAlign w:val="center"/>
          </w:tcPr>
          <w:p>
            <w:pPr>
              <w:pStyle w:val="TableContents"/>
              <w:bidi w:val="0"/>
              <w:spacing w:before="0" w:after="283"/>
              <w:jc w:val="left"/>
              <w:rPr/>
            </w:pPr>
            <w:r>
              <w:rPr/>
              <w:t>Weighted average discount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bookmarkStart w:id="711" w:name="xdx_900_eus-gaap--OperatingLeaseWeighted"/>
            <w:bookmarkEnd w:id="711"/>
            <w:r>
              <w:rPr/>
              <w:t>5.00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bookmarkStart w:id="712" w:name="xdx_90E_eus-gaap--OperatingLeaseWeighted"/>
            <w:bookmarkEnd w:id="712"/>
            <w:r>
              <w:rPr/>
              <w:t>5.00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713" w:name="xdx_8AF_zNNmgbwDRhOf"/>
      <w:bookmarkEnd w:id="71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14" w:name="xdx_896_eus-gaap--LesseeOperatingLeaseLi"/>
      <w:bookmarkEnd w:id="714"/>
      <w:r>
        <w:rPr>
          <w:rFonts w:ascii="Times New Roman;Times;Serif" w:hAnsi="Times New Roman;Times;Serif"/>
          <w:b w:val="false"/>
          <w:i w:val="false"/>
          <w:caps w:val="false"/>
          <w:smallCaps w:val="false"/>
          <w:sz w:val="20"/>
        </w:rPr>
        <w:t>Future undiscounted lease payments for operating leases and a reconciliation of these payments to our operating lease liabilities as of March 31, 2024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15" w:name="xdx_8B4_zaEMzt96tOIg"/>
      <w:bookmarkEnd w:id="715"/>
      <w:r>
        <w:rPr>
          <w:rFonts w:ascii="Times New Roman;Times;Serif" w:hAnsi="Times New Roman;Times;Serif"/>
          <w:b w:val="false"/>
          <w:i w:val="false"/>
          <w:caps w:val="false"/>
          <w:smallCaps w:val="false"/>
          <w:sz w:val="20"/>
        </w:rPr>
        <w:t>SCHEDULE OF FUTURE UNDISCOUNTED LEASE PAYMENTS FOR OPERATING LEASES AND RECONCILIATION OF THESE PAYMENTS TO OUR OPERATING LEASE LIABILITIES </w:t>
      </w:r>
    </w:p>
    <w:tbl>
      <w:tblPr>
        <w:tblW w:w="9797" w:type="dxa"/>
        <w:jc w:val="left"/>
        <w:tblInd w:w="0" w:type="dxa"/>
        <w:tblLayout w:type="fixed"/>
        <w:tblCellMar>
          <w:top w:w="0" w:type="dxa"/>
          <w:left w:w="0" w:type="dxa"/>
          <w:bottom w:w="0" w:type="dxa"/>
          <w:right w:w="0" w:type="dxa"/>
        </w:tblCellMar>
      </w:tblPr>
      <w:tblGrid>
        <w:gridCol w:w="2840"/>
        <w:gridCol w:w="60"/>
        <w:gridCol w:w="287"/>
        <w:gridCol w:w="2012"/>
        <w:gridCol w:w="60"/>
        <w:gridCol w:w="60"/>
        <w:gridCol w:w="391"/>
        <w:gridCol w:w="2238"/>
        <w:gridCol w:w="60"/>
        <w:gridCol w:w="60"/>
        <w:gridCol w:w="206"/>
        <w:gridCol w:w="1448"/>
        <w:gridCol w:w="75"/>
      </w:tblGrid>
      <w:tr>
        <w:trPr/>
        <w:tc>
          <w:tcPr>
            <w:tcW w:w="2840" w:type="dxa"/>
            <w:tcBorders/>
            <w:vAlign w:val="center"/>
          </w:tcPr>
          <w:p>
            <w:pPr>
              <w:pStyle w:val="TableContents"/>
              <w:bidi w:val="0"/>
              <w:spacing w:before="0" w:after="283"/>
              <w:jc w:val="both"/>
              <w:rPr>
                <w:b/>
              </w:rPr>
            </w:pPr>
            <w:r>
              <w:rPr>
                <w:b/>
              </w:rPr>
              <w:t>Years ending December 31,</w:t>
            </w:r>
          </w:p>
        </w:tc>
        <w:tc>
          <w:tcPr>
            <w:tcW w:w="60" w:type="dxa"/>
            <w:tcBorders/>
            <w:vAlign w:val="center"/>
          </w:tcPr>
          <w:p>
            <w:pPr>
              <w:pStyle w:val="TableContents"/>
              <w:bidi w:val="0"/>
              <w:spacing w:before="0" w:after="283"/>
              <w:jc w:val="left"/>
              <w:rPr/>
            </w:pPr>
            <w:r>
              <w:rPr/>
              <w:t> </w:t>
            </w:r>
          </w:p>
        </w:tc>
        <w:tc>
          <w:tcPr>
            <w:tcW w:w="22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Future lease payments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Imputed Interest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Lease Liabilities</w:t>
            </w:r>
          </w:p>
        </w:tc>
        <w:tc>
          <w:tcPr>
            <w:tcW w:w="75"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both"/>
              <w:rPr/>
            </w:pPr>
            <w:r>
              <w:rPr/>
              <w:t>Remainder of 2024</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bookmarkStart w:id="716" w:name="xdx_98F_eus-gaap--LesseeOperatingLeaseLi"/>
            <w:bookmarkEnd w:id="716"/>
          </w:p>
        </w:tc>
        <w:tc>
          <w:tcPr>
            <w:tcW w:w="2012" w:type="dxa"/>
            <w:tcBorders/>
            <w:shd w:fill="CCEEFF" w:val="clear"/>
            <w:vAlign w:val="center"/>
          </w:tcPr>
          <w:p>
            <w:pPr>
              <w:pStyle w:val="TableContents"/>
              <w:bidi w:val="0"/>
              <w:spacing w:before="0" w:after="283"/>
              <w:jc w:val="right"/>
              <w:rPr/>
            </w:pPr>
            <w:r>
              <w:rPr/>
              <w:t>1,210,182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bookmarkStart w:id="717" w:name="xdx_983_ecustom--LesseeOperatingLeaseLia"/>
            <w:bookmarkEnd w:id="717"/>
          </w:p>
        </w:tc>
        <w:tc>
          <w:tcPr>
            <w:tcW w:w="2238" w:type="dxa"/>
            <w:tcBorders/>
            <w:shd w:fill="CCEEFF" w:val="clear"/>
            <w:vAlign w:val="center"/>
          </w:tcPr>
          <w:p>
            <w:pPr>
              <w:pStyle w:val="TableContents"/>
              <w:bidi w:val="0"/>
              <w:spacing w:before="0" w:after="283"/>
              <w:jc w:val="right"/>
              <w:rPr/>
            </w:pPr>
            <w:r>
              <w:rPr/>
              <w:t>72,374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bookmarkStart w:id="718" w:name="xdx_985_ecustom--LesseeOperatingLeaseLia"/>
            <w:bookmarkEnd w:id="718"/>
          </w:p>
        </w:tc>
        <w:tc>
          <w:tcPr>
            <w:tcW w:w="1448" w:type="dxa"/>
            <w:tcBorders/>
            <w:shd w:fill="CCEEFF" w:val="clear"/>
            <w:vAlign w:val="center"/>
          </w:tcPr>
          <w:p>
            <w:pPr>
              <w:pStyle w:val="TableContents"/>
              <w:bidi w:val="0"/>
              <w:spacing w:before="0" w:after="283"/>
              <w:jc w:val="right"/>
              <w:rPr/>
            </w:pPr>
            <w:r>
              <w:rPr/>
              <w:t>1,137,808</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both"/>
              <w:rPr/>
            </w:pPr>
            <w:r>
              <w:rPr/>
              <w:t>2025</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bookmarkStart w:id="719" w:name="xdx_988_eus-gaap--LesseeOperatingLeaseLi"/>
            <w:bookmarkEnd w:id="719"/>
          </w:p>
        </w:tc>
        <w:tc>
          <w:tcPr>
            <w:tcW w:w="2012" w:type="dxa"/>
            <w:tcBorders/>
            <w:shd w:fill="FFFFFF" w:val="clear"/>
            <w:vAlign w:val="center"/>
          </w:tcPr>
          <w:p>
            <w:pPr>
              <w:pStyle w:val="TableContents"/>
              <w:bidi w:val="0"/>
              <w:spacing w:before="0" w:after="283"/>
              <w:jc w:val="right"/>
              <w:rPr/>
            </w:pPr>
            <w:r>
              <w:rPr/>
              <w:t>1,453,784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bookmarkStart w:id="720" w:name="xdx_988_ecustom--LesseeOperatingLeaseLia"/>
            <w:bookmarkEnd w:id="720"/>
          </w:p>
        </w:tc>
        <w:tc>
          <w:tcPr>
            <w:tcW w:w="2238" w:type="dxa"/>
            <w:tcBorders/>
            <w:shd w:fill="FFFFFF" w:val="clear"/>
            <w:vAlign w:val="center"/>
          </w:tcPr>
          <w:p>
            <w:pPr>
              <w:pStyle w:val="TableContents"/>
              <w:bidi w:val="0"/>
              <w:spacing w:before="0" w:after="283"/>
              <w:jc w:val="right"/>
              <w:rPr/>
            </w:pPr>
            <w:r>
              <w:rPr/>
              <w:t>28,290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bookmarkStart w:id="721" w:name="xdx_98C_ecustom--LesseeOperatingLeaseLia"/>
            <w:bookmarkEnd w:id="721"/>
          </w:p>
        </w:tc>
        <w:tc>
          <w:tcPr>
            <w:tcW w:w="1448" w:type="dxa"/>
            <w:tcBorders/>
            <w:shd w:fill="FFFFFF" w:val="clear"/>
            <w:vAlign w:val="center"/>
          </w:tcPr>
          <w:p>
            <w:pPr>
              <w:pStyle w:val="TableContents"/>
              <w:bidi w:val="0"/>
              <w:spacing w:before="0" w:after="283"/>
              <w:jc w:val="right"/>
              <w:rPr/>
            </w:pPr>
            <w:r>
              <w:rPr/>
              <w:t>1,425,494</w:t>
            </w:r>
          </w:p>
        </w:tc>
        <w:tc>
          <w:tcPr>
            <w:tcW w:w="75"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both"/>
              <w:rPr/>
            </w:pPr>
            <w:r>
              <w:rPr/>
              <w:t>Thereafter</w:t>
            </w:r>
          </w:p>
        </w:tc>
        <w:tc>
          <w:tcPr>
            <w:tcW w:w="60" w:type="dxa"/>
            <w:tcBorders/>
            <w:shd w:fill="CCEEFF" w:val="clear"/>
            <w:vAlign w:val="center"/>
          </w:tcPr>
          <w:p>
            <w:pPr>
              <w:pStyle w:val="TableContents"/>
              <w:bidi w:val="0"/>
              <w:spacing w:before="0" w:after="283"/>
              <w:jc w:val="left"/>
              <w:rPr/>
            </w:pPr>
            <w:r>
              <w:rPr/>
              <w:t> </w:t>
            </w:r>
          </w:p>
        </w:tc>
        <w:tc>
          <w:tcPr>
            <w:tcW w:w="2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722" w:name="xdx_98A_ecustom--LesseeOperatingLeaseLia"/>
            <w:bookmarkEnd w:id="722"/>
          </w:p>
        </w:tc>
        <w:tc>
          <w:tcPr>
            <w:tcW w:w="201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723" w:name="xdx_98C_ecustom--LesseeOperatingLeaseLia"/>
            <w:bookmarkEnd w:id="723"/>
          </w:p>
        </w:tc>
        <w:tc>
          <w:tcPr>
            <w:tcW w:w="223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724" w:name="xdx_98B_ecustom--LesseeOperatingLeaseLia"/>
            <w:bookmarkEnd w:id="724"/>
          </w:p>
        </w:tc>
        <w:tc>
          <w:tcPr>
            <w:tcW w:w="144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both"/>
              <w:rPr/>
            </w:pPr>
            <w:r>
              <w:rPr/>
              <w:t>Total future lease payments</w:t>
            </w:r>
          </w:p>
        </w:tc>
        <w:tc>
          <w:tcPr>
            <w:tcW w:w="60"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25" w:name="xdx_989_eus-gaap--LesseeOperatingLeaseLi"/>
            <w:bookmarkEnd w:id="725"/>
          </w:p>
        </w:tc>
        <w:tc>
          <w:tcPr>
            <w:tcW w:w="2012" w:type="dxa"/>
            <w:tcBorders>
              <w:bottom w:val="double" w:sz="6" w:space="0" w:color="000000"/>
            </w:tcBorders>
            <w:shd w:fill="FFFFFF" w:val="clear"/>
            <w:tcMar>
              <w:bottom w:w="28" w:type="dxa"/>
            </w:tcMar>
            <w:vAlign w:val="center"/>
          </w:tcPr>
          <w:p>
            <w:pPr>
              <w:pStyle w:val="TableContents"/>
              <w:bidi w:val="0"/>
              <w:spacing w:before="0" w:after="283"/>
              <w:jc w:val="right"/>
              <w:rPr/>
            </w:pPr>
            <w:r>
              <w:rPr/>
              <w:t>2,663,966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26" w:name="xdx_985_eus-gaap--LesseeOperatingLeaseLi"/>
            <w:bookmarkEnd w:id="726"/>
          </w:p>
        </w:tc>
        <w:tc>
          <w:tcPr>
            <w:tcW w:w="2238" w:type="dxa"/>
            <w:tcBorders>
              <w:bottom w:val="double" w:sz="6" w:space="0" w:color="000000"/>
            </w:tcBorders>
            <w:shd w:fill="FFFFFF" w:val="clear"/>
            <w:tcMar>
              <w:bottom w:w="28" w:type="dxa"/>
            </w:tcMar>
            <w:vAlign w:val="center"/>
          </w:tcPr>
          <w:p>
            <w:pPr>
              <w:pStyle w:val="TableContents"/>
              <w:bidi w:val="0"/>
              <w:spacing w:before="0" w:after="283"/>
              <w:jc w:val="right"/>
              <w:rPr/>
            </w:pPr>
            <w:r>
              <w:rPr/>
              <w:t>100,664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27" w:name="xdx_98F_eus-gaap--OperatingLeaseLiabilit"/>
            <w:bookmarkEnd w:id="727"/>
          </w:p>
        </w:tc>
        <w:tc>
          <w:tcPr>
            <w:tcW w:w="1448" w:type="dxa"/>
            <w:tcBorders>
              <w:bottom w:val="double" w:sz="6" w:space="0" w:color="000000"/>
            </w:tcBorders>
            <w:shd w:fill="FFFFFF" w:val="clear"/>
            <w:tcMar>
              <w:bottom w:w="28" w:type="dxa"/>
            </w:tcMar>
            <w:vAlign w:val="center"/>
          </w:tcPr>
          <w:p>
            <w:pPr>
              <w:pStyle w:val="TableContents"/>
              <w:bidi w:val="0"/>
              <w:spacing w:before="0" w:after="283"/>
              <w:jc w:val="right"/>
              <w:rPr/>
            </w:pPr>
            <w:r>
              <w:rPr/>
              <w:t>2,563,302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728" w:name="xdx_8A8_zfBcU6ux7ay4"/>
      <w:bookmarkEnd w:id="728"/>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29" w:name="xdx_804_eus-gaap--CommitmentsAndContinge"/>
      <w:bookmarkEnd w:id="729"/>
      <w:r>
        <w:rPr>
          <w:rFonts w:ascii="Times New Roman;Times;Serif" w:hAnsi="Times New Roman;Times;Serif"/>
          <w:b/>
          <w:i w:val="false"/>
          <w:caps w:val="false"/>
          <w:smallCaps w:val="false"/>
          <w:sz w:val="20"/>
        </w:rPr>
        <w:t xml:space="preserve">NOTE 14 – </w:t>
      </w:r>
      <w:bookmarkStart w:id="730" w:name="xdx_827_zqIrAuBc4UE5"/>
      <w:bookmarkEnd w:id="730"/>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claims and contingencies related to lawsuits and other matters arising out of the normal course of business. In addition, the Company may receive notifications alleging infringement of patent or other intellectual property rights. The Company has elected to expense legal costs associated with legal contingencies as incurred.</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 2021, the Company and Studio Wildcard sent a notice of claimed infringement (the “DCMA Takedown Notice”) to Valve Corporation, which operates the Steam platform, pursuant to the Digital Millennium Copyright Act (“DCMA”). The DCMA Takedown Notice concerned a videogame titled </w:t>
      </w:r>
      <w:r>
        <w:rPr>
          <w:rFonts w:ascii="Times New Roman;Times;Serif" w:hAnsi="Times New Roman;Times;Serif"/>
          <w:b w:val="false"/>
          <w:i/>
          <w:caps w:val="false"/>
          <w:smallCaps w:val="false"/>
          <w:sz w:val="20"/>
        </w:rPr>
        <w:t>Myth of Empires</w:t>
      </w:r>
      <w:r>
        <w:rPr>
          <w:rFonts w:ascii="Times New Roman;Times;Serif" w:hAnsi="Times New Roman;Times;Serif"/>
          <w:b w:val="false"/>
          <w:i w:val="false"/>
          <w:caps w:val="false"/>
          <w:smallCaps w:val="false"/>
          <w:sz w:val="20"/>
        </w:rPr>
        <w:t>, which was developed by Suzhou Angela Online Game Technology Co., Ltd. (“Angela Game”) and published by Imperium Interactive Entertainment Limited (“Imperium”).</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9, 2021, Angela Game and Imperium sued the Company and Studio Wildcard in the United States District Court for the Central District of California (the “District Court”) in response to the DCMA Takedown Notice. The lawsuit sought a declaratory judgment on non-liability for copyright infringement and non-liability for trade secret misappropriation, as well as unspecified damages for alleged misrepresentations in the DCMA Takedown Notice. Angela Game and Imperium also filed an application for a temporary restraining order asking the court to order us and Studio Wildcard to rescind the DCMA Takedown Notice so that Steam could reinstate Myth of Empires for download. On December 20, 2021, the Company and Studio Wildcard filed an answer to the complaint, which included counterclaims against Angela Game and Imperium and a third-party complaint against Tencent seeking unspecified damages resulting from the alleged copyright infringement and misappropriation of trade secrets in connection with the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source code.</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2023, the Company entered into a settlement agreement with Angela Game. The settlement agreement includes an upfront payment from Angela Game to the Company plus ongoing payments. The upfront payment of $</w:t>
      </w:r>
      <w:bookmarkStart w:id="731" w:name="xdx_905_eus-gaap--DeferredRevenue_iI_pn5"/>
      <w:bookmarkEnd w:id="731"/>
      <w:r>
        <w:rPr>
          <w:rFonts w:ascii="Times New Roman;Times;Serif" w:hAnsi="Times New Roman;Times;Serif"/>
          <w:b w:val="false"/>
          <w:i w:val="false"/>
          <w:caps w:val="false"/>
          <w:smallCaps w:val="false"/>
          <w:sz w:val="20"/>
        </w:rPr>
        <w:t>1.2 million was recorded as deferred revenue as of December 31, 2023, and recognized upon the satisfaction of performance obligations during the three months ended March 31,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14, 2023, Bel Air Soto, LLC (“Plaintiff”) filed suit in the Superior Court of California, County of Los Angeles, against Snail Games USA Inc. and INDIEV, an affiliate company that is owned by Mr. Hai Shi, the Company’s Founder, Co-Chief Executive Officer, Chief Strategy Officer, and Chairman, for breach of contract and related claims arising out of a commercial lease for premises located in Los Angeles County. Plaintiff alleges that the defendants exercised an option to extend the lease and was harmed when defendants instead terminated the lease and vacated the premises. The complaint seeks damages in excess of $</w:t>
      </w:r>
      <w:bookmarkStart w:id="732" w:name="xdx_900_eus-gaap--LossContingencyDamages"/>
      <w:bookmarkEnd w:id="732"/>
      <w:r>
        <w:rPr>
          <w:rFonts w:ascii="Times New Roman;Times;Serif" w:hAnsi="Times New Roman;Times;Serif"/>
          <w:b w:val="false"/>
          <w:i w:val="false"/>
          <w:caps w:val="false"/>
          <w:smallCaps w:val="false"/>
          <w:sz w:val="20"/>
        </w:rPr>
        <w:t>3 million. Snail Games USA Inc. disputes the allegations and the amount of damages. The Company has responded to the complaint with an answer and cross-complaint. The cross-complaint seeks return for the $</w:t>
      </w:r>
      <w:bookmarkStart w:id="733" w:name="xdx_901_eus-gaap--SecurityDeposit_iI_c20"/>
      <w:bookmarkEnd w:id="733"/>
      <w:r>
        <w:rPr>
          <w:rFonts w:ascii="Times New Roman;Times;Serif" w:hAnsi="Times New Roman;Times;Serif"/>
          <w:b w:val="false"/>
          <w:i w:val="false"/>
          <w:caps w:val="false"/>
          <w:smallCaps w:val="false"/>
          <w:sz w:val="20"/>
        </w:rPr>
        <w:t>130,000 security deposit. The landlord has answered and denied the allegations of the cross-complaint. The Company intends to vigorously defend against the claims asserted. Trial is presently scheduled to commence in December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2023, Snail Games USA Inc. entered into an indemnity and reimbursement agreement with INDIEV, dated as of April 1, 2023, pursuant to which INDIEV agrees to assume all obligations and liabilities pursuant to the lease and indemnify and reimburse Snail Games USA Inc. for any amounts, damages, expenses, costs or other liability incurred by Snail Games USA Inc. arising under or pursuant to the lease or relating to the premises.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INDIEV has filed for bankruptcy and the Company does not expect to recover its costs from INDIEV. Accordingly, it is uncertain whether INDIEV would be able to indemnify the Company due to its bankruptcy. At this time, the Company is unable to quantify the magnitude of the potential loss should the plaintiffs’ lawsuit succeed and accordingly no accrual for loss has been recorded in the accompanying financial statements.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34" w:name="xdx_80C_eus-gaap--EarningsPerShareTextBl"/>
      <w:bookmarkEnd w:id="734"/>
      <w:r>
        <w:rPr>
          <w:rFonts w:ascii="Times New Roman;Times;Serif" w:hAnsi="Times New Roman;Times;Serif"/>
          <w:b/>
          <w:i w:val="false"/>
          <w:caps w:val="false"/>
          <w:smallCaps w:val="false"/>
          <w:sz w:val="20"/>
        </w:rPr>
        <w:t>NOTE 15 –</w:t>
      </w:r>
      <w:bookmarkStart w:id="735" w:name="xdx_82A_ztxEBA9AjxV3"/>
      <w:bookmarkEnd w:id="735"/>
      <w:r>
        <w:rPr>
          <w:rFonts w:ascii="Times New Roman;Times;Serif" w:hAnsi="Times New Roman;Times;Serif"/>
          <w:b/>
          <w:i w:val="false"/>
          <w:caps w:val="false"/>
          <w:smallCaps w:val="false"/>
          <w:sz w:val="20"/>
        </w:rPr>
        <w:t>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two class method to compute its basic loss per share (“Basic EPS”) and diluted loss per share (“Diluted EPS”). The following table summarizes the computations of basic EPS and diluted EPS. The allocation of earnings between Class A and Class B shares is based on their respective economic rights to the undistributed earnings of the Company. Basic EPS is computed as net loss divided by the weighted-average number of common shares outstanding for the period. Diluted EPS reflects the potential dilution that could occur using the treasury stock and if-converted methods. The restricted stock units, underwriters warrants and warrants issued in connection with the convertible debt and equity line of credit were excluded from the treasury stock method computation of diluted shares as their inclusion would have had an antidilutive effect for the three months ended March 31, 2024 and 2023. The convertible notes were excluded from the if-converted method computation of diluted shares as their inclusion would have had an antidilutive effect for the three months ended March 31, 2024. There were no such exclusions made in the 2023 calculation. The following table provides a reconciliation of the weighted average number of shares used in the calculation of Basic and Diluted EPS.</w:t>
      </w:r>
    </w:p>
    <w:p>
      <w:pPr>
        <w:pStyle w:val="TextBody"/>
        <w:bidi w:val="0"/>
        <w:spacing w:before="0" w:after="0"/>
        <w:ind w:left="0" w:right="0" w:hanging="0"/>
        <w:jc w:val="both"/>
        <w:rPr>
          <w:caps w:val="false"/>
          <w:smallCaps w:val="false"/>
        </w:rPr>
      </w:pPr>
      <w:bookmarkStart w:id="736" w:name="xdx_89C_eus-gaap--ScheduleOfEarningsPerS"/>
      <w:bookmarkEnd w:id="736"/>
      <w:r>
        <w:rPr>
          <w:caps w:val="false"/>
          <w:smallCaps w:val="false"/>
        </w:rPr>
        <w:t> </w:t>
      </w:r>
      <w:bookmarkStart w:id="737" w:name="xdx_8B3_zwq11w7PTL75"/>
      <w:bookmarkEnd w:id="737"/>
      <w:r>
        <w:rPr>
          <w:rFonts w:ascii="Times New Roman;Times;Serif" w:hAnsi="Times New Roman;Times;Serif"/>
          <w:b w:val="false"/>
          <w:i w:val="false"/>
          <w:caps w:val="false"/>
          <w:smallCaps w:val="false"/>
          <w:sz w:val="20"/>
        </w:rPr>
        <w:t>SCHEDULE OF EARNINGS PER SHARE</w:t>
      </w:r>
    </w:p>
    <w:tbl>
      <w:tblPr>
        <w:tblW w:w="9253" w:type="dxa"/>
        <w:jc w:val="left"/>
        <w:tblInd w:w="0" w:type="dxa"/>
        <w:tblLayout w:type="fixed"/>
        <w:tblCellMar>
          <w:top w:w="0" w:type="dxa"/>
          <w:left w:w="0" w:type="dxa"/>
          <w:bottom w:w="0" w:type="dxa"/>
          <w:right w:w="0" w:type="dxa"/>
        </w:tblCellMar>
      </w:tblPr>
      <w:tblGrid>
        <w:gridCol w:w="6185"/>
        <w:gridCol w:w="60"/>
        <w:gridCol w:w="154"/>
        <w:gridCol w:w="1210"/>
        <w:gridCol w:w="104"/>
        <w:gridCol w:w="66"/>
        <w:gridCol w:w="154"/>
        <w:gridCol w:w="1210"/>
        <w:gridCol w:w="110"/>
      </w:tblGrid>
      <w:tr>
        <w:trPr/>
        <w:tc>
          <w:tcPr>
            <w:tcW w:w="6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38" w:name="xdx_499_20240101__20240331_z4nB4mLhZoQd"/>
            <w:bookmarkEnd w:id="738"/>
          </w:p>
        </w:tc>
        <w:tc>
          <w:tcPr>
            <w:tcW w:w="13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4"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bookmarkStart w:id="739" w:name="xdx_49D_20230101__20230331_zWUrIcQcMmDg"/>
            <w:bookmarkEnd w:id="739"/>
          </w:p>
        </w:tc>
        <w:tc>
          <w:tcPr>
            <w:tcW w:w="13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6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9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three months ended </w:t>
              <w:br/>
              <w:t>March 31,</w:t>
            </w:r>
          </w:p>
        </w:tc>
        <w:tc>
          <w:tcPr>
            <w:tcW w:w="110" w:type="dxa"/>
            <w:tcBorders/>
            <w:vAlign w:val="center"/>
          </w:tcPr>
          <w:p>
            <w:pPr>
              <w:pStyle w:val="TableContents"/>
              <w:bidi w:val="0"/>
              <w:spacing w:before="0" w:after="283"/>
              <w:jc w:val="left"/>
              <w:rPr/>
            </w:pPr>
            <w:r>
              <w:rPr/>
              <w:t> </w:t>
            </w:r>
          </w:p>
        </w:tc>
      </w:tr>
      <w:tr>
        <w:trPr/>
        <w:tc>
          <w:tcPr>
            <w:tcW w:w="6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4"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283"/>
              <w:jc w:val="left"/>
              <w:rPr>
                <w:b/>
              </w:rPr>
            </w:pPr>
            <w:r>
              <w:rPr>
                <w:b/>
              </w:rPr>
              <w:t>Basic Loss Per Share:</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740" w:name="xdx_409_eus-gaap--NetIncomeLossAvailable"/>
            <w:bookmarkEnd w:id="740"/>
          </w:p>
        </w:tc>
      </w:tr>
      <w:tr>
        <w:trPr/>
        <w:tc>
          <w:tcPr>
            <w:tcW w:w="6185" w:type="dxa"/>
            <w:tcBorders/>
            <w:shd w:fill="FFFFFF" w:val="clear"/>
            <w:vAlign w:val="center"/>
          </w:tcPr>
          <w:p>
            <w:pPr>
              <w:pStyle w:val="TableContents"/>
              <w:bidi w:val="0"/>
              <w:spacing w:before="0" w:after="283"/>
              <w:jc w:val="left"/>
              <w:rPr/>
            </w:pPr>
            <w:r>
              <w:rPr/>
              <w:t>Net loss attributable to Class A common stockholders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w:t>
            </w:r>
          </w:p>
        </w:tc>
        <w:tc>
          <w:tcPr>
            <w:tcW w:w="1210" w:type="dxa"/>
            <w:tcBorders/>
            <w:shd w:fill="FFFFFF" w:val="clear"/>
            <w:vAlign w:val="center"/>
          </w:tcPr>
          <w:p>
            <w:pPr>
              <w:pStyle w:val="TableContents"/>
              <w:bidi w:val="0"/>
              <w:spacing w:before="0" w:after="283"/>
              <w:jc w:val="right"/>
              <w:rPr/>
            </w:pPr>
            <w:r>
              <w:rPr/>
              <w:t>(385,722</w:t>
            </w:r>
          </w:p>
        </w:tc>
        <w:tc>
          <w:tcPr>
            <w:tcW w:w="104"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w:t>
            </w:r>
          </w:p>
        </w:tc>
        <w:tc>
          <w:tcPr>
            <w:tcW w:w="1210" w:type="dxa"/>
            <w:tcBorders/>
            <w:shd w:fill="FFFFFF" w:val="clear"/>
            <w:vAlign w:val="center"/>
          </w:tcPr>
          <w:p>
            <w:pPr>
              <w:pStyle w:val="TableContents"/>
              <w:bidi w:val="0"/>
              <w:spacing w:before="0" w:after="283"/>
              <w:jc w:val="right"/>
              <w:rPr/>
            </w:pPr>
            <w:r>
              <w:rPr/>
              <w:t>(642,340</w:t>
            </w:r>
          </w:p>
        </w:tc>
        <w:tc>
          <w:tcPr>
            <w:tcW w:w="110" w:type="dxa"/>
            <w:tcBorders/>
            <w:shd w:fill="FFFFFF" w:val="clear"/>
            <w:vAlign w:val="center"/>
          </w:tcPr>
          <w:p>
            <w:pPr>
              <w:pStyle w:val="TableContents"/>
              <w:bidi w:val="0"/>
              <w:spacing w:before="0" w:after="283"/>
              <w:jc w:val="left"/>
              <w:rPr/>
            </w:pPr>
            <w:r>
              <w:rPr/>
              <w:t>)</w:t>
            </w:r>
            <w:bookmarkStart w:id="741" w:name="xdx_40E_eus-gaap--NetIncomeLossAvailable"/>
            <w:bookmarkEnd w:id="741"/>
          </w:p>
        </w:tc>
      </w:tr>
      <w:tr>
        <w:trPr/>
        <w:tc>
          <w:tcPr>
            <w:tcW w:w="6185" w:type="dxa"/>
            <w:tcBorders/>
            <w:shd w:fill="CCEEFF" w:val="clear"/>
            <w:vAlign w:val="center"/>
          </w:tcPr>
          <w:p>
            <w:pPr>
              <w:pStyle w:val="TableContents"/>
              <w:bidi w:val="0"/>
              <w:spacing w:before="0" w:after="283"/>
              <w:jc w:val="left"/>
              <w:rPr/>
            </w:pPr>
            <w:r>
              <w:rPr/>
              <w:t>Net loss attributable to Class B common stockholders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bidi w:val="0"/>
              <w:spacing w:before="0" w:after="283"/>
              <w:jc w:val="right"/>
              <w:rPr/>
            </w:pPr>
            <w:r>
              <w:rPr/>
              <w:t>(1,393,607</w:t>
            </w:r>
          </w:p>
        </w:tc>
        <w:tc>
          <w:tcPr>
            <w:tcW w:w="104"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bidi w:val="0"/>
              <w:spacing w:before="0" w:after="283"/>
              <w:jc w:val="right"/>
              <w:rPr/>
            </w:pPr>
            <w:r>
              <w:rPr/>
              <w:t>(2,329,038</w:t>
            </w:r>
          </w:p>
        </w:tc>
        <w:tc>
          <w:tcPr>
            <w:tcW w:w="110" w:type="dxa"/>
            <w:tcBorders/>
            <w:shd w:fill="CCEEFF" w:val="clear"/>
            <w:vAlign w:val="center"/>
          </w:tcPr>
          <w:p>
            <w:pPr>
              <w:pStyle w:val="TableContents"/>
              <w:bidi w:val="0"/>
              <w:spacing w:before="0" w:after="283"/>
              <w:jc w:val="left"/>
              <w:rPr/>
            </w:pPr>
            <w:r>
              <w:rPr/>
              <w:t>)</w:t>
            </w:r>
            <w:bookmarkStart w:id="742" w:name="xdx_40E_eus-gaap--NetIncomeLossAvailable"/>
            <w:bookmarkEnd w:id="742"/>
          </w:p>
        </w:tc>
      </w:tr>
      <w:tr>
        <w:trPr/>
        <w:tc>
          <w:tcPr>
            <w:tcW w:w="6185" w:type="dxa"/>
            <w:tcBorders/>
            <w:shd w:fill="CCEEFF" w:val="clear"/>
            <w:vAlign w:val="center"/>
          </w:tcPr>
          <w:p>
            <w:pPr>
              <w:pStyle w:val="TableContents"/>
              <w:bidi w:val="0"/>
              <w:spacing w:before="0" w:after="283"/>
              <w:jc w:val="left"/>
              <w:rPr/>
            </w:pPr>
            <w:r>
              <w:rPr/>
              <w:t>Net (loss) income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bidi w:val="0"/>
              <w:spacing w:before="0" w:after="283"/>
              <w:jc w:val="right"/>
              <w:rPr/>
            </w:pPr>
            <w:r>
              <w:rPr/>
              <w:t>(1,393,607</w:t>
            </w:r>
          </w:p>
        </w:tc>
        <w:tc>
          <w:tcPr>
            <w:tcW w:w="104"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bidi w:val="0"/>
              <w:spacing w:before="0" w:after="283"/>
              <w:jc w:val="right"/>
              <w:rPr/>
            </w:pPr>
            <w:r>
              <w:rPr/>
              <w:t>(2,329,038</w:t>
            </w:r>
          </w:p>
        </w:tc>
        <w:tc>
          <w:tcPr>
            <w:tcW w:w="110" w:type="dxa"/>
            <w:tcBorders/>
            <w:shd w:fill="CCEEFF" w:val="clear"/>
            <w:vAlign w:val="center"/>
          </w:tcPr>
          <w:p>
            <w:pPr>
              <w:pStyle w:val="TableContents"/>
              <w:bidi w:val="0"/>
              <w:spacing w:before="0" w:after="283"/>
              <w:jc w:val="left"/>
              <w:rPr/>
            </w:pPr>
            <w:r>
              <w:rPr/>
              <w:t>)</w:t>
            </w:r>
            <w:bookmarkStart w:id="743" w:name="xdx_402_eus-gaap--NetIncomeLoss_zT15vVUD"/>
            <w:bookmarkEnd w:id="743"/>
          </w:p>
        </w:tc>
      </w:tr>
      <w:tr>
        <w:trPr/>
        <w:tc>
          <w:tcPr>
            <w:tcW w:w="6185" w:type="dxa"/>
            <w:tcBorders/>
            <w:shd w:fill="FFFFFF" w:val="clear"/>
            <w:vAlign w:val="center"/>
          </w:tcPr>
          <w:p>
            <w:pPr>
              <w:pStyle w:val="TableContents"/>
              <w:bidi w:val="0"/>
              <w:spacing w:before="0" w:after="283"/>
              <w:jc w:val="left"/>
              <w:rPr/>
            </w:pPr>
            <w:r>
              <w:rPr/>
              <w:t>Total net loss attributable to Snail Inc and Snail Games USA Inc.</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10" w:type="dxa"/>
            <w:tcBorders>
              <w:bottom w:val="double" w:sz="6" w:space="0" w:color="000000"/>
            </w:tcBorders>
            <w:shd w:fill="FFFFFF" w:val="clear"/>
            <w:tcMar>
              <w:bottom w:w="28" w:type="dxa"/>
            </w:tcMar>
            <w:vAlign w:val="center"/>
          </w:tcPr>
          <w:p>
            <w:pPr>
              <w:pStyle w:val="TableContents"/>
              <w:bidi w:val="0"/>
              <w:spacing w:before="0" w:after="283"/>
              <w:jc w:val="right"/>
              <w:rPr/>
            </w:pPr>
            <w:r>
              <w:rPr/>
              <w:t>(1,779,329</w:t>
            </w:r>
          </w:p>
        </w:tc>
        <w:tc>
          <w:tcPr>
            <w:tcW w:w="104"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10" w:type="dxa"/>
            <w:tcBorders>
              <w:bottom w:val="double" w:sz="6" w:space="0" w:color="000000"/>
            </w:tcBorders>
            <w:shd w:fill="FFFFFF" w:val="clear"/>
            <w:tcMar>
              <w:bottom w:w="28" w:type="dxa"/>
            </w:tcMar>
            <w:vAlign w:val="center"/>
          </w:tcPr>
          <w:p>
            <w:pPr>
              <w:pStyle w:val="TableContents"/>
              <w:bidi w:val="0"/>
              <w:spacing w:before="0" w:after="283"/>
              <w:jc w:val="right"/>
              <w:rPr/>
            </w:pPr>
            <w:r>
              <w:rPr/>
              <w:t>(2,971,378</w:t>
            </w:r>
          </w:p>
        </w:tc>
        <w:tc>
          <w:tcPr>
            <w:tcW w:w="110" w:type="dxa"/>
            <w:tcBorders/>
            <w:shd w:fill="FFFFFF" w:val="clear"/>
            <w:vAlign w:val="center"/>
          </w:tcPr>
          <w:p>
            <w:pPr>
              <w:pStyle w:val="TableContents"/>
              <w:bidi w:val="0"/>
              <w:spacing w:before="0" w:after="283"/>
              <w:jc w:val="left"/>
              <w:rPr/>
            </w:pPr>
            <w:r>
              <w:rPr/>
              <w:t>)</w:t>
            </w:r>
            <w:bookmarkStart w:id="744" w:name="xdx_40D_eus-gaap--WeightedAverageNumberO"/>
            <w:bookmarkEnd w:id="744"/>
          </w:p>
        </w:tc>
      </w:tr>
      <w:tr>
        <w:trPr/>
        <w:tc>
          <w:tcPr>
            <w:tcW w:w="6185" w:type="dxa"/>
            <w:tcBorders/>
            <w:shd w:fill="CCEEFF" w:val="clear"/>
            <w:vAlign w:val="center"/>
          </w:tcPr>
          <w:p>
            <w:pPr>
              <w:pStyle w:val="TableContents"/>
              <w:bidi w:val="0"/>
              <w:spacing w:before="0" w:after="283"/>
              <w:jc w:val="left"/>
              <w:rPr/>
            </w:pPr>
            <w:r>
              <w:rPr/>
              <w:t>Class A weighted average shares outstanding – basic</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7,957,031</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7,928,742</w:t>
            </w:r>
          </w:p>
        </w:tc>
        <w:tc>
          <w:tcPr>
            <w:tcW w:w="110" w:type="dxa"/>
            <w:tcBorders/>
            <w:shd w:fill="CCEEFF" w:val="clear"/>
            <w:vAlign w:val="center"/>
          </w:tcPr>
          <w:p>
            <w:pPr>
              <w:pStyle w:val="TableContents"/>
              <w:bidi w:val="0"/>
              <w:spacing w:before="0" w:after="283"/>
              <w:jc w:val="left"/>
              <w:rPr/>
            </w:pPr>
            <w:r>
              <w:rPr/>
              <w:t> </w:t>
            </w:r>
            <w:bookmarkStart w:id="745" w:name="xdx_400_eus-gaap--WeightedAverageNumberO"/>
            <w:bookmarkEnd w:id="745"/>
          </w:p>
        </w:tc>
      </w:tr>
      <w:tr>
        <w:trPr/>
        <w:tc>
          <w:tcPr>
            <w:tcW w:w="6185" w:type="dxa"/>
            <w:tcBorders/>
            <w:shd w:fill="FFFFFF" w:val="clear"/>
            <w:vAlign w:val="center"/>
          </w:tcPr>
          <w:p>
            <w:pPr>
              <w:pStyle w:val="TableContents"/>
              <w:bidi w:val="0"/>
              <w:spacing w:before="0" w:after="283"/>
              <w:jc w:val="left"/>
              <w:rPr/>
            </w:pPr>
            <w:r>
              <w:rPr/>
              <w:t>Class B weighted average shares outstanding – basic</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FFFFFF" w:val="clear"/>
            <w:tcMar>
              <w:bottom w:w="28" w:type="dxa"/>
            </w:tcMar>
            <w:vAlign w:val="center"/>
          </w:tcPr>
          <w:p>
            <w:pPr>
              <w:pStyle w:val="TableContents"/>
              <w:bidi w:val="0"/>
              <w:spacing w:before="0" w:after="283"/>
              <w:jc w:val="right"/>
              <w:rPr/>
            </w:pPr>
            <w:r>
              <w:rPr/>
              <w:t>28,748,580</w:t>
            </w:r>
          </w:p>
        </w:tc>
        <w:tc>
          <w:tcPr>
            <w:tcW w:w="10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FFFFFF" w:val="clear"/>
            <w:tcMar>
              <w:bottom w:w="28" w:type="dxa"/>
            </w:tcMar>
            <w:vAlign w:val="center"/>
          </w:tcPr>
          <w:p>
            <w:pPr>
              <w:pStyle w:val="TableContents"/>
              <w:bidi w:val="0"/>
              <w:spacing w:before="0" w:after="283"/>
              <w:jc w:val="right"/>
              <w:rPr/>
            </w:pPr>
            <w:r>
              <w:rPr/>
              <w:t>28,748,580</w:t>
            </w:r>
          </w:p>
        </w:tc>
        <w:tc>
          <w:tcPr>
            <w:tcW w:w="110" w:type="dxa"/>
            <w:tcBorders/>
            <w:shd w:fill="FFFFFF" w:val="clear"/>
            <w:vAlign w:val="center"/>
          </w:tcPr>
          <w:p>
            <w:pPr>
              <w:pStyle w:val="TableContents"/>
              <w:bidi w:val="0"/>
              <w:spacing w:before="0" w:after="283"/>
              <w:jc w:val="left"/>
              <w:rPr/>
            </w:pPr>
            <w:r>
              <w:rPr/>
              <w:t> </w:t>
            </w:r>
            <w:bookmarkStart w:id="746" w:name="xdx_408_eus-gaap--WeightedAverageNumberO"/>
            <w:bookmarkEnd w:id="746"/>
          </w:p>
        </w:tc>
      </w:tr>
      <w:tr>
        <w:trPr/>
        <w:tc>
          <w:tcPr>
            <w:tcW w:w="6185" w:type="dxa"/>
            <w:tcBorders/>
            <w:shd w:fill="FFFFFF" w:val="clear"/>
            <w:vAlign w:val="center"/>
          </w:tcPr>
          <w:p>
            <w:pPr>
              <w:pStyle w:val="TableContents"/>
              <w:bidi w:val="0"/>
              <w:spacing w:before="0" w:after="283"/>
              <w:jc w:val="left"/>
              <w:rPr/>
            </w:pPr>
            <w:r>
              <w:rPr/>
              <w:t>Weighted average shares outstanding - basic</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FFFFFF" w:val="clear"/>
            <w:tcMar>
              <w:bottom w:w="28" w:type="dxa"/>
            </w:tcMar>
            <w:vAlign w:val="center"/>
          </w:tcPr>
          <w:p>
            <w:pPr>
              <w:pStyle w:val="TableContents"/>
              <w:bidi w:val="0"/>
              <w:spacing w:before="0" w:after="283"/>
              <w:jc w:val="right"/>
              <w:rPr/>
            </w:pPr>
            <w:r>
              <w:rPr/>
              <w:t>28,748,580</w:t>
            </w:r>
          </w:p>
        </w:tc>
        <w:tc>
          <w:tcPr>
            <w:tcW w:w="10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FFFFFF" w:val="clear"/>
            <w:tcMar>
              <w:bottom w:w="28" w:type="dxa"/>
            </w:tcMar>
            <w:vAlign w:val="center"/>
          </w:tcPr>
          <w:p>
            <w:pPr>
              <w:pStyle w:val="TableContents"/>
              <w:bidi w:val="0"/>
              <w:spacing w:before="0" w:after="283"/>
              <w:jc w:val="right"/>
              <w:rPr/>
            </w:pPr>
            <w:r>
              <w:rPr/>
              <w:t>28,748,580</w:t>
            </w:r>
          </w:p>
        </w:tc>
        <w:tc>
          <w:tcPr>
            <w:tcW w:w="110" w:type="dxa"/>
            <w:tcBorders/>
            <w:shd w:fill="FFFFFF" w:val="clear"/>
            <w:vAlign w:val="center"/>
          </w:tcPr>
          <w:p>
            <w:pPr>
              <w:pStyle w:val="TableContents"/>
              <w:bidi w:val="0"/>
              <w:spacing w:before="0" w:after="283"/>
              <w:jc w:val="left"/>
              <w:rPr/>
            </w:pPr>
            <w:r>
              <w:rPr/>
              <w:t> </w:t>
            </w:r>
            <w:bookmarkStart w:id="747" w:name="xdx_407_eus-gaap--EarningsPerShareBasic_"/>
            <w:bookmarkEnd w:id="747"/>
          </w:p>
        </w:tc>
      </w:tr>
      <w:tr>
        <w:trPr/>
        <w:tc>
          <w:tcPr>
            <w:tcW w:w="6185" w:type="dxa"/>
            <w:tcBorders/>
            <w:shd w:fill="CCEEFF" w:val="clear"/>
            <w:vAlign w:val="center"/>
          </w:tcPr>
          <w:p>
            <w:pPr>
              <w:pStyle w:val="TableContents"/>
              <w:bidi w:val="0"/>
              <w:spacing w:before="0" w:after="283"/>
              <w:jc w:val="left"/>
              <w:rPr/>
            </w:pPr>
            <w:r>
              <w:rPr/>
              <w:t>Class A and B basic loss per share</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10" w:type="dxa"/>
            <w:tcBorders>
              <w:bottom w:val="double" w:sz="6" w:space="0" w:color="000000"/>
            </w:tcBorders>
            <w:shd w:fill="CCEEFF" w:val="clear"/>
            <w:tcMar>
              <w:bottom w:w="28" w:type="dxa"/>
            </w:tcMar>
            <w:vAlign w:val="center"/>
          </w:tcPr>
          <w:p>
            <w:pPr>
              <w:pStyle w:val="TableContents"/>
              <w:bidi w:val="0"/>
              <w:spacing w:before="0" w:after="283"/>
              <w:jc w:val="right"/>
              <w:rPr/>
            </w:pPr>
            <w:r>
              <w:rPr/>
              <w:t>(0.05</w:t>
            </w:r>
          </w:p>
        </w:tc>
        <w:tc>
          <w:tcPr>
            <w:tcW w:w="104"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10" w:type="dxa"/>
            <w:tcBorders>
              <w:bottom w:val="double" w:sz="6" w:space="0" w:color="000000"/>
            </w:tcBorders>
            <w:shd w:fill="CCEEFF" w:val="clear"/>
            <w:tcMar>
              <w:bottom w:w="28" w:type="dxa"/>
            </w:tcMar>
            <w:vAlign w:val="center"/>
          </w:tcPr>
          <w:p>
            <w:pPr>
              <w:pStyle w:val="TableContents"/>
              <w:bidi w:val="0"/>
              <w:spacing w:before="0" w:after="283"/>
              <w:jc w:val="right"/>
              <w:rPr/>
            </w:pPr>
            <w:r>
              <w:rPr/>
              <w:t>(0.08</w:t>
            </w:r>
          </w:p>
        </w:tc>
        <w:tc>
          <w:tcPr>
            <w:tcW w:w="110" w:type="dxa"/>
            <w:tcBorders/>
            <w:shd w:fill="CCEEFF" w:val="clear"/>
            <w:vAlign w:val="center"/>
          </w:tcPr>
          <w:p>
            <w:pPr>
              <w:pStyle w:val="TableContents"/>
              <w:bidi w:val="0"/>
              <w:spacing w:before="0" w:after="283"/>
              <w:jc w:val="left"/>
              <w:rPr/>
            </w:pPr>
            <w:r>
              <w:rPr/>
              <w:t>)</w:t>
            </w:r>
          </w:p>
        </w:tc>
      </w:tr>
      <w:tr>
        <w:trPr/>
        <w:tc>
          <w:tcPr>
            <w:tcW w:w="6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283"/>
              <w:jc w:val="left"/>
              <w:rPr>
                <w:b/>
              </w:rPr>
            </w:pPr>
            <w:r>
              <w:rPr>
                <w:b/>
              </w:rPr>
              <w:t>Diluted Loss Per Share:</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748" w:name="xdx_40D_eus-gaap--NetIncomeLossAvailable"/>
            <w:bookmarkEnd w:id="748"/>
          </w:p>
        </w:tc>
      </w:tr>
      <w:tr>
        <w:trPr/>
        <w:tc>
          <w:tcPr>
            <w:tcW w:w="6185" w:type="dxa"/>
            <w:tcBorders/>
            <w:shd w:fill="FFFFFF" w:val="clear"/>
            <w:vAlign w:val="center"/>
          </w:tcPr>
          <w:p>
            <w:pPr>
              <w:pStyle w:val="TableContents"/>
              <w:bidi w:val="0"/>
              <w:spacing w:before="0" w:after="283"/>
              <w:jc w:val="left"/>
              <w:rPr/>
            </w:pPr>
            <w:r>
              <w:rPr/>
              <w:t>Net loss attributable to Class A common stockholders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10" w:type="dxa"/>
            <w:tcBorders>
              <w:bottom w:val="double" w:sz="6" w:space="0" w:color="000000"/>
            </w:tcBorders>
            <w:shd w:fill="FFFFFF" w:val="clear"/>
            <w:tcMar>
              <w:bottom w:w="28" w:type="dxa"/>
            </w:tcMar>
            <w:vAlign w:val="center"/>
          </w:tcPr>
          <w:p>
            <w:pPr>
              <w:pStyle w:val="TableContents"/>
              <w:bidi w:val="0"/>
              <w:spacing w:before="0" w:after="283"/>
              <w:jc w:val="right"/>
              <w:rPr/>
            </w:pPr>
            <w:r>
              <w:rPr/>
              <w:t>(385,722</w:t>
            </w:r>
          </w:p>
        </w:tc>
        <w:tc>
          <w:tcPr>
            <w:tcW w:w="104"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10" w:type="dxa"/>
            <w:tcBorders>
              <w:bottom w:val="double" w:sz="6" w:space="0" w:color="000000"/>
            </w:tcBorders>
            <w:shd w:fill="FFFFFF" w:val="clear"/>
            <w:tcMar>
              <w:bottom w:w="28" w:type="dxa"/>
            </w:tcMar>
            <w:vAlign w:val="center"/>
          </w:tcPr>
          <w:p>
            <w:pPr>
              <w:pStyle w:val="TableContents"/>
              <w:bidi w:val="0"/>
              <w:spacing w:before="0" w:after="283"/>
              <w:jc w:val="right"/>
              <w:rPr/>
            </w:pPr>
            <w:r>
              <w:rPr/>
              <w:t>(642,340</w:t>
            </w:r>
          </w:p>
        </w:tc>
        <w:tc>
          <w:tcPr>
            <w:tcW w:w="110" w:type="dxa"/>
            <w:tcBorders/>
            <w:shd w:fill="FFFFFF" w:val="clear"/>
            <w:vAlign w:val="center"/>
          </w:tcPr>
          <w:p>
            <w:pPr>
              <w:pStyle w:val="TableContents"/>
              <w:bidi w:val="0"/>
              <w:spacing w:before="0" w:after="283"/>
              <w:jc w:val="left"/>
              <w:rPr/>
            </w:pPr>
            <w:r>
              <w:rPr/>
              <w:t>)</w:t>
            </w:r>
            <w:bookmarkStart w:id="749" w:name="xdx_407_eus-gaap--NetIncomeLossAvailable"/>
            <w:bookmarkEnd w:id="749"/>
          </w:p>
        </w:tc>
      </w:tr>
      <w:tr>
        <w:trPr/>
        <w:tc>
          <w:tcPr>
            <w:tcW w:w="6185" w:type="dxa"/>
            <w:tcBorders/>
            <w:shd w:fill="CCEEFF" w:val="clear"/>
            <w:vAlign w:val="center"/>
          </w:tcPr>
          <w:p>
            <w:pPr>
              <w:pStyle w:val="TableContents"/>
              <w:bidi w:val="0"/>
              <w:spacing w:before="0" w:after="283"/>
              <w:jc w:val="left"/>
              <w:rPr/>
            </w:pPr>
            <w:r>
              <w:rPr/>
              <w:t>Net loss attributable to Class B common stockholders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10" w:type="dxa"/>
            <w:tcBorders>
              <w:bottom w:val="double" w:sz="6" w:space="0" w:color="000000"/>
            </w:tcBorders>
            <w:shd w:fill="CCEEFF" w:val="clear"/>
            <w:tcMar>
              <w:bottom w:w="28" w:type="dxa"/>
            </w:tcMar>
            <w:vAlign w:val="center"/>
          </w:tcPr>
          <w:p>
            <w:pPr>
              <w:pStyle w:val="TableContents"/>
              <w:bidi w:val="0"/>
              <w:spacing w:before="0" w:after="283"/>
              <w:jc w:val="right"/>
              <w:rPr/>
            </w:pPr>
            <w:r>
              <w:rPr/>
              <w:t>(1,393,607</w:t>
            </w:r>
          </w:p>
        </w:tc>
        <w:tc>
          <w:tcPr>
            <w:tcW w:w="104"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10" w:type="dxa"/>
            <w:tcBorders>
              <w:bottom w:val="double" w:sz="6" w:space="0" w:color="000000"/>
            </w:tcBorders>
            <w:shd w:fill="CCEEFF" w:val="clear"/>
            <w:tcMar>
              <w:bottom w:w="28" w:type="dxa"/>
            </w:tcMar>
            <w:vAlign w:val="center"/>
          </w:tcPr>
          <w:p>
            <w:pPr>
              <w:pStyle w:val="TableContents"/>
              <w:bidi w:val="0"/>
              <w:spacing w:before="0" w:after="283"/>
              <w:jc w:val="right"/>
              <w:rPr/>
            </w:pPr>
            <w:r>
              <w:rPr/>
              <w:t>(2,329,038</w:t>
            </w:r>
          </w:p>
        </w:tc>
        <w:tc>
          <w:tcPr>
            <w:tcW w:w="110" w:type="dxa"/>
            <w:tcBorders/>
            <w:shd w:fill="CCEEFF" w:val="clear"/>
            <w:vAlign w:val="center"/>
          </w:tcPr>
          <w:p>
            <w:pPr>
              <w:pStyle w:val="TableContents"/>
              <w:bidi w:val="0"/>
              <w:spacing w:before="0" w:after="283"/>
              <w:jc w:val="left"/>
              <w:rPr/>
            </w:pPr>
            <w:r>
              <w:rPr/>
              <w:t>)</w:t>
            </w:r>
            <w:bookmarkStart w:id="750" w:name="xdx_403_eus-gaap--NetIncomeLossAvailable"/>
            <w:bookmarkEnd w:id="750"/>
          </w:p>
        </w:tc>
      </w:tr>
      <w:tr>
        <w:trPr/>
        <w:tc>
          <w:tcPr>
            <w:tcW w:w="6185" w:type="dxa"/>
            <w:tcBorders/>
            <w:shd w:fill="CCEEFF" w:val="clear"/>
            <w:vAlign w:val="center"/>
          </w:tcPr>
          <w:p>
            <w:pPr>
              <w:pStyle w:val="TableContents"/>
              <w:bidi w:val="0"/>
              <w:spacing w:before="0" w:after="283"/>
              <w:jc w:val="left"/>
              <w:rPr/>
            </w:pPr>
            <w:r>
              <w:rPr/>
              <w:t>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10" w:type="dxa"/>
            <w:tcBorders>
              <w:bottom w:val="double" w:sz="6" w:space="0" w:color="000000"/>
            </w:tcBorders>
            <w:shd w:fill="CCEEFF" w:val="clear"/>
            <w:tcMar>
              <w:bottom w:w="28" w:type="dxa"/>
            </w:tcMar>
            <w:vAlign w:val="center"/>
          </w:tcPr>
          <w:p>
            <w:pPr>
              <w:pStyle w:val="TableContents"/>
              <w:bidi w:val="0"/>
              <w:spacing w:before="0" w:after="283"/>
              <w:jc w:val="right"/>
              <w:rPr/>
            </w:pPr>
            <w:r>
              <w:rPr/>
              <w:t>(1,393,607</w:t>
            </w:r>
          </w:p>
        </w:tc>
        <w:tc>
          <w:tcPr>
            <w:tcW w:w="104"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10" w:type="dxa"/>
            <w:tcBorders>
              <w:bottom w:val="double" w:sz="6" w:space="0" w:color="000000"/>
            </w:tcBorders>
            <w:shd w:fill="CCEEFF" w:val="clear"/>
            <w:tcMar>
              <w:bottom w:w="28" w:type="dxa"/>
            </w:tcMar>
            <w:vAlign w:val="center"/>
          </w:tcPr>
          <w:p>
            <w:pPr>
              <w:pStyle w:val="TableContents"/>
              <w:bidi w:val="0"/>
              <w:spacing w:before="0" w:after="283"/>
              <w:jc w:val="right"/>
              <w:rPr/>
            </w:pPr>
            <w:r>
              <w:rPr/>
              <w:t>(2,329,038</w:t>
            </w:r>
          </w:p>
        </w:tc>
        <w:tc>
          <w:tcPr>
            <w:tcW w:w="110" w:type="dxa"/>
            <w:tcBorders/>
            <w:shd w:fill="CCEEFF" w:val="clear"/>
            <w:vAlign w:val="center"/>
          </w:tcPr>
          <w:p>
            <w:pPr>
              <w:pStyle w:val="TableContents"/>
              <w:bidi w:val="0"/>
              <w:spacing w:before="0" w:after="283"/>
              <w:jc w:val="left"/>
              <w:rPr/>
            </w:pPr>
            <w:r>
              <w:rPr/>
              <w:t>)</w:t>
            </w:r>
            <w:bookmarkStart w:id="751" w:name="xdx_408_eus-gaap--WeightedAverageNumberO"/>
            <w:bookmarkEnd w:id="751"/>
          </w:p>
        </w:tc>
      </w:tr>
      <w:tr>
        <w:trPr/>
        <w:tc>
          <w:tcPr>
            <w:tcW w:w="6185" w:type="dxa"/>
            <w:tcBorders/>
            <w:shd w:fill="FFFFFF" w:val="clear"/>
            <w:vAlign w:val="center"/>
          </w:tcPr>
          <w:p>
            <w:pPr>
              <w:pStyle w:val="TableContents"/>
              <w:bidi w:val="0"/>
              <w:spacing w:before="0" w:after="283"/>
              <w:jc w:val="left"/>
              <w:rPr/>
            </w:pPr>
            <w:r>
              <w:rPr/>
              <w:t>Class A weighted average shares outstanding - basic</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7,957,031</w:t>
            </w:r>
          </w:p>
        </w:tc>
        <w:tc>
          <w:tcPr>
            <w:tcW w:w="10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7,928,742</w:t>
            </w:r>
          </w:p>
        </w:tc>
        <w:tc>
          <w:tcPr>
            <w:tcW w:w="110" w:type="dxa"/>
            <w:tcBorders/>
            <w:shd w:fill="FFFFFF" w:val="clear"/>
            <w:vAlign w:val="center"/>
          </w:tcPr>
          <w:p>
            <w:pPr>
              <w:pStyle w:val="TableContents"/>
              <w:bidi w:val="0"/>
              <w:spacing w:before="0" w:after="283"/>
              <w:jc w:val="left"/>
              <w:rPr/>
            </w:pPr>
            <w:r>
              <w:rPr/>
              <w:t> </w:t>
            </w:r>
            <w:bookmarkStart w:id="752" w:name="xdx_401_eus-gaap--IncrementalCommonShare"/>
            <w:bookmarkEnd w:id="752"/>
          </w:p>
        </w:tc>
      </w:tr>
      <w:tr>
        <w:trPr/>
        <w:tc>
          <w:tcPr>
            <w:tcW w:w="6185" w:type="dxa"/>
            <w:tcBorders/>
            <w:shd w:fill="CCEEFF" w:val="clear"/>
            <w:vAlign w:val="center"/>
          </w:tcPr>
          <w:p>
            <w:pPr>
              <w:pStyle w:val="TableContents"/>
              <w:bidi w:val="0"/>
              <w:spacing w:before="0" w:after="283"/>
              <w:jc w:val="left"/>
              <w:rPr/>
            </w:pPr>
            <w:r>
              <w:rPr/>
              <w:t>Dilutive effects of common stock equivalents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753" w:name="xdx_40F_eus-gaap--WeightedAverageNumberO"/>
            <w:bookmarkEnd w:id="753"/>
          </w:p>
        </w:tc>
      </w:tr>
      <w:tr>
        <w:trPr/>
        <w:tc>
          <w:tcPr>
            <w:tcW w:w="6185" w:type="dxa"/>
            <w:tcBorders/>
            <w:shd w:fill="FFFFFF" w:val="clear"/>
            <w:vAlign w:val="center"/>
          </w:tcPr>
          <w:p>
            <w:pPr>
              <w:pStyle w:val="TableContents"/>
              <w:bidi w:val="0"/>
              <w:spacing w:before="0" w:after="283"/>
              <w:jc w:val="left"/>
              <w:rPr/>
            </w:pPr>
            <w:r>
              <w:rPr/>
              <w:t>Class A weighted average shares outstanding - diluted</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FFFFFF" w:val="clear"/>
            <w:tcMar>
              <w:bottom w:w="28" w:type="dxa"/>
            </w:tcMar>
            <w:vAlign w:val="center"/>
          </w:tcPr>
          <w:p>
            <w:pPr>
              <w:pStyle w:val="TableContents"/>
              <w:bidi w:val="0"/>
              <w:spacing w:before="0" w:after="283"/>
              <w:jc w:val="right"/>
              <w:rPr/>
            </w:pPr>
            <w:r>
              <w:rPr/>
              <w:t>7,957,031</w:t>
            </w:r>
          </w:p>
        </w:tc>
        <w:tc>
          <w:tcPr>
            <w:tcW w:w="10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FFFFFF" w:val="clear"/>
            <w:tcMar>
              <w:bottom w:w="28" w:type="dxa"/>
            </w:tcMar>
            <w:vAlign w:val="center"/>
          </w:tcPr>
          <w:p>
            <w:pPr>
              <w:pStyle w:val="TableContents"/>
              <w:bidi w:val="0"/>
              <w:spacing w:before="0" w:after="283"/>
              <w:jc w:val="right"/>
              <w:rPr/>
            </w:pPr>
            <w:r>
              <w:rPr/>
              <w:t>7,928,742</w:t>
            </w:r>
          </w:p>
        </w:tc>
        <w:tc>
          <w:tcPr>
            <w:tcW w:w="110" w:type="dxa"/>
            <w:tcBorders/>
            <w:shd w:fill="FFFFFF" w:val="clear"/>
            <w:vAlign w:val="center"/>
          </w:tcPr>
          <w:p>
            <w:pPr>
              <w:pStyle w:val="TableContents"/>
              <w:bidi w:val="0"/>
              <w:spacing w:before="0" w:after="283"/>
              <w:jc w:val="left"/>
              <w:rPr/>
            </w:pPr>
            <w:r>
              <w:rPr/>
              <w:t> </w:t>
            </w:r>
            <w:bookmarkStart w:id="754" w:name="xdx_405_eus-gaap--WeightedAverageNumberO"/>
            <w:bookmarkEnd w:id="754"/>
          </w:p>
        </w:tc>
      </w:tr>
      <w:tr>
        <w:trPr/>
        <w:tc>
          <w:tcPr>
            <w:tcW w:w="6185" w:type="dxa"/>
            <w:tcBorders/>
            <w:shd w:fill="CCEEFF" w:val="clear"/>
            <w:vAlign w:val="center"/>
          </w:tcPr>
          <w:p>
            <w:pPr>
              <w:pStyle w:val="TableContents"/>
              <w:bidi w:val="0"/>
              <w:spacing w:before="0" w:after="283"/>
              <w:jc w:val="left"/>
              <w:rPr/>
            </w:pPr>
            <w:r>
              <w:rPr/>
              <w:t>Class B weighted average shares outstanding - basic</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28,748,580</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28,748,580</w:t>
            </w:r>
          </w:p>
        </w:tc>
        <w:tc>
          <w:tcPr>
            <w:tcW w:w="110" w:type="dxa"/>
            <w:tcBorders/>
            <w:shd w:fill="CCEEFF" w:val="clear"/>
            <w:vAlign w:val="center"/>
          </w:tcPr>
          <w:p>
            <w:pPr>
              <w:pStyle w:val="TableContents"/>
              <w:bidi w:val="0"/>
              <w:spacing w:before="0" w:after="283"/>
              <w:jc w:val="left"/>
              <w:rPr/>
            </w:pPr>
            <w:r>
              <w:rPr/>
              <w:t> </w:t>
            </w:r>
            <w:bookmarkStart w:id="755" w:name="xdx_404_eus-gaap--WeightedAverageNumberO"/>
            <w:bookmarkEnd w:id="755"/>
          </w:p>
        </w:tc>
      </w:tr>
      <w:tr>
        <w:trPr/>
        <w:tc>
          <w:tcPr>
            <w:tcW w:w="6185" w:type="dxa"/>
            <w:tcBorders/>
            <w:shd w:fill="CCEEFF" w:val="clear"/>
            <w:vAlign w:val="center"/>
          </w:tcPr>
          <w:p>
            <w:pPr>
              <w:pStyle w:val="TableContents"/>
              <w:bidi w:val="0"/>
              <w:spacing w:before="0" w:after="283"/>
              <w:jc w:val="left"/>
              <w:rPr/>
            </w:pPr>
            <w:r>
              <w:rPr/>
              <w:t>Weighted average shares outstanding - basic</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28,748,580</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28,748,580</w:t>
            </w:r>
          </w:p>
        </w:tc>
        <w:tc>
          <w:tcPr>
            <w:tcW w:w="110" w:type="dxa"/>
            <w:tcBorders/>
            <w:shd w:fill="CCEEFF" w:val="clear"/>
            <w:vAlign w:val="center"/>
          </w:tcPr>
          <w:p>
            <w:pPr>
              <w:pStyle w:val="TableContents"/>
              <w:bidi w:val="0"/>
              <w:spacing w:before="0" w:after="283"/>
              <w:jc w:val="left"/>
              <w:rPr/>
            </w:pPr>
            <w:r>
              <w:rPr/>
              <w:t> </w:t>
            </w:r>
            <w:bookmarkStart w:id="756" w:name="xdx_407_eus-gaap--IncrementalCommonShare"/>
            <w:bookmarkEnd w:id="756"/>
          </w:p>
        </w:tc>
      </w:tr>
      <w:tr>
        <w:trPr/>
        <w:tc>
          <w:tcPr>
            <w:tcW w:w="6185" w:type="dxa"/>
            <w:tcBorders/>
            <w:shd w:fill="FFFFFF" w:val="clear"/>
            <w:vAlign w:val="center"/>
          </w:tcPr>
          <w:p>
            <w:pPr>
              <w:pStyle w:val="TableContents"/>
              <w:bidi w:val="0"/>
              <w:spacing w:before="0" w:after="283"/>
              <w:jc w:val="left"/>
              <w:rPr/>
            </w:pPr>
            <w:r>
              <w:rPr/>
              <w:t>Dilutive effects of common stock equivalents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757" w:name="xdx_40D_eus-gaap--WeightedAverageNumberO"/>
            <w:bookmarkEnd w:id="757"/>
          </w:p>
        </w:tc>
      </w:tr>
      <w:tr>
        <w:trPr/>
        <w:tc>
          <w:tcPr>
            <w:tcW w:w="6185" w:type="dxa"/>
            <w:tcBorders/>
            <w:shd w:fill="CCEEFF" w:val="clear"/>
            <w:vAlign w:val="center"/>
          </w:tcPr>
          <w:p>
            <w:pPr>
              <w:pStyle w:val="TableContents"/>
              <w:bidi w:val="0"/>
              <w:spacing w:before="0" w:after="283"/>
              <w:jc w:val="left"/>
              <w:rPr/>
            </w:pPr>
            <w:r>
              <w:rPr/>
              <w:t>Class B weighted average shares outstanding - diluted</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bidi w:val="0"/>
              <w:spacing w:before="0" w:after="283"/>
              <w:jc w:val="right"/>
              <w:rPr/>
            </w:pPr>
            <w:r>
              <w:rPr/>
              <w:t>28,748,580</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bidi w:val="0"/>
              <w:spacing w:before="0" w:after="283"/>
              <w:jc w:val="right"/>
              <w:rPr/>
            </w:pPr>
            <w:r>
              <w:rPr/>
              <w:t>28,748,580</w:t>
            </w:r>
          </w:p>
        </w:tc>
        <w:tc>
          <w:tcPr>
            <w:tcW w:w="110" w:type="dxa"/>
            <w:tcBorders/>
            <w:shd w:fill="CCEEFF" w:val="clear"/>
            <w:vAlign w:val="center"/>
          </w:tcPr>
          <w:p>
            <w:pPr>
              <w:pStyle w:val="TableContents"/>
              <w:bidi w:val="0"/>
              <w:spacing w:before="0" w:after="283"/>
              <w:jc w:val="left"/>
              <w:rPr/>
            </w:pPr>
            <w:r>
              <w:rPr/>
              <w:t> </w:t>
            </w:r>
            <w:bookmarkStart w:id="758" w:name="xdx_404_eus-gaap--WeightedAverageNumberO"/>
            <w:bookmarkEnd w:id="758"/>
          </w:p>
        </w:tc>
      </w:tr>
      <w:tr>
        <w:trPr/>
        <w:tc>
          <w:tcPr>
            <w:tcW w:w="6185" w:type="dxa"/>
            <w:tcBorders/>
            <w:shd w:fill="CCEEFF" w:val="clear"/>
            <w:vAlign w:val="center"/>
          </w:tcPr>
          <w:p>
            <w:pPr>
              <w:pStyle w:val="TableContents"/>
              <w:bidi w:val="0"/>
              <w:spacing w:before="0" w:after="283"/>
              <w:jc w:val="left"/>
              <w:rPr/>
            </w:pPr>
            <w:r>
              <w:rPr/>
              <w:t>Weighted average shares outstanding - diluted</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bidi w:val="0"/>
              <w:spacing w:before="0" w:after="283"/>
              <w:jc w:val="right"/>
              <w:rPr/>
            </w:pPr>
            <w:r>
              <w:rPr/>
              <w:t>28,748,580</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bidi w:val="0"/>
              <w:spacing w:before="0" w:after="283"/>
              <w:jc w:val="right"/>
              <w:rPr/>
            </w:pPr>
            <w:r>
              <w:rPr/>
              <w:t>28,748,580</w:t>
            </w:r>
          </w:p>
        </w:tc>
        <w:tc>
          <w:tcPr>
            <w:tcW w:w="110" w:type="dxa"/>
            <w:tcBorders/>
            <w:shd w:fill="CCEEFF" w:val="clear"/>
            <w:vAlign w:val="center"/>
          </w:tcPr>
          <w:p>
            <w:pPr>
              <w:pStyle w:val="TableContents"/>
              <w:bidi w:val="0"/>
              <w:spacing w:before="0" w:after="283"/>
              <w:jc w:val="left"/>
              <w:rPr/>
            </w:pPr>
            <w:r>
              <w:rPr/>
              <w:t> </w:t>
            </w:r>
            <w:bookmarkStart w:id="759" w:name="xdx_405_eus-gaap--EarningsPerShareDilute"/>
            <w:bookmarkEnd w:id="759"/>
          </w:p>
        </w:tc>
      </w:tr>
      <w:tr>
        <w:trPr/>
        <w:tc>
          <w:tcPr>
            <w:tcW w:w="6185" w:type="dxa"/>
            <w:tcBorders/>
            <w:shd w:fill="FFFFFF" w:val="clear"/>
            <w:vAlign w:val="center"/>
          </w:tcPr>
          <w:p>
            <w:pPr>
              <w:pStyle w:val="TableContents"/>
              <w:bidi w:val="0"/>
              <w:spacing w:before="0" w:after="283"/>
              <w:jc w:val="left"/>
              <w:rPr/>
            </w:pPr>
            <w:r>
              <w:rPr/>
              <w:t>Diluted loss per Class A and B share</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10" w:type="dxa"/>
            <w:tcBorders>
              <w:bottom w:val="double" w:sz="6" w:space="0" w:color="000000"/>
            </w:tcBorders>
            <w:shd w:fill="FFFFFF" w:val="clear"/>
            <w:tcMar>
              <w:bottom w:w="28" w:type="dxa"/>
            </w:tcMar>
            <w:vAlign w:val="center"/>
          </w:tcPr>
          <w:p>
            <w:pPr>
              <w:pStyle w:val="TableContents"/>
              <w:bidi w:val="0"/>
              <w:spacing w:before="0" w:after="283"/>
              <w:jc w:val="right"/>
              <w:rPr/>
            </w:pPr>
            <w:r>
              <w:rPr/>
              <w:t>(0.05</w:t>
            </w:r>
          </w:p>
        </w:tc>
        <w:tc>
          <w:tcPr>
            <w:tcW w:w="104"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10" w:type="dxa"/>
            <w:tcBorders>
              <w:bottom w:val="double" w:sz="6" w:space="0" w:color="000000"/>
            </w:tcBorders>
            <w:shd w:fill="FFFFFF" w:val="clear"/>
            <w:tcMar>
              <w:bottom w:w="28" w:type="dxa"/>
            </w:tcMar>
            <w:vAlign w:val="center"/>
          </w:tcPr>
          <w:p>
            <w:pPr>
              <w:pStyle w:val="TableContents"/>
              <w:bidi w:val="0"/>
              <w:spacing w:before="0" w:after="283"/>
              <w:jc w:val="right"/>
              <w:rPr/>
            </w:pPr>
            <w:r>
              <w:rPr/>
              <w:t>(0.08</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760" w:name="xdx_8A5_zPocb6t0HKRk"/>
      <w:bookmarkEnd w:id="760"/>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61" w:name="xdx_80A_eus-gaap--StockholdersEquityNote"/>
      <w:bookmarkEnd w:id="761"/>
      <w:r>
        <w:rPr>
          <w:rFonts w:ascii="Times New Roman;Times;Serif" w:hAnsi="Times New Roman;Times;Serif"/>
          <w:b/>
          <w:i w:val="false"/>
          <w:caps w:val="false"/>
          <w:smallCaps w:val="false"/>
          <w:sz w:val="20"/>
        </w:rPr>
        <w:t xml:space="preserve">NOTE 16 – </w:t>
      </w:r>
      <w:bookmarkStart w:id="762" w:name="xdx_828_zavI9QUn6fIg"/>
      <w:bookmarkEnd w:id="762"/>
      <w:r>
        <w:rPr>
          <w:rFonts w:ascii="Times New Roman;Times;Serif" w:hAnsi="Times New Roman;Times;Serif"/>
          <w:b/>
          <w:i w:val="false"/>
          <w:caps w:val="false"/>
          <w:smallCaps w:val="false"/>
          <w:sz w:val="20"/>
        </w:rPr>
        <w:t>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authorized </w:t>
      </w:r>
      <w:bookmarkStart w:id="763" w:name="xdx_90A_ecustom--NumberOfClassesOfCommon"/>
      <w:bookmarkEnd w:id="763"/>
      <w:r>
        <w:rPr>
          <w:rFonts w:ascii="Times New Roman;Times;Serif" w:hAnsi="Times New Roman;Times;Serif"/>
          <w:b w:val="false"/>
          <w:i w:val="false"/>
          <w:caps w:val="false"/>
          <w:smallCaps w:val="false"/>
          <w:sz w:val="20"/>
        </w:rPr>
        <w:t xml:space="preserve">two classes of common stock, Class A and Class B. The rights of the holders of both Class A and Class B common stock will be identical, except with respect to voting, conversion and transfer restrictions applicable to the Class B common stock. Each share of Class A common stock will be entitled to </w:t>
      </w:r>
      <w:bookmarkStart w:id="764" w:name="xdx_902_ecustom--NumberOfVotesEntitledPe"/>
      <w:bookmarkEnd w:id="764"/>
      <w:r>
        <w:rPr>
          <w:rFonts w:ascii="Times New Roman;Times;Serif" w:hAnsi="Times New Roman;Times;Serif"/>
          <w:b w:val="false"/>
          <w:i w:val="false"/>
          <w:caps w:val="false"/>
          <w:smallCaps w:val="false"/>
          <w:sz w:val="20"/>
        </w:rPr>
        <w:t xml:space="preserve">one vote. Each share of Class B common stock will be entitled to </w:t>
      </w:r>
      <w:bookmarkStart w:id="765" w:name="xdx_90A_ecustom--NumberOfVotesEntitledPe"/>
      <w:bookmarkEnd w:id="765"/>
      <w:r>
        <w:rPr>
          <w:rFonts w:ascii="Times New Roman;Times;Serif" w:hAnsi="Times New Roman;Times;Serif"/>
          <w:b w:val="false"/>
          <w:i w:val="false"/>
          <w:caps w:val="false"/>
          <w:smallCaps w:val="false"/>
          <w:sz w:val="20"/>
        </w:rPr>
        <w:t xml:space="preserve">ten votes and will be convertible into </w:t>
      </w:r>
      <w:bookmarkStart w:id="766" w:name="xdx_90A_ecustom--NumberPrimarySharesIssu"/>
      <w:bookmarkEnd w:id="766"/>
      <w:r>
        <w:rPr>
          <w:rFonts w:ascii="Times New Roman;Times;Serif" w:hAnsi="Times New Roman;Times;Serif"/>
          <w:b w:val="false"/>
          <w:i w:val="false"/>
          <w:caps w:val="false"/>
          <w:smallCaps w:val="false"/>
          <w:sz w:val="20"/>
        </w:rPr>
        <w:t>one share of Class A common stock automatically upon transfer, subject to certain exceptions. Holders of Class A common stock and Class B common stock will vote together as a single class on all matters unless otherwise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Underwriting Agreement, on November 9, 2022, the Company also issued to the Underwriters warrants to purchase such number of shares of the Company’s Class A common stock in an amount equal to </w:t>
      </w:r>
      <w:bookmarkStart w:id="767" w:name="xdx_906_ecustom--PercentageOfWarrantsIss"/>
      <w:bookmarkEnd w:id="767"/>
      <w:r>
        <w:rPr>
          <w:rFonts w:ascii="Times New Roman;Times;Serif" w:hAnsi="Times New Roman;Times;Serif"/>
          <w:b w:val="false"/>
          <w:i w:val="false"/>
          <w:caps w:val="false"/>
          <w:smallCaps w:val="false"/>
          <w:sz w:val="20"/>
        </w:rPr>
        <w:t xml:space="preserve">four percent of the total number of shares of Class A common stock sold in the IPO, or </w:t>
      </w:r>
      <w:bookmarkStart w:id="768" w:name="xdx_90F_eus-gaap--CommonStockSharesIssue"/>
      <w:bookmarkEnd w:id="768"/>
      <w:r>
        <w:rPr>
          <w:rFonts w:ascii="Times New Roman;Times;Serif" w:hAnsi="Times New Roman;Times;Serif"/>
          <w:b w:val="false"/>
          <w:i w:val="false"/>
          <w:caps w:val="false"/>
          <w:smallCaps w:val="false"/>
          <w:sz w:val="20"/>
        </w:rPr>
        <w:t xml:space="preserve">120,000 shares of Class A common stock (the “Underwriters Warrants”). The Underwriters Warrants may be exercised at a price per share equal to </w:t>
      </w:r>
      <w:bookmarkStart w:id="769" w:name="xdx_907_ecustom--ClassOfWarrantOrRightIs"/>
      <w:bookmarkEnd w:id="769"/>
      <w:r>
        <w:rPr>
          <w:rFonts w:ascii="Times New Roman;Times;Serif" w:hAnsi="Times New Roman;Times;Serif"/>
          <w:b w:val="false"/>
          <w:i w:val="false"/>
          <w:caps w:val="false"/>
          <w:smallCaps w:val="false"/>
          <w:sz w:val="20"/>
        </w:rPr>
        <w:t>125% of the IPO price, or $</w:t>
      </w:r>
      <w:bookmarkStart w:id="770" w:name="xdx_909_eus-gaap--ClassOfWarrantOrRightE"/>
      <w:bookmarkEnd w:id="770"/>
      <w:r>
        <w:rPr>
          <w:rFonts w:ascii="Times New Roman;Times;Serif" w:hAnsi="Times New Roman;Times;Serif"/>
          <w:b w:val="false"/>
          <w:i w:val="false"/>
          <w:caps w:val="false"/>
          <w:smallCaps w:val="false"/>
          <w:sz w:val="20"/>
        </w:rPr>
        <w:t xml:space="preserve">6.25 per share. The Underwriters Warrants are exercisable, in whole or in part, commencing on November 9, 2022, and expiring on the </w:t>
      </w:r>
      <w:bookmarkStart w:id="771" w:name="xdx_907_eus-gaap--WarrantsAndRightsOutst"/>
      <w:bookmarkEnd w:id="771"/>
      <w:r>
        <w:rPr>
          <w:rFonts w:ascii="Times New Roman;Times;Serif" w:hAnsi="Times New Roman;Times;Serif"/>
          <w:b w:val="false"/>
          <w:i w:val="false"/>
          <w:caps w:val="false"/>
          <w:smallCaps w:val="false"/>
          <w:sz w:val="20"/>
        </w:rPr>
        <w:t>three-year anniversary thereof. The Underwriters Warrants have not been exercised as of the filing of this Quarterly Report.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Warrants and Over-Allotment Option are legally detachable and separately exercisable from each other and from the Firm Shares; therefore, they meet the definition of freestanding and are not considered embedded in the Firm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Underwriters Warrants are considered indexed to the Company’s own stock. Additionally, the Company concludes that the Underwriters Warrants meet all requirements for equity classification. Because the Underwriters Warrants are issued to the Underwriters for their services and can be exercised immediately (subject to certain transfer conditions) they will be measured at their fair value on their date of issuance and recorded within stockholders’ equity. As long as the Underwriters Warrants remain classified as equity, they shall not be revalued. The fair value of the Underwriters Warrants was determined using the Black-Scholes model. The key assumptions used in the valuation were an average expected volatility of </w:t>
      </w:r>
      <w:bookmarkStart w:id="772" w:name="xdx_906_ecustom--WarrantsFairValueAssump"/>
      <w:bookmarkEnd w:id="772"/>
      <w:r>
        <w:rPr>
          <w:rFonts w:ascii="Times New Roman;Times;Serif" w:hAnsi="Times New Roman;Times;Serif"/>
          <w:b w:val="false"/>
          <w:i w:val="false"/>
          <w:caps w:val="false"/>
          <w:smallCaps w:val="false"/>
          <w:sz w:val="20"/>
        </w:rPr>
        <w:t xml:space="preserve">53%, discount rate of </w:t>
      </w:r>
      <w:bookmarkStart w:id="773" w:name="xdx_90E_ecustom--WarrantsFairValueAssump"/>
      <w:bookmarkEnd w:id="773"/>
      <w:r>
        <w:rPr>
          <w:rFonts w:ascii="Times New Roman;Times;Serif" w:hAnsi="Times New Roman;Times;Serif"/>
          <w:b w:val="false"/>
          <w:i w:val="false"/>
          <w:caps w:val="false"/>
          <w:smallCaps w:val="false"/>
          <w:sz w:val="20"/>
        </w:rPr>
        <w:t xml:space="preserve">4.49% and remaining term of </w:t>
      </w:r>
      <w:bookmarkStart w:id="774" w:name="xdx_908_ecustom--WarrantsFairValueAssump"/>
      <w:bookmarkEnd w:id="774"/>
      <w:r>
        <w:rPr>
          <w:rFonts w:ascii="Times New Roman;Times;Serif" w:hAnsi="Times New Roman;Times;Serif"/>
          <w:b w:val="false"/>
          <w:i w:val="false"/>
          <w:caps w:val="false"/>
          <w:smallCaps w:val="false"/>
          <w:sz w:val="20"/>
        </w:rPr>
        <w:t>3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allocates all the issuance costs to the firm shares as a reduction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Convertible Debt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2023, pursuant to a securities purchase agreement (the “SPA”), the Company issued to two accredited investors (the convertible debt “Investors”) convertible notes with an aggregate principal amount of $</w:t>
      </w:r>
      <w:bookmarkStart w:id="775" w:name="xdx_909_eus-gaap--DebtInstrumentFaceAmou"/>
      <w:bookmarkEnd w:id="775"/>
      <w:r>
        <w:rPr>
          <w:rFonts w:ascii="Times New Roman;Times;Serif" w:hAnsi="Times New Roman;Times;Serif"/>
          <w:b w:val="false"/>
          <w:i w:val="false"/>
          <w:caps w:val="false"/>
          <w:smallCaps w:val="false"/>
          <w:sz w:val="20"/>
        </w:rPr>
        <w:t xml:space="preserve">1,080,000 (the “Convertible Notes”) and warrants to purchase up to an aggregate of </w:t>
      </w:r>
      <w:bookmarkStart w:id="776" w:name="xdx_906_eus-gaap--ClassOfWarrantOrRightN"/>
      <w:bookmarkEnd w:id="776"/>
      <w:r>
        <w:rPr>
          <w:rFonts w:ascii="Times New Roman;Times;Serif" w:hAnsi="Times New Roman;Times;Serif"/>
          <w:b w:val="false"/>
          <w:i w:val="false"/>
          <w:caps w:val="false"/>
          <w:smallCaps w:val="false"/>
          <w:sz w:val="20"/>
        </w:rPr>
        <w:t>714,285 shares of the Company’s Class A common stock for gross proceeds of $</w:t>
      </w:r>
      <w:bookmarkStart w:id="777" w:name="xdx_904_eus-gaap--ProceedsFromIssuanceOf"/>
      <w:bookmarkEnd w:id="777"/>
      <w:r>
        <w:rPr>
          <w:rFonts w:ascii="Times New Roman;Times;Serif" w:hAnsi="Times New Roman;Times;Serif"/>
          <w:b w:val="false"/>
          <w:i w:val="false"/>
          <w:caps w:val="false"/>
          <w:smallCaps w:val="false"/>
          <w:sz w:val="20"/>
        </w:rPr>
        <w:t>1,000,000 (the “Convertible Notes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Convertible Notes Financing, the Company also entered into a registration rights agreement with the Investors. So long as the Company complies with certain conditions set forth in the SPA and the registration rights agreement, the Company will sell and the Investors will purchase, an additional $</w:t>
      </w:r>
      <w:bookmarkStart w:id="778" w:name="xdx_909_eus-gaap--DebtInstrumentFaceAmou"/>
      <w:bookmarkEnd w:id="778"/>
      <w:r>
        <w:rPr>
          <w:rFonts w:ascii="Times New Roman;Times;Serif" w:hAnsi="Times New Roman;Times;Serif"/>
          <w:b w:val="false"/>
          <w:i w:val="false"/>
          <w:caps w:val="false"/>
          <w:smallCaps w:val="false"/>
          <w:sz w:val="20"/>
        </w:rPr>
        <w:t>1,080,000 of aggregate principal amount of notes and warrants in the second tranche of the Convertible Note Financing. The second tranche closing has not yet taken 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Convertible Notes carry an original issue discount of approximately </w:t>
      </w:r>
      <w:bookmarkStart w:id="779" w:name="xdx_90E_ecustom--DebtInstrumentOriginalI"/>
      <w:bookmarkEnd w:id="779"/>
      <w:r>
        <w:rPr>
          <w:rFonts w:ascii="Times New Roman;Times;Serif" w:hAnsi="Times New Roman;Times;Serif"/>
          <w:b w:val="false"/>
          <w:i w:val="false"/>
          <w:caps w:val="false"/>
          <w:smallCaps w:val="false"/>
          <w:sz w:val="20"/>
        </w:rPr>
        <w:t xml:space="preserve">7.4%, bear interest at a rate of </w:t>
      </w:r>
      <w:bookmarkStart w:id="780" w:name="xdx_90D_eus-gaap--DebtInstrumentInterest"/>
      <w:bookmarkEnd w:id="780"/>
      <w:r>
        <w:rPr>
          <w:rFonts w:ascii="Times New Roman;Times;Serif" w:hAnsi="Times New Roman;Times;Serif"/>
          <w:b w:val="false"/>
          <w:i w:val="false"/>
          <w:caps w:val="false"/>
          <w:smallCaps w:val="false"/>
          <w:sz w:val="20"/>
        </w:rPr>
        <w:t>7.5% per annum (</w:t>
      </w:r>
      <w:bookmarkStart w:id="781" w:name="xdx_908_ecustom--DebtInstrumentInterestR"/>
      <w:bookmarkEnd w:id="781"/>
      <w:r>
        <w:rPr>
          <w:rFonts w:ascii="Times New Roman;Times;Serif" w:hAnsi="Times New Roman;Times;Serif"/>
          <w:b w:val="false"/>
          <w:i w:val="false"/>
          <w:caps w:val="false"/>
          <w:smallCaps w:val="false"/>
          <w:sz w:val="20"/>
        </w:rPr>
        <w:t xml:space="preserve">16% per annum in case of an event of default), are repayable in equal consecutive monthly installments that began in February 2024 and mature on </w:t>
      </w:r>
      <w:bookmarkStart w:id="782" w:name="xdx_90E_eus-gaap--DebtInstrumentMaturity"/>
      <w:bookmarkEnd w:id="782"/>
      <w:r>
        <w:rPr>
          <w:rFonts w:ascii="Times New Roman;Times;Serif" w:hAnsi="Times New Roman;Times;Serif"/>
          <w:b w:val="false"/>
          <w:i w:val="false"/>
          <w:caps w:val="false"/>
          <w:smallCaps w:val="false"/>
          <w:sz w:val="20"/>
        </w:rPr>
        <w:t>May 24, 2024 (the “Maturity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83" w:name="xdx_901_eus-gaap--DebtInstrumentDescript"/>
      <w:bookmarkEnd w:id="783"/>
      <w:r>
        <w:rPr>
          <w:rFonts w:ascii="Times New Roman;Times;Serif" w:hAnsi="Times New Roman;Times;Serif"/>
          <w:b w:val="false"/>
          <w:i w:val="false"/>
          <w:caps w:val="false"/>
          <w:smallCaps w:val="false"/>
          <w:sz w:val="20"/>
        </w:rPr>
        <w:t>The Convertible Notes may be prepaid by the Company upon giving the Investors a fifteen-trading day notice by paying an amount equal to the then outstanding balance. If the Company enters into a qualifying financing it may be required by the Investors to repay part or all of the Convertible Notes at a 112.5% premium (limited to 10% of the proceeds of the qualified financing, if such financing results in gross proceeds to the Company at least $</w:t>
      </w:r>
      <w:bookmarkStart w:id="784" w:name="xdx_908_eus-gaap--ProceedsFromConvertibl"/>
      <w:bookmarkEnd w:id="784"/>
      <w:r>
        <w:rPr>
          <w:rFonts w:ascii="Times New Roman;Times;Serif" w:hAnsi="Times New Roman;Times;Serif"/>
          <w:b w:val="false"/>
          <w:i w:val="false"/>
          <w:caps w:val="false"/>
          <w:smallCaps w:val="false"/>
          <w:sz w:val="20"/>
        </w:rPr>
        <w:t>5,000,000). In event of default or change of control, the Investors may require the Company to prepay the Convertible Notes at a 120% premium.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ownership limitations, starting three months after their issuance, the Convertible Notes can be converted at the option of the holder at any time into shares of the Company’s Class A common, at a conversion price equal to 90% (85% in case of an event of default) of the average of the three the lowest daily volume weighted average price (“VWAP”) of the Class A common stock during the ten (10) trading days period prior the receipt of the notice of conversion. The conversion price may be adjusted if the Company issues a qualifying security at a lower price than the then 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upon receipt of conversion notice, the Company cannot issue shares of Class A common stock for any reason, then it is required to issue as many shares of Class A common stock as it is able to issue and, with respect to the unconverted principle portion, the Noteholder may elect for the Company to pay for each shares of Class A common stock that could not be issued at a price equal to the higher of the then conversion price or the VWAP as of the date of the conversion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that the Convertible Notes included features that required bifurcation from the debt host and met the criteria to be accounted for as a derivative liability that is accounted for at fair value. On the date of issuance, the compound derivative had an estimated fair value that was not significant due to the remoteness of the events that would trigger the redemption features. The derivative liability uses level 3 inputs, is to be measured at fair value each reporting date with change in fair value being reported in other income. The change in fair value during the three months ended March 31, 2024, was not significant and as such, was not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date of issuance, the Company allocated the proceeds between the instruments issued using fair value for the derivative liability with the residual amounts allocated to the convertible notes and warrants using relative fair value as follows:</w:t>
      </w:r>
    </w:p>
    <w:p>
      <w:pPr>
        <w:pStyle w:val="TextBody"/>
        <w:bidi w:val="0"/>
        <w:spacing w:before="0" w:after="0"/>
        <w:ind w:left="0" w:right="0" w:hanging="0"/>
        <w:jc w:val="both"/>
        <w:rPr>
          <w:caps w:val="false"/>
          <w:smallCaps w:val="false"/>
        </w:rPr>
      </w:pPr>
      <w:bookmarkStart w:id="785" w:name="xdx_89D_eus-gaap--ScheduleOfDebtTableTex"/>
      <w:bookmarkEnd w:id="785"/>
      <w:r>
        <w:rPr>
          <w:caps w:val="false"/>
          <w:smallCaps w:val="false"/>
        </w:rPr>
        <w:t> </w:t>
      </w:r>
      <w:bookmarkStart w:id="786" w:name="xdx_8BD_zAYPhNpO56t2"/>
      <w:bookmarkEnd w:id="786"/>
      <w:r>
        <w:rPr>
          <w:rFonts w:ascii="Times New Roman;Times;Serif" w:hAnsi="Times New Roman;Times;Serif"/>
          <w:b w:val="false"/>
          <w:i w:val="false"/>
          <w:caps w:val="false"/>
          <w:smallCaps w:val="false"/>
          <w:sz w:val="20"/>
        </w:rPr>
        <w:t>SCHEDULE OF PROCEEDS BETWEEN THE INSTRUMENTS</w:t>
      </w:r>
    </w:p>
    <w:tbl>
      <w:tblPr>
        <w:tblW w:w="3045" w:type="dxa"/>
        <w:jc w:val="left"/>
        <w:tblInd w:w="0" w:type="dxa"/>
        <w:tblLayout w:type="fixed"/>
        <w:tblCellMar>
          <w:top w:w="0" w:type="dxa"/>
          <w:left w:w="0" w:type="dxa"/>
          <w:bottom w:w="0" w:type="dxa"/>
          <w:right w:w="0" w:type="dxa"/>
        </w:tblCellMar>
      </w:tblPr>
      <w:tblGrid>
        <w:gridCol w:w="1790"/>
        <w:gridCol w:w="60"/>
        <w:gridCol w:w="140"/>
        <w:gridCol w:w="980"/>
        <w:gridCol w:w="75"/>
      </w:tblGrid>
      <w:tr>
        <w:trPr/>
        <w:tc>
          <w:tcPr>
            <w:tcW w:w="17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87" w:name="xdx_494_20230801__20230831_z7h4HWg9OMF6"/>
            <w:bookmarkEnd w:id="787"/>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788" w:name="xdx_40C_eus-gaap--ProceedsFromConvertibl"/>
            <w:bookmarkEnd w:id="788"/>
          </w:p>
        </w:tc>
      </w:tr>
      <w:tr>
        <w:trPr/>
        <w:tc>
          <w:tcPr>
            <w:tcW w:w="1790" w:type="dxa"/>
            <w:tcBorders/>
            <w:shd w:fill="CCEEFF" w:val="clear"/>
            <w:vAlign w:val="center"/>
          </w:tcPr>
          <w:p>
            <w:pPr>
              <w:pStyle w:val="TableContents"/>
              <w:bidi w:val="0"/>
              <w:spacing w:before="0" w:after="283"/>
              <w:jc w:val="left"/>
              <w:rPr/>
            </w:pPr>
            <w:r>
              <w:rPr/>
              <w:t>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554,246</w:t>
            </w:r>
          </w:p>
        </w:tc>
        <w:tc>
          <w:tcPr>
            <w:tcW w:w="75" w:type="dxa"/>
            <w:tcBorders/>
            <w:shd w:fill="CCEEFF" w:val="clear"/>
            <w:vAlign w:val="center"/>
          </w:tcPr>
          <w:p>
            <w:pPr>
              <w:pStyle w:val="TableContents"/>
              <w:bidi w:val="0"/>
              <w:spacing w:before="0" w:after="283"/>
              <w:jc w:val="left"/>
              <w:rPr/>
            </w:pPr>
            <w:r>
              <w:rPr/>
              <w:t> </w:t>
            </w:r>
            <w:bookmarkStart w:id="789" w:name="xdx_406_ecustom--ProceedsFromIssuanceOfD"/>
            <w:bookmarkEnd w:id="789"/>
          </w:p>
        </w:tc>
      </w:tr>
      <w:tr>
        <w:trPr/>
        <w:tc>
          <w:tcPr>
            <w:tcW w:w="1790" w:type="dxa"/>
            <w:tcBorders/>
            <w:shd w:fill="FFFFFF" w:val="clear"/>
            <w:vAlign w:val="center"/>
          </w:tcPr>
          <w:p>
            <w:pPr>
              <w:pStyle w:val="TableContents"/>
              <w:bidi w:val="0"/>
              <w:spacing w:before="0" w:after="283"/>
              <w:jc w:val="left"/>
              <w:rPr/>
            </w:pPr>
            <w:r>
              <w:rPr/>
              <w:t>Derivative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790" w:name="xdx_404_eus-gaap--ProceedsFromIssuanceOf"/>
            <w:bookmarkEnd w:id="790"/>
          </w:p>
        </w:tc>
      </w:tr>
      <w:tr>
        <w:trPr/>
        <w:tc>
          <w:tcPr>
            <w:tcW w:w="1790" w:type="dxa"/>
            <w:tcBorders/>
            <w:shd w:fill="CCEEFF" w:val="clear"/>
            <w:vAlign w:val="center"/>
          </w:tcPr>
          <w:p>
            <w:pPr>
              <w:pStyle w:val="TableContents"/>
              <w:bidi w:val="0"/>
              <w:spacing w:before="0" w:after="283"/>
              <w:jc w:val="left"/>
              <w:rPr/>
            </w:pPr>
            <w:r>
              <w:rPr/>
              <w:t>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445,754</w:t>
            </w:r>
          </w:p>
        </w:tc>
        <w:tc>
          <w:tcPr>
            <w:tcW w:w="75" w:type="dxa"/>
            <w:tcBorders/>
            <w:shd w:fill="CCEEFF" w:val="clear"/>
            <w:vAlign w:val="center"/>
          </w:tcPr>
          <w:p>
            <w:pPr>
              <w:pStyle w:val="TableContents"/>
              <w:bidi w:val="0"/>
              <w:spacing w:before="0" w:after="283"/>
              <w:jc w:val="left"/>
              <w:rPr/>
            </w:pPr>
            <w:r>
              <w:rPr/>
              <w:t> </w:t>
            </w:r>
            <w:bookmarkStart w:id="791" w:name="xdx_40E_eus-gaap--ProceedsFromIssuanceOf"/>
            <w:bookmarkEnd w:id="791"/>
          </w:p>
        </w:tc>
      </w:tr>
      <w:tr>
        <w:trPr/>
        <w:tc>
          <w:tcPr>
            <w:tcW w:w="1790" w:type="dxa"/>
            <w:tcBorders/>
            <w:shd w:fill="FFFFFF" w:val="clear"/>
            <w:vAlign w:val="center"/>
          </w:tcPr>
          <w:p>
            <w:pPr>
              <w:pStyle w:val="TableContents"/>
              <w:bidi w:val="0"/>
              <w:spacing w:before="0" w:after="283"/>
              <w:jc w:val="left"/>
              <w:rPr/>
            </w:pPr>
            <w:r>
              <w:rPr/>
              <w:t>Total proceeds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1,000,000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92" w:name="xdx_8A4_znkXisFbDWSe"/>
      <w:bookmarkEnd w:id="792"/>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difference of $</w:t>
      </w:r>
      <w:bookmarkStart w:id="793" w:name="xdx_900_eus-gaap--ProceedsFromIssuanceOf"/>
      <w:bookmarkEnd w:id="793"/>
      <w:r>
        <w:rPr>
          <w:rFonts w:ascii="Times New Roman;Times;Serif" w:hAnsi="Times New Roman;Times;Serif"/>
          <w:b w:val="false"/>
          <w:i w:val="false"/>
          <w:caps w:val="false"/>
          <w:smallCaps w:val="false"/>
          <w:sz w:val="20"/>
        </w:rPr>
        <w:t>525,754 between the allocated proceeds to the Convertible Notes and the aggregate principal amount will be accreted during the life of the notes. Additionally, $</w:t>
      </w:r>
      <w:bookmarkStart w:id="794" w:name="xdx_90B_eus-gaap--DebtInstrumentUnamorti"/>
      <w:bookmarkEnd w:id="794"/>
      <w:r>
        <w:rPr>
          <w:rFonts w:ascii="Times New Roman;Times;Serif" w:hAnsi="Times New Roman;Times;Serif"/>
          <w:b w:val="false"/>
          <w:i w:val="false"/>
          <w:caps w:val="false"/>
          <w:smallCaps w:val="false"/>
          <w:sz w:val="20"/>
        </w:rPr>
        <w:t>152,500 of transaction costs incurred by the Company were recorded as debt discount.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Convertible Notes as of March 31, 2024:</w:t>
      </w:r>
    </w:p>
    <w:p>
      <w:pPr>
        <w:pStyle w:val="TextBody"/>
        <w:bidi w:val="0"/>
        <w:spacing w:before="0" w:after="0"/>
        <w:ind w:left="0" w:right="0" w:hanging="0"/>
        <w:jc w:val="both"/>
        <w:rPr>
          <w:caps w:val="false"/>
          <w:smallCaps w:val="false"/>
        </w:rPr>
      </w:pPr>
      <w:bookmarkStart w:id="795" w:name="xdx_895_eus-gaap--ConvertibleDebtTableTe"/>
      <w:bookmarkEnd w:id="795"/>
      <w:r>
        <w:rPr>
          <w:caps w:val="false"/>
          <w:smallCaps w:val="false"/>
        </w:rPr>
        <w:t> </w:t>
      </w:r>
      <w:bookmarkStart w:id="796" w:name="xdx_8BE_zSflPcTsUsCb"/>
      <w:bookmarkEnd w:id="796"/>
      <w:r>
        <w:rPr>
          <w:rFonts w:ascii="Times New Roman;Times;Serif" w:hAnsi="Times New Roman;Times;Serif"/>
          <w:b w:val="false"/>
          <w:i w:val="false"/>
          <w:caps w:val="false"/>
          <w:smallCaps w:val="false"/>
          <w:sz w:val="20"/>
        </w:rPr>
        <w:t>SCHEDULE OF CONVERTIBLE NOTES</w:t>
      </w:r>
    </w:p>
    <w:tbl>
      <w:tblPr>
        <w:tblW w:w="7693" w:type="dxa"/>
        <w:jc w:val="left"/>
        <w:tblInd w:w="0" w:type="dxa"/>
        <w:tblLayout w:type="fixed"/>
        <w:tblCellMar>
          <w:top w:w="0" w:type="dxa"/>
          <w:left w:w="0" w:type="dxa"/>
          <w:bottom w:w="0" w:type="dxa"/>
          <w:right w:w="0" w:type="dxa"/>
        </w:tblCellMar>
      </w:tblPr>
      <w:tblGrid>
        <w:gridCol w:w="1760"/>
        <w:gridCol w:w="60"/>
        <w:gridCol w:w="140"/>
        <w:gridCol w:w="800"/>
        <w:gridCol w:w="60"/>
        <w:gridCol w:w="209"/>
        <w:gridCol w:w="1130"/>
        <w:gridCol w:w="95"/>
        <w:gridCol w:w="60"/>
        <w:gridCol w:w="179"/>
        <w:gridCol w:w="1025"/>
        <w:gridCol w:w="60"/>
        <w:gridCol w:w="60"/>
        <w:gridCol w:w="140"/>
        <w:gridCol w:w="800"/>
        <w:gridCol w:w="60"/>
        <w:gridCol w:w="60"/>
        <w:gridCol w:w="101"/>
        <w:gridCol w:w="819"/>
        <w:gridCol w:w="75"/>
      </w:tblGrid>
      <w:tr>
        <w:trPr/>
        <w:tc>
          <w:tcPr>
            <w:tcW w:w="1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vAlign w:val="center"/>
          </w:tcPr>
          <w:p>
            <w:pPr>
              <w:pStyle w:val="TableContents"/>
              <w:bidi w:val="0"/>
              <w:spacing w:before="0" w:after="283"/>
              <w:jc w:val="center"/>
              <w:rPr/>
            </w:pPr>
            <w:r>
              <w:rPr/>
              <w:t>Principal</w:t>
            </w:r>
          </w:p>
        </w:tc>
        <w:tc>
          <w:tcPr>
            <w:tcW w:w="60" w:type="dxa"/>
            <w:tcBorders/>
            <w:vAlign w:val="center"/>
          </w:tcPr>
          <w:p>
            <w:pPr>
              <w:pStyle w:val="TableContents"/>
              <w:bidi w:val="0"/>
              <w:spacing w:before="0" w:after="283"/>
              <w:jc w:val="center"/>
              <w:rPr/>
            </w:pPr>
            <w:r>
              <w:rPr/>
              <w:t> </w:t>
            </w:r>
          </w:p>
        </w:tc>
        <w:tc>
          <w:tcPr>
            <w:tcW w:w="1339" w:type="dxa"/>
            <w:gridSpan w:val="2"/>
            <w:tcBorders/>
            <w:vAlign w:val="center"/>
          </w:tcPr>
          <w:p>
            <w:pPr>
              <w:pStyle w:val="TableContents"/>
              <w:bidi w:val="0"/>
              <w:spacing w:before="0" w:after="283"/>
              <w:jc w:val="center"/>
              <w:rPr/>
            </w:pPr>
            <w:r>
              <w:rPr/>
              <w:t xml:space="preserve">Unamortized </w:t>
              <w:br/>
              <w:t xml:space="preserve">debt discount </w:t>
              <w:br/>
              <w:t>and issuance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04" w:type="dxa"/>
            <w:gridSpan w:val="2"/>
            <w:tcBorders/>
            <w:vAlign w:val="center"/>
          </w:tcPr>
          <w:p>
            <w:pPr>
              <w:pStyle w:val="TableContents"/>
              <w:bidi w:val="0"/>
              <w:spacing w:before="0" w:after="283"/>
              <w:jc w:val="center"/>
              <w:rPr/>
            </w:pPr>
            <w:r>
              <w:rPr/>
              <w:t>Net carrying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80" w:type="dxa"/>
            <w:gridSpan w:val="6"/>
            <w:tcBorders>
              <w:bottom w:val="single" w:sz="12" w:space="0" w:color="000000"/>
            </w:tcBorders>
            <w:tcMar>
              <w:bottom w:w="28" w:type="dxa"/>
            </w:tcMar>
            <w:vAlign w:val="center"/>
          </w:tcPr>
          <w:p>
            <w:pPr>
              <w:pStyle w:val="TableContents"/>
              <w:bidi w:val="0"/>
              <w:spacing w:before="0" w:after="283"/>
              <w:jc w:val="center"/>
              <w:rPr/>
            </w:pPr>
            <w:r>
              <w:rPr/>
              <w:t>Fair value</w:t>
            </w:r>
          </w:p>
        </w:tc>
        <w:tc>
          <w:tcPr>
            <w:tcW w:w="75" w:type="dxa"/>
            <w:tcBorders/>
            <w:vAlign w:val="center"/>
          </w:tcPr>
          <w:p>
            <w:pPr>
              <w:pStyle w:val="TableContents"/>
              <w:bidi w:val="0"/>
              <w:spacing w:before="0" w:after="283"/>
              <w:jc w:val="center"/>
              <w:rPr/>
            </w:pPr>
            <w:r>
              <w:rPr/>
              <w:t> </w:t>
            </w:r>
          </w:p>
        </w:tc>
      </w:tr>
      <w:tr>
        <w:trPr/>
        <w:tc>
          <w:tcPr>
            <w:tcW w:w="1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center"/>
              <w:rPr/>
            </w:pPr>
            <w:r>
              <w:rPr/>
              <w:t> </w:t>
            </w:r>
          </w:p>
        </w:tc>
        <w:tc>
          <w:tcPr>
            <w:tcW w:w="1339" w:type="dxa"/>
            <w:gridSpan w:val="2"/>
            <w:tcBorders>
              <w:bottom w:val="single" w:sz="12" w:space="0" w:color="000000"/>
            </w:tcBorders>
            <w:tcMar>
              <w:bottom w:w="28" w:type="dxa"/>
            </w:tcMar>
            <w:vAlign w:val="center"/>
          </w:tcPr>
          <w:p>
            <w:pPr>
              <w:pStyle w:val="TableContents"/>
              <w:bidi w:val="0"/>
              <w:spacing w:before="0" w:after="283"/>
              <w:jc w:val="center"/>
              <w:rPr/>
            </w:pPr>
            <w:r>
              <w:rPr/>
              <w:t>costs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pPr>
            <w:r>
              <w:rPr/>
              <w:t>Levelling</w:t>
            </w:r>
          </w:p>
        </w:tc>
        <w:tc>
          <w:tcPr>
            <w:tcW w:w="75" w:type="dxa"/>
            <w:tcBorders/>
            <w:vAlign w:val="center"/>
          </w:tcPr>
          <w:p>
            <w:pPr>
              <w:pStyle w:val="TableContents"/>
              <w:bidi w:val="0"/>
              <w:spacing w:before="0" w:after="283"/>
              <w:jc w:val="center"/>
              <w:rPr/>
            </w:pPr>
            <w:r>
              <w:rPr/>
              <w:t> </w:t>
            </w:r>
          </w:p>
        </w:tc>
      </w:tr>
      <w:tr>
        <w:trPr/>
        <w:tc>
          <w:tcPr>
            <w:tcW w:w="1760" w:type="dxa"/>
            <w:tcBorders/>
            <w:shd w:fill="CCEEFF" w:val="clear"/>
            <w:vAlign w:val="center"/>
          </w:tcPr>
          <w:p>
            <w:pPr>
              <w:pStyle w:val="TableContents"/>
              <w:bidi w:val="0"/>
              <w:spacing w:before="0" w:after="283"/>
              <w:jc w:val="left"/>
              <w:rPr/>
            </w:pPr>
            <w:r>
              <w:rPr/>
              <w:t>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97" w:name="xdx_988_eus-gaap--DebtInstrumentFaceAmou"/>
            <w:bookmarkEnd w:id="797"/>
          </w:p>
        </w:tc>
        <w:tc>
          <w:tcPr>
            <w:tcW w:w="800" w:type="dxa"/>
            <w:tcBorders/>
            <w:shd w:fill="CCEEFF" w:val="clear"/>
            <w:vAlign w:val="center"/>
          </w:tcPr>
          <w:p>
            <w:pPr>
              <w:pStyle w:val="TableContents"/>
              <w:bidi w:val="0"/>
              <w:spacing w:before="0" w:after="283"/>
              <w:jc w:val="right"/>
              <w:rPr/>
            </w:pPr>
            <w:r>
              <w:rPr/>
              <w:t>713,114</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bookmarkStart w:id="798" w:name="xdx_98F_eus-gaap--DebtInstrumentUnamorti"/>
            <w:bookmarkEnd w:id="798"/>
          </w:p>
        </w:tc>
        <w:tc>
          <w:tcPr>
            <w:tcW w:w="1130" w:type="dxa"/>
            <w:tcBorders/>
            <w:shd w:fill="CCEEFF" w:val="clear"/>
            <w:vAlign w:val="center"/>
          </w:tcPr>
          <w:p>
            <w:pPr>
              <w:pStyle w:val="TableContents"/>
              <w:bidi w:val="0"/>
              <w:spacing w:before="0" w:after="283"/>
              <w:jc w:val="right"/>
              <w:rPr/>
            </w:pPr>
            <w:r>
              <w:rPr/>
              <w:t>(10,830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bookmarkStart w:id="799" w:name="xdx_989_eus-gaap--DebtInstrumentCarrying"/>
            <w:bookmarkEnd w:id="799"/>
          </w:p>
        </w:tc>
        <w:tc>
          <w:tcPr>
            <w:tcW w:w="1025" w:type="dxa"/>
            <w:tcBorders/>
            <w:shd w:fill="CCEEFF" w:val="clear"/>
            <w:vAlign w:val="center"/>
          </w:tcPr>
          <w:p>
            <w:pPr>
              <w:pStyle w:val="TableContents"/>
              <w:bidi w:val="0"/>
              <w:spacing w:before="0" w:after="283"/>
              <w:jc w:val="right"/>
              <w:rPr/>
            </w:pPr>
            <w:r>
              <w:rPr/>
              <w:t>702,284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800" w:name="xdx_984_eus-gaap--DebtInstrumentFairValu"/>
            <w:bookmarkEnd w:id="800"/>
          </w:p>
        </w:tc>
        <w:tc>
          <w:tcPr>
            <w:tcW w:w="800" w:type="dxa"/>
            <w:tcBorders/>
            <w:shd w:fill="CCEEFF" w:val="clear"/>
            <w:vAlign w:val="center"/>
          </w:tcPr>
          <w:p>
            <w:pPr>
              <w:pStyle w:val="TableContents"/>
              <w:bidi w:val="0"/>
              <w:spacing w:before="0" w:after="283"/>
              <w:jc w:val="right"/>
              <w:rPr/>
            </w:pPr>
            <w:r>
              <w:rPr/>
              <w:t>254,238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Level 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Convertible Notes as of December 31, 2023:</w:t>
      </w:r>
    </w:p>
    <w:p>
      <w:pPr>
        <w:pStyle w:val="TextBody"/>
        <w:bidi w:val="0"/>
        <w:spacing w:before="0" w:after="0"/>
        <w:ind w:left="0" w:right="0" w:hanging="0"/>
        <w:jc w:val="both"/>
        <w:rPr>
          <w:caps w:val="false"/>
          <w:smallCaps w:val="false"/>
        </w:rPr>
      </w:pPr>
      <w:r>
        <w:rPr>
          <w:caps w:val="false"/>
          <w:smallCaps w:val="false"/>
        </w:rPr>
        <w:t> </w:t>
      </w:r>
    </w:p>
    <w:tbl>
      <w:tblPr>
        <w:tblW w:w="7693" w:type="dxa"/>
        <w:jc w:val="left"/>
        <w:tblInd w:w="0" w:type="dxa"/>
        <w:tblLayout w:type="fixed"/>
        <w:tblCellMar>
          <w:top w:w="0" w:type="dxa"/>
          <w:left w:w="0" w:type="dxa"/>
          <w:bottom w:w="0" w:type="dxa"/>
          <w:right w:w="0" w:type="dxa"/>
        </w:tblCellMar>
      </w:tblPr>
      <w:tblGrid>
        <w:gridCol w:w="1760"/>
        <w:gridCol w:w="60"/>
        <w:gridCol w:w="140"/>
        <w:gridCol w:w="800"/>
        <w:gridCol w:w="60"/>
        <w:gridCol w:w="209"/>
        <w:gridCol w:w="1130"/>
        <w:gridCol w:w="95"/>
        <w:gridCol w:w="60"/>
        <w:gridCol w:w="179"/>
        <w:gridCol w:w="1025"/>
        <w:gridCol w:w="60"/>
        <w:gridCol w:w="60"/>
        <w:gridCol w:w="140"/>
        <w:gridCol w:w="800"/>
        <w:gridCol w:w="60"/>
        <w:gridCol w:w="60"/>
        <w:gridCol w:w="101"/>
        <w:gridCol w:w="819"/>
        <w:gridCol w:w="75"/>
      </w:tblGrid>
      <w:tr>
        <w:trPr/>
        <w:tc>
          <w:tcPr>
            <w:tcW w:w="1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vAlign w:val="center"/>
          </w:tcPr>
          <w:p>
            <w:pPr>
              <w:pStyle w:val="TableContents"/>
              <w:bidi w:val="0"/>
              <w:spacing w:before="0" w:after="283"/>
              <w:jc w:val="center"/>
              <w:rPr/>
            </w:pPr>
            <w:r>
              <w:rPr/>
              <w:t>Principal</w:t>
            </w:r>
          </w:p>
        </w:tc>
        <w:tc>
          <w:tcPr>
            <w:tcW w:w="60" w:type="dxa"/>
            <w:tcBorders/>
            <w:vAlign w:val="center"/>
          </w:tcPr>
          <w:p>
            <w:pPr>
              <w:pStyle w:val="TableContents"/>
              <w:bidi w:val="0"/>
              <w:spacing w:before="0" w:after="283"/>
              <w:jc w:val="center"/>
              <w:rPr/>
            </w:pPr>
            <w:r>
              <w:rPr/>
              <w:t> </w:t>
            </w:r>
          </w:p>
        </w:tc>
        <w:tc>
          <w:tcPr>
            <w:tcW w:w="1339" w:type="dxa"/>
            <w:gridSpan w:val="2"/>
            <w:tcBorders/>
            <w:vAlign w:val="center"/>
          </w:tcPr>
          <w:p>
            <w:pPr>
              <w:pStyle w:val="TableContents"/>
              <w:bidi w:val="0"/>
              <w:spacing w:before="0" w:after="283"/>
              <w:jc w:val="center"/>
              <w:rPr/>
            </w:pPr>
            <w:r>
              <w:rPr/>
              <w:t xml:space="preserve">Unamortized </w:t>
              <w:br/>
              <w:t xml:space="preserve">debt discount </w:t>
              <w:br/>
              <w:t>and issuance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04" w:type="dxa"/>
            <w:gridSpan w:val="2"/>
            <w:tcBorders/>
            <w:vAlign w:val="center"/>
          </w:tcPr>
          <w:p>
            <w:pPr>
              <w:pStyle w:val="TableContents"/>
              <w:bidi w:val="0"/>
              <w:spacing w:before="0" w:after="283"/>
              <w:jc w:val="center"/>
              <w:rPr/>
            </w:pPr>
            <w:r>
              <w:rPr/>
              <w:t>Net carrying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80" w:type="dxa"/>
            <w:gridSpan w:val="6"/>
            <w:tcBorders>
              <w:bottom w:val="single" w:sz="12" w:space="0" w:color="000000"/>
            </w:tcBorders>
            <w:tcMar>
              <w:bottom w:w="28" w:type="dxa"/>
            </w:tcMar>
            <w:vAlign w:val="center"/>
          </w:tcPr>
          <w:p>
            <w:pPr>
              <w:pStyle w:val="TableContents"/>
              <w:bidi w:val="0"/>
              <w:spacing w:before="0" w:after="283"/>
              <w:jc w:val="center"/>
              <w:rPr/>
            </w:pPr>
            <w:r>
              <w:rPr/>
              <w:t>Fair value</w:t>
            </w:r>
          </w:p>
        </w:tc>
        <w:tc>
          <w:tcPr>
            <w:tcW w:w="75" w:type="dxa"/>
            <w:tcBorders/>
            <w:vAlign w:val="center"/>
          </w:tcPr>
          <w:p>
            <w:pPr>
              <w:pStyle w:val="TableContents"/>
              <w:bidi w:val="0"/>
              <w:spacing w:before="0" w:after="283"/>
              <w:jc w:val="center"/>
              <w:rPr/>
            </w:pPr>
            <w:r>
              <w:rPr/>
              <w:t> </w:t>
            </w:r>
          </w:p>
        </w:tc>
      </w:tr>
      <w:tr>
        <w:trPr/>
        <w:tc>
          <w:tcPr>
            <w:tcW w:w="1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center"/>
              <w:rPr/>
            </w:pPr>
            <w:r>
              <w:rPr/>
              <w:t> </w:t>
            </w:r>
          </w:p>
        </w:tc>
        <w:tc>
          <w:tcPr>
            <w:tcW w:w="1339" w:type="dxa"/>
            <w:gridSpan w:val="2"/>
            <w:tcBorders>
              <w:bottom w:val="single" w:sz="12" w:space="0" w:color="000000"/>
            </w:tcBorders>
            <w:tcMar>
              <w:bottom w:w="28" w:type="dxa"/>
            </w:tcMar>
            <w:vAlign w:val="center"/>
          </w:tcPr>
          <w:p>
            <w:pPr>
              <w:pStyle w:val="TableContents"/>
              <w:bidi w:val="0"/>
              <w:spacing w:before="0" w:after="283"/>
              <w:jc w:val="center"/>
              <w:rPr/>
            </w:pPr>
            <w:r>
              <w:rPr/>
              <w:t>costs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pPr>
            <w:r>
              <w:rPr/>
              <w:t>Levelling</w:t>
            </w:r>
          </w:p>
        </w:tc>
        <w:tc>
          <w:tcPr>
            <w:tcW w:w="75" w:type="dxa"/>
            <w:tcBorders/>
            <w:vAlign w:val="center"/>
          </w:tcPr>
          <w:p>
            <w:pPr>
              <w:pStyle w:val="TableContents"/>
              <w:bidi w:val="0"/>
              <w:spacing w:before="0" w:after="283"/>
              <w:jc w:val="center"/>
              <w:rPr/>
            </w:pPr>
            <w:r>
              <w:rPr/>
              <w:t> </w:t>
            </w:r>
          </w:p>
        </w:tc>
      </w:tr>
      <w:tr>
        <w:trPr/>
        <w:tc>
          <w:tcPr>
            <w:tcW w:w="1760" w:type="dxa"/>
            <w:tcBorders/>
            <w:shd w:fill="CCEEFF" w:val="clear"/>
            <w:vAlign w:val="center"/>
          </w:tcPr>
          <w:p>
            <w:pPr>
              <w:pStyle w:val="TableContents"/>
              <w:bidi w:val="0"/>
              <w:spacing w:before="0" w:after="283"/>
              <w:jc w:val="left"/>
              <w:rPr/>
            </w:pPr>
            <w:r>
              <w:rPr/>
              <w:t>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801" w:name="xdx_98D_eus-gaap--DebtInstrumentFaceAmou"/>
            <w:bookmarkEnd w:id="801"/>
          </w:p>
        </w:tc>
        <w:tc>
          <w:tcPr>
            <w:tcW w:w="800" w:type="dxa"/>
            <w:tcBorders/>
            <w:shd w:fill="CCEEFF" w:val="clear"/>
            <w:vAlign w:val="center"/>
          </w:tcPr>
          <w:p>
            <w:pPr>
              <w:pStyle w:val="TableContents"/>
              <w:bidi w:val="0"/>
              <w:spacing w:before="0" w:after="283"/>
              <w:jc w:val="right"/>
              <w:rPr/>
            </w:pPr>
            <w:r>
              <w:rPr/>
              <w:t>860,910</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bookmarkStart w:id="802" w:name="xdx_98B_eus-gaap--DebtInstrumentUnamorti"/>
            <w:bookmarkEnd w:id="802"/>
          </w:p>
        </w:tc>
        <w:tc>
          <w:tcPr>
            <w:tcW w:w="1130" w:type="dxa"/>
            <w:tcBorders/>
            <w:shd w:fill="CCEEFF" w:val="clear"/>
            <w:vAlign w:val="center"/>
          </w:tcPr>
          <w:p>
            <w:pPr>
              <w:pStyle w:val="TableContents"/>
              <w:bidi w:val="0"/>
              <w:spacing w:before="0" w:after="283"/>
              <w:jc w:val="right"/>
              <w:rPr/>
            </w:pPr>
            <w:r>
              <w:rPr/>
              <w:t>(63,549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bookmarkStart w:id="803" w:name="xdx_98E_eus-gaap--DebtInstrumentCarrying"/>
            <w:bookmarkEnd w:id="803"/>
          </w:p>
        </w:tc>
        <w:tc>
          <w:tcPr>
            <w:tcW w:w="1025" w:type="dxa"/>
            <w:tcBorders/>
            <w:shd w:fill="CCEEFF" w:val="clear"/>
            <w:vAlign w:val="center"/>
          </w:tcPr>
          <w:p>
            <w:pPr>
              <w:pStyle w:val="TableContents"/>
              <w:bidi w:val="0"/>
              <w:spacing w:before="0" w:after="283"/>
              <w:jc w:val="right"/>
              <w:rPr/>
            </w:pPr>
            <w:r>
              <w:rPr/>
              <w:t>797,361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804" w:name="xdx_98C_eus-gaap--DebtInstrumentFairValu"/>
            <w:bookmarkEnd w:id="804"/>
          </w:p>
        </w:tc>
        <w:tc>
          <w:tcPr>
            <w:tcW w:w="800" w:type="dxa"/>
            <w:tcBorders/>
            <w:shd w:fill="CCEEFF" w:val="clear"/>
            <w:vAlign w:val="center"/>
          </w:tcPr>
          <w:p>
            <w:pPr>
              <w:pStyle w:val="TableContents"/>
              <w:bidi w:val="0"/>
              <w:spacing w:before="0" w:after="283"/>
              <w:jc w:val="right"/>
              <w:rPr/>
            </w:pPr>
            <w:r>
              <w:rPr/>
              <w:t>536,170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Level 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05" w:name="xdx_8A1_z9TOBfyksaHj"/>
      <w:bookmarkEnd w:id="80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debt discount is being amortized to interest expense over the maturity period using the effective interest method at a rate of </w:t>
      </w:r>
      <w:bookmarkStart w:id="806" w:name="xdx_909_eus-gaap--DebtInstrumentInterest"/>
      <w:bookmarkEnd w:id="806"/>
      <w:r>
        <w:rPr>
          <w:rFonts w:ascii="Times New Roman;Times;Serif" w:hAnsi="Times New Roman;Times;Serif"/>
          <w:b w:val="false"/>
          <w:i w:val="false"/>
          <w:caps w:val="false"/>
          <w:smallCaps w:val="false"/>
          <w:sz w:val="20"/>
        </w:rPr>
        <w:t>103.4%. The effective interest rate is based on the principal balance discounted by stated interest, debt issuance costs and fair value allocated to the related warrants. For the three months ended March 31, 2024, the Company recognized $</w:t>
      </w:r>
      <w:bookmarkStart w:id="807" w:name="xdx_907_eus-gaap--InterestExpenseDebt_c2"/>
      <w:bookmarkEnd w:id="807"/>
      <w:r>
        <w:rPr>
          <w:rFonts w:ascii="Times New Roman;Times;Serif" w:hAnsi="Times New Roman;Times;Serif"/>
          <w:b w:val="false"/>
          <w:i w:val="false"/>
          <w:caps w:val="false"/>
          <w:smallCaps w:val="false"/>
          <w:sz w:val="20"/>
        </w:rPr>
        <w:t>252,820 of interest expense related to the Convertible Notes, comprising of $</w:t>
      </w:r>
      <w:bookmarkStart w:id="808" w:name="xdx_901_eus-gaap--ContractualInterestExp"/>
      <w:bookmarkEnd w:id="808"/>
      <w:r>
        <w:rPr>
          <w:rFonts w:ascii="Times New Roman;Times;Serif" w:hAnsi="Times New Roman;Times;Serif"/>
          <w:b w:val="false"/>
          <w:i w:val="false"/>
          <w:caps w:val="false"/>
          <w:smallCaps w:val="false"/>
          <w:sz w:val="20"/>
        </w:rPr>
        <w:t>18,347 of contractual interest expense, $</w:t>
      </w:r>
      <w:bookmarkStart w:id="809" w:name="xdx_900_eus-gaap--AccretionExpense_c2024"/>
      <w:bookmarkEnd w:id="809"/>
      <w:r>
        <w:rPr>
          <w:rFonts w:ascii="Times New Roman;Times;Serif" w:hAnsi="Times New Roman;Times;Serif"/>
          <w:b w:val="false"/>
          <w:i w:val="false"/>
          <w:caps w:val="false"/>
          <w:smallCaps w:val="false"/>
          <w:sz w:val="20"/>
        </w:rPr>
        <w:t>181,754 in accretion and $</w:t>
      </w:r>
      <w:bookmarkStart w:id="810" w:name="xdx_901_eus-gaap--AmortizationOfDebtDisc"/>
      <w:bookmarkEnd w:id="810"/>
      <w:r>
        <w:rPr>
          <w:rFonts w:ascii="Times New Roman;Times;Serif" w:hAnsi="Times New Roman;Times;Serif"/>
          <w:b w:val="false"/>
          <w:i w:val="false"/>
          <w:caps w:val="false"/>
          <w:smallCaps w:val="false"/>
          <w:sz w:val="20"/>
        </w:rPr>
        <w:t>52,719 of amortization of debt discount and issuance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2024 the Company repaid $</w:t>
      </w:r>
      <w:bookmarkStart w:id="811" w:name="xdx_90A_eus-gaap--DebtInstrumentAnnualPr"/>
      <w:bookmarkEnd w:id="811"/>
      <w:r>
        <w:rPr>
          <w:rFonts w:ascii="Times New Roman;Times;Serif" w:hAnsi="Times New Roman;Times;Serif"/>
          <w:b w:val="false"/>
          <w:i w:val="false"/>
          <w:caps w:val="false"/>
          <w:smallCaps w:val="false"/>
          <w:sz w:val="20"/>
        </w:rPr>
        <w:t>312,075 of principal and accrued interest and the investors converted $</w:t>
      </w:r>
      <w:bookmarkStart w:id="812" w:name="xdx_905_eus-gaap--StockIssuedDuringPerio"/>
      <w:bookmarkEnd w:id="812"/>
      <w:r>
        <w:rPr>
          <w:rFonts w:ascii="Times New Roman;Times;Serif" w:hAnsi="Times New Roman;Times;Serif"/>
          <w:b w:val="false"/>
          <w:i w:val="false"/>
          <w:caps w:val="false"/>
          <w:smallCaps w:val="false"/>
          <w:sz w:val="20"/>
        </w:rPr>
        <w:t xml:space="preserve">60,000 of principal into </w:t>
      </w:r>
      <w:bookmarkStart w:id="813" w:name="xdx_909_eus-gaap--StockIssuedDuringPerio"/>
      <w:bookmarkEnd w:id="813"/>
      <w:r>
        <w:rPr>
          <w:rFonts w:ascii="Times New Roman;Times;Serif" w:hAnsi="Times New Roman;Times;Serif"/>
          <w:b w:val="false"/>
          <w:i w:val="false"/>
          <w:caps w:val="false"/>
          <w:smallCaps w:val="false"/>
          <w:sz w:val="20"/>
        </w:rPr>
        <w:t>71,460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convertible note warrants allow the Investors to purchase an aggregate of </w:t>
      </w:r>
      <w:bookmarkStart w:id="814" w:name="xdx_90F_eus-gaap--CommonStockSharesAutho"/>
      <w:bookmarkEnd w:id="814"/>
      <w:r>
        <w:rPr>
          <w:rFonts w:ascii="Times New Roman;Times;Serif" w:hAnsi="Times New Roman;Times;Serif"/>
          <w:b w:val="false"/>
          <w:i w:val="false"/>
          <w:caps w:val="false"/>
          <w:smallCaps w:val="false"/>
          <w:sz w:val="20"/>
        </w:rPr>
        <w:t>714,285 shares of the Company’s Class A common stock at an exercise price of $</w:t>
      </w:r>
      <w:bookmarkStart w:id="815" w:name="xdx_906_eus-gaap--CommonStockParOrStated"/>
      <w:bookmarkEnd w:id="815"/>
      <w:r>
        <w:rPr>
          <w:rFonts w:ascii="Times New Roman;Times;Serif" w:hAnsi="Times New Roman;Times;Serif"/>
          <w:b w:val="false"/>
          <w:i w:val="false"/>
          <w:caps w:val="false"/>
          <w:smallCaps w:val="false"/>
          <w:sz w:val="20"/>
        </w:rPr>
        <w:t>1.89. The warrants can be exercised, subject to certain ownership limitations, in whole or in part during the exercise period commencing on November 24, 2023 and ending on the date that is five years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the number of shares of the warrants are subject to adjustment for standard anti-dilution provisions and also for subsequent issuance at a price lower than the then exercise price and adjustments to the strike price of other equity-linked instruments to a lower price than the then exercise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their adjustment provisions, the warrants are classified as a liability on the condensed consolidated balance sheet. The fair value of the warrants at issuance has been estimated using a Monte-Carlo model and the following significant inputs:</w:t>
      </w:r>
    </w:p>
    <w:p>
      <w:pPr>
        <w:pStyle w:val="TextBody"/>
        <w:bidi w:val="0"/>
        <w:spacing w:before="0" w:after="0"/>
        <w:ind w:left="0" w:right="0" w:hanging="0"/>
        <w:jc w:val="both"/>
        <w:rPr>
          <w:caps w:val="false"/>
          <w:smallCaps w:val="false"/>
        </w:rPr>
      </w:pPr>
      <w:bookmarkStart w:id="816" w:name="xdx_89A_eus-gaap--ScheduleOfStockholders"/>
      <w:bookmarkEnd w:id="816"/>
      <w:r>
        <w:rPr>
          <w:caps w:val="false"/>
          <w:smallCaps w:val="false"/>
        </w:rPr>
        <w:t> </w:t>
      </w:r>
      <w:bookmarkStart w:id="817" w:name="xdx_8BB_zT1wiFmm5sCe"/>
      <w:bookmarkEnd w:id="817"/>
      <w:r>
        <w:rPr>
          <w:rFonts w:ascii="Times New Roman;Times;Serif" w:hAnsi="Times New Roman;Times;Serif"/>
          <w:b w:val="false"/>
          <w:i w:val="false"/>
          <w:caps w:val="false"/>
          <w:smallCaps w:val="false"/>
          <w:sz w:val="20"/>
        </w:rPr>
        <w:t>SCHEDULE OF STOCK BASED WARRANTS</w:t>
      </w:r>
    </w:p>
    <w:tbl>
      <w:tblPr>
        <w:tblW w:w="4823" w:type="dxa"/>
        <w:jc w:val="left"/>
        <w:tblInd w:w="0" w:type="dxa"/>
        <w:tblLayout w:type="fixed"/>
        <w:tblCellMar>
          <w:top w:w="0" w:type="dxa"/>
          <w:left w:w="0" w:type="dxa"/>
          <w:bottom w:w="0" w:type="dxa"/>
          <w:right w:w="0" w:type="dxa"/>
        </w:tblCellMar>
      </w:tblPr>
      <w:tblGrid>
        <w:gridCol w:w="2315"/>
        <w:gridCol w:w="60"/>
        <w:gridCol w:w="214"/>
        <w:gridCol w:w="675"/>
        <w:gridCol w:w="215"/>
        <w:gridCol w:w="60"/>
        <w:gridCol w:w="254"/>
        <w:gridCol w:w="800"/>
        <w:gridCol w:w="230"/>
      </w:tblGrid>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Issuance </w:t>
              <w:br/>
              <w:t>date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March 31, </w:t>
              <w:br/>
              <w:t>2024</w:t>
            </w:r>
          </w:p>
        </w:tc>
        <w:tc>
          <w:tcPr>
            <w:tcW w:w="230"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bookmarkStart w:id="818" w:name="xdx_98E_eus-gaap--SharePrice_iI_c2023083"/>
            <w:bookmarkEnd w:id="818"/>
          </w:p>
        </w:tc>
        <w:tc>
          <w:tcPr>
            <w:tcW w:w="675" w:type="dxa"/>
            <w:tcBorders/>
            <w:shd w:fill="CCEEFF" w:val="clear"/>
            <w:vAlign w:val="center"/>
          </w:tcPr>
          <w:p>
            <w:pPr>
              <w:pStyle w:val="TableContents"/>
              <w:bidi w:val="0"/>
              <w:spacing w:before="0" w:after="283"/>
              <w:jc w:val="right"/>
              <w:rPr/>
            </w:pPr>
            <w:r>
              <w:rPr/>
              <w:t>1.35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w:t>
            </w:r>
            <w:bookmarkStart w:id="819" w:name="xdx_989_eus-gaap--SharePrice_iI_c2024033"/>
            <w:bookmarkEnd w:id="819"/>
          </w:p>
        </w:tc>
        <w:tc>
          <w:tcPr>
            <w:tcW w:w="800" w:type="dxa"/>
            <w:tcBorders/>
            <w:shd w:fill="CCEEFF" w:val="clear"/>
            <w:vAlign w:val="center"/>
          </w:tcPr>
          <w:p>
            <w:pPr>
              <w:pStyle w:val="TableContents"/>
              <w:bidi w:val="0"/>
              <w:spacing w:before="0" w:after="283"/>
              <w:jc w:val="right"/>
              <w:rPr/>
            </w:pPr>
            <w:r>
              <w:rPr/>
              <w:t>.99</w:t>
            </w:r>
          </w:p>
        </w:tc>
        <w:tc>
          <w:tcPr>
            <w:tcW w:w="23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bookmarkStart w:id="820" w:name="xdx_988_eus-gaap--ShareBasedCompensation"/>
            <w:bookmarkEnd w:id="820"/>
          </w:p>
        </w:tc>
        <w:tc>
          <w:tcPr>
            <w:tcW w:w="675" w:type="dxa"/>
            <w:tcBorders/>
            <w:shd w:fill="FFFFFF" w:val="clear"/>
            <w:vAlign w:val="center"/>
          </w:tcPr>
          <w:p>
            <w:pPr>
              <w:pStyle w:val="TableContents"/>
              <w:bidi w:val="0"/>
              <w:spacing w:before="0" w:after="283"/>
              <w:jc w:val="right"/>
              <w:rPr/>
            </w:pPr>
            <w:r>
              <w:rPr/>
              <w:t>1.89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w:t>
            </w:r>
            <w:bookmarkStart w:id="821" w:name="xdx_98F_eus-gaap--ShareBasedCompensation"/>
            <w:bookmarkEnd w:id="821"/>
          </w:p>
        </w:tc>
        <w:tc>
          <w:tcPr>
            <w:tcW w:w="800" w:type="dxa"/>
            <w:tcBorders/>
            <w:shd w:fill="FFFFFF" w:val="clear"/>
            <w:vAlign w:val="center"/>
          </w:tcPr>
          <w:p>
            <w:pPr>
              <w:pStyle w:val="TableContents"/>
              <w:bidi w:val="0"/>
              <w:spacing w:before="0" w:after="283"/>
              <w:jc w:val="right"/>
              <w:rPr/>
            </w:pPr>
            <w:r>
              <w:rPr/>
              <w:t>1.89</w:t>
            </w:r>
          </w:p>
        </w:tc>
        <w:tc>
          <w:tcPr>
            <w:tcW w:w="23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Contractual term (years)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bookmarkStart w:id="822" w:name="xdx_98C_eus-gaap--SharebasedCompensation"/>
            <w:bookmarkEnd w:id="822"/>
          </w:p>
        </w:tc>
        <w:tc>
          <w:tcPr>
            <w:tcW w:w="675" w:type="dxa"/>
            <w:tcBorders/>
            <w:shd w:fill="CCEEFF" w:val="clear"/>
            <w:vAlign w:val="center"/>
          </w:tcPr>
          <w:p>
            <w:pPr>
              <w:pStyle w:val="TableContents"/>
              <w:bidi w:val="0"/>
              <w:spacing w:before="0" w:after="283"/>
              <w:jc w:val="right"/>
              <w:rPr/>
            </w:pPr>
            <w:r>
              <w:rPr/>
              <w:t>5.0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bookmarkStart w:id="823" w:name="xdx_980_eus-gaap--SharebasedCompensation"/>
            <w:bookmarkEnd w:id="823"/>
          </w:p>
        </w:tc>
        <w:tc>
          <w:tcPr>
            <w:tcW w:w="800" w:type="dxa"/>
            <w:tcBorders/>
            <w:shd w:fill="CCEEFF" w:val="clear"/>
            <w:vAlign w:val="center"/>
          </w:tcPr>
          <w:p>
            <w:pPr>
              <w:pStyle w:val="TableContents"/>
              <w:bidi w:val="0"/>
              <w:spacing w:before="0" w:after="283"/>
              <w:jc w:val="right"/>
              <w:rPr/>
            </w:pPr>
            <w:r>
              <w:rPr/>
              <w:t>4.4</w:t>
            </w:r>
          </w:p>
        </w:tc>
        <w:tc>
          <w:tcPr>
            <w:tcW w:w="23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bookmarkStart w:id="824" w:name="xdx_986_eus-gaap--ShareBasedCompensation"/>
            <w:bookmarkEnd w:id="824"/>
          </w:p>
        </w:tc>
        <w:tc>
          <w:tcPr>
            <w:tcW w:w="675" w:type="dxa"/>
            <w:tcBorders/>
            <w:shd w:fill="FFFFFF" w:val="clear"/>
            <w:vAlign w:val="center"/>
          </w:tcPr>
          <w:p>
            <w:pPr>
              <w:pStyle w:val="TableContents"/>
              <w:bidi w:val="0"/>
              <w:spacing w:before="0" w:after="283"/>
              <w:jc w:val="right"/>
              <w:rPr/>
            </w:pPr>
            <w:r>
              <w:rPr/>
              <w:t>60.0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bookmarkStart w:id="825" w:name="xdx_987_eus-gaap--ShareBasedCompensation"/>
            <w:bookmarkEnd w:id="825"/>
          </w:p>
        </w:tc>
        <w:tc>
          <w:tcPr>
            <w:tcW w:w="800" w:type="dxa"/>
            <w:tcBorders/>
            <w:shd w:fill="FFFFFF" w:val="clear"/>
            <w:vAlign w:val="center"/>
          </w:tcPr>
          <w:p>
            <w:pPr>
              <w:pStyle w:val="TableContents"/>
              <w:bidi w:val="0"/>
              <w:spacing w:before="0" w:after="283"/>
              <w:jc w:val="right"/>
              <w:rPr/>
            </w:pPr>
            <w:r>
              <w:rPr/>
              <w:t>60.0</w:t>
            </w:r>
          </w:p>
        </w:tc>
        <w:tc>
          <w:tcPr>
            <w:tcW w:w="230" w:type="dxa"/>
            <w:tcBorders/>
            <w:shd w:fill="FFFFFF" w:val="clear"/>
            <w:vAlign w:val="center"/>
          </w:tcPr>
          <w:p>
            <w:pPr>
              <w:pStyle w:val="TableContents"/>
              <w:bidi w:val="0"/>
              <w:spacing w:before="0" w:after="283"/>
              <w:jc w:val="left"/>
              <w:rPr/>
            </w:pPr>
            <w:r>
              <w:rPr/>
              <w:t>%</w:t>
            </w:r>
          </w:p>
        </w:tc>
      </w:tr>
      <w:tr>
        <w:trPr/>
        <w:tc>
          <w:tcPr>
            <w:tcW w:w="2315"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bookmarkStart w:id="826" w:name="xdx_98A_eus-gaap--ShareBasedCompensation"/>
            <w:bookmarkEnd w:id="826"/>
          </w:p>
        </w:tc>
        <w:tc>
          <w:tcPr>
            <w:tcW w:w="675" w:type="dxa"/>
            <w:tcBorders/>
            <w:shd w:fill="CCEEFF" w:val="clear"/>
            <w:vAlign w:val="center"/>
          </w:tcPr>
          <w:p>
            <w:pPr>
              <w:pStyle w:val="TableContents"/>
              <w:bidi w:val="0"/>
              <w:spacing w:before="0" w:after="283"/>
              <w:jc w:val="right"/>
              <w:rPr/>
            </w:pPr>
            <w:r>
              <w:rPr/>
              <w:t>4.39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bookmarkStart w:id="827" w:name="xdx_981_eus-gaap--ShareBasedCompensation"/>
            <w:bookmarkEnd w:id="827"/>
          </w:p>
        </w:tc>
        <w:tc>
          <w:tcPr>
            <w:tcW w:w="800" w:type="dxa"/>
            <w:tcBorders/>
            <w:shd w:fill="CCEEFF" w:val="clear"/>
            <w:vAlign w:val="center"/>
          </w:tcPr>
          <w:p>
            <w:pPr>
              <w:pStyle w:val="TableContents"/>
              <w:bidi w:val="0"/>
              <w:spacing w:before="0" w:after="283"/>
              <w:jc w:val="right"/>
              <w:rPr/>
            </w:pPr>
            <w:r>
              <w:rPr/>
              <w:t>4.27</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828" w:name="xdx_8AC_z7ikJJ3SE7Z3"/>
      <w:bookmarkEnd w:id="82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liability, which uses level 3 inputs, is to be measured at fair value each reporting period with the change in fair value being recognized in other income (expense). The measured fair value may be uncertain due to the use of unobservable inputs. At March 31, 2024 and December 31, 2023, the fair value of the warrant liability was $</w:t>
      </w:r>
      <w:bookmarkStart w:id="829" w:name="xdx_903_eus-gaap--FairValueAdjustmentOfW"/>
      <w:bookmarkEnd w:id="829"/>
      <w:r>
        <w:rPr>
          <w:rFonts w:ascii="Times New Roman;Times;Serif" w:hAnsi="Times New Roman;Times;Serif"/>
          <w:b w:val="false"/>
          <w:i w:val="false"/>
          <w:caps w:val="false"/>
          <w:smallCaps w:val="false"/>
          <w:sz w:val="20"/>
        </w:rPr>
        <w:t>485,382 and $</w:t>
      </w:r>
      <w:bookmarkStart w:id="830" w:name="xdx_907_eus-gaap--FairValueAdjustmentOfW"/>
      <w:bookmarkEnd w:id="830"/>
      <w:r>
        <w:rPr>
          <w:rFonts w:ascii="Times New Roman;Times;Serif" w:hAnsi="Times New Roman;Times;Serif"/>
          <w:b w:val="false"/>
          <w:i w:val="false"/>
          <w:caps w:val="false"/>
          <w:smallCaps w:val="false"/>
          <w:sz w:val="20"/>
        </w:rPr>
        <w:t>480,281, respectively, and was included in the accrued expenses and other liabilities in the Company’s condensed consolidated balance sheets. The changes in fair value during the three months ended March 31, 2024, amounted to a charge of $</w:t>
      </w:r>
      <w:bookmarkStart w:id="831" w:name="xdx_904_eus-gaap--OtherIncome_c20240101_"/>
      <w:bookmarkEnd w:id="831"/>
      <w:r>
        <w:rPr>
          <w:rFonts w:ascii="Times New Roman;Times;Serif" w:hAnsi="Times New Roman;Times;Serif"/>
          <w:b w:val="false"/>
          <w:i w:val="false"/>
          <w:caps w:val="false"/>
          <w:smallCaps w:val="false"/>
          <w:sz w:val="20"/>
        </w:rPr>
        <w:t>5,101 included in other income in our condensed consolidated statements of operations and comprehensive income (loss) and in changes in accrued expenses and other liabilities in our condensed consolidated statements of cash flows.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Line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2023, the Company entered into a common stock purchase agreement (the “Equity Line Purchase Agreement”) and a registration rights agreement (the “Registration Rights Agreement”) with an investor, pursuant to which the investor has committed to purchase up to $</w:t>
      </w:r>
      <w:bookmarkStart w:id="832" w:name="xdx_90E_eus-gaap--StockIssuedDuringPerio"/>
      <w:bookmarkEnd w:id="832"/>
      <w:r>
        <w:rPr>
          <w:rFonts w:ascii="Times New Roman;Times;Serif" w:hAnsi="Times New Roman;Times;Serif"/>
          <w:b w:val="false"/>
          <w:i w:val="false"/>
          <w:caps w:val="false"/>
          <w:smallCaps w:val="false"/>
          <w:sz w:val="20"/>
        </w:rPr>
        <w:t xml:space="preserve">5,000,000 in shares of the Company’s Class A common stock, subject to certain limitations and conditions set forth in the Equity Line Purchase Agreement. The Company shall not issue or sell any shares of common stock under the Equity Line Purchase Agreement which, when aggregated with all other shares of common stock beneficially owned by the investor, would result in beneficial ownership of more than </w:t>
      </w:r>
      <w:bookmarkStart w:id="833" w:name="xdx_90A_eus-gaap--EquityMethodInvestment"/>
      <w:bookmarkEnd w:id="833"/>
      <w:r>
        <w:rPr>
          <w:rFonts w:ascii="Times New Roman;Times;Serif" w:hAnsi="Times New Roman;Times;Serif"/>
          <w:b w:val="false"/>
          <w:i w:val="false"/>
          <w:caps w:val="false"/>
          <w:smallCaps w:val="false"/>
          <w:sz w:val="20"/>
        </w:rPr>
        <w:t>9.99% of the Company’s outstanding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Equity Line Purchase Agreement, the Company has the right, but not the obligation, to sell to the investor, shares of Class A common stock over the period commencing on the execution date of the Equity Line Purchase Agreement and ending on the earlier of (i) December 31, 2025, or (ii) the date on which the investor shall have purchased Securities pursuant to the Equity Line Purchase Agreement for an aggregate purchase price of the $</w:t>
      </w:r>
      <w:bookmarkStart w:id="834" w:name="xdx_90C_eus-gaap--StockIssuedDuringPerio"/>
      <w:bookmarkEnd w:id="834"/>
      <w:r>
        <w:rPr>
          <w:rFonts w:ascii="Times New Roman;Times;Serif" w:hAnsi="Times New Roman;Times;Serif"/>
          <w:b w:val="false"/>
          <w:i w:val="false"/>
          <w:caps w:val="false"/>
          <w:smallCaps w:val="false"/>
          <w:sz w:val="20"/>
        </w:rPr>
        <w:t>5,000,000, provided that a registration statement covering the resale of shares of Class A common stock that have been and may be issued under the Equity Line Purchase Agreement is declared effective by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registration statement covering the offer and sale of up </w:t>
      </w:r>
      <w:bookmarkStart w:id="835" w:name="xdx_900_eus-gaap--SaleOfStockNumberOfSha"/>
      <w:bookmarkEnd w:id="835"/>
      <w:r>
        <w:rPr>
          <w:rFonts w:ascii="Times New Roman;Times;Serif" w:hAnsi="Times New Roman;Times;Serif"/>
          <w:b w:val="false"/>
          <w:i w:val="false"/>
          <w:caps w:val="false"/>
          <w:smallCaps w:val="false"/>
          <w:sz w:val="20"/>
        </w:rPr>
        <w:t>15,093,768 shares of Class A common stock was effective on October 10, 2023. The purchase price will be calculated as 92% of the volume weighted average prices of the Company’s common stock during normal trading hours for five business days prior to the closing date with respect of a purchase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Concurrently with the signing of the Equity Line Purchase Agreement, the Company issued the equity line warrant to purchase </w:t>
      </w:r>
      <w:bookmarkStart w:id="836" w:name="xdx_90F_eus-gaap--ClassOfWarrantOrRightO"/>
      <w:bookmarkEnd w:id="836"/>
      <w:r>
        <w:rPr>
          <w:rFonts w:ascii="Times New Roman;Times;Serif" w:hAnsi="Times New Roman;Times;Serif"/>
          <w:b w:val="false"/>
          <w:i w:val="false"/>
          <w:caps w:val="false"/>
          <w:smallCaps w:val="false"/>
          <w:sz w:val="20"/>
        </w:rPr>
        <w:t>367,647 shares of its Class A common stock to the investor as a commitment fee. The total fair value, at the date of issuance, of the equity line warrant of approximately $</w:t>
      </w:r>
      <w:bookmarkStart w:id="837" w:name="xdx_905_eus-gaap--WarrantsAndRightsOutst"/>
      <w:bookmarkEnd w:id="837"/>
      <w:r>
        <w:rPr>
          <w:rFonts w:ascii="Times New Roman;Times;Serif" w:hAnsi="Times New Roman;Times;Serif"/>
          <w:b w:val="false"/>
          <w:i w:val="false"/>
          <w:caps w:val="false"/>
          <w:smallCaps w:val="false"/>
          <w:sz w:val="20"/>
        </w:rPr>
        <w:t>105,411 was recorded as a liability and deferred offering cost and is included in other assets on our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Line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equity line of credit the Company issued to the Investors warrants to purchase an aggregate </w:t>
      </w:r>
      <w:bookmarkStart w:id="838" w:name="xdx_903_eus-gaap--StockIssuedDuringPerio"/>
      <w:bookmarkEnd w:id="838"/>
      <w:r>
        <w:rPr>
          <w:rFonts w:ascii="Times New Roman;Times;Serif" w:hAnsi="Times New Roman;Times;Serif"/>
          <w:b w:val="false"/>
          <w:i w:val="false"/>
          <w:caps w:val="false"/>
          <w:smallCaps w:val="false"/>
          <w:sz w:val="20"/>
        </w:rPr>
        <w:t>367,647 shares of the Company’s Class A common stock for an exercise price of $</w:t>
      </w:r>
      <w:bookmarkStart w:id="839" w:name="xdx_901_eus-gaap--CommonStockParOrStated"/>
      <w:bookmarkEnd w:id="839"/>
      <w:r>
        <w:rPr>
          <w:rFonts w:ascii="Times New Roman;Times;Serif" w:hAnsi="Times New Roman;Times;Serif"/>
          <w:b w:val="false"/>
          <w:i w:val="false"/>
          <w:caps w:val="false"/>
          <w:smallCaps w:val="false"/>
          <w:sz w:val="20"/>
        </w:rPr>
        <w:t>1.50. The warrants can be exercised, subject to certain ownership limitations, in whole or in part during the exercise period commencing on August 24, 2023 and ending on the date that is five years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the number of shares of the warrants are subject to adjustment for standard anti-dilution provisions, for subsequent common share issuance at a price lower than the then exercise price of the warrants and adjustments to the strike price of other equity-linked instruments to a lower price than the then exercise price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their adjustment provision, the warrants are classified as a liability on the consolidated balance sheet. The fair value of the warrants at issuance has been estimated using a Monte-Carlo model and the following significant inputs:</w:t>
      </w:r>
    </w:p>
    <w:p>
      <w:pPr>
        <w:pStyle w:val="TextBody"/>
        <w:bidi w:val="0"/>
        <w:spacing w:before="0" w:after="0"/>
        <w:ind w:left="0" w:right="0" w:hanging="0"/>
        <w:jc w:val="both"/>
        <w:rPr>
          <w:caps w:val="false"/>
          <w:smallCaps w:val="false"/>
        </w:rPr>
      </w:pPr>
      <w:bookmarkStart w:id="840" w:name="xdx_89B_eus-gaap--ScheduleOfStockholders"/>
      <w:bookmarkEnd w:id="840"/>
      <w:r>
        <w:rPr>
          <w:caps w:val="false"/>
          <w:smallCaps w:val="false"/>
        </w:rPr>
        <w:t> </w:t>
      </w:r>
      <w:bookmarkStart w:id="841" w:name="xdx_8BB_zt72PyZEsqa1"/>
      <w:bookmarkEnd w:id="841"/>
      <w:r>
        <w:rPr>
          <w:rFonts w:ascii="Times New Roman;Times;Serif" w:hAnsi="Times New Roman;Times;Serif"/>
          <w:b w:val="false"/>
          <w:i w:val="false"/>
          <w:caps w:val="false"/>
          <w:smallCaps w:val="false"/>
          <w:sz w:val="20"/>
        </w:rPr>
        <w:t>SCHEDULE OF STOCK BASED WARRANTS</w:t>
      </w:r>
    </w:p>
    <w:tbl>
      <w:tblPr>
        <w:tblW w:w="4823" w:type="dxa"/>
        <w:jc w:val="left"/>
        <w:tblInd w:w="0" w:type="dxa"/>
        <w:tblLayout w:type="fixed"/>
        <w:tblCellMar>
          <w:top w:w="0" w:type="dxa"/>
          <w:left w:w="0" w:type="dxa"/>
          <w:bottom w:w="0" w:type="dxa"/>
          <w:right w:w="0" w:type="dxa"/>
        </w:tblCellMar>
      </w:tblPr>
      <w:tblGrid>
        <w:gridCol w:w="2315"/>
        <w:gridCol w:w="60"/>
        <w:gridCol w:w="214"/>
        <w:gridCol w:w="675"/>
        <w:gridCol w:w="215"/>
        <w:gridCol w:w="60"/>
        <w:gridCol w:w="254"/>
        <w:gridCol w:w="800"/>
        <w:gridCol w:w="230"/>
      </w:tblGrid>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Issuance </w:t>
              <w:br/>
              <w:t>date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March 31, </w:t>
              <w:br/>
              <w:t>2024</w:t>
            </w:r>
          </w:p>
        </w:tc>
        <w:tc>
          <w:tcPr>
            <w:tcW w:w="230"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bookmarkStart w:id="842" w:name="xdx_982_eus-gaap--SharePrice_iI_c2023083"/>
            <w:bookmarkEnd w:id="842"/>
          </w:p>
        </w:tc>
        <w:tc>
          <w:tcPr>
            <w:tcW w:w="675" w:type="dxa"/>
            <w:tcBorders/>
            <w:shd w:fill="CCEEFF" w:val="clear"/>
            <w:vAlign w:val="center"/>
          </w:tcPr>
          <w:p>
            <w:pPr>
              <w:pStyle w:val="TableContents"/>
              <w:bidi w:val="0"/>
              <w:spacing w:before="0" w:after="283"/>
              <w:jc w:val="right"/>
              <w:rPr/>
            </w:pPr>
            <w:r>
              <w:rPr/>
              <w:t>1.35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w:t>
            </w:r>
            <w:bookmarkStart w:id="843" w:name="xdx_983_eus-gaap--SharePrice_iI_c2024033"/>
            <w:bookmarkEnd w:id="843"/>
          </w:p>
        </w:tc>
        <w:tc>
          <w:tcPr>
            <w:tcW w:w="800" w:type="dxa"/>
            <w:tcBorders/>
            <w:shd w:fill="CCEEFF" w:val="clear"/>
            <w:vAlign w:val="center"/>
          </w:tcPr>
          <w:p>
            <w:pPr>
              <w:pStyle w:val="TableContents"/>
              <w:bidi w:val="0"/>
              <w:spacing w:before="0" w:after="283"/>
              <w:jc w:val="right"/>
              <w:rPr/>
            </w:pPr>
            <w:r>
              <w:rPr/>
              <w:t>.99</w:t>
            </w:r>
          </w:p>
        </w:tc>
        <w:tc>
          <w:tcPr>
            <w:tcW w:w="23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bookmarkStart w:id="844" w:name="xdx_98D_eus-gaap--ShareBasedCompensation"/>
            <w:bookmarkEnd w:id="844"/>
          </w:p>
        </w:tc>
        <w:tc>
          <w:tcPr>
            <w:tcW w:w="675" w:type="dxa"/>
            <w:tcBorders/>
            <w:shd w:fill="FFFFFF" w:val="clear"/>
            <w:vAlign w:val="center"/>
          </w:tcPr>
          <w:p>
            <w:pPr>
              <w:pStyle w:val="TableContents"/>
              <w:bidi w:val="0"/>
              <w:spacing w:before="0" w:after="283"/>
              <w:jc w:val="right"/>
              <w:rPr/>
            </w:pPr>
            <w:r>
              <w:rPr/>
              <w:t>1.50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w:t>
            </w:r>
            <w:bookmarkStart w:id="845" w:name="xdx_985_eus-gaap--ShareBasedCompensation"/>
            <w:bookmarkEnd w:id="845"/>
          </w:p>
        </w:tc>
        <w:tc>
          <w:tcPr>
            <w:tcW w:w="800" w:type="dxa"/>
            <w:tcBorders/>
            <w:shd w:fill="FFFFFF" w:val="clear"/>
            <w:vAlign w:val="center"/>
          </w:tcPr>
          <w:p>
            <w:pPr>
              <w:pStyle w:val="TableContents"/>
              <w:bidi w:val="0"/>
              <w:spacing w:before="0" w:after="283"/>
              <w:jc w:val="right"/>
              <w:rPr/>
            </w:pPr>
            <w:r>
              <w:rPr/>
              <w:t>1.50</w:t>
            </w:r>
          </w:p>
        </w:tc>
        <w:tc>
          <w:tcPr>
            <w:tcW w:w="23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Contractual term (years)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bookmarkStart w:id="846" w:name="xdx_989_eus-gaap--SharebasedCompensation"/>
            <w:bookmarkEnd w:id="846"/>
          </w:p>
        </w:tc>
        <w:tc>
          <w:tcPr>
            <w:tcW w:w="675" w:type="dxa"/>
            <w:tcBorders/>
            <w:shd w:fill="CCEEFF" w:val="clear"/>
            <w:vAlign w:val="center"/>
          </w:tcPr>
          <w:p>
            <w:pPr>
              <w:pStyle w:val="TableContents"/>
              <w:bidi w:val="0"/>
              <w:spacing w:before="0" w:after="283"/>
              <w:jc w:val="right"/>
              <w:rPr/>
            </w:pPr>
            <w:r>
              <w:rPr/>
              <w:t>5.0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bookmarkStart w:id="847" w:name="xdx_98D_eus-gaap--SharebasedCompensation"/>
            <w:bookmarkEnd w:id="847"/>
          </w:p>
        </w:tc>
        <w:tc>
          <w:tcPr>
            <w:tcW w:w="800" w:type="dxa"/>
            <w:tcBorders/>
            <w:shd w:fill="CCEEFF" w:val="clear"/>
            <w:vAlign w:val="center"/>
          </w:tcPr>
          <w:p>
            <w:pPr>
              <w:pStyle w:val="TableContents"/>
              <w:bidi w:val="0"/>
              <w:spacing w:before="0" w:after="283"/>
              <w:jc w:val="right"/>
              <w:rPr/>
            </w:pPr>
            <w:r>
              <w:rPr/>
              <w:t>4.4</w:t>
            </w:r>
          </w:p>
        </w:tc>
        <w:tc>
          <w:tcPr>
            <w:tcW w:w="23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bookmarkStart w:id="848" w:name="xdx_989_eus-gaap--ShareBasedCompensation"/>
            <w:bookmarkEnd w:id="848"/>
          </w:p>
        </w:tc>
        <w:tc>
          <w:tcPr>
            <w:tcW w:w="675" w:type="dxa"/>
            <w:tcBorders/>
            <w:shd w:fill="FFFFFF" w:val="clear"/>
            <w:vAlign w:val="center"/>
          </w:tcPr>
          <w:p>
            <w:pPr>
              <w:pStyle w:val="TableContents"/>
              <w:bidi w:val="0"/>
              <w:spacing w:before="0" w:after="283"/>
              <w:jc w:val="right"/>
              <w:rPr/>
            </w:pPr>
            <w:r>
              <w:rPr/>
              <w:t>40.0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bookmarkStart w:id="849" w:name="xdx_98C_eus-gaap--ShareBasedCompensation"/>
            <w:bookmarkEnd w:id="849"/>
          </w:p>
        </w:tc>
        <w:tc>
          <w:tcPr>
            <w:tcW w:w="800" w:type="dxa"/>
            <w:tcBorders/>
            <w:shd w:fill="FFFFFF" w:val="clear"/>
            <w:vAlign w:val="center"/>
          </w:tcPr>
          <w:p>
            <w:pPr>
              <w:pStyle w:val="TableContents"/>
              <w:bidi w:val="0"/>
              <w:spacing w:before="0" w:after="283"/>
              <w:jc w:val="right"/>
              <w:rPr/>
            </w:pPr>
            <w:r>
              <w:rPr/>
              <w:t>60.0</w:t>
            </w:r>
          </w:p>
        </w:tc>
        <w:tc>
          <w:tcPr>
            <w:tcW w:w="230" w:type="dxa"/>
            <w:tcBorders/>
            <w:shd w:fill="FFFFFF" w:val="clear"/>
            <w:vAlign w:val="center"/>
          </w:tcPr>
          <w:p>
            <w:pPr>
              <w:pStyle w:val="TableContents"/>
              <w:bidi w:val="0"/>
              <w:spacing w:before="0" w:after="283"/>
              <w:jc w:val="left"/>
              <w:rPr/>
            </w:pPr>
            <w:r>
              <w:rPr/>
              <w:t>%</w:t>
            </w:r>
          </w:p>
        </w:tc>
      </w:tr>
      <w:tr>
        <w:trPr/>
        <w:tc>
          <w:tcPr>
            <w:tcW w:w="2315"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bookmarkStart w:id="850" w:name="xdx_987_eus-gaap--ShareBasedCompensation"/>
            <w:bookmarkEnd w:id="850"/>
          </w:p>
        </w:tc>
        <w:tc>
          <w:tcPr>
            <w:tcW w:w="675" w:type="dxa"/>
            <w:tcBorders/>
            <w:shd w:fill="CCEEFF" w:val="clear"/>
            <w:vAlign w:val="center"/>
          </w:tcPr>
          <w:p>
            <w:pPr>
              <w:pStyle w:val="TableContents"/>
              <w:bidi w:val="0"/>
              <w:spacing w:before="0" w:after="283"/>
              <w:jc w:val="right"/>
              <w:rPr/>
            </w:pPr>
            <w:r>
              <w:rPr/>
              <w:t>5.49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bookmarkStart w:id="851" w:name="xdx_982_eus-gaap--ShareBasedCompensation"/>
            <w:bookmarkEnd w:id="851"/>
          </w:p>
        </w:tc>
        <w:tc>
          <w:tcPr>
            <w:tcW w:w="800" w:type="dxa"/>
            <w:tcBorders/>
            <w:shd w:fill="CCEEFF" w:val="clear"/>
            <w:vAlign w:val="center"/>
          </w:tcPr>
          <w:p>
            <w:pPr>
              <w:pStyle w:val="TableContents"/>
              <w:bidi w:val="0"/>
              <w:spacing w:before="0" w:after="283"/>
              <w:jc w:val="right"/>
              <w:rPr/>
            </w:pPr>
            <w:r>
              <w:rPr/>
              <w:t>4.27</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852" w:name="xdx_8A8_zZ0ryof9jaKk"/>
      <w:bookmarkEnd w:id="85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liability, which uses level 3 inputs, is to be measured at fair value at each reporting period and with the change in fair value being recognized in earnings. The measured fair value may be uncertain due to the use of unobservable inputs. At March 31, 2024 and December 31, 2023, the fair value of the warrant liability was $</w:t>
      </w:r>
      <w:bookmarkStart w:id="853" w:name="xdx_905_eus-gaap--FairValueAdjustmentOfW"/>
      <w:bookmarkEnd w:id="853"/>
      <w:r>
        <w:rPr>
          <w:rFonts w:ascii="Times New Roman;Times;Serif" w:hAnsi="Times New Roman;Times;Serif"/>
          <w:b w:val="false"/>
          <w:i w:val="false"/>
          <w:caps w:val="false"/>
          <w:smallCaps w:val="false"/>
          <w:sz w:val="20"/>
        </w:rPr>
        <w:t>94,147 and $</w:t>
      </w:r>
      <w:bookmarkStart w:id="854" w:name="xdx_905_eus-gaap--FairValueAdjustmentOfW"/>
      <w:bookmarkEnd w:id="854"/>
      <w:r>
        <w:rPr>
          <w:rFonts w:ascii="Times New Roman;Times;Serif" w:hAnsi="Times New Roman;Times;Serif"/>
          <w:b w:val="false"/>
          <w:i w:val="false"/>
          <w:caps w:val="false"/>
          <w:smallCaps w:val="false"/>
          <w:sz w:val="20"/>
        </w:rPr>
        <w:t>103,767, respectively, and included in the accrued expenses and other liabilities in the Company’s condensed consolidated balance sheets. The changes in fair value during the three months ended March 31, 2024 amounted to an income of $</w:t>
      </w:r>
      <w:bookmarkStart w:id="855" w:name="xdx_900_eus-gaap--OtherIncome_c20240101_"/>
      <w:bookmarkEnd w:id="855"/>
      <w:r>
        <w:rPr>
          <w:rFonts w:ascii="Times New Roman;Times;Serif" w:hAnsi="Times New Roman;Times;Serif"/>
          <w:b w:val="false"/>
          <w:i w:val="false"/>
          <w:caps w:val="false"/>
          <w:smallCaps w:val="false"/>
          <w:sz w:val="20"/>
        </w:rPr>
        <w:t>9,620 and is included in other income in our condensed consolidated statements of operations and comprehensive income (loss) and in changes in accrued expenses and other liabilities in our condensed consolidated statements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Units (“RSUs”)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RSUs granted to directors vest based on the directors’ continued employment with us through each applicable vest date, which is generally over </w:t>
      </w:r>
      <w:bookmarkStart w:id="856" w:name="xdx_904_eus-gaap--ShareBasedCompensation"/>
      <w:bookmarkEnd w:id="856"/>
      <w:r>
        <w:rPr>
          <w:rFonts w:ascii="Times New Roman;Times;Serif" w:hAnsi="Times New Roman;Times;Serif"/>
          <w:b w:val="false"/>
          <w:i w:val="false"/>
          <w:caps w:val="false"/>
          <w:smallCaps w:val="false"/>
          <w:sz w:val="20"/>
        </w:rPr>
        <w:t>one year. If the vesting conditions are not met, unvested RSUs will be forfeited. The following table summarizes our RSU units activity with directors for the three months ended March 31, 2024 and 2023.</w:t>
      </w:r>
    </w:p>
    <w:p>
      <w:pPr>
        <w:pStyle w:val="TextBody"/>
        <w:bidi w:val="0"/>
        <w:spacing w:before="0" w:after="0"/>
        <w:ind w:left="0" w:right="0" w:hanging="0"/>
        <w:jc w:val="both"/>
        <w:rPr>
          <w:caps w:val="false"/>
          <w:smallCaps w:val="false"/>
        </w:rPr>
      </w:pPr>
      <w:bookmarkStart w:id="857" w:name="xdx_89E_eus-gaap--ScheduleOfShareBasedCo"/>
      <w:bookmarkEnd w:id="857"/>
      <w:r>
        <w:rPr>
          <w:caps w:val="false"/>
          <w:smallCaps w:val="false"/>
        </w:rPr>
        <w:t> </w:t>
      </w:r>
      <w:bookmarkStart w:id="858" w:name="xdx_8BE_zJryltCPxl89"/>
      <w:bookmarkEnd w:id="858"/>
      <w:r>
        <w:rPr>
          <w:rFonts w:ascii="Times New Roman;Times;Serif" w:hAnsi="Times New Roman;Times;Serif"/>
          <w:b w:val="false"/>
          <w:i w:val="false"/>
          <w:caps w:val="false"/>
          <w:smallCaps w:val="false"/>
          <w:sz w:val="20"/>
        </w:rPr>
        <w:t>SCHEDULE OF RESTRICTED STOCK UNITS ACTIVITY</w:t>
      </w:r>
    </w:p>
    <w:tbl>
      <w:tblPr>
        <w:tblW w:w="6174" w:type="dxa"/>
        <w:jc w:val="left"/>
        <w:tblInd w:w="0" w:type="dxa"/>
        <w:tblLayout w:type="fixed"/>
        <w:tblCellMar>
          <w:top w:w="0" w:type="dxa"/>
          <w:left w:w="0" w:type="dxa"/>
          <w:bottom w:w="0" w:type="dxa"/>
          <w:right w:w="0" w:type="dxa"/>
        </w:tblCellMar>
      </w:tblPr>
      <w:tblGrid>
        <w:gridCol w:w="3275"/>
        <w:gridCol w:w="60"/>
        <w:gridCol w:w="70"/>
        <w:gridCol w:w="894"/>
        <w:gridCol w:w="95"/>
        <w:gridCol w:w="60"/>
        <w:gridCol w:w="344"/>
        <w:gridCol w:w="1266"/>
        <w:gridCol w:w="110"/>
      </w:tblGrid>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Units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Grant-Date </w:t>
              <w:br/>
              <w:t>Fair Values</w:t>
            </w:r>
          </w:p>
        </w:tc>
        <w:tc>
          <w:tcPr>
            <w:tcW w:w="110" w:type="dxa"/>
            <w:tcBorders/>
            <w:vAlign w:val="center"/>
          </w:tcPr>
          <w:p>
            <w:pPr>
              <w:pStyle w:val="TableContents"/>
              <w:bidi w:val="0"/>
              <w:spacing w:before="0" w:after="283"/>
              <w:jc w:val="center"/>
              <w:rPr/>
            </w:pPr>
            <w:r>
              <w:rPr/>
              <w:t> </w:t>
            </w:r>
          </w:p>
        </w:tc>
      </w:tr>
      <w:tr>
        <w:trPr/>
        <w:tc>
          <w:tcPr>
            <w:tcW w:w="3275" w:type="dxa"/>
            <w:tcBorders/>
            <w:shd w:fill="CCEEFF" w:val="clear"/>
            <w:vAlign w:val="center"/>
          </w:tcPr>
          <w:p>
            <w:pPr>
              <w:pStyle w:val="TableContents"/>
              <w:bidi w:val="0"/>
              <w:spacing w:before="0" w:after="283"/>
              <w:jc w:val="left"/>
              <w:rPr/>
            </w:pPr>
            <w:r>
              <w:rPr/>
              <w:t>Outstanding as of January 1, 2024</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bookmarkStart w:id="859" w:name="xdx_986_eus-gaap--ShareBasedCompensation"/>
            <w:bookmarkEnd w:id="859"/>
          </w:p>
        </w:tc>
        <w:tc>
          <w:tcPr>
            <w:tcW w:w="894" w:type="dxa"/>
            <w:tcBorders/>
            <w:shd w:fill="CCEEFF" w:val="clear"/>
            <w:vAlign w:val="center"/>
          </w:tcPr>
          <w:p>
            <w:pPr>
              <w:pStyle w:val="TableContents"/>
              <w:bidi w:val="0"/>
              <w:spacing w:before="0" w:after="283"/>
              <w:jc w:val="right"/>
              <w:rPr/>
            </w:pPr>
            <w:r>
              <w:rPr/>
              <w:t>43,478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w:t>
            </w:r>
            <w:bookmarkStart w:id="860" w:name="xdx_98B_eus-gaap--ShareBasedCompensation"/>
            <w:bookmarkEnd w:id="860"/>
          </w:p>
        </w:tc>
        <w:tc>
          <w:tcPr>
            <w:tcW w:w="1266" w:type="dxa"/>
            <w:tcBorders/>
            <w:shd w:fill="CCEEFF" w:val="clear"/>
            <w:vAlign w:val="center"/>
          </w:tcPr>
          <w:p>
            <w:pPr>
              <w:pStyle w:val="TableContents"/>
              <w:bidi w:val="0"/>
              <w:spacing w:before="0" w:after="283"/>
              <w:jc w:val="right"/>
              <w:rPr/>
            </w:pPr>
            <w:r>
              <w:rPr/>
              <w:t>1.38</w:t>
            </w:r>
          </w:p>
        </w:tc>
        <w:tc>
          <w:tcPr>
            <w:tcW w:w="11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bookmarkStart w:id="861" w:name="xdx_984_eus-gaap--ShareBasedCompensation"/>
            <w:bookmarkEnd w:id="861"/>
          </w:p>
        </w:tc>
        <w:tc>
          <w:tcPr>
            <w:tcW w:w="89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bookmarkStart w:id="862" w:name="xdx_986_eus-gaap--ShareBasedCompensation"/>
            <w:bookmarkEnd w:id="862"/>
          </w:p>
        </w:tc>
        <w:tc>
          <w:tcPr>
            <w:tcW w:w="126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bookmarkStart w:id="863" w:name="xdx_981_eus-gaap--ShareBasedCompensation"/>
            <w:bookmarkEnd w:id="863"/>
          </w:p>
        </w:tc>
        <w:tc>
          <w:tcPr>
            <w:tcW w:w="894" w:type="dxa"/>
            <w:tcBorders/>
            <w:shd w:fill="CCEEFF" w:val="clear"/>
            <w:vAlign w:val="center"/>
          </w:tcPr>
          <w:p>
            <w:pPr>
              <w:pStyle w:val="TableContents"/>
              <w:bidi w:val="0"/>
              <w:spacing w:before="0" w:after="283"/>
              <w:jc w:val="right"/>
              <w:rPr/>
            </w:pPr>
            <w:r>
              <w:rPr/>
              <w:t>(10,869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bookmarkStart w:id="864" w:name="xdx_982_eus-gaap--ShareBasedCompensation"/>
            <w:bookmarkEnd w:id="864"/>
          </w:p>
        </w:tc>
        <w:tc>
          <w:tcPr>
            <w:tcW w:w="1266" w:type="dxa"/>
            <w:tcBorders/>
            <w:shd w:fill="CCEEFF" w:val="clear"/>
            <w:vAlign w:val="center"/>
          </w:tcPr>
          <w:p>
            <w:pPr>
              <w:pStyle w:val="TableContents"/>
              <w:bidi w:val="0"/>
              <w:spacing w:before="0" w:after="283"/>
              <w:jc w:val="right"/>
              <w:rPr/>
            </w:pPr>
            <w:r>
              <w:rPr/>
              <w:t>(1.38</w:t>
            </w:r>
          </w:p>
        </w:tc>
        <w:tc>
          <w:tcPr>
            <w:tcW w:w="110" w:type="dxa"/>
            <w:tcBorders/>
            <w:shd w:fill="CCEEFF" w:val="clear"/>
            <w:vAlign w:val="center"/>
          </w:tcPr>
          <w:p>
            <w:pPr>
              <w:pStyle w:val="TableContents"/>
              <w:bidi w:val="0"/>
              <w:spacing w:before="0" w:after="283"/>
              <w:jc w:val="left"/>
              <w:rPr/>
            </w:pPr>
            <w:r>
              <w:rPr/>
              <w:t>)</w:t>
            </w:r>
          </w:p>
        </w:tc>
      </w:tr>
      <w:tr>
        <w:trPr/>
        <w:tc>
          <w:tcPr>
            <w:tcW w:w="3275" w:type="dxa"/>
            <w:tcBorders/>
            <w:shd w:fill="FFFFFF" w:val="clear"/>
            <w:vAlign w:val="center"/>
          </w:tcPr>
          <w:p>
            <w:pPr>
              <w:pStyle w:val="TableContents"/>
              <w:bidi w:val="0"/>
              <w:spacing w:before="0" w:after="283"/>
              <w:jc w:val="left"/>
              <w:rPr/>
            </w:pPr>
            <w:r>
              <w:rPr/>
              <w:t>Forfeited or cancelled</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865" w:name="xdx_98A_eus-gaap--ShareBasedCompensation"/>
            <w:bookmarkEnd w:id="865"/>
          </w:p>
        </w:tc>
        <w:tc>
          <w:tcPr>
            <w:tcW w:w="89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866" w:name="xdx_980_eus-gaap--ShareBasedCompensation"/>
            <w:bookmarkEnd w:id="866"/>
          </w:p>
        </w:tc>
        <w:tc>
          <w:tcPr>
            <w:tcW w:w="126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Outstanding as of March 31, 2024</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867" w:name="xdx_989_eus-gaap--ShareBasedCompensation"/>
            <w:bookmarkEnd w:id="867"/>
          </w:p>
        </w:tc>
        <w:tc>
          <w:tcPr>
            <w:tcW w:w="894" w:type="dxa"/>
            <w:tcBorders>
              <w:bottom w:val="single" w:sz="12" w:space="0" w:color="000000"/>
            </w:tcBorders>
            <w:shd w:fill="CCEEFF" w:val="clear"/>
            <w:tcMar>
              <w:bottom w:w="28" w:type="dxa"/>
            </w:tcMar>
            <w:vAlign w:val="center"/>
          </w:tcPr>
          <w:p>
            <w:pPr>
              <w:pStyle w:val="TableContents"/>
              <w:bidi w:val="0"/>
              <w:spacing w:before="0" w:after="283"/>
              <w:jc w:val="right"/>
              <w:rPr/>
            </w:pPr>
            <w:r>
              <w:rPr/>
              <w:t>32,609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bookmarkStart w:id="868" w:name="xdx_984_eus-gaap--ShareBasedCompensation"/>
            <w:bookmarkEnd w:id="868"/>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1.38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104" w:type="dxa"/>
        <w:jc w:val="left"/>
        <w:tblInd w:w="0" w:type="dxa"/>
        <w:tblLayout w:type="fixed"/>
        <w:tblCellMar>
          <w:top w:w="0" w:type="dxa"/>
          <w:left w:w="0" w:type="dxa"/>
          <w:bottom w:w="0" w:type="dxa"/>
          <w:right w:w="0" w:type="dxa"/>
        </w:tblCellMar>
      </w:tblPr>
      <w:tblGrid>
        <w:gridCol w:w="3275"/>
        <w:gridCol w:w="60"/>
        <w:gridCol w:w="77"/>
        <w:gridCol w:w="887"/>
        <w:gridCol w:w="60"/>
        <w:gridCol w:w="60"/>
        <w:gridCol w:w="388"/>
        <w:gridCol w:w="1222"/>
        <w:gridCol w:w="75"/>
      </w:tblGrid>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Units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Grant-Date </w:t>
              <w:br/>
              <w:t>Fair Values</w:t>
            </w:r>
          </w:p>
        </w:tc>
        <w:tc>
          <w:tcPr>
            <w:tcW w:w="75" w:type="dxa"/>
            <w:tcBorders/>
            <w:vAlign w:val="center"/>
          </w:tcPr>
          <w:p>
            <w:pPr>
              <w:pStyle w:val="TableContents"/>
              <w:bidi w:val="0"/>
              <w:spacing w:before="0" w:after="283"/>
              <w:jc w:val="center"/>
              <w:rPr/>
            </w:pPr>
            <w:r>
              <w:rPr/>
              <w:t> </w:t>
            </w:r>
          </w:p>
        </w:tc>
      </w:tr>
      <w:tr>
        <w:trPr/>
        <w:tc>
          <w:tcPr>
            <w:tcW w:w="3275" w:type="dxa"/>
            <w:tcBorders/>
            <w:shd w:fill="CCEEFF" w:val="clear"/>
            <w:vAlign w:val="center"/>
          </w:tcPr>
          <w:p>
            <w:pPr>
              <w:pStyle w:val="TableContents"/>
              <w:bidi w:val="0"/>
              <w:spacing w:before="0" w:after="283"/>
              <w:jc w:val="left"/>
              <w:rPr/>
            </w:pPr>
            <w:r>
              <w:rPr/>
              <w:t>Outstanding as of January 1, 2023</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bookmarkStart w:id="869" w:name="xdx_984_eus-gaap--ShareBasedCompensation"/>
            <w:bookmarkEnd w:id="869"/>
          </w:p>
        </w:tc>
        <w:tc>
          <w:tcPr>
            <w:tcW w:w="887" w:type="dxa"/>
            <w:tcBorders/>
            <w:shd w:fill="CCEEFF" w:val="clear"/>
            <w:vAlign w:val="center"/>
          </w:tcPr>
          <w:p>
            <w:pPr>
              <w:pStyle w:val="TableContents"/>
              <w:bidi w:val="0"/>
              <w:spacing w:before="0" w:after="283"/>
              <w:jc w:val="right"/>
              <w:rPr/>
            </w:pPr>
            <w:r>
              <w:rPr/>
              <w:t>24,000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w:t>
            </w:r>
            <w:bookmarkStart w:id="870" w:name="xdx_98E_eus-gaap--ShareBasedCompensation"/>
            <w:bookmarkEnd w:id="870"/>
          </w:p>
        </w:tc>
        <w:tc>
          <w:tcPr>
            <w:tcW w:w="1222" w:type="dxa"/>
            <w:tcBorders/>
            <w:shd w:fill="CCEEFF" w:val="clear"/>
            <w:vAlign w:val="center"/>
          </w:tcPr>
          <w:p>
            <w:pPr>
              <w:pStyle w:val="TableContents"/>
              <w:bidi w:val="0"/>
              <w:spacing w:before="0" w:after="283"/>
              <w:jc w:val="right"/>
              <w:rPr/>
            </w:pPr>
            <w:r>
              <w:rPr/>
              <w:t>5.00</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bookmarkStart w:id="871" w:name="xdx_98F_eus-gaap--ShareBasedCompensation"/>
            <w:bookmarkEnd w:id="871"/>
          </w:p>
        </w:tc>
        <w:tc>
          <w:tcPr>
            <w:tcW w:w="88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bookmarkStart w:id="872" w:name="xdx_98E_eus-gaap--ShareBasedCompensation"/>
            <w:bookmarkEnd w:id="872"/>
          </w:p>
        </w:tc>
        <w:tc>
          <w:tcPr>
            <w:tcW w:w="122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bookmarkStart w:id="873" w:name="xdx_984_eus-gaap--ShareBasedCompensation"/>
            <w:bookmarkEnd w:id="873"/>
          </w:p>
        </w:tc>
        <w:tc>
          <w:tcPr>
            <w:tcW w:w="8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bookmarkStart w:id="874" w:name="xdx_98A_eus-gaap--ShareBasedCompensation"/>
            <w:bookmarkEnd w:id="874"/>
          </w:p>
        </w:tc>
        <w:tc>
          <w:tcPr>
            <w:tcW w:w="122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Forfeited or cancelled</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875" w:name="xdx_98A_eus-gaap--ShareBasedCompensation"/>
            <w:bookmarkEnd w:id="875"/>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876" w:name="xdx_986_eus-gaap--ShareBasedCompensation"/>
            <w:bookmarkEnd w:id="876"/>
          </w:p>
        </w:tc>
        <w:tc>
          <w:tcPr>
            <w:tcW w:w="122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Outstanding as of March 31, 2023</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877" w:name="xdx_985_eus-gaap--ShareBasedCompensation"/>
            <w:bookmarkEnd w:id="877"/>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24,000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bookmarkStart w:id="878" w:name="xdx_982_eus-gaap--ShareBasedCompensation"/>
            <w:bookmarkEnd w:id="878"/>
          </w:p>
        </w:tc>
        <w:tc>
          <w:tcPr>
            <w:tcW w:w="1222" w:type="dxa"/>
            <w:tcBorders>
              <w:bottom w:val="single" w:sz="12" w:space="0" w:color="000000"/>
            </w:tcBorders>
            <w:shd w:fill="CCEEFF" w:val="clear"/>
            <w:tcMar>
              <w:bottom w:w="28" w:type="dxa"/>
            </w:tcMar>
            <w:vAlign w:val="center"/>
          </w:tcPr>
          <w:p>
            <w:pPr>
              <w:pStyle w:val="TableContents"/>
              <w:bidi w:val="0"/>
              <w:spacing w:before="0" w:after="283"/>
              <w:jc w:val="right"/>
              <w:rPr/>
            </w:pPr>
            <w:r>
              <w:rPr/>
              <w:t>5.00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79" w:name="xdx_8A3_zm8xBarHSGT"/>
      <w:bookmarkEnd w:id="87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date fair value of RSUs granted to directors is based on the quoted market price of our common stock on the date of grant.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RSUs granted to employees vest upon the achievement of pre-determined performance-based milestones as well as service conditions (“PSUs”). The pre-determined performance-based milestones are based on specified percentages of the PSUs that would vest at each of the first five anniversaries of the IPO date if the Company’s average annual growth rate (“AAGR”) is calculated to be at a target percentage or above during the period between the Company’s IPO Date and the annual revenue for each of the anniversary year. If these performance-based milestones are not met but service conditions are met, the PSUs will not vest, in which case any compensation expense the Company has recognized to date will be reversed. Generally, the total aggregate measurement period of our PSUs is </w:t>
      </w:r>
      <w:bookmarkStart w:id="880" w:name="xdx_905_eus-gaap--ShareBasedCompensation"/>
      <w:bookmarkEnd w:id="880"/>
      <w:r>
        <w:rPr>
          <w:rFonts w:ascii="Times New Roman;Times;Serif" w:hAnsi="Times New Roman;Times;Serif"/>
          <w:b w:val="false"/>
          <w:i w:val="false"/>
          <w:caps w:val="false"/>
          <w:smallCaps w:val="false"/>
          <w:sz w:val="20"/>
        </w:rPr>
        <w:t>5 years, with awards cliff-vesting after each annual measurement period during the total aggregate measurement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quarter, the Company updates our assessment of the probability that the performance milestones will be achieved. The Company amortizes the fair values of PSUs over the requisite service period. Each performance-based milestone is weighted evenly and the number of shares that vest based on each performance-based milestone is independent from the other.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PSU activity with employees, presented with the maximum number of shares that could potentially vest, for the three months ended March 31, 2024 and 2023.</w:t>
      </w:r>
    </w:p>
    <w:p>
      <w:pPr>
        <w:pStyle w:val="TextBody"/>
        <w:bidi w:val="0"/>
        <w:spacing w:before="0" w:after="0"/>
        <w:ind w:left="0" w:right="0" w:hanging="0"/>
        <w:jc w:val="both"/>
        <w:rPr>
          <w:caps w:val="false"/>
          <w:smallCaps w:val="false"/>
        </w:rPr>
      </w:pPr>
      <w:bookmarkStart w:id="881" w:name="xdx_89D_eus-gaap--ScheduleOfShareBasedCo"/>
      <w:bookmarkEnd w:id="881"/>
      <w:r>
        <w:rPr>
          <w:caps w:val="false"/>
          <w:smallCaps w:val="false"/>
        </w:rPr>
        <w:t> </w:t>
      </w:r>
      <w:bookmarkStart w:id="882" w:name="xdx_8B6_zsx1Pn8m3fU2"/>
      <w:bookmarkEnd w:id="882"/>
      <w:r>
        <w:rPr>
          <w:rFonts w:ascii="Times New Roman;Times;Serif" w:hAnsi="Times New Roman;Times;Serif"/>
          <w:b w:val="false"/>
          <w:i w:val="false"/>
          <w:caps w:val="false"/>
          <w:smallCaps w:val="false"/>
          <w:sz w:val="20"/>
        </w:rPr>
        <w:t>SCHEDULE OF RESTRICTED STOCK UNITS ACTIVITY</w:t>
      </w:r>
    </w:p>
    <w:tbl>
      <w:tblPr>
        <w:tblW w:w="6250" w:type="dxa"/>
        <w:jc w:val="left"/>
        <w:tblInd w:w="0" w:type="dxa"/>
        <w:tblLayout w:type="fixed"/>
        <w:tblCellMar>
          <w:top w:w="0" w:type="dxa"/>
          <w:left w:w="0" w:type="dxa"/>
          <w:bottom w:w="0" w:type="dxa"/>
          <w:right w:w="0" w:type="dxa"/>
        </w:tblCellMar>
      </w:tblPr>
      <w:tblGrid>
        <w:gridCol w:w="3275"/>
        <w:gridCol w:w="60"/>
        <w:gridCol w:w="60"/>
        <w:gridCol w:w="980"/>
        <w:gridCol w:w="95"/>
        <w:gridCol w:w="60"/>
        <w:gridCol w:w="344"/>
        <w:gridCol w:w="1266"/>
        <w:gridCol w:w="110"/>
      </w:tblGrid>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Restricted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Grant-Date </w:t>
              <w:br/>
              <w:t>Fair Values</w:t>
            </w:r>
          </w:p>
        </w:tc>
        <w:tc>
          <w:tcPr>
            <w:tcW w:w="11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Outstanding as of January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83" w:name="xdx_988_eus-gaap--ShareBasedCompensation"/>
            <w:bookmarkEnd w:id="883"/>
          </w:p>
        </w:tc>
        <w:tc>
          <w:tcPr>
            <w:tcW w:w="980" w:type="dxa"/>
            <w:tcBorders/>
            <w:shd w:fill="CCEEFF" w:val="clear"/>
            <w:vAlign w:val="center"/>
          </w:tcPr>
          <w:p>
            <w:pPr>
              <w:pStyle w:val="TableContents"/>
              <w:bidi w:val="0"/>
              <w:spacing w:before="0" w:after="283"/>
              <w:jc w:val="right"/>
              <w:rPr/>
            </w:pPr>
            <w:r>
              <w:rPr/>
              <w:t>1,165,247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w:t>
            </w:r>
            <w:bookmarkStart w:id="884" w:name="xdx_987_eus-gaap--ShareBasedCompensation"/>
            <w:bookmarkEnd w:id="884"/>
          </w:p>
        </w:tc>
        <w:tc>
          <w:tcPr>
            <w:tcW w:w="1266" w:type="dxa"/>
            <w:tcBorders/>
            <w:shd w:fill="CCEEFF" w:val="clear"/>
            <w:vAlign w:val="center"/>
          </w:tcPr>
          <w:p>
            <w:pPr>
              <w:pStyle w:val="TableContents"/>
              <w:bidi w:val="0"/>
              <w:spacing w:before="0" w:after="283"/>
              <w:jc w:val="right"/>
              <w:rPr/>
            </w:pPr>
            <w:r>
              <w:rPr/>
              <w:t>5.00</w:t>
            </w:r>
          </w:p>
        </w:tc>
        <w:tc>
          <w:tcPr>
            <w:tcW w:w="11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85" w:name="xdx_982_eus-gaap--ShareBasedCompensation"/>
            <w:bookmarkEnd w:id="885"/>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bookmarkStart w:id="886" w:name="xdx_982_eus-gaap--ShareBasedCompensation"/>
            <w:bookmarkEnd w:id="886"/>
          </w:p>
        </w:tc>
        <w:tc>
          <w:tcPr>
            <w:tcW w:w="126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87" w:name="xdx_987_eus-gaap--ShareBasedCompensation"/>
            <w:bookmarkEnd w:id="887"/>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bookmarkStart w:id="888" w:name="xdx_98E_eus-gaap--ShareBasedCompensation"/>
            <w:bookmarkEnd w:id="888"/>
          </w:p>
        </w:tc>
        <w:tc>
          <w:tcPr>
            <w:tcW w:w="126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Forfeited or cancelled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889" w:name="xdx_98F_eus-gaap--ShareBasedCompensation"/>
            <w:bookmarkEnd w:id="889"/>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(2,400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890" w:name="xdx_98A_eus-gaap--ShareBasedCompensation"/>
            <w:bookmarkEnd w:id="890"/>
          </w:p>
        </w:tc>
        <w:tc>
          <w:tcPr>
            <w:tcW w:w="1266" w:type="dxa"/>
            <w:tcBorders>
              <w:bottom w:val="single" w:sz="12" w:space="0" w:color="000000"/>
            </w:tcBorders>
            <w:shd w:fill="FFFFFF" w:val="clear"/>
            <w:tcMar>
              <w:bottom w:w="28" w:type="dxa"/>
            </w:tcMar>
            <w:vAlign w:val="center"/>
          </w:tcPr>
          <w:p>
            <w:pPr>
              <w:pStyle w:val="TableContents"/>
              <w:bidi w:val="0"/>
              <w:spacing w:before="0" w:after="283"/>
              <w:jc w:val="right"/>
              <w:rPr/>
            </w:pPr>
            <w:r>
              <w:rPr/>
              <w:t>(5.00</w:t>
            </w:r>
          </w:p>
        </w:tc>
        <w:tc>
          <w:tcPr>
            <w:tcW w:w="110" w:type="dxa"/>
            <w:tcBorders/>
            <w:shd w:fill="FFFFFF" w:val="clear"/>
            <w:vAlign w:val="center"/>
          </w:tcPr>
          <w:p>
            <w:pPr>
              <w:pStyle w:val="TableContents"/>
              <w:bidi w:val="0"/>
              <w:spacing w:before="0" w:after="283"/>
              <w:jc w:val="left"/>
              <w:rPr/>
            </w:pPr>
            <w:r>
              <w:rPr/>
              <w:t>)</w:t>
            </w:r>
          </w:p>
        </w:tc>
      </w:tr>
      <w:tr>
        <w:trPr/>
        <w:tc>
          <w:tcPr>
            <w:tcW w:w="3275" w:type="dxa"/>
            <w:tcBorders/>
            <w:shd w:fill="CCEEFF" w:val="clear"/>
            <w:vAlign w:val="center"/>
          </w:tcPr>
          <w:p>
            <w:pPr>
              <w:pStyle w:val="TableContents"/>
              <w:bidi w:val="0"/>
              <w:spacing w:before="0" w:after="283"/>
              <w:jc w:val="left"/>
              <w:rPr/>
            </w:pPr>
            <w:r>
              <w:rPr/>
              <w:t>Outstanding as of March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91" w:name="xdx_983_eus-gaap--ShareBasedCompensation"/>
            <w:bookmarkEnd w:id="891"/>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1,162,847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892" w:name="xdx_989_eus-gaap--ShareBasedCompensation"/>
            <w:bookmarkEnd w:id="892"/>
          </w:p>
        </w:tc>
        <w:tc>
          <w:tcPr>
            <w:tcW w:w="1266" w:type="dxa"/>
            <w:tcBorders>
              <w:bottom w:val="double" w:sz="6" w:space="0" w:color="000000"/>
            </w:tcBorders>
            <w:shd w:fill="CCEEFF" w:val="clear"/>
            <w:tcMar>
              <w:bottom w:w="28" w:type="dxa"/>
            </w:tcMar>
            <w:vAlign w:val="center"/>
          </w:tcPr>
          <w:p>
            <w:pPr>
              <w:pStyle w:val="TableContents"/>
              <w:bidi w:val="0"/>
              <w:spacing w:before="0" w:after="283"/>
              <w:jc w:val="right"/>
              <w:rPr/>
            </w:pPr>
            <w:r>
              <w:rPr/>
              <w:t>5.00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3275"/>
        <w:gridCol w:w="60"/>
        <w:gridCol w:w="60"/>
        <w:gridCol w:w="980"/>
        <w:gridCol w:w="95"/>
        <w:gridCol w:w="60"/>
        <w:gridCol w:w="344"/>
        <w:gridCol w:w="1266"/>
        <w:gridCol w:w="110"/>
      </w:tblGrid>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Grant-Date </w:t>
              <w:br/>
              <w:t>Fair Values</w:t>
            </w:r>
          </w:p>
        </w:tc>
        <w:tc>
          <w:tcPr>
            <w:tcW w:w="11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Outstanding as of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93" w:name="xdx_980_eus-gaap--ShareBasedCompensation"/>
            <w:bookmarkEnd w:id="893"/>
          </w:p>
        </w:tc>
        <w:tc>
          <w:tcPr>
            <w:tcW w:w="980" w:type="dxa"/>
            <w:tcBorders/>
            <w:shd w:fill="CCEEFF" w:val="clear"/>
            <w:vAlign w:val="center"/>
          </w:tcPr>
          <w:p>
            <w:pPr>
              <w:pStyle w:val="TableContents"/>
              <w:bidi w:val="0"/>
              <w:spacing w:before="0" w:after="283"/>
              <w:jc w:val="right"/>
              <w:rPr/>
            </w:pPr>
            <w:r>
              <w:rPr/>
              <w:t>1,197,552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w:t>
            </w:r>
            <w:bookmarkStart w:id="894" w:name="xdx_988_eus-gaap--ShareBasedCompensation"/>
            <w:bookmarkEnd w:id="894"/>
          </w:p>
        </w:tc>
        <w:tc>
          <w:tcPr>
            <w:tcW w:w="1266" w:type="dxa"/>
            <w:tcBorders/>
            <w:shd w:fill="CCEEFF" w:val="clear"/>
            <w:vAlign w:val="center"/>
          </w:tcPr>
          <w:p>
            <w:pPr>
              <w:pStyle w:val="TableContents"/>
              <w:bidi w:val="0"/>
              <w:spacing w:before="0" w:after="283"/>
              <w:jc w:val="right"/>
              <w:rPr/>
            </w:pPr>
            <w:r>
              <w:rPr/>
              <w:t>5.00</w:t>
            </w:r>
          </w:p>
        </w:tc>
        <w:tc>
          <w:tcPr>
            <w:tcW w:w="11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95" w:name="xdx_989_eus-gaap--ShareBasedCompensation"/>
            <w:bookmarkEnd w:id="895"/>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bookmarkStart w:id="896" w:name="xdx_98C_eus-gaap--ShareBasedCompensation"/>
            <w:bookmarkEnd w:id="896"/>
          </w:p>
        </w:tc>
        <w:tc>
          <w:tcPr>
            <w:tcW w:w="126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97" w:name="xdx_983_eus-gaap--ShareBasedCompensation"/>
            <w:bookmarkEnd w:id="897"/>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bookmarkStart w:id="898" w:name="xdx_98F_eus-gaap--ShareBasedCompensation"/>
            <w:bookmarkEnd w:id="898"/>
          </w:p>
        </w:tc>
        <w:tc>
          <w:tcPr>
            <w:tcW w:w="126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Forfeited or cancelled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899" w:name="xdx_98F_eus-gaap--ShareBasedCompensation"/>
            <w:bookmarkEnd w:id="899"/>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(2,218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900" w:name="xdx_98A_eus-gaap--ShareBasedCompensation"/>
            <w:bookmarkEnd w:id="900"/>
          </w:p>
        </w:tc>
        <w:tc>
          <w:tcPr>
            <w:tcW w:w="1266" w:type="dxa"/>
            <w:tcBorders>
              <w:bottom w:val="single" w:sz="12" w:space="0" w:color="000000"/>
            </w:tcBorders>
            <w:shd w:fill="FFFFFF" w:val="clear"/>
            <w:tcMar>
              <w:bottom w:w="28" w:type="dxa"/>
            </w:tcMar>
            <w:vAlign w:val="center"/>
          </w:tcPr>
          <w:p>
            <w:pPr>
              <w:pStyle w:val="TableContents"/>
              <w:bidi w:val="0"/>
              <w:spacing w:before="0" w:after="283"/>
              <w:jc w:val="right"/>
              <w:rPr/>
            </w:pPr>
            <w:r>
              <w:rPr/>
              <w:t>(5.00</w:t>
            </w:r>
          </w:p>
        </w:tc>
        <w:tc>
          <w:tcPr>
            <w:tcW w:w="110" w:type="dxa"/>
            <w:tcBorders/>
            <w:shd w:fill="FFFFFF" w:val="clear"/>
            <w:vAlign w:val="center"/>
          </w:tcPr>
          <w:p>
            <w:pPr>
              <w:pStyle w:val="TableContents"/>
              <w:bidi w:val="0"/>
              <w:spacing w:before="0" w:after="283"/>
              <w:jc w:val="left"/>
              <w:rPr/>
            </w:pPr>
            <w:r>
              <w:rPr/>
              <w:t>)</w:t>
            </w:r>
          </w:p>
        </w:tc>
      </w:tr>
      <w:tr>
        <w:trPr/>
        <w:tc>
          <w:tcPr>
            <w:tcW w:w="3275" w:type="dxa"/>
            <w:tcBorders/>
            <w:shd w:fill="CCEEFF" w:val="clear"/>
            <w:vAlign w:val="center"/>
          </w:tcPr>
          <w:p>
            <w:pPr>
              <w:pStyle w:val="TableContents"/>
              <w:bidi w:val="0"/>
              <w:spacing w:before="0" w:after="283"/>
              <w:jc w:val="left"/>
              <w:rPr/>
            </w:pPr>
            <w:r>
              <w:rPr/>
              <w:t>Outstanding as of March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901" w:name="xdx_980_eus-gaap--ShareBasedCompensation"/>
            <w:bookmarkEnd w:id="901"/>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1,195,334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bookmarkStart w:id="902" w:name="xdx_98F_eus-gaap--ShareBasedCompensation"/>
            <w:bookmarkEnd w:id="902"/>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5.00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03" w:name="xdx_8A8_zLtaUYt1sktk"/>
      <w:bookmarkEnd w:id="90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date fair value of PSUs granted to employees is based on the quoted market price of our common stock on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Repurchase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share repurchases settled in the three months ended March 31, 2023 were open market transactions. As of March 31, 2024, </w:t>
      </w:r>
      <w:bookmarkStart w:id="904" w:name="xdx_909_eus-gaap--TreasuryStockCommonSha"/>
      <w:bookmarkEnd w:id="904"/>
      <w:r>
        <w:rPr>
          <w:rFonts w:ascii="Times New Roman;Times;Serif" w:hAnsi="Times New Roman;Times;Serif"/>
          <w:b w:val="false"/>
          <w:i w:val="false"/>
          <w:caps w:val="false"/>
          <w:smallCaps w:val="false"/>
          <w:sz w:val="20"/>
        </w:rPr>
        <w:t>1,350,275 shares of Class A common stock were repurchased pursuant to the Share Repurchase Program for an aggregate purchase price of approximately $</w:t>
      </w:r>
      <w:bookmarkStart w:id="905" w:name="xdx_904_eus-gaap--TreasuryStockCommonVal"/>
      <w:bookmarkEnd w:id="905"/>
      <w:r>
        <w:rPr>
          <w:rFonts w:ascii="Times New Roman;Times;Serif" w:hAnsi="Times New Roman;Times;Serif"/>
          <w:b w:val="false"/>
          <w:i w:val="false"/>
          <w:caps w:val="false"/>
          <w:smallCaps w:val="false"/>
          <w:sz w:val="20"/>
        </w:rPr>
        <w:t>3.7 million. The average price paid per share was $</w:t>
      </w:r>
      <w:bookmarkStart w:id="906" w:name="xdx_90D_eus-gaap--AcceleratedShareRepurc"/>
      <w:bookmarkEnd w:id="906"/>
      <w:r>
        <w:rPr>
          <w:rFonts w:ascii="Times New Roman;Times;Serif" w:hAnsi="Times New Roman;Times;Serif"/>
          <w:b w:val="false"/>
          <w:i w:val="false"/>
          <w:caps w:val="false"/>
          <w:smallCaps w:val="false"/>
          <w:sz w:val="20"/>
        </w:rPr>
        <w:t>2.72 and approximately $</w:t>
      </w:r>
      <w:bookmarkStart w:id="907" w:name="xdx_90A_eus-gaap--StockRepurchaseProgram"/>
      <w:bookmarkEnd w:id="907"/>
      <w:r>
        <w:rPr>
          <w:rFonts w:ascii="Times New Roman;Times;Serif" w:hAnsi="Times New Roman;Times;Serif"/>
          <w:b w:val="false"/>
          <w:i w:val="false"/>
          <w:caps w:val="false"/>
          <w:smallCaps w:val="false"/>
          <w:sz w:val="20"/>
        </w:rPr>
        <w:t>1.3 million aggregate amount of shares of Class A common stock remain available for repurchase under the Share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no share repurchases made during the three months ended March 31, 2024. During the three months ended March 31, 2023, </w:t>
      </w:r>
      <w:bookmarkStart w:id="908" w:name="xdx_903_eus-gaap--TreasuryStockCommonSha"/>
      <w:bookmarkEnd w:id="908"/>
      <w:r>
        <w:rPr>
          <w:rFonts w:ascii="Times New Roman;Times;Serif" w:hAnsi="Times New Roman;Times;Serif"/>
          <w:b w:val="false"/>
          <w:i w:val="false"/>
          <w:caps w:val="false"/>
          <w:smallCaps w:val="false"/>
          <w:sz w:val="20"/>
        </w:rPr>
        <w:t>152,626 shares of Class A common stock were repurchased pursuant to the Share Repurchase Program for an aggregate purchase price of approximately $</w:t>
      </w:r>
      <w:bookmarkStart w:id="909" w:name="xdx_90C_eus-gaap--TreasuryStockCommonVal"/>
      <w:bookmarkEnd w:id="909"/>
      <w:r>
        <w:rPr>
          <w:rFonts w:ascii="Times New Roman;Times;Serif" w:hAnsi="Times New Roman;Times;Serif"/>
          <w:b w:val="false"/>
          <w:i w:val="false"/>
          <w:caps w:val="false"/>
          <w:smallCaps w:val="false"/>
          <w:sz w:val="20"/>
        </w:rPr>
        <w:t>0.3 million. The average price paid per share during the three months ended March 31, 2023 was $</w:t>
      </w:r>
      <w:bookmarkStart w:id="910" w:name="xdx_901_eus-gaap--PaymentsForRepurchaseO"/>
      <w:bookmarkEnd w:id="910"/>
      <w:r>
        <w:rPr>
          <w:rFonts w:ascii="Times New Roman;Times;Serif" w:hAnsi="Times New Roman;Times;Serif"/>
          <w:b w:val="false"/>
          <w:i w:val="false"/>
          <w:caps w:val="false"/>
          <w:smallCaps w:val="false"/>
          <w:sz w:val="20"/>
        </w:rPr>
        <w:t>1.68.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2024, the Company determined that it is probable that the Company will not meet the performance-based milestones required by the RSU’s granted to employees. Accordingly, the Company has reversed the previously recognized compensation expense related to RSU’s. Stock-based compensation expense resulting from RSUs and PSUs of </w:t>
      </w:r>
      <w:bookmarkStart w:id="911" w:name="xdx_902_eus-gaap--AllocatedShareBasedCom"/>
      <w:bookmarkEnd w:id="911"/>
      <w:r>
        <w:rPr>
          <w:rFonts w:ascii="Times New Roman;Times;Serif" w:hAnsi="Times New Roman;Times;Serif"/>
          <w:b w:val="false"/>
          <w:i w:val="false"/>
          <w:caps w:val="false"/>
          <w:smallCaps w:val="false"/>
          <w:sz w:val="20"/>
        </w:rPr>
        <w:t>($862,634) and $</w:t>
      </w:r>
      <w:bookmarkStart w:id="912" w:name="xdx_90E_eus-gaap--AllocatedShareBasedCom"/>
      <w:bookmarkEnd w:id="912"/>
      <w:r>
        <w:rPr>
          <w:rFonts w:ascii="Times New Roman;Times;Serif" w:hAnsi="Times New Roman;Times;Serif"/>
          <w:b w:val="false"/>
          <w:i w:val="false"/>
          <w:caps w:val="false"/>
          <w:smallCaps w:val="false"/>
          <w:sz w:val="20"/>
        </w:rPr>
        <w:t xml:space="preserve">152,595 are recorded under general and administrative expenses included in our condensed consolidated statements of operations and comprehensive income (loss) for the three months ended March 31, 2024 and 2023, respectively. Stock-based compensation expense resulting from PSUs of </w:t>
      </w:r>
      <w:bookmarkStart w:id="913" w:name="xdx_90B_eus-gaap--AllocatedShareBasedCom"/>
      <w:bookmarkEnd w:id="913"/>
      <w:r>
        <w:rPr>
          <w:rFonts w:ascii="Times New Roman;Times;Serif" w:hAnsi="Times New Roman;Times;Serif"/>
          <w:b w:val="false"/>
          <w:i w:val="false"/>
          <w:caps w:val="false"/>
          <w:smallCaps w:val="false"/>
          <w:sz w:val="20"/>
        </w:rPr>
        <w:t>($64,241) and $</w:t>
      </w:r>
      <w:bookmarkStart w:id="914" w:name="xdx_900_eus-gaap--AllocatedShareBasedCom"/>
      <w:bookmarkEnd w:id="914"/>
      <w:r>
        <w:rPr>
          <w:rFonts w:ascii="Times New Roman;Times;Serif" w:hAnsi="Times New Roman;Times;Serif"/>
          <w:b w:val="false"/>
          <w:i w:val="false"/>
          <w:caps w:val="false"/>
          <w:smallCaps w:val="false"/>
          <w:sz w:val="20"/>
        </w:rPr>
        <w:t>0 are recorded under research and development expenses included in our condensed consolidated statements of operations and comprehensive income (loss) for the three months ended March 31,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2024 the Company recognized approximately $</w:t>
      </w:r>
      <w:bookmarkStart w:id="915" w:name="xdx_901_eus-gaap--EmployeeServiceShareBa"/>
      <w:bookmarkEnd w:id="915"/>
      <w:r>
        <w:rPr>
          <w:rFonts w:ascii="Times New Roman;Times;Serif" w:hAnsi="Times New Roman;Times;Serif"/>
          <w:b w:val="false"/>
          <w:i w:val="false"/>
          <w:caps w:val="false"/>
          <w:smallCaps w:val="false"/>
          <w:sz w:val="20"/>
        </w:rPr>
        <w:t>194,644 of deferred income tax expense related to our stock-based compensation expense. During the three months ended March 31, 2023, the Company recognized approximately $</w:t>
      </w:r>
      <w:bookmarkStart w:id="916" w:name="xdx_909_eus-gaap--EmployeeServiceShareBa"/>
      <w:bookmarkEnd w:id="916"/>
      <w:r>
        <w:rPr>
          <w:rFonts w:ascii="Times New Roman;Times;Serif" w:hAnsi="Times New Roman;Times;Serif"/>
          <w:b w:val="false"/>
          <w:i w:val="false"/>
          <w:caps w:val="false"/>
          <w:smallCaps w:val="false"/>
          <w:sz w:val="20"/>
        </w:rPr>
        <w:t>32,045 of deferred income tax benefit related to our stock-based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2024, our total unrecognized compensation cost related to RSUs and PSUs was approximately $</w:t>
      </w:r>
      <w:bookmarkStart w:id="917" w:name="xdx_90E_eus-gaap--EmployeeServiceShareBa"/>
      <w:bookmarkEnd w:id="917"/>
      <w:r>
        <w:rPr>
          <w:rFonts w:ascii="Times New Roman;Times;Serif" w:hAnsi="Times New Roman;Times;Serif"/>
          <w:b w:val="false"/>
          <w:i w:val="false"/>
          <w:caps w:val="false"/>
          <w:smallCaps w:val="false"/>
          <w:sz w:val="20"/>
        </w:rPr>
        <w:t xml:space="preserve">1.2 million and is expected to be recognized over a weighted-average service period of </w:t>
      </w:r>
      <w:bookmarkStart w:id="918" w:name="xdx_90F_eus-gaap--EmployeeServiceShareBa"/>
      <w:bookmarkEnd w:id="918"/>
      <w:r>
        <w:rPr>
          <w:rFonts w:ascii="Times New Roman;Times;Serif" w:hAnsi="Times New Roman;Times;Serif"/>
          <w:b w:val="false"/>
          <w:i w:val="false"/>
          <w:caps w:val="false"/>
          <w:smallCaps w:val="false"/>
          <w:sz w:val="20"/>
        </w:rPr>
        <w:t>2.3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19" w:name="xdx_807_eus-gaap--SubsequentEventsTextBl"/>
      <w:bookmarkEnd w:id="919"/>
      <w:r>
        <w:rPr>
          <w:rFonts w:ascii="Times New Roman;Times;Serif" w:hAnsi="Times New Roman;Times;Serif"/>
          <w:b/>
          <w:i w:val="false"/>
          <w:caps w:val="false"/>
          <w:smallCaps w:val="false"/>
          <w:sz w:val="20"/>
        </w:rPr>
        <w:t xml:space="preserve">NOTE 17 – </w:t>
      </w:r>
      <w:bookmarkStart w:id="920" w:name="xdx_82D_zM5Wc2BxxARc"/>
      <w:bookmarkEnd w:id="920"/>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2024, the Company paid $</w:t>
            </w:r>
            <w:bookmarkStart w:id="921" w:name="xdx_904_eus-gaap--DebtInstrumentPeriodic"/>
            <w:bookmarkEnd w:id="921"/>
            <w:r>
              <w:rPr>
                <w:rFonts w:ascii="Times New Roman;Times;Serif" w:hAnsi="Times New Roman;Times;Serif"/>
                <w:b w:val="false"/>
                <w:i w:val="false"/>
                <w:caps w:val="false"/>
                <w:smallCaps w:val="false"/>
                <w:sz w:val="20"/>
              </w:rPr>
              <w:t>0.5 million of accrued interest and principal of its convertible notes balance.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appointed Hai Shi and Xuedong Tian as the Company’s Co-Chief Executive Officers, effective April 15, 2024. The terms of Mr. Tian’s employment include an annual salary of $</w:t>
            </w:r>
            <w:bookmarkStart w:id="922" w:name="xdx_905_ecustom--AnnualBaseSalary_c20240"/>
            <w:bookmarkEnd w:id="922"/>
            <w:r>
              <w:rPr>
                <w:rFonts w:ascii="Times New Roman;Times;Serif" w:hAnsi="Times New Roman;Times;Serif"/>
                <w:b w:val="false"/>
                <w:i w:val="false"/>
                <w:caps w:val="false"/>
                <w:smallCaps w:val="false"/>
                <w:sz w:val="20"/>
              </w:rPr>
              <w:t>300,000, title and responsibilities of Co-Chief Executive Officer and an annual performance bonus as determined by the sole discretion of the Board of Directors and the Compensation Committee of the Board.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Tian was the Founder and President of Weitian Group LLC from May 2012 to October 2020, one of the Company’s investor relations vendors. During the three months ended March 31, 2024, the Company incurred expenses of $</w:t>
            </w:r>
            <w:bookmarkStart w:id="923" w:name="xdx_901_eus-gaap--OtherExpenses_c2024010"/>
            <w:bookmarkEnd w:id="923"/>
            <w:r>
              <w:rPr>
                <w:rFonts w:ascii="Times New Roman;Times;Serif" w:hAnsi="Times New Roman;Times;Serif"/>
                <w:b w:val="false"/>
                <w:i w:val="false"/>
                <w:caps w:val="false"/>
                <w:smallCaps w:val="false"/>
                <w:sz w:val="20"/>
              </w:rPr>
              <w:t>18,720 to Weitian Group LLC for investor relations services. As of March 31, 2024, the Company had $</w:t>
            </w:r>
            <w:bookmarkStart w:id="924" w:name="xdx_90D_eus-gaap--AccountsPayableCurrent"/>
            <w:bookmarkEnd w:id="924"/>
            <w:r>
              <w:rPr>
                <w:rFonts w:ascii="Times New Roman;Times;Serif" w:hAnsi="Times New Roman;Times;Serif"/>
                <w:b w:val="false"/>
                <w:i w:val="false"/>
                <w:caps w:val="false"/>
                <w:smallCaps w:val="false"/>
                <w:sz w:val="20"/>
              </w:rPr>
              <w:t>10,032 in accounts payable to Weitian Group LLC for expenses incurred during the period.</w:t>
            </w:r>
          </w:p>
        </w:tc>
      </w:tr>
    </w:tbl>
    <w:p>
      <w:pPr>
        <w:pStyle w:val="TextBody"/>
        <w:bidi w:val="0"/>
        <w:spacing w:before="0" w:after="0"/>
        <w:ind w:left="0" w:right="0" w:hanging="0"/>
        <w:jc w:val="both"/>
        <w:rPr>
          <w:caps w:val="false"/>
          <w:smallCaps w:val="false"/>
        </w:rPr>
      </w:pPr>
      <w:bookmarkStart w:id="925" w:name="xdx_81E_zyMAXZ4pHWD3"/>
      <w:bookmarkEnd w:id="925"/>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26" w:name="ku_001"/>
      <w:bookmarkEnd w:id="926"/>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following discussion and analysis should be read in conjunction with our condensed consolidated financial statements and the related notes included elsewhere in this Quarterly Report on Form 10-Q (the “Quarterly Report”). This discussion and analysis contains forward-looking statements that involve certain risks and uncertainties. Our actual results could differ materially from those discussed in these statements. Factors that could cause or contribute to these differences include those discussed below and elsewhere in this Quarterly Report, particularly under “Risk Factors,” in Part II, Item 1A of this Quarterly Report and Part 1A of the Company’s Form 10-K for the year ended December 31, 2023, and the “Cautionary Statement Regarding Forward-Looking Statements” section of this Quarterly Report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mission is to provide high-quality entertainment experiences to audiences around the world. We are a leading, global independent developer and publisher of interactive digital entertainment for consumers around the world. We have built a premier portfolio of premium games designed for use on a variety of platforms, including consoles, PCs, and mobile devices.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has been a top-25 selling game on the Steam platform by gross revenue in each year we released an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DLC. Our expertise in technology, in-game ecosystems and monetization of online multiplayer games has enabled us to assemble a broad portfolio of intellectual property across multiple media formats and technology platforms. Our flagship franchise from which we generate the substantial majority of our revenues,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is a leader within the sandbox survival genre with 91.7 million console and PC installs through March 31, 2024 and repeated releases within the top-25 selling games on the Steam platform. See below for discussion of key performance metrics and non-GAAP measures. In the three months ended March 31, 2024,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 xml:space="preserve">combined for an average total of 209,140 daily active users (“DAUs”) on the Steam and Epic platforms, as compared to 276,144 in the three months ended March 31, 2023. We define “daily active users” as the number of unique users who play any given game on any given day. For the three months ended March 31, 2024 and 2023, we generated 78.6% and 90.0%, respectively, of our revenues from the </w:t>
      </w:r>
      <w:r>
        <w:rPr>
          <w:rFonts w:ascii="Times New Roman;Times;Serif" w:hAnsi="Times New Roman;Times;Serif"/>
          <w:b w:val="false"/>
          <w:i/>
          <w:caps w:val="false"/>
          <w:smallCaps w:val="false"/>
          <w:sz w:val="20"/>
        </w:rPr>
        <w:t xml:space="preserve">ARK </w:t>
      </w:r>
      <w:r>
        <w:rPr>
          <w:rFonts w:ascii="Times New Roman;Times;Serif" w:hAnsi="Times New Roman;Times;Serif"/>
          <w:b w:val="false"/>
          <w:i w:val="false"/>
          <w:caps w:val="false"/>
          <w:smallCaps w:val="false"/>
          <w:sz w:val="20"/>
        </w:rPr>
        <w:t>franchise.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dedication to providing audiences with high-quality entertainment experiences utilizing the latest gaming technology has produced strong user engagement, continued revenue growth, and increased cash flows. Through March 31, 2024, our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game has been played for 3.5 billion hours with an average playing time per user of 163.7 hours and with the top 21.0% of all players spending over 100 hours in the game, according to data from the Steam platform. For the three months ended March 31, 2024 and 2023, our net revenue was $14.1 million and $13.5 million, respectively. During the three months ended March 31, 2024, approximately 42.5% of our revenue came from consoles, 36.2% from PC and 6.8% from mobile platforms as compared to 42.9% from consoles, 37.2% from PC and 12.8% from mobile platforms during three months ended March 31, 2023. We had a net loss of $1.8 million and $3.0 million, for the three months ended March 31, 2024 and 2023, respectively.</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Affecting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number of factors that affect the performance of our business, and the comparability of our results from period to period, including: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Investments in our content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continuously evaluate and invest in content strategy to improve and innovate our games and features and to develop current technological platforms. We are currently actively investing in expanding our gaming pipeline as well as developing media and eSports content related to our gaming intellectual property. We also continue to invest to grow our micro-influencer platform, </w:t>
      </w:r>
      <w:r>
        <w:rPr>
          <w:rFonts w:ascii="Times New Roman;Times;Serif" w:hAnsi="Times New Roman;Times;Serif"/>
          <w:b w:val="false"/>
          <w:i/>
          <w:caps w:val="false"/>
          <w:smallCaps w:val="false"/>
          <w:sz w:val="20"/>
        </w:rPr>
        <w:t>NOIZ</w:t>
      </w:r>
      <w:r>
        <w:rPr>
          <w:rFonts w:ascii="Times New Roman;Times;Serif" w:hAnsi="Times New Roman;Times;Serif"/>
          <w:b w:val="false"/>
          <w:i w:val="false"/>
          <w:caps w:val="false"/>
          <w:smallCaps w:val="false"/>
          <w:sz w:val="20"/>
        </w:rPr>
        <w:t>, by attracting new influencers and brand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Growth of user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experienced significant growth in our number of downloads over the last several years. We have sold 46.3 million units between January 1, 2016 and March 31, 2024. During the three months ended March 31, 2024, we sold 1.1 million units compared to 1.7 million in the three months ended March 31, 2023. Our video games provide highly engaging, differentiated entertainment experiences where the combination of challenge and progress drives player engagement, high average player times, and long-term franchise value. The success of our franchise hinges on our ability to keep our current players engaged while also growing our user base by innovating our platform and monetizing new offerings. The degree to which gamers are willing to engage with our platform is driven by our ability to create interactive and unique content that will enhance the game-play experience. We sell DLCs which are supplementary to our master games and expand the gaming universe to continuously evolve the game and retain players. Our master games are the base versions of a specific title, for example,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is our master game and </w:t>
      </w:r>
      <w:r>
        <w:rPr>
          <w:rFonts w:ascii="Times New Roman;Times;Serif" w:hAnsi="Times New Roman;Times;Serif"/>
          <w:b w:val="false"/>
          <w:i/>
          <w:caps w:val="false"/>
          <w:smallCaps w:val="false"/>
          <w:sz w:val="20"/>
        </w:rPr>
        <w:t>ARK: Genesis</w:t>
      </w:r>
      <w:r>
        <w:rPr>
          <w:rFonts w:ascii="Times New Roman;Times;Serif" w:hAnsi="Times New Roman;Times;Serif"/>
          <w:b w:val="false"/>
          <w:i w:val="false"/>
          <w:caps w:val="false"/>
          <w:smallCaps w:val="false"/>
          <w:sz w:val="20"/>
        </w:rPr>
        <w:t xml:space="preserve"> is a DLC.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believe we have a significant opportunity to grow our installed base, we anticipate that our overall user growth rate will fluctuate over time as we continue to release new master games and companion DLCs. Download rates and user engagement may increase or decrease based on other factors such as growth in console, PC and mobile games, ability to release content, market effectively and distribute to users.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Investments in our technology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focused on innovation and technology leadership in order to maintain our competitive advantage. We spend a portion of our capital on our research and development platform to continuously improve our technological offerings and gaming platform. Our proprietary video game technology includes a versatile game engine, development pipeline tools, advanced rendering technology and advanced server and network operations. Continued investment in improving the technology behind our existing gaming platforms as well as developing new software tools for new product offerings is important to maintaining our strategic goals, developer and creator talent, and financial objectives. For us to continue providing cutting-edge technology to our users and bringing digital interactive entertainment to market, we must also continue to invest in developmental and creative resources. For our users, we regularly invest in user-friendly features and enhance user experience in our games and platforms. As our industry moves towards increased use of cloud gaming and gaming as a service technology, our ability to bring interactive technologies to market will be an increasingly important part of our business.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Ability to release content, market effectively through cross media and expand the gaming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and maintaining a loyal network of players for our premium games is vital for our business and drives revenue growth. To grow and maintain our player base, we invest in developing new games to attract and engage players, and in providing existing audiences with proven content in the form of new DLCs. In the near-term, we may increase spending on original content creation with new studios, and on sales and marketing as a percentage of revenue to grow our player network. The scale of our player base is determined by a number of factors, including our ability to strengthen player engagement by producing content that players play regularly and our effectiveness in attracting new players, both of which may in turn affect our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Strategic relationship with developers, Studio Wildcard &amp; Suzhou Snail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grown and expect to continue to grow our business by collaborating with game studios that we believe can benefit from our team’s decades of experience developing successful games. We have strategic relationships with many developer studios that create original content for us. The relationships allow for valuable knowledge sharing between Suzhou Snail, a related party, and the developer studios. We enjoy a long-term relationship with Studio Wildcard, a related party, which develops our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We have an exclusive license with Studio Wildcard for rights to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and we work with them and our other studio developer partners to provide ongoing support across numerous aspects of game development. Our financial results may be affected by our relationship with game studios, including Studio Wildcard, and our ability to create self-developed titles.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Relationship with third party distribution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nearly all of our revenue from third-party distribution platforms, these include but are not limited to, Xbox Live and Game Pass, PlayStation Network, Steam, Epic Games Store, the Apple App Store, the Google Play Store, My Nintendo Store and the Amazon Appstore. These digital distribution platforms have policies that may impact our reachability to our potential audience, including the discretion to amend their terms of service, which could affect our current operations and our financial performance. As we expand to new markets, we anticipate similar relationships with additional distribution partners that could similarly impact our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Seasonality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experience fluctuations in quarterly and annual operating results as a result of the timing of the introduction of new titles, variations in sales of titles developed for particular platforms, market acceptance of our titles, development and promotional activities relating to the introduction of new titles, releases of expansion packs and DLCs, and to coincide with the global holiday season in the fourth and first quarters of each year. Seasonality in our revenue also tends to coincide with promotional cycles on platforms, typically on a quarterly basis.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Performance Metrics and Non-GAAP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Units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monitor Units Sold as a key performance metric in evaluating the performance of our console and PC game business. We define Units Sold as the number of game titles purchased through digital channels by an individual end user. Under this metric, the purchase of a standalone game, DLC, Season Pass or bundle on a specific platform are individually counted as a unit. For example, an individual who purchases a standalone game and DLC on one platform, a Season Pass on another platform, and a bundle on a third platform would count as four Units Sold. Similarly, an individual who purchases three standalone game titles on the same platform would count as three Units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Units Sold may be impacted by several factors that could cause fluctuations on a quarterly basis, such as game releases, our promotional activities, which most often coincide with the global holiday season in the fourth and first quarters of each year, promotional sales on digital platforms, console release cycles and new digital platforms. Future growth in Units Sold will depend on our ability to launch new games and features and the effectiveness of marketing strategies.</w:t>
      </w:r>
    </w:p>
    <w:p>
      <w:pPr>
        <w:pStyle w:val="TextBody"/>
        <w:bidi w:val="0"/>
        <w:spacing w:before="0" w:after="0"/>
        <w:ind w:left="0" w:right="0" w:hanging="0"/>
        <w:jc w:val="both"/>
        <w:rPr>
          <w:caps w:val="false"/>
          <w:smallCaps w:val="false"/>
        </w:rPr>
      </w:pPr>
      <w:r>
        <w:rPr>
          <w:caps w:val="false"/>
          <w:smallCaps w:val="false"/>
        </w:rPr>
        <w:t> </w:t>
      </w:r>
    </w:p>
    <w:tbl>
      <w:tblPr>
        <w:tblW w:w="5037" w:type="dxa"/>
        <w:jc w:val="left"/>
        <w:tblInd w:w="0" w:type="dxa"/>
        <w:tblLayout w:type="fixed"/>
        <w:tblCellMar>
          <w:top w:w="0" w:type="dxa"/>
          <w:left w:w="0" w:type="dxa"/>
          <w:bottom w:w="0" w:type="dxa"/>
          <w:right w:w="0" w:type="dxa"/>
        </w:tblCellMar>
      </w:tblPr>
      <w:tblGrid>
        <w:gridCol w:w="1040"/>
        <w:gridCol w:w="60"/>
        <w:gridCol w:w="88"/>
        <w:gridCol w:w="473"/>
        <w:gridCol w:w="88"/>
        <w:gridCol w:w="88"/>
        <w:gridCol w:w="88"/>
        <w:gridCol w:w="473"/>
        <w:gridCol w:w="88"/>
        <w:gridCol w:w="88"/>
        <w:gridCol w:w="107"/>
        <w:gridCol w:w="708"/>
        <w:gridCol w:w="140"/>
        <w:gridCol w:w="88"/>
        <w:gridCol w:w="116"/>
        <w:gridCol w:w="999"/>
        <w:gridCol w:w="305"/>
      </w:tblGrid>
      <w:tr>
        <w:trPr/>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2"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Three months ended March 31,</w:t>
            </w:r>
          </w:p>
        </w:tc>
        <w:tc>
          <w:tcPr>
            <w:tcW w:w="305"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5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4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2" w:type="dxa"/>
            <w:gridSpan w:val="14"/>
            <w:tcBorders/>
            <w:vAlign w:val="center"/>
          </w:tcPr>
          <w:p>
            <w:pPr>
              <w:pStyle w:val="TableContents"/>
              <w:bidi w:val="0"/>
              <w:spacing w:before="0" w:after="283"/>
              <w:jc w:val="center"/>
              <w:rPr>
                <w:b/>
              </w:rPr>
            </w:pPr>
            <w:r>
              <w:rPr>
                <w:b/>
              </w:rPr>
              <w:t>(in millions)</w:t>
            </w:r>
          </w:p>
        </w:tc>
        <w:tc>
          <w:tcPr>
            <w:tcW w:w="305"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283"/>
              <w:jc w:val="left"/>
              <w:rPr/>
            </w:pPr>
            <w:r>
              <w:rPr/>
              <w:t>Units Sold</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right"/>
              <w:rPr/>
            </w:pPr>
            <w:r>
              <w:rPr/>
              <w:t>1.1</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right"/>
              <w:rPr/>
            </w:pPr>
            <w:r>
              <w:rPr/>
              <w:t>1.7</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(0.6</w:t>
            </w:r>
          </w:p>
        </w:tc>
        <w:tc>
          <w:tcPr>
            <w:tcW w:w="140" w:type="dxa"/>
            <w:tcBorders/>
            <w:shd w:fill="CCEEFF" w:val="clear"/>
            <w:vAlign w:val="center"/>
          </w:tcPr>
          <w:p>
            <w:pPr>
              <w:pStyle w:val="TableContents"/>
              <w:bidi w:val="0"/>
              <w:spacing w:before="0" w:after="283"/>
              <w:jc w:val="left"/>
              <w:rPr/>
            </w:pPr>
            <w:r>
              <w:rPr/>
              <w:t>)</w:t>
            </w:r>
          </w:p>
        </w:tc>
        <w:tc>
          <w:tcPr>
            <w:tcW w:w="8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(36.1</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9100" w:type="dxa"/>
        <w:jc w:val="left"/>
        <w:tblInd w:w="0" w:type="dxa"/>
        <w:tblLayout w:type="fixed"/>
        <w:tblCellMar>
          <w:top w:w="0" w:type="dxa"/>
          <w:left w:w="0" w:type="dxa"/>
          <w:bottom w:w="0" w:type="dxa"/>
          <w:right w:w="0" w:type="dxa"/>
        </w:tblCellMar>
      </w:tblPr>
      <w:tblGrid>
        <w:gridCol w:w="260"/>
        <w:gridCol w:w="8840"/>
      </w:tblGrid>
      <w:tr>
        <w:trPr/>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Units include master games, DLCs, season pass and bundles and excludes skins, soundtracks and other items.</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Units Sold decreased during the three months ended March 31, 2024, as compared to the three months ended March 31, 2023, by 0.6 million units, or 36.1%. The Company’s units decreased primarily due to a decrease in </w:t>
      </w:r>
      <w:r>
        <w:rPr>
          <w:rFonts w:ascii="Times New Roman;Times;Serif" w:hAnsi="Times New Roman;Times;Serif"/>
          <w:b w:val="false"/>
          <w:i/>
          <w:caps w:val="false"/>
          <w:smallCaps w:val="false"/>
          <w:sz w:val="20"/>
        </w:rPr>
        <w:t xml:space="preserve">ARK: Survival Evolved </w:t>
      </w:r>
      <w:r>
        <w:rPr>
          <w:rFonts w:ascii="Times New Roman;Times;Serif" w:hAnsi="Times New Roman;Times;Serif"/>
          <w:b w:val="false"/>
          <w:i w:val="false"/>
          <w:caps w:val="false"/>
          <w:smallCaps w:val="false"/>
          <w:sz w:val="20"/>
        </w:rPr>
        <w:t xml:space="preserve">units of 1.0 million, partially offset by sales of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of 0.4 million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Bookings &amp;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financial results determined in accordance with U.S. generally accepted accounting principles (“U.S. GAAP” or “GAAP”), we believe Bookings and EBITDA, as non-GAAP measures, are useful in evaluating our operating performance. Bookings and EBITDA, as used in this Quarterly Report on Form 10-Q, are non-GAAP financial measures that are presented as supplemental disclosures and should not be construed as alternatives to net income (loss) or revenue as indicators of operating performance, as determined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supplementally present Bookings and EBITDA because they are key operating measures used by our management to assess our financial performance. Bookings adjusts for the impact of deferrals and, we believe, provides a useful indicator of sales in a given period. Management believes Bookings and EBITDA are useful to investors and analysts in highlighting trends in our operating performance, while other measures can differ significantly depending on long-term strategic decisions regarding capital structure, the tax jurisdictions in which we operate and capital investments. Management uses Bookings and EBITDA to supplement GAAP measures of performance in the evaluation of the effectiveness of our business strategies, to make budgeting decisions, and to compare our performance against other peer companies using similar measures. We evaluate Bookings and EBITDA in conjunction with our results according to GAAP because we believe it provides investors and analysts a more complete understanding of factors and trends affecting our business than GAAP measures alone. Bookings and EBITDA should not be considered as alternatives to net income (loss), as measures of financial performance or any other performance measure derived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Bookings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Bookings is defined as the net amount of products and services sold digitally or physically in the period. Bookings is equal to revenues excluding the impact from deferrals. Below is a reconciliation of total net revenue to Bookings, the closest GAAP financial measure.</w:t>
      </w:r>
    </w:p>
    <w:p>
      <w:pPr>
        <w:pStyle w:val="TextBody"/>
        <w:bidi w:val="0"/>
        <w:spacing w:before="0" w:after="0"/>
        <w:ind w:left="0" w:right="0" w:hanging="0"/>
        <w:jc w:val="both"/>
        <w:rPr>
          <w:caps w:val="false"/>
          <w:smallCaps w:val="false"/>
        </w:rPr>
      </w:pPr>
      <w:r>
        <w:rPr>
          <w:caps w:val="false"/>
          <w:smallCaps w:val="false"/>
        </w:rPr>
        <w:t> </w:t>
      </w:r>
    </w:p>
    <w:tbl>
      <w:tblPr>
        <w:tblW w:w="7858" w:type="dxa"/>
        <w:jc w:val="left"/>
        <w:tblInd w:w="0" w:type="dxa"/>
        <w:tblLayout w:type="fixed"/>
        <w:tblCellMar>
          <w:top w:w="0" w:type="dxa"/>
          <w:left w:w="0" w:type="dxa"/>
          <w:bottom w:w="0" w:type="dxa"/>
          <w:right w:w="0" w:type="dxa"/>
        </w:tblCellMar>
      </w:tblPr>
      <w:tblGrid>
        <w:gridCol w:w="3005"/>
        <w:gridCol w:w="60"/>
        <w:gridCol w:w="238"/>
        <w:gridCol w:w="749"/>
        <w:gridCol w:w="102"/>
        <w:gridCol w:w="102"/>
        <w:gridCol w:w="238"/>
        <w:gridCol w:w="749"/>
        <w:gridCol w:w="95"/>
        <w:gridCol w:w="60"/>
        <w:gridCol w:w="302"/>
        <w:gridCol w:w="693"/>
        <w:gridCol w:w="60"/>
        <w:gridCol w:w="60"/>
        <w:gridCol w:w="83"/>
        <w:gridCol w:w="1032"/>
        <w:gridCol w:w="230"/>
      </w:tblGrid>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7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March 31,</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center"/>
              <w:rPr/>
            </w:pPr>
            <w:r>
              <w:rPr/>
              <w:t> </w:t>
            </w:r>
          </w:p>
        </w:tc>
      </w:tr>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2" w:type="dxa"/>
            <w:tcBorders/>
            <w:vAlign w:val="center"/>
          </w:tcPr>
          <w:p>
            <w:pPr>
              <w:pStyle w:val="TableContents"/>
              <w:bidi w:val="0"/>
              <w:spacing w:before="0" w:after="283"/>
              <w:jc w:val="center"/>
              <w:rPr/>
            </w:pPr>
            <w:r>
              <w:rPr/>
              <w:t> </w:t>
            </w:r>
          </w:p>
        </w:tc>
        <w:tc>
          <w:tcPr>
            <w:tcW w:w="102" w:type="dxa"/>
            <w:tcBorders/>
            <w:vAlign w:val="center"/>
          </w:tcPr>
          <w:p>
            <w:pPr>
              <w:pStyle w:val="TableContents"/>
              <w:bidi w:val="0"/>
              <w:spacing w:before="0" w:after="283"/>
              <w:jc w:val="center"/>
              <w:rPr/>
            </w:pPr>
            <w:r>
              <w:rPr/>
              <w:t> </w:t>
            </w:r>
          </w:p>
        </w:tc>
        <w:tc>
          <w:tcPr>
            <w:tcW w:w="9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center"/>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63" w:type="dxa"/>
            <w:gridSpan w:val="14"/>
            <w:tcBorders/>
            <w:vAlign w:val="center"/>
          </w:tcPr>
          <w:p>
            <w:pPr>
              <w:pStyle w:val="TableContents"/>
              <w:bidi w:val="0"/>
              <w:spacing w:before="0" w:after="283"/>
              <w:jc w:val="center"/>
              <w:rPr>
                <w:b/>
              </w:rPr>
            </w:pPr>
            <w:r>
              <w:rPr>
                <w:b/>
              </w:rPr>
              <w:t>(in millions)</w:t>
            </w:r>
          </w:p>
        </w:tc>
        <w:tc>
          <w:tcPr>
            <w:tcW w:w="23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Total net revenue</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749" w:type="dxa"/>
            <w:tcBorders/>
            <w:shd w:fill="CCEEFF" w:val="clear"/>
            <w:vAlign w:val="center"/>
          </w:tcPr>
          <w:p>
            <w:pPr>
              <w:pStyle w:val="TableContents"/>
              <w:bidi w:val="0"/>
              <w:spacing w:before="0" w:after="283"/>
              <w:jc w:val="right"/>
              <w:rPr/>
            </w:pPr>
            <w:r>
              <w:rPr/>
              <w:t>14.1</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749" w:type="dxa"/>
            <w:tcBorders/>
            <w:shd w:fill="CCEEFF" w:val="clear"/>
            <w:vAlign w:val="center"/>
          </w:tcPr>
          <w:p>
            <w:pPr>
              <w:pStyle w:val="TableContents"/>
              <w:bidi w:val="0"/>
              <w:spacing w:before="0" w:after="283"/>
              <w:jc w:val="right"/>
              <w:rPr/>
            </w:pPr>
            <w:r>
              <w:rPr/>
              <w:t>13.5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w:t>
            </w:r>
          </w:p>
        </w:tc>
        <w:tc>
          <w:tcPr>
            <w:tcW w:w="693" w:type="dxa"/>
            <w:tcBorders/>
            <w:shd w:fill="CCEEFF" w:val="clear"/>
            <w:vAlign w:val="center"/>
          </w:tcPr>
          <w:p>
            <w:pPr>
              <w:pStyle w:val="TableContents"/>
              <w:bidi w:val="0"/>
              <w:spacing w:before="0" w:after="283"/>
              <w:jc w:val="right"/>
              <w:rPr/>
            </w:pPr>
            <w:r>
              <w:rPr/>
              <w:t>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4.9</w:t>
            </w:r>
          </w:p>
        </w:tc>
        <w:tc>
          <w:tcPr>
            <w:tcW w:w="230" w:type="dxa"/>
            <w:tcBorders/>
            <w:shd w:fill="CCEEFF" w:val="clear"/>
            <w:vAlign w:val="center"/>
          </w:tcPr>
          <w:p>
            <w:pPr>
              <w:pStyle w:val="TableContents"/>
              <w:bidi w:val="0"/>
              <w:spacing w:before="0" w:after="283"/>
              <w:jc w:val="left"/>
              <w:rPr/>
            </w:pPr>
            <w:r>
              <w:rPr/>
              <w:t>%</w:t>
            </w:r>
          </w:p>
        </w:tc>
      </w:tr>
      <w:tr>
        <w:trPr/>
        <w:tc>
          <w:tcPr>
            <w:tcW w:w="3005" w:type="dxa"/>
            <w:tcBorders/>
            <w:shd w:fill="FFFFFF" w:val="clear"/>
            <w:vAlign w:val="center"/>
          </w:tcPr>
          <w:p>
            <w:pPr>
              <w:pStyle w:val="TableContents"/>
              <w:bidi w:val="0"/>
              <w:spacing w:before="0" w:after="283"/>
              <w:jc w:val="left"/>
              <w:rPr/>
            </w:pPr>
            <w:r>
              <w:rPr/>
              <w:t>Change in deferred net revenue</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9" w:type="dxa"/>
            <w:tcBorders>
              <w:bottom w:val="single" w:sz="12" w:space="0" w:color="000000"/>
            </w:tcBorders>
            <w:shd w:fill="FFFFFF" w:val="clear"/>
            <w:tcMar>
              <w:bottom w:w="28" w:type="dxa"/>
            </w:tcMar>
            <w:vAlign w:val="center"/>
          </w:tcPr>
          <w:p>
            <w:pPr>
              <w:pStyle w:val="TableContents"/>
              <w:bidi w:val="0"/>
              <w:spacing w:before="0" w:after="283"/>
              <w:jc w:val="right"/>
              <w:rPr/>
            </w:pPr>
            <w:r>
              <w:rPr/>
              <w:t>5.5</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9" w:type="dxa"/>
            <w:tcBorders>
              <w:bottom w:val="single" w:sz="12" w:space="0" w:color="000000"/>
            </w:tcBorders>
            <w:shd w:fill="FFFFFF" w:val="clear"/>
            <w:tcMar>
              <w:bottom w:w="28" w:type="dxa"/>
            </w:tcMar>
            <w:vAlign w:val="center"/>
          </w:tcPr>
          <w:p>
            <w:pPr>
              <w:pStyle w:val="TableContents"/>
              <w:bidi w:val="0"/>
              <w:spacing w:before="0" w:after="283"/>
              <w:jc w:val="right"/>
              <w:rPr/>
            </w:pPr>
            <w:r>
              <w:rPr/>
              <w:t>(0.2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3" w:type="dxa"/>
            <w:tcBorders>
              <w:bottom w:val="single" w:sz="12" w:space="0" w:color="000000"/>
            </w:tcBorders>
            <w:shd w:fill="FFFFFF" w:val="clear"/>
            <w:tcMar>
              <w:bottom w:w="28" w:type="dxa"/>
            </w:tcMar>
            <w:vAlign w:val="center"/>
          </w:tcPr>
          <w:p>
            <w:pPr>
              <w:pStyle w:val="TableContents"/>
              <w:bidi w:val="0"/>
              <w:spacing w:before="0" w:after="283"/>
              <w:jc w:val="right"/>
              <w:rPr/>
            </w:pPr>
            <w:r>
              <w:rPr/>
              <w:t>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t>3,716.0</w:t>
            </w:r>
          </w:p>
        </w:tc>
        <w:tc>
          <w:tcPr>
            <w:tcW w:w="230" w:type="dxa"/>
            <w:tcBorders/>
            <w:shd w:fill="FFFFFF" w:val="clear"/>
            <w:vAlign w:val="center"/>
          </w:tcPr>
          <w:p>
            <w:pPr>
              <w:pStyle w:val="TableContents"/>
              <w:bidi w:val="0"/>
              <w:spacing w:before="0" w:after="283"/>
              <w:jc w:val="left"/>
              <w:rPr/>
            </w:pPr>
            <w:r>
              <w:rPr/>
              <w:t>%</w:t>
            </w:r>
          </w:p>
        </w:tc>
      </w:tr>
      <w:tr>
        <w:trPr/>
        <w:tc>
          <w:tcPr>
            <w:tcW w:w="3005" w:type="dxa"/>
            <w:tcBorders/>
            <w:shd w:fill="CCEEFF" w:val="clear"/>
            <w:vAlign w:val="center"/>
          </w:tcPr>
          <w:p>
            <w:pPr>
              <w:pStyle w:val="TableContents"/>
              <w:bidi w:val="0"/>
              <w:spacing w:before="0" w:after="283"/>
              <w:jc w:val="left"/>
              <w:rPr/>
            </w:pPr>
            <w:r>
              <w:rPr/>
              <w:t>Bookings</w:t>
            </w:r>
          </w:p>
        </w:tc>
        <w:tc>
          <w:tcPr>
            <w:tcW w:w="60" w:type="dxa"/>
            <w:tcBorders/>
            <w:shd w:fill="CCEEFF" w:val="clear"/>
            <w:vAlign w:val="center"/>
          </w:tcPr>
          <w:p>
            <w:pPr>
              <w:pStyle w:val="TableContents"/>
              <w:bidi w:val="0"/>
              <w:spacing w:before="0" w:after="283"/>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49" w:type="dxa"/>
            <w:tcBorders>
              <w:bottom w:val="double" w:sz="6" w:space="0" w:color="000000"/>
            </w:tcBorders>
            <w:shd w:fill="CCEEFF" w:val="clear"/>
            <w:tcMar>
              <w:bottom w:w="28" w:type="dxa"/>
            </w:tcMar>
            <w:vAlign w:val="center"/>
          </w:tcPr>
          <w:p>
            <w:pPr>
              <w:pStyle w:val="TableContents"/>
              <w:bidi w:val="0"/>
              <w:spacing w:before="0" w:after="283"/>
              <w:jc w:val="right"/>
              <w:rPr/>
            </w:pPr>
            <w:r>
              <w:rPr/>
              <w:t>19.6</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49" w:type="dxa"/>
            <w:tcBorders>
              <w:bottom w:val="double" w:sz="6" w:space="0" w:color="000000"/>
            </w:tcBorders>
            <w:shd w:fill="CCEEFF" w:val="clear"/>
            <w:tcMar>
              <w:bottom w:w="28" w:type="dxa"/>
            </w:tcMar>
            <w:vAlign w:val="center"/>
          </w:tcPr>
          <w:p>
            <w:pPr>
              <w:pStyle w:val="TableContents"/>
              <w:bidi w:val="0"/>
              <w:spacing w:before="0" w:after="283"/>
              <w:jc w:val="right"/>
              <w:rPr/>
            </w:pPr>
            <w:r>
              <w:rPr/>
              <w:t>13.3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93" w:type="dxa"/>
            <w:tcBorders>
              <w:bottom w:val="double" w:sz="6" w:space="0" w:color="000000"/>
            </w:tcBorders>
            <w:shd w:fill="CCEEFF" w:val="clear"/>
            <w:tcMar>
              <w:bottom w:w="28" w:type="dxa"/>
            </w:tcMar>
            <w:vAlign w:val="center"/>
          </w:tcPr>
          <w:p>
            <w:pPr>
              <w:pStyle w:val="TableContents"/>
              <w:bidi w:val="0"/>
              <w:spacing w:before="0" w:after="283"/>
              <w:jc w:val="right"/>
              <w:rPr/>
            </w:pPr>
            <w:r>
              <w:rPr/>
              <w:t>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47.1</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months ended March 31, 2024, bookings increased by $6.3 million, or 47.1%, compared to the three months ended March 31, 2023, because of the release of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 xml:space="preserve">in the fourth quarter of 2023. In addition to increased sales of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 xml:space="preserve">the Company deferred approximately $5.5 million in revenues during the three months ended March 31, 2024 for the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DLC’s which have not yet released.</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EBITDA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EBITDA as net income (loss) before (i) interest income, (ii) interest expense, (iii) (benefit from) provision for income taxes, and (iv) depreciation and amortization expense, property and equipment.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as calculated herein may not be comparable to similarly titled measures reported by other companies within the industry and is not determined in accordance with GAAP. Our presentation of EBITDA should not be construed as an inference that our future results will be unaffected by unusual or unexpected items. We may also incur expenses that are the same, or similar to, some of the adjustments in this presentation.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reconciliation of net loss to EBITDA, the closest GAAP financial measure.</w:t>
      </w:r>
    </w:p>
    <w:p>
      <w:pPr>
        <w:pStyle w:val="TextBody"/>
        <w:bidi w:val="0"/>
        <w:spacing w:before="0" w:after="0"/>
        <w:ind w:left="0" w:right="0" w:firstLine="360"/>
        <w:jc w:val="both"/>
        <w:rPr>
          <w:caps w:val="false"/>
          <w:smallCaps w:val="false"/>
        </w:rPr>
      </w:pPr>
      <w:r>
        <w:rPr>
          <w:caps w:val="false"/>
          <w:smallCaps w:val="false"/>
        </w:rPr>
        <w:t> </w:t>
      </w:r>
    </w:p>
    <w:tbl>
      <w:tblPr>
        <w:tblW w:w="9248" w:type="dxa"/>
        <w:jc w:val="left"/>
        <w:tblInd w:w="0" w:type="dxa"/>
        <w:tblLayout w:type="fixed"/>
        <w:tblCellMar>
          <w:top w:w="0" w:type="dxa"/>
          <w:left w:w="0" w:type="dxa"/>
          <w:bottom w:w="0" w:type="dxa"/>
          <w:right w:w="0" w:type="dxa"/>
        </w:tblCellMar>
      </w:tblPr>
      <w:tblGrid>
        <w:gridCol w:w="4985"/>
        <w:gridCol w:w="60"/>
        <w:gridCol w:w="163"/>
        <w:gridCol w:w="461"/>
        <w:gridCol w:w="110"/>
        <w:gridCol w:w="70"/>
        <w:gridCol w:w="163"/>
        <w:gridCol w:w="461"/>
        <w:gridCol w:w="110"/>
        <w:gridCol w:w="70"/>
        <w:gridCol w:w="260"/>
        <w:gridCol w:w="735"/>
        <w:gridCol w:w="110"/>
        <w:gridCol w:w="70"/>
        <w:gridCol w:w="96"/>
        <w:gridCol w:w="1019"/>
        <w:gridCol w:w="305"/>
      </w:tblGrid>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9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Three months ended March 31,</w:t>
            </w:r>
          </w:p>
        </w:tc>
        <w:tc>
          <w:tcPr>
            <w:tcW w:w="305"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6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11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98" w:type="dxa"/>
            <w:gridSpan w:val="14"/>
            <w:tcBorders/>
            <w:vAlign w:val="center"/>
          </w:tcPr>
          <w:p>
            <w:pPr>
              <w:pStyle w:val="TableContents"/>
              <w:bidi w:val="0"/>
              <w:spacing w:before="0" w:after="283"/>
              <w:jc w:val="center"/>
              <w:rPr>
                <w:b/>
              </w:rPr>
            </w:pPr>
            <w:r>
              <w:rPr>
                <w:b/>
              </w:rPr>
              <w:t>(in millions)</w:t>
            </w:r>
          </w:p>
        </w:tc>
        <w:tc>
          <w:tcPr>
            <w:tcW w:w="305"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461" w:type="dxa"/>
            <w:tcBorders/>
            <w:shd w:fill="CCEEFF" w:val="clear"/>
            <w:vAlign w:val="center"/>
          </w:tcPr>
          <w:p>
            <w:pPr>
              <w:pStyle w:val="TableContents"/>
              <w:bidi w:val="0"/>
              <w:spacing w:before="0" w:after="283"/>
              <w:jc w:val="right"/>
              <w:rPr/>
            </w:pPr>
            <w:r>
              <w:rPr/>
              <w:t>(1.8</w:t>
            </w:r>
          </w:p>
        </w:tc>
        <w:tc>
          <w:tcPr>
            <w:tcW w:w="110"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461" w:type="dxa"/>
            <w:tcBorders/>
            <w:shd w:fill="CCEEFF" w:val="clear"/>
            <w:vAlign w:val="center"/>
          </w:tcPr>
          <w:p>
            <w:pPr>
              <w:pStyle w:val="TableContents"/>
              <w:bidi w:val="0"/>
              <w:spacing w:before="0" w:after="283"/>
              <w:jc w:val="right"/>
              <w:rPr/>
            </w:pPr>
            <w:r>
              <w:rPr/>
              <w:t>(3.0</w:t>
            </w:r>
          </w:p>
        </w:tc>
        <w:tc>
          <w:tcPr>
            <w:tcW w:w="110"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1.2</w:t>
            </w:r>
          </w:p>
        </w:tc>
        <w:tc>
          <w:tcPr>
            <w:tcW w:w="11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40.1</w:t>
            </w:r>
          </w:p>
        </w:tc>
        <w:tc>
          <w:tcPr>
            <w:tcW w:w="305" w:type="dxa"/>
            <w:tcBorders/>
            <w:shd w:fill="CCEEFF" w:val="clear"/>
            <w:vAlign w:val="center"/>
          </w:tcPr>
          <w:p>
            <w:pPr>
              <w:pStyle w:val="TableContents"/>
              <w:bidi w:val="0"/>
              <w:spacing w:before="0" w:after="283"/>
              <w:jc w:val="left"/>
              <w:rPr/>
            </w:pPr>
            <w:r>
              <w:rPr/>
              <w:t>%</w:t>
            </w:r>
          </w:p>
        </w:tc>
      </w:tr>
      <w:tr>
        <w:trPr/>
        <w:tc>
          <w:tcPr>
            <w:tcW w:w="4985" w:type="dxa"/>
            <w:tcBorders/>
            <w:shd w:fill="FFFFFF" w:val="clear"/>
            <w:vAlign w:val="center"/>
          </w:tcPr>
          <w:p>
            <w:pPr>
              <w:pStyle w:val="TableContents"/>
              <w:bidi w:val="0"/>
              <w:spacing w:before="0" w:after="283"/>
              <w:jc w:val="left"/>
              <w:rPr/>
            </w:pPr>
            <w:r>
              <w:rPr/>
              <w:t>Interest income and interest income - related parties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pPr>
            <w:r>
              <w:rPr/>
              <w:t>(0.1</w:t>
            </w:r>
          </w:p>
        </w:tc>
        <w:tc>
          <w:tcPr>
            <w:tcW w:w="110"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(0.1</w:t>
            </w:r>
          </w:p>
        </w:tc>
        <w:tc>
          <w:tcPr>
            <w:tcW w:w="110"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(213.6</w:t>
            </w:r>
          </w:p>
        </w:tc>
        <w:tc>
          <w:tcPr>
            <w:tcW w:w="305" w:type="dxa"/>
            <w:tcBorders/>
            <w:shd w:fill="FFFFFF" w:val="clear"/>
            <w:vAlign w:val="center"/>
          </w:tcPr>
          <w:p>
            <w:pPr>
              <w:pStyle w:val="TableContents"/>
              <w:bidi w:val="0"/>
              <w:spacing w:before="0" w:after="283"/>
              <w:jc w:val="left"/>
              <w:rPr/>
            </w:pPr>
            <w:r>
              <w:rPr/>
              <w:t>)%</w:t>
            </w:r>
          </w:p>
        </w:tc>
      </w:tr>
      <w:tr>
        <w:trPr/>
        <w:tc>
          <w:tcPr>
            <w:tcW w:w="4985" w:type="dxa"/>
            <w:tcBorders/>
            <w:shd w:fill="CCEEFF" w:val="clear"/>
            <w:vAlign w:val="center"/>
          </w:tcPr>
          <w:p>
            <w:pPr>
              <w:pStyle w:val="TableContents"/>
              <w:bidi w:val="0"/>
              <w:spacing w:before="0" w:after="283"/>
              <w:jc w:val="left"/>
              <w:rPr/>
            </w:pPr>
            <w:r>
              <w:rPr/>
              <w:t>Interest expense and interest expense - related parties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pPr>
            <w:r>
              <w:rPr/>
              <w:t>0.4</w:t>
            </w:r>
          </w:p>
        </w:tc>
        <w:tc>
          <w:tcPr>
            <w:tcW w:w="11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pPr>
            <w:r>
              <w:rPr/>
              <w:t>0.3</w:t>
            </w:r>
          </w:p>
        </w:tc>
        <w:tc>
          <w:tcPr>
            <w:tcW w:w="11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0.1</w:t>
            </w:r>
          </w:p>
        </w:tc>
        <w:tc>
          <w:tcPr>
            <w:tcW w:w="11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34.4</w:t>
            </w:r>
          </w:p>
        </w:tc>
        <w:tc>
          <w:tcPr>
            <w:tcW w:w="305" w:type="dxa"/>
            <w:tcBorders/>
            <w:shd w:fill="CCEEFF" w:val="clear"/>
            <w:vAlign w:val="center"/>
          </w:tcPr>
          <w:p>
            <w:pPr>
              <w:pStyle w:val="TableContents"/>
              <w:bidi w:val="0"/>
              <w:spacing w:before="0" w:after="283"/>
              <w:jc w:val="left"/>
              <w:rPr/>
            </w:pPr>
            <w:r>
              <w:rPr/>
              <w:t>%</w:t>
            </w:r>
          </w:p>
        </w:tc>
      </w:tr>
      <w:tr>
        <w:trPr/>
        <w:tc>
          <w:tcPr>
            <w:tcW w:w="4985" w:type="dxa"/>
            <w:tcBorders/>
            <w:shd w:fill="FFFFFF" w:val="clear"/>
            <w:vAlign w:val="center"/>
          </w:tcPr>
          <w:p>
            <w:pPr>
              <w:pStyle w:val="TableContents"/>
              <w:bidi w:val="0"/>
              <w:spacing w:before="0" w:after="283"/>
              <w:jc w:val="left"/>
              <w:rPr/>
            </w:pPr>
            <w:r>
              <w:rPr/>
              <w:t>Benefit from income taxes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pPr>
            <w:r>
              <w:rPr/>
              <w:t>(0.5</w:t>
            </w:r>
          </w:p>
        </w:tc>
        <w:tc>
          <w:tcPr>
            <w:tcW w:w="110"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pPr>
            <w:r>
              <w:rPr/>
              <w:t>(0.8</w:t>
            </w:r>
          </w:p>
        </w:tc>
        <w:tc>
          <w:tcPr>
            <w:tcW w:w="110"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0.3</w:t>
            </w:r>
          </w:p>
        </w:tc>
        <w:tc>
          <w:tcPr>
            <w:tcW w:w="11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40.7</w:t>
            </w:r>
          </w:p>
        </w:tc>
        <w:tc>
          <w:tcPr>
            <w:tcW w:w="305" w:type="dxa"/>
            <w:tcBorders/>
            <w:shd w:fill="FFFFFF" w:val="clear"/>
            <w:vAlign w:val="center"/>
          </w:tcPr>
          <w:p>
            <w:pPr>
              <w:pStyle w:val="TableContents"/>
              <w:bidi w:val="0"/>
              <w:spacing w:before="0" w:after="283"/>
              <w:jc w:val="left"/>
              <w:rPr/>
            </w:pPr>
            <w:r>
              <w:rPr/>
              <w:t>%</w:t>
            </w:r>
          </w:p>
        </w:tc>
      </w:tr>
      <w:tr>
        <w:trPr/>
        <w:tc>
          <w:tcPr>
            <w:tcW w:w="4985" w:type="dxa"/>
            <w:tcBorders/>
            <w:shd w:fill="CCEEFF" w:val="clear"/>
            <w:vAlign w:val="center"/>
          </w:tcPr>
          <w:p>
            <w:pPr>
              <w:pStyle w:val="TableContents"/>
              <w:bidi w:val="0"/>
              <w:spacing w:before="0" w:after="283"/>
              <w:jc w:val="left"/>
              <w:rPr/>
            </w:pPr>
            <w:r>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61" w:type="dxa"/>
            <w:tcBorders>
              <w:bottom w:val="single" w:sz="12" w:space="0" w:color="000000"/>
            </w:tcBorders>
            <w:shd w:fill="CCEEFF" w:val="clear"/>
            <w:tcMar>
              <w:bottom w:w="28" w:type="dxa"/>
            </w:tcMar>
            <w:vAlign w:val="center"/>
          </w:tcPr>
          <w:p>
            <w:pPr>
              <w:pStyle w:val="TableContents"/>
              <w:bidi w:val="0"/>
              <w:spacing w:before="0" w:after="283"/>
              <w:jc w:val="right"/>
              <w:rPr/>
            </w:pPr>
            <w:r>
              <w:rPr/>
              <w:t>0.1</w:t>
            </w:r>
          </w:p>
        </w:tc>
        <w:tc>
          <w:tcPr>
            <w:tcW w:w="11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61" w:type="dxa"/>
            <w:tcBorders>
              <w:bottom w:val="single" w:sz="12" w:space="0" w:color="000000"/>
            </w:tcBorders>
            <w:shd w:fill="CCEEFF" w:val="clear"/>
            <w:tcMar>
              <w:bottom w:w="28" w:type="dxa"/>
            </w:tcMar>
            <w:vAlign w:val="center"/>
          </w:tcPr>
          <w:p>
            <w:pPr>
              <w:pStyle w:val="TableContents"/>
              <w:bidi w:val="0"/>
              <w:spacing w:before="0" w:after="283"/>
              <w:jc w:val="right"/>
              <w:rPr/>
            </w:pPr>
            <w:r>
              <w:rPr/>
              <w:t>0.1</w:t>
            </w:r>
          </w:p>
        </w:tc>
        <w:tc>
          <w:tcPr>
            <w:tcW w:w="11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(28.4</w:t>
            </w:r>
          </w:p>
        </w:tc>
        <w:tc>
          <w:tcPr>
            <w:tcW w:w="305" w:type="dxa"/>
            <w:tcBorders/>
            <w:shd w:fill="CCEEFF" w:val="clear"/>
            <w:vAlign w:val="center"/>
          </w:tcPr>
          <w:p>
            <w:pPr>
              <w:pStyle w:val="TableContents"/>
              <w:bidi w:val="0"/>
              <w:spacing w:before="0" w:after="283"/>
              <w:jc w:val="left"/>
              <w:rPr/>
            </w:pPr>
            <w:r>
              <w:rPr/>
              <w:t>)%</w:t>
            </w:r>
          </w:p>
        </w:tc>
      </w:tr>
      <w:tr>
        <w:trPr/>
        <w:tc>
          <w:tcPr>
            <w:tcW w:w="4985" w:type="dxa"/>
            <w:tcBorders/>
            <w:shd w:fill="FFFFFF" w:val="clear"/>
            <w:vAlign w:val="center"/>
          </w:tcPr>
          <w:p>
            <w:pPr>
              <w:pStyle w:val="TableContents"/>
              <w:bidi w:val="0"/>
              <w:spacing w:before="0" w:after="283"/>
              <w:jc w:val="left"/>
              <w:rPr>
                <w:b/>
              </w:rPr>
            </w:pPr>
            <w:r>
              <w:rPr>
                <w:b/>
              </w:rPr>
              <w:t>EBITDA</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61" w:type="dxa"/>
            <w:tcBorders>
              <w:bottom w:val="double" w:sz="6" w:space="0" w:color="000000"/>
            </w:tcBorders>
            <w:shd w:fill="FFFFFF" w:val="clear"/>
            <w:tcMar>
              <w:bottom w:w="28" w:type="dxa"/>
            </w:tcMar>
            <w:vAlign w:val="center"/>
          </w:tcPr>
          <w:p>
            <w:pPr>
              <w:pStyle w:val="TableContents"/>
              <w:bidi w:val="0"/>
              <w:spacing w:before="0" w:after="283"/>
              <w:jc w:val="right"/>
              <w:rPr/>
            </w:pPr>
            <w:r>
              <w:rPr/>
              <w:t>(1.9</w:t>
            </w:r>
          </w:p>
        </w:tc>
        <w:tc>
          <w:tcPr>
            <w:tcW w:w="110"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61" w:type="dxa"/>
            <w:tcBorders>
              <w:bottom w:val="double" w:sz="6" w:space="0" w:color="000000"/>
            </w:tcBorders>
            <w:shd w:fill="FFFFFF" w:val="clear"/>
            <w:tcMar>
              <w:bottom w:w="28" w:type="dxa"/>
            </w:tcMar>
            <w:vAlign w:val="center"/>
          </w:tcPr>
          <w:p>
            <w:pPr>
              <w:pStyle w:val="TableContents"/>
              <w:bidi w:val="0"/>
              <w:spacing w:before="0" w:after="283"/>
              <w:jc w:val="right"/>
              <w:rPr/>
            </w:pPr>
            <w:r>
              <w:rPr/>
              <w:t>(3.4</w:t>
            </w:r>
          </w:p>
        </w:tc>
        <w:tc>
          <w:tcPr>
            <w:tcW w:w="110"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35" w:type="dxa"/>
            <w:tcBorders>
              <w:bottom w:val="double" w:sz="6" w:space="0" w:color="000000"/>
            </w:tcBorders>
            <w:shd w:fill="FFFFFF" w:val="clear"/>
            <w:tcMar>
              <w:bottom w:w="28" w:type="dxa"/>
            </w:tcMar>
            <w:vAlign w:val="center"/>
          </w:tcPr>
          <w:p>
            <w:pPr>
              <w:pStyle w:val="TableContents"/>
              <w:bidi w:val="0"/>
              <w:spacing w:before="0" w:after="283"/>
              <w:jc w:val="right"/>
              <w:rPr/>
            </w:pPr>
            <w:r>
              <w:rPr/>
              <w:t>1.5</w:t>
            </w:r>
          </w:p>
        </w:tc>
        <w:tc>
          <w:tcPr>
            <w:tcW w:w="11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44.7</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2024, EBITDA increased by $1.5 million, or 44.7%, compared to the three months ended March 31, 2023, primarily as a result of a decrease in net loss of $1.2 million and a decrease in the benefit from income taxes of $0.3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primarily derive revenue from the sale of our games through various gaming platforms. Through these platforms, users can download our games and, for certain games, purchase virtual items to enhance their game-playing experience. We offer certain software products through third-party digital storefronts, such as Xbox Live and Game Pass, PlayStation Network, Steam, Epic Games Store, the Apple App Store, the Google Play Store, My Nintendo Store and the Amazon Appstore, and certain retail distributors. For sales arrangements through Xbox Live and Game Pass, PlayStation Network, Steam, Epic Game Stores, My Nintendo Store and retail distributors, the digital platforms and distributors have discretion in establishing the price for the specified good or service, and we have determined we are the agent in the sales transaction to the end user and therefore report revenue on a net basis based on the consideration received from the digital storefront. For sales arrangements through the Apple App Store and the Google Play Store, we have discretion in establishing the price for the specified good or service and have determined that we are the principal to the end user and therefore report revenue on a gross basis. Mobile platform fees charged by these digital storefronts are expensed as incurred and reported within cost of revenue as merchant fees.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 deferred revenue when payments are due or received in advance of the fulfillment of our associated performance obligations.</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revenues through our current period top four platform providers as a proportion of our total net revenue for the three months ended March 31, 2024 and 2023 were as follows:</w:t>
      </w:r>
    </w:p>
    <w:p>
      <w:pPr>
        <w:pStyle w:val="TextBody"/>
        <w:bidi w:val="0"/>
        <w:spacing w:before="0" w:after="0"/>
        <w:ind w:left="0" w:right="0" w:firstLine="360"/>
        <w:jc w:val="both"/>
        <w:rPr>
          <w:caps w:val="false"/>
          <w:smallCaps w:val="false"/>
        </w:rPr>
      </w:pPr>
      <w:r>
        <w:rPr>
          <w:caps w:val="false"/>
          <w:smallCaps w:val="false"/>
        </w:rPr>
        <w:t> </w:t>
      </w:r>
    </w:p>
    <w:tbl>
      <w:tblPr>
        <w:tblW w:w="6313" w:type="dxa"/>
        <w:jc w:val="left"/>
        <w:tblInd w:w="0" w:type="dxa"/>
        <w:tblLayout w:type="fixed"/>
        <w:tblCellMar>
          <w:top w:w="0" w:type="dxa"/>
          <w:left w:w="0" w:type="dxa"/>
          <w:bottom w:w="0" w:type="dxa"/>
          <w:right w:w="0" w:type="dxa"/>
        </w:tblCellMar>
      </w:tblPr>
      <w:tblGrid>
        <w:gridCol w:w="1835"/>
        <w:gridCol w:w="60"/>
        <w:gridCol w:w="189"/>
        <w:gridCol w:w="594"/>
        <w:gridCol w:w="81"/>
        <w:gridCol w:w="81"/>
        <w:gridCol w:w="189"/>
        <w:gridCol w:w="594"/>
        <w:gridCol w:w="60"/>
        <w:gridCol w:w="60"/>
        <w:gridCol w:w="260"/>
        <w:gridCol w:w="735"/>
        <w:gridCol w:w="95"/>
        <w:gridCol w:w="60"/>
        <w:gridCol w:w="116"/>
        <w:gridCol w:w="999"/>
        <w:gridCol w:w="305"/>
      </w:tblGrid>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8"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78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13" w:type="dxa"/>
            <w:gridSpan w:val="14"/>
            <w:tcBorders/>
            <w:vAlign w:val="center"/>
          </w:tcPr>
          <w:p>
            <w:pPr>
              <w:pStyle w:val="TableContents"/>
              <w:bidi w:val="0"/>
              <w:spacing w:before="0" w:after="283"/>
              <w:jc w:val="center"/>
              <w:rPr>
                <w:b/>
              </w:rPr>
            </w:pPr>
            <w:r>
              <w:rPr>
                <w:b/>
              </w:rPr>
              <w:t>(in millions)</w:t>
            </w:r>
          </w:p>
        </w:tc>
        <w:tc>
          <w:tcPr>
            <w:tcW w:w="30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283"/>
              <w:jc w:val="left"/>
              <w:rPr/>
            </w:pPr>
            <w:r>
              <w:rPr/>
              <w:t>Platform 1</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594" w:type="dxa"/>
            <w:tcBorders/>
            <w:shd w:fill="CCEEFF" w:val="clear"/>
            <w:vAlign w:val="center"/>
          </w:tcPr>
          <w:p>
            <w:pPr>
              <w:pStyle w:val="TableContents"/>
              <w:bidi w:val="0"/>
              <w:spacing w:before="0" w:after="283"/>
              <w:jc w:val="right"/>
              <w:rPr/>
            </w:pPr>
            <w:r>
              <w:rPr/>
              <w:t>5.0</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594" w:type="dxa"/>
            <w:tcBorders/>
            <w:shd w:fill="CCEEFF" w:val="clear"/>
            <w:vAlign w:val="center"/>
          </w:tcPr>
          <w:p>
            <w:pPr>
              <w:pStyle w:val="TableContents"/>
              <w:bidi w:val="0"/>
              <w:spacing w:before="0" w:after="283"/>
              <w:jc w:val="right"/>
              <w:rPr/>
            </w:pPr>
            <w:r>
              <w:rPr/>
              <w:t>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4.4</w:t>
            </w:r>
          </w:p>
        </w:tc>
        <w:tc>
          <w:tcPr>
            <w:tcW w:w="305" w:type="dxa"/>
            <w:tcBorders/>
            <w:shd w:fill="CCEEFF" w:val="clear"/>
            <w:vAlign w:val="center"/>
          </w:tcPr>
          <w:p>
            <w:pPr>
              <w:pStyle w:val="TableContents"/>
              <w:bidi w:val="0"/>
              <w:spacing w:before="0" w:after="283"/>
              <w:jc w:val="left"/>
              <w:rPr/>
            </w:pPr>
            <w:r>
              <w:rPr/>
              <w:t>%</w:t>
            </w:r>
          </w:p>
        </w:tc>
      </w:tr>
      <w:tr>
        <w:trPr/>
        <w:tc>
          <w:tcPr>
            <w:tcW w:w="1835" w:type="dxa"/>
            <w:tcBorders/>
            <w:shd w:fill="FFFFFF" w:val="clear"/>
            <w:vAlign w:val="center"/>
          </w:tcPr>
          <w:p>
            <w:pPr>
              <w:pStyle w:val="TableContents"/>
              <w:bidi w:val="0"/>
              <w:spacing w:before="0" w:after="283"/>
              <w:jc w:val="left"/>
              <w:rPr/>
            </w:pPr>
            <w:r>
              <w:rPr/>
              <w:t>Platform 2</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2.1</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(14.2</w:t>
            </w:r>
          </w:p>
        </w:tc>
        <w:tc>
          <w:tcPr>
            <w:tcW w:w="305" w:type="dxa"/>
            <w:tcBorders/>
            <w:shd w:fill="FFFFFF" w:val="clear"/>
            <w:vAlign w:val="center"/>
          </w:tcPr>
          <w:p>
            <w:pPr>
              <w:pStyle w:val="TableContents"/>
              <w:bidi w:val="0"/>
              <w:spacing w:before="0" w:after="283"/>
              <w:jc w:val="left"/>
              <w:rPr/>
            </w:pPr>
            <w:r>
              <w:rPr/>
              <w:t>)%</w:t>
            </w:r>
          </w:p>
        </w:tc>
      </w:tr>
      <w:tr>
        <w:trPr/>
        <w:tc>
          <w:tcPr>
            <w:tcW w:w="1835" w:type="dxa"/>
            <w:tcBorders/>
            <w:shd w:fill="CCEEFF" w:val="clear"/>
            <w:vAlign w:val="center"/>
          </w:tcPr>
          <w:p>
            <w:pPr>
              <w:pStyle w:val="TableContents"/>
              <w:bidi w:val="0"/>
              <w:spacing w:before="0" w:after="283"/>
              <w:jc w:val="left"/>
              <w:rPr/>
            </w:pPr>
            <w:r>
              <w:rPr/>
              <w:t>Platform 3</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3.4</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55.3</w:t>
            </w:r>
          </w:p>
        </w:tc>
        <w:tc>
          <w:tcPr>
            <w:tcW w:w="305" w:type="dxa"/>
            <w:tcBorders/>
            <w:shd w:fill="CCEEFF" w:val="clear"/>
            <w:vAlign w:val="center"/>
          </w:tcPr>
          <w:p>
            <w:pPr>
              <w:pStyle w:val="TableContents"/>
              <w:bidi w:val="0"/>
              <w:spacing w:before="0" w:after="283"/>
              <w:jc w:val="left"/>
              <w:rPr/>
            </w:pPr>
            <w:r>
              <w:rPr/>
              <w:t>%</w:t>
            </w:r>
          </w:p>
        </w:tc>
      </w:tr>
      <w:tr>
        <w:trPr/>
        <w:tc>
          <w:tcPr>
            <w:tcW w:w="1835" w:type="dxa"/>
            <w:tcBorders/>
            <w:shd w:fill="FFFFFF" w:val="clear"/>
            <w:vAlign w:val="center"/>
          </w:tcPr>
          <w:p>
            <w:pPr>
              <w:pStyle w:val="TableContents"/>
              <w:bidi w:val="0"/>
              <w:spacing w:before="0" w:after="283"/>
              <w:jc w:val="left"/>
              <w:rPr/>
            </w:pPr>
            <w:r>
              <w:rPr/>
              <w:t>Platform 4</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0.5</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(53.9</w:t>
            </w:r>
          </w:p>
        </w:tc>
        <w:tc>
          <w:tcPr>
            <w:tcW w:w="305" w:type="dxa"/>
            <w:tcBorders/>
            <w:shd w:fill="FFFFFF" w:val="clear"/>
            <w:vAlign w:val="center"/>
          </w:tcPr>
          <w:p>
            <w:pPr>
              <w:pStyle w:val="TableContents"/>
              <w:bidi w:val="0"/>
              <w:spacing w:before="0" w:after="283"/>
              <w:jc w:val="left"/>
              <w:rPr/>
            </w:pPr>
            <w:r>
              <w:rPr/>
              <w:t>)%</w:t>
            </w:r>
          </w:p>
        </w:tc>
      </w:tr>
      <w:tr>
        <w:trPr/>
        <w:tc>
          <w:tcPr>
            <w:tcW w:w="1835" w:type="dxa"/>
            <w:tcBorders/>
            <w:shd w:fill="CCEEFF" w:val="clear"/>
            <w:vAlign w:val="center"/>
          </w:tcPr>
          <w:p>
            <w:pPr>
              <w:pStyle w:val="TableContents"/>
              <w:bidi w:val="0"/>
              <w:spacing w:before="0" w:after="283"/>
              <w:jc w:val="left"/>
              <w:rPr/>
            </w:pPr>
            <w:r>
              <w:rPr/>
              <w:t>All Other Revenue</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4" w:type="dxa"/>
            <w:tcBorders>
              <w:bottom w:val="single" w:sz="12" w:space="0" w:color="000000"/>
            </w:tcBorders>
            <w:shd w:fill="CCEEFF" w:val="clear"/>
            <w:tcMar>
              <w:bottom w:w="28" w:type="dxa"/>
            </w:tcMar>
            <w:vAlign w:val="center"/>
          </w:tcPr>
          <w:p>
            <w:pPr>
              <w:pStyle w:val="TableContents"/>
              <w:bidi w:val="0"/>
              <w:spacing w:before="0" w:after="283"/>
              <w:jc w:val="right"/>
              <w:rPr/>
            </w:pPr>
            <w:r>
              <w:rPr/>
              <w:t>3.1</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4" w:type="dxa"/>
            <w:tcBorders>
              <w:bottom w:val="single" w:sz="12" w:space="0" w:color="000000"/>
            </w:tcBorders>
            <w:shd w:fill="CCEEFF" w:val="clear"/>
            <w:tcMar>
              <w:bottom w:w="28" w:type="dxa"/>
            </w:tcMar>
            <w:vAlign w:val="center"/>
          </w:tcPr>
          <w:p>
            <w:pPr>
              <w:pStyle w:val="TableContents"/>
              <w:bidi w:val="0"/>
              <w:spacing w:before="0" w:after="283"/>
              <w:jc w:val="right"/>
              <w:rPr/>
            </w:pPr>
            <w:r>
              <w:rPr/>
              <w:t>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5" w:type="dxa"/>
            <w:tcBorders>
              <w:bottom w:val="single" w:sz="12" w:space="0" w:color="000000"/>
            </w:tcBorders>
            <w:shd w:fill="CCEEFF" w:val="clear"/>
            <w:tcMar>
              <w:bottom w:w="28" w:type="dxa"/>
            </w:tcMar>
            <w:vAlign w:val="center"/>
          </w:tcPr>
          <w:p>
            <w:pPr>
              <w:pStyle w:val="TableContents"/>
              <w:bidi w:val="0"/>
              <w:spacing w:before="0" w:after="283"/>
              <w:jc w:val="right"/>
              <w:rPr/>
            </w:pPr>
            <w:r>
              <w:rPr/>
              <w:t>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CCEEFF" w:val="clear"/>
            <w:tcMar>
              <w:bottom w:w="28" w:type="dxa"/>
            </w:tcMar>
            <w:vAlign w:val="center"/>
          </w:tcPr>
          <w:p>
            <w:pPr>
              <w:pStyle w:val="TableContents"/>
              <w:bidi w:val="0"/>
              <w:spacing w:before="0" w:after="283"/>
              <w:jc w:val="right"/>
              <w:rPr/>
            </w:pPr>
            <w:r>
              <w:rPr/>
              <w:t>7.6</w:t>
            </w:r>
          </w:p>
        </w:tc>
        <w:tc>
          <w:tcPr>
            <w:tcW w:w="305" w:type="dxa"/>
            <w:tcBorders/>
            <w:shd w:fill="CCEEFF" w:val="clear"/>
            <w:vAlign w:val="center"/>
          </w:tcPr>
          <w:p>
            <w:pPr>
              <w:pStyle w:val="TableContents"/>
              <w:bidi w:val="0"/>
              <w:spacing w:before="0" w:after="283"/>
              <w:jc w:val="left"/>
              <w:rPr/>
            </w:pPr>
            <w:r>
              <w:rPr/>
              <w:t>%</w:t>
            </w:r>
          </w:p>
        </w:tc>
      </w:tr>
      <w:tr>
        <w:trPr/>
        <w:tc>
          <w:tcPr>
            <w:tcW w:w="183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94" w:type="dxa"/>
            <w:tcBorders>
              <w:bottom w:val="double" w:sz="6" w:space="0" w:color="000000"/>
            </w:tcBorders>
            <w:shd w:fill="FFFFFF" w:val="clear"/>
            <w:tcMar>
              <w:bottom w:w="28" w:type="dxa"/>
            </w:tcMar>
            <w:vAlign w:val="center"/>
          </w:tcPr>
          <w:p>
            <w:pPr>
              <w:pStyle w:val="TableContents"/>
              <w:bidi w:val="0"/>
              <w:spacing w:before="0" w:after="283"/>
              <w:jc w:val="right"/>
              <w:rPr/>
            </w:pPr>
            <w:r>
              <w:rPr/>
              <w:t>14.1</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94" w:type="dxa"/>
            <w:tcBorders>
              <w:bottom w:val="double" w:sz="6" w:space="0" w:color="000000"/>
            </w:tcBorders>
            <w:shd w:fill="FFFFFF" w:val="clear"/>
            <w:tcMar>
              <w:bottom w:w="28" w:type="dxa"/>
            </w:tcMar>
            <w:vAlign w:val="center"/>
          </w:tcPr>
          <w:p>
            <w:pPr>
              <w:pStyle w:val="TableContents"/>
              <w:bidi w:val="0"/>
              <w:spacing w:before="0" w:after="283"/>
              <w:jc w:val="right"/>
              <w:rPr/>
            </w:pPr>
            <w:r>
              <w:rPr/>
              <w:t>13.5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35" w:type="dxa"/>
            <w:tcBorders>
              <w:bottom w:val="double" w:sz="6" w:space="0" w:color="000000"/>
            </w:tcBorders>
            <w:shd w:fill="FFFFFF" w:val="clear"/>
            <w:tcMar>
              <w:bottom w:w="28" w:type="dxa"/>
            </w:tcMar>
            <w:vAlign w:val="center"/>
          </w:tcPr>
          <w:p>
            <w:pPr>
              <w:pStyle w:val="TableContents"/>
              <w:bidi w:val="0"/>
              <w:spacing w:before="0" w:after="283"/>
              <w:jc w:val="right"/>
              <w:rPr/>
            </w:pPr>
            <w:r>
              <w:rPr/>
              <w:t>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double" w:sz="6" w:space="0" w:color="000000"/>
            </w:tcBorders>
            <w:shd w:fill="FFFFFF" w:val="clear"/>
            <w:tcMar>
              <w:bottom w:w="28" w:type="dxa"/>
            </w:tcMar>
            <w:vAlign w:val="center"/>
          </w:tcPr>
          <w:p>
            <w:pPr>
              <w:pStyle w:val="TableContents"/>
              <w:bidi w:val="0"/>
              <w:spacing w:before="0" w:after="283"/>
              <w:jc w:val="right"/>
              <w:rPr/>
            </w:pPr>
            <w:r>
              <w:rPr/>
              <w:t>4.9</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expect changes in revenue to correlate with trends in the use and purchase of our games. The increase in net revenues of Platforms 1 and 3 during the three months ended March 31, 2024 from 2023 due to increased sales from the release of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Myth of Empires.</w:t>
      </w:r>
      <w:r>
        <w:rPr>
          <w:rFonts w:ascii="Times New Roman;Times;Serif" w:hAnsi="Times New Roman;Times;Serif"/>
          <w:b w:val="false"/>
          <w:i w:val="false"/>
          <w:caps w:val="false"/>
          <w:smallCaps w:val="false"/>
          <w:sz w:val="20"/>
        </w:rPr>
        <w:t xml:space="preserve"> The decrease in Platform 2 was due to the increase in deferred revenues related to the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 xml:space="preserve">DLC’s that have not yet been released. The bookings for these platforms increased during the 2024 period due to the release of </w:t>
      </w:r>
      <w:r>
        <w:rPr>
          <w:rFonts w:ascii="Times New Roman;Times;Serif" w:hAnsi="Times New Roman;Times;Serif"/>
          <w:b w:val="false"/>
          <w:i/>
          <w:caps w:val="false"/>
          <w:smallCaps w:val="false"/>
          <w:sz w:val="20"/>
        </w:rPr>
        <w:t>ARK: Survival Ascended</w:t>
      </w:r>
      <w:r>
        <w:rPr>
          <w:rFonts w:ascii="Times New Roman;Times;Serif" w:hAnsi="Times New Roman;Times;Serif"/>
          <w:b w:val="false"/>
          <w:i w:val="false"/>
          <w:caps w:val="false"/>
          <w:smallCaps w:val="false"/>
          <w:sz w:val="20"/>
        </w:rPr>
        <w:t xml:space="preserve">. The decrease in net revenues of Platform 4 was due to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not yet being launched on Platform 4 as of March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Cost of revenues includes license royalty fees, merchant fees, engine fees, server and database cost centers, game licenses and license right amortization. For a description of our licensing arrangements, please see Note 2 - </w:t>
      </w:r>
      <w:r>
        <w:rPr>
          <w:rFonts w:ascii="Times New Roman;Times;Serif" w:hAnsi="Times New Roman;Times;Serif"/>
          <w:b w:val="false"/>
          <w:i/>
          <w:caps w:val="false"/>
          <w:smallCaps w:val="false"/>
          <w:sz w:val="20"/>
        </w:rPr>
        <w:t xml:space="preserve">Summary of Significant Accounting Policies </w:t>
      </w:r>
      <w:r>
        <w:rPr>
          <w:rFonts w:ascii="Times New Roman;Times;Serif" w:hAnsi="Times New Roman;Times;Serif"/>
          <w:b w:val="false"/>
          <w:i w:val="false"/>
          <w:caps w:val="false"/>
          <w:smallCaps w:val="false"/>
          <w:sz w:val="20"/>
        </w:rPr>
        <w:t>to our unaudited condensed consolidated financial statements included in this Quarterly Report. We generally expect cost of revenues to fluctuate proportionately with 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include rent expense, salaries, stock-based compensation, legal and professional expenses, administrative internet and server expenses, contract costs, insurance expenses, license and permits, other taxes and travel expenses. We expect salaries and wages to increase in a manner that is proportional with the added expenses and expertise of operating as a public company. We also expect salaries and wages to increase as we increase headcount as we expand our product offerings. Stock-based compensation will be recorded within research and development and general and administrative expense. We also record legal settlement expenses as components of general and administrative expenses. We expect general and administrative expenses will increase in absolute dollars due to the additional administrative and regulatory burden of becoming and operating as a public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consists primarily of consulting expenses and salaries and wages devoted towards the development of new games and related technologies and development costs outsourced through Suzhou Snail. We do not fund or enter into arrangements relating to the research and development activities from third-party developers from whom we license games. We expect our research and development to increase as we develop new content, games or technologies.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and marketing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and marketing consists of costs related to advertising and user acquisition efforts, including payments to third-party marketing agencies. We occasionally offer our early access trial, through which we sell our games that are in development and testing. The early access trial allows us to both monetize and receive feedback on how to improve our games over time. We plan to continue to invest in advertising and marketing to retain and acquire players. However, sales and marketing expenses may fluctuate as a percentage of revenues depending on the timing and efficiency of our marketing efforts.</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Benefit from income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benefit from income taxes consists of current income taxes in the various jurisdictions where we are subject to taxation, primarily the United States, as well as deferred income taxes reflecting the net tax effects of temporary differences between the carrying amounts of assets and liabilities in each of these jurisdictions for financial reporting purposes and the amounts used for income tax purposes. Under current U.S. tax law, the federal statutory tax rate applicable to corporations is 21%. Our effective tax rate of 21% did not differ from the federal statutory rate of 21%.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March 31, 2024 versus the three months ended March 31, 2023</w:t>
      </w:r>
    </w:p>
    <w:p>
      <w:pPr>
        <w:pStyle w:val="TextBody"/>
        <w:bidi w:val="0"/>
        <w:spacing w:before="0" w:after="0"/>
        <w:ind w:left="0" w:right="0" w:hanging="0"/>
        <w:jc w:val="center"/>
        <w:rPr>
          <w:caps w:val="false"/>
          <w:smallCaps w:val="false"/>
        </w:rPr>
      </w:pPr>
      <w:r>
        <w:rPr>
          <w:caps w:val="false"/>
          <w:smallCaps w:val="false"/>
        </w:rPr>
        <w:t> </w:t>
      </w:r>
    </w:p>
    <w:tbl>
      <w:tblPr>
        <w:tblW w:w="7441" w:type="dxa"/>
        <w:jc w:val="left"/>
        <w:tblInd w:w="0" w:type="dxa"/>
        <w:tblLayout w:type="fixed"/>
        <w:tblCellMar>
          <w:top w:w="0" w:type="dxa"/>
          <w:left w:w="0" w:type="dxa"/>
          <w:bottom w:w="0" w:type="dxa"/>
          <w:right w:w="0" w:type="dxa"/>
        </w:tblCellMar>
      </w:tblPr>
      <w:tblGrid>
        <w:gridCol w:w="2885"/>
        <w:gridCol w:w="60"/>
        <w:gridCol w:w="184"/>
        <w:gridCol w:w="578"/>
        <w:gridCol w:w="124"/>
        <w:gridCol w:w="78"/>
        <w:gridCol w:w="184"/>
        <w:gridCol w:w="578"/>
        <w:gridCol w:w="95"/>
        <w:gridCol w:w="60"/>
        <w:gridCol w:w="260"/>
        <w:gridCol w:w="735"/>
        <w:gridCol w:w="95"/>
        <w:gridCol w:w="60"/>
        <w:gridCol w:w="116"/>
        <w:gridCol w:w="999"/>
        <w:gridCol w:w="350"/>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6"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35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5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46" w:type="dxa"/>
            <w:gridSpan w:val="14"/>
            <w:tcBorders/>
            <w:vAlign w:val="center"/>
          </w:tcPr>
          <w:p>
            <w:pPr>
              <w:pStyle w:val="TableContents"/>
              <w:bidi w:val="0"/>
              <w:spacing w:before="0" w:after="283"/>
              <w:jc w:val="center"/>
              <w:rPr>
                <w:b/>
              </w:rPr>
            </w:pPr>
            <w:r>
              <w:rPr>
                <w:b/>
              </w:rPr>
              <w:t>(in millions)</w:t>
            </w:r>
          </w:p>
        </w:tc>
        <w:tc>
          <w:tcPr>
            <w:tcW w:w="35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Revenues, net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578" w:type="dxa"/>
            <w:tcBorders/>
            <w:shd w:fill="CCEEFF" w:val="clear"/>
            <w:vAlign w:val="center"/>
          </w:tcPr>
          <w:p>
            <w:pPr>
              <w:pStyle w:val="TableContents"/>
              <w:bidi w:val="0"/>
              <w:spacing w:before="0" w:after="283"/>
              <w:jc w:val="right"/>
              <w:rPr/>
            </w:pPr>
            <w:r>
              <w:rPr/>
              <w:t>14.1</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578" w:type="dxa"/>
            <w:tcBorders/>
            <w:shd w:fill="CCEEFF" w:val="clear"/>
            <w:vAlign w:val="center"/>
          </w:tcPr>
          <w:p>
            <w:pPr>
              <w:pStyle w:val="TableContents"/>
              <w:bidi w:val="0"/>
              <w:spacing w:before="0" w:after="283"/>
              <w:jc w:val="right"/>
              <w:rPr/>
            </w:pPr>
            <w:r>
              <w:rPr/>
              <w:t>13.5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4.9</w:t>
            </w:r>
          </w:p>
        </w:tc>
        <w:tc>
          <w:tcPr>
            <w:tcW w:w="35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78" w:type="dxa"/>
            <w:tcBorders>
              <w:bottom w:val="single" w:sz="12" w:space="0" w:color="000000"/>
            </w:tcBorders>
            <w:shd w:fill="FFFFFF" w:val="clear"/>
            <w:tcMar>
              <w:bottom w:w="28" w:type="dxa"/>
            </w:tcMar>
            <w:vAlign w:val="center"/>
          </w:tcPr>
          <w:p>
            <w:pPr>
              <w:pStyle w:val="TableContents"/>
              <w:bidi w:val="0"/>
              <w:spacing w:before="0" w:after="283"/>
              <w:jc w:val="right"/>
              <w:rPr/>
            </w:pPr>
            <w:r>
              <w:rPr/>
              <w:t>12.1</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78" w:type="dxa"/>
            <w:tcBorders>
              <w:bottom w:val="single" w:sz="12" w:space="0" w:color="000000"/>
            </w:tcBorders>
            <w:shd w:fill="FFFFFF" w:val="clear"/>
            <w:tcMar>
              <w:bottom w:w="28" w:type="dxa"/>
            </w:tcMar>
            <w:vAlign w:val="center"/>
          </w:tcPr>
          <w:p>
            <w:pPr>
              <w:pStyle w:val="TableContents"/>
              <w:bidi w:val="0"/>
              <w:spacing w:before="0" w:after="283"/>
              <w:jc w:val="right"/>
              <w:rPr/>
            </w:pPr>
            <w:r>
              <w:rPr/>
              <w:t>10.9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5" w:type="dxa"/>
            <w:tcBorders>
              <w:bottom w:val="single" w:sz="12" w:space="0" w:color="000000"/>
            </w:tcBorders>
            <w:shd w:fill="FFFFFF" w:val="clear"/>
            <w:tcMar>
              <w:bottom w:w="28" w:type="dxa"/>
            </w:tcMar>
            <w:vAlign w:val="center"/>
          </w:tcPr>
          <w:p>
            <w:pPr>
              <w:pStyle w:val="TableContents"/>
              <w:bidi w:val="0"/>
              <w:spacing w:before="0" w:after="283"/>
              <w:jc w:val="right"/>
              <w:rPr/>
            </w:pPr>
            <w:r>
              <w:rPr/>
              <w:t>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FFFFFF" w:val="clear"/>
            <w:tcMar>
              <w:bottom w:w="28" w:type="dxa"/>
            </w:tcMar>
            <w:vAlign w:val="center"/>
          </w:tcPr>
          <w:p>
            <w:pPr>
              <w:pStyle w:val="TableContents"/>
              <w:bidi w:val="0"/>
              <w:spacing w:before="0" w:after="283"/>
              <w:jc w:val="right"/>
              <w:rPr/>
            </w:pPr>
            <w:r>
              <w:rPr/>
              <w:t>10.9</w:t>
            </w:r>
          </w:p>
        </w:tc>
        <w:tc>
          <w:tcPr>
            <w:tcW w:w="350" w:type="dxa"/>
            <w:tcBorders/>
            <w:shd w:fill="FFFFFF" w:val="clear"/>
            <w:vAlign w:val="center"/>
          </w:tcPr>
          <w:p>
            <w:pPr>
              <w:pStyle w:val="TableContents"/>
              <w:bidi w:val="0"/>
              <w:spacing w:before="0" w:after="283"/>
              <w:jc w:val="left"/>
              <w:rPr/>
            </w:pPr>
            <w:r>
              <w:rPr/>
              <w:t>%</w:t>
            </w:r>
          </w:p>
        </w:tc>
      </w:tr>
      <w:tr>
        <w:trPr/>
        <w:tc>
          <w:tcPr>
            <w:tcW w:w="2885"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8" w:type="dxa"/>
            <w:tcBorders>
              <w:bottom w:val="single" w:sz="12" w:space="0" w:color="000000"/>
            </w:tcBorders>
            <w:shd w:fill="CCEEFF" w:val="clear"/>
            <w:tcMar>
              <w:bottom w:w="28" w:type="dxa"/>
            </w:tcMar>
            <w:vAlign w:val="center"/>
          </w:tcPr>
          <w:p>
            <w:pPr>
              <w:pStyle w:val="TableContents"/>
              <w:bidi w:val="0"/>
              <w:spacing w:before="0" w:after="283"/>
              <w:jc w:val="right"/>
              <w:rPr/>
            </w:pPr>
            <w:r>
              <w:rPr/>
              <w:t>2.0</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8" w:type="dxa"/>
            <w:tcBorders>
              <w:bottom w:val="single" w:sz="12" w:space="0" w:color="000000"/>
            </w:tcBorders>
            <w:shd w:fill="CCEEFF" w:val="clear"/>
            <w:tcMar>
              <w:bottom w:w="28" w:type="dxa"/>
            </w:tcMar>
            <w:vAlign w:val="center"/>
          </w:tcPr>
          <w:p>
            <w:pPr>
              <w:pStyle w:val="TableContents"/>
              <w:bidi w:val="0"/>
              <w:spacing w:before="0" w:after="283"/>
              <w:jc w:val="right"/>
              <w:rPr/>
            </w:pPr>
            <w:r>
              <w:rPr/>
              <w:t>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5" w:type="dxa"/>
            <w:tcBorders>
              <w:bottom w:val="single" w:sz="12" w:space="0" w:color="000000"/>
            </w:tcBorders>
            <w:shd w:fill="CCEEFF" w:val="clear"/>
            <w:tcMar>
              <w:bottom w:w="28" w:type="dxa"/>
            </w:tcMar>
            <w:vAlign w:val="center"/>
          </w:tcPr>
          <w:p>
            <w:pPr>
              <w:pStyle w:val="TableContents"/>
              <w:bidi w:val="0"/>
              <w:spacing w:before="0" w:after="283"/>
              <w:jc w:val="right"/>
              <w:rPr/>
            </w:pPr>
            <w:r>
              <w:rPr/>
              <w:t>(0.6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CCEEFF" w:val="clear"/>
            <w:tcMar>
              <w:bottom w:w="28" w:type="dxa"/>
            </w:tcMar>
            <w:vAlign w:val="center"/>
          </w:tcPr>
          <w:p>
            <w:pPr>
              <w:pStyle w:val="TableContents"/>
              <w:bidi w:val="0"/>
              <w:spacing w:before="0" w:after="283"/>
              <w:jc w:val="right"/>
              <w:rPr/>
            </w:pPr>
            <w:r>
              <w:rPr/>
              <w:t>(20.2</w:t>
            </w:r>
          </w:p>
        </w:tc>
        <w:tc>
          <w:tcPr>
            <w:tcW w:w="35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578" w:type="dxa"/>
            <w:tcBorders/>
            <w:shd w:fill="CCEEFF" w:val="clear"/>
            <w:vAlign w:val="center"/>
          </w:tcPr>
          <w:p>
            <w:pPr>
              <w:pStyle w:val="TableContents"/>
              <w:bidi w:val="0"/>
              <w:spacing w:before="0" w:after="283"/>
              <w:jc w:val="right"/>
              <w:rPr/>
            </w:pPr>
            <w:r>
              <w:rPr/>
              <w:t>2.3</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578" w:type="dxa"/>
            <w:tcBorders/>
            <w:shd w:fill="CCEEFF" w:val="clear"/>
            <w:vAlign w:val="center"/>
          </w:tcPr>
          <w:p>
            <w:pPr>
              <w:pStyle w:val="TableContents"/>
              <w:bidi w:val="0"/>
              <w:spacing w:before="0" w:after="283"/>
              <w:jc w:val="right"/>
              <w:rPr/>
            </w:pPr>
            <w:r>
              <w:rPr/>
              <w:t>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(49.6</w:t>
            </w:r>
          </w:p>
        </w:tc>
        <w:tc>
          <w:tcPr>
            <w:tcW w:w="35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right"/>
              <w:rPr/>
            </w:pPr>
            <w:r>
              <w:rPr/>
              <w:t>1.8</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right"/>
              <w:rPr/>
            </w:pPr>
            <w:r>
              <w:rPr/>
              <w:t>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29.3</w:t>
            </w:r>
          </w:p>
        </w:tc>
        <w:tc>
          <w:tcPr>
            <w:tcW w:w="350" w:type="dxa"/>
            <w:tcBorders/>
            <w:shd w:fill="FFFFFF" w:val="clear"/>
            <w:vAlign w:val="center"/>
          </w:tcPr>
          <w:p>
            <w:pPr>
              <w:pStyle w:val="TableContents"/>
              <w:bidi w:val="0"/>
              <w:spacing w:before="0" w:after="283"/>
              <w:jc w:val="left"/>
              <w:rPr/>
            </w:pPr>
            <w:r>
              <w:rPr/>
              <w:t>%</w:t>
            </w:r>
          </w:p>
        </w:tc>
      </w:tr>
      <w:tr>
        <w:trPr/>
        <w:tc>
          <w:tcPr>
            <w:tcW w:w="2885" w:type="dxa"/>
            <w:tcBorders/>
            <w:shd w:fill="CCEEFF" w:val="clear"/>
            <w:vAlign w:val="center"/>
          </w:tcPr>
          <w:p>
            <w:pPr>
              <w:pStyle w:val="TableContents"/>
              <w:bidi w:val="0"/>
              <w:spacing w:before="0" w:after="283"/>
              <w:jc w:val="left"/>
              <w:rPr/>
            </w:pPr>
            <w:r>
              <w:rPr/>
              <w:t>Advertising and marketing</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578" w:type="dxa"/>
            <w:tcBorders/>
            <w:shd w:fill="CCEEFF" w:val="clear"/>
            <w:vAlign w:val="center"/>
          </w:tcPr>
          <w:p>
            <w:pPr>
              <w:pStyle w:val="TableContents"/>
              <w:bidi w:val="0"/>
              <w:spacing w:before="0" w:after="283"/>
              <w:jc w:val="right"/>
              <w:rPr/>
            </w:pPr>
            <w:r>
              <w:rPr/>
              <w:t>0.1</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578" w:type="dxa"/>
            <w:tcBorders/>
            <w:shd w:fill="CCEEFF" w:val="clear"/>
            <w:vAlign w:val="center"/>
          </w:tcPr>
          <w:p>
            <w:pPr>
              <w:pStyle w:val="TableContents"/>
              <w:bidi w:val="0"/>
              <w:spacing w:before="0" w:after="283"/>
              <w:jc w:val="right"/>
              <w:rPr/>
            </w:pPr>
            <w:r>
              <w:rPr/>
              <w:t>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34.9</w:t>
            </w:r>
          </w:p>
        </w:tc>
        <w:tc>
          <w:tcPr>
            <w:tcW w:w="35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78" w:type="dxa"/>
            <w:tcBorders>
              <w:bottom w:val="single" w:sz="12" w:space="0" w:color="000000"/>
            </w:tcBorders>
            <w:shd w:fill="FFFFFF" w:val="clear"/>
            <w:tcMar>
              <w:bottom w:w="28" w:type="dxa"/>
            </w:tcMar>
            <w:vAlign w:val="center"/>
          </w:tcPr>
          <w:p>
            <w:pPr>
              <w:pStyle w:val="TableContents"/>
              <w:bidi w:val="0"/>
              <w:spacing w:before="0" w:after="283"/>
              <w:jc w:val="right"/>
              <w:rPr/>
            </w:pPr>
            <w:r>
              <w:rPr/>
              <w:t>0.1</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78" w:type="dxa"/>
            <w:tcBorders>
              <w:bottom w:val="single" w:sz="12" w:space="0" w:color="000000"/>
            </w:tcBorders>
            <w:shd w:fill="FFFFFF" w:val="clear"/>
            <w:tcMar>
              <w:bottom w:w="28" w:type="dxa"/>
            </w:tcMar>
            <w:vAlign w:val="center"/>
          </w:tcPr>
          <w:p>
            <w:pPr>
              <w:pStyle w:val="TableContents"/>
              <w:bidi w:val="0"/>
              <w:spacing w:before="0" w:after="283"/>
              <w:jc w:val="right"/>
              <w:rPr/>
            </w:pPr>
            <w:r>
              <w:rPr/>
              <w:t>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FFFFFF" w:val="clear"/>
            <w:tcMar>
              <w:bottom w:w="28" w:type="dxa"/>
            </w:tcMar>
            <w:vAlign w:val="center"/>
          </w:tcPr>
          <w:p>
            <w:pPr>
              <w:pStyle w:val="TableContents"/>
              <w:bidi w:val="0"/>
              <w:spacing w:before="0" w:after="283"/>
              <w:jc w:val="right"/>
              <w:rPr/>
            </w:pPr>
            <w:r>
              <w:rPr/>
              <w:t>(28.4</w:t>
            </w:r>
          </w:p>
        </w:tc>
        <w:tc>
          <w:tcPr>
            <w:tcW w:w="350" w:type="dxa"/>
            <w:tcBorders/>
            <w:shd w:fill="FFFFFF" w:val="clear"/>
            <w:vAlign w:val="center"/>
          </w:tcPr>
          <w:p>
            <w:pPr>
              <w:pStyle w:val="TableContents"/>
              <w:bidi w:val="0"/>
              <w:spacing w:before="0" w:after="283"/>
              <w:jc w:val="left"/>
              <w:rPr/>
            </w:pPr>
            <w:r>
              <w:rPr/>
              <w:t>)%</w:t>
            </w:r>
          </w:p>
        </w:tc>
      </w:tr>
      <w:tr>
        <w:trPr/>
        <w:tc>
          <w:tcPr>
            <w:tcW w:w="288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8" w:type="dxa"/>
            <w:tcBorders>
              <w:bottom w:val="single" w:sz="12" w:space="0" w:color="000000"/>
            </w:tcBorders>
            <w:shd w:fill="CCEEFF" w:val="clear"/>
            <w:tcMar>
              <w:bottom w:w="28" w:type="dxa"/>
            </w:tcMar>
            <w:vAlign w:val="center"/>
          </w:tcPr>
          <w:p>
            <w:pPr>
              <w:pStyle w:val="TableContents"/>
              <w:bidi w:val="0"/>
              <w:spacing w:before="0" w:after="283"/>
              <w:jc w:val="right"/>
              <w:rPr/>
            </w:pPr>
            <w:r>
              <w:rPr/>
              <w:t>4.3</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8" w:type="dxa"/>
            <w:tcBorders>
              <w:bottom w:val="single" w:sz="12" w:space="0" w:color="000000"/>
            </w:tcBorders>
            <w:shd w:fill="CCEEFF" w:val="clear"/>
            <w:tcMar>
              <w:bottom w:w="28" w:type="dxa"/>
            </w:tcMar>
            <w:vAlign w:val="center"/>
          </w:tcPr>
          <w:p>
            <w:pPr>
              <w:pStyle w:val="TableContents"/>
              <w:bidi w:val="0"/>
              <w:spacing w:before="0" w:after="283"/>
              <w:jc w:val="right"/>
              <w:rPr/>
            </w:pPr>
            <w:r>
              <w:rPr/>
              <w:t>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5" w:type="dxa"/>
            <w:tcBorders>
              <w:bottom w:val="single" w:sz="12" w:space="0" w:color="000000"/>
            </w:tcBorders>
            <w:shd w:fill="CCEEFF" w:val="clear"/>
            <w:tcMar>
              <w:bottom w:w="28" w:type="dxa"/>
            </w:tcM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CCEEFF" w:val="clear"/>
            <w:tcMar>
              <w:bottom w:w="28" w:type="dxa"/>
            </w:tcMar>
            <w:vAlign w:val="center"/>
          </w:tcPr>
          <w:p>
            <w:pPr>
              <w:pStyle w:val="TableContents"/>
              <w:bidi w:val="0"/>
              <w:spacing w:before="0" w:after="283"/>
              <w:jc w:val="right"/>
              <w:rPr/>
            </w:pPr>
            <w:r>
              <w:rPr/>
              <w:t>(30.0</w:t>
            </w:r>
          </w:p>
        </w:tc>
        <w:tc>
          <w:tcPr>
            <w:tcW w:w="35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57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w:t>
            </w:r>
          </w:p>
        </w:tc>
        <w:tc>
          <w:tcPr>
            <w:tcW w:w="124" w:type="dxa"/>
            <w:tcBorders/>
            <w:shd w:fill="FFFFFF" w:val="clear"/>
            <w:vAlign w:val="center"/>
          </w:tcPr>
          <w:p>
            <w:pPr>
              <w:pStyle w:val="TableContents"/>
              <w:bidi w:val="0"/>
              <w:spacing w:before="0" w:after="283"/>
              <w:jc w:val="left"/>
              <w:rPr>
                <w:b/>
              </w:rPr>
            </w:pPr>
            <w:r>
              <w:rPr>
                <w:b/>
              </w:rPr>
              <w:t>)</w:t>
            </w:r>
          </w:p>
        </w:tc>
        <w:tc>
          <w:tcPr>
            <w:tcW w:w="78"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57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73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(37.3</w:t>
            </w:r>
          </w:p>
        </w:tc>
        <w:tc>
          <w:tcPr>
            <w:tcW w:w="35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 for the three months ended March 31, 2024 increased by $0.6 million, or 4.9%, compared to the three months ended March 31, 2023. The increase in net revenues was due to an increase in total Ark sales of $5.1 million, an increase due to the recognition of $1.2 million payment related to the Angela Games settlement and recognized upon satisfaction of performance obligations included in the contract, an increase in sales of the Company’s other games of $0.7 million, partially offset by a decrease in Ark Mobile sales of $0.6 million and an increase in deferred revenues of $5.5 million related to the Ark franchise.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the three months ended March 31, 2024 increased by $1.2 million, or 10.9%, compared to the three months ended March 31,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the three months ended March 31, 2024 and 2023 comprised the following:</w:t>
      </w:r>
    </w:p>
    <w:p>
      <w:pPr>
        <w:pStyle w:val="TextBody"/>
        <w:bidi w:val="0"/>
        <w:spacing w:before="0" w:after="0"/>
        <w:ind w:left="0" w:right="0" w:firstLine="360"/>
        <w:jc w:val="both"/>
        <w:rPr>
          <w:caps w:val="false"/>
          <w:smallCaps w:val="false"/>
        </w:rPr>
      </w:pPr>
      <w:r>
        <w:rPr>
          <w:caps w:val="false"/>
          <w:smallCaps w:val="false"/>
        </w:rPr>
        <w:t> </w:t>
      </w:r>
    </w:p>
    <w:tbl>
      <w:tblPr>
        <w:tblW w:w="8428" w:type="dxa"/>
        <w:jc w:val="left"/>
        <w:tblInd w:w="0" w:type="dxa"/>
        <w:tblLayout w:type="fixed"/>
        <w:tblCellMar>
          <w:top w:w="0" w:type="dxa"/>
          <w:left w:w="0" w:type="dxa"/>
          <w:bottom w:w="0" w:type="dxa"/>
          <w:right w:w="0" w:type="dxa"/>
        </w:tblCellMar>
      </w:tblPr>
      <w:tblGrid>
        <w:gridCol w:w="3950"/>
        <w:gridCol w:w="60"/>
        <w:gridCol w:w="189"/>
        <w:gridCol w:w="594"/>
        <w:gridCol w:w="81"/>
        <w:gridCol w:w="81"/>
        <w:gridCol w:w="189"/>
        <w:gridCol w:w="594"/>
        <w:gridCol w:w="60"/>
        <w:gridCol w:w="60"/>
        <w:gridCol w:w="260"/>
        <w:gridCol w:w="735"/>
        <w:gridCol w:w="95"/>
        <w:gridCol w:w="60"/>
        <w:gridCol w:w="107"/>
        <w:gridCol w:w="1008"/>
        <w:gridCol w:w="305"/>
      </w:tblGrid>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8"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78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13" w:type="dxa"/>
            <w:gridSpan w:val="14"/>
            <w:tcBorders/>
            <w:vAlign w:val="center"/>
          </w:tcPr>
          <w:p>
            <w:pPr>
              <w:pStyle w:val="TableContents"/>
              <w:bidi w:val="0"/>
              <w:spacing w:before="0" w:after="283"/>
              <w:jc w:val="center"/>
              <w:rPr>
                <w:b/>
              </w:rPr>
            </w:pPr>
            <w:r>
              <w:rPr>
                <w:b/>
              </w:rPr>
              <w:t>(in millions)</w:t>
            </w:r>
          </w:p>
        </w:tc>
        <w:tc>
          <w:tcPr>
            <w:tcW w:w="305"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pPr>
            <w:r>
              <w:rPr/>
              <w:t>Software license royalties - related parties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594" w:type="dxa"/>
            <w:tcBorders/>
            <w:shd w:fill="CCEEFF" w:val="clear"/>
            <w:vAlign w:val="center"/>
          </w:tcPr>
          <w:p>
            <w:pPr>
              <w:pStyle w:val="TableContents"/>
              <w:bidi w:val="0"/>
              <w:spacing w:before="0" w:after="283"/>
              <w:jc w:val="right"/>
              <w:rPr/>
            </w:pPr>
            <w:r>
              <w:rPr/>
              <w:t>3.3</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594" w:type="dxa"/>
            <w:tcBorders/>
            <w:shd w:fill="CCEEFF" w:val="clear"/>
            <w:vAlign w:val="center"/>
          </w:tcPr>
          <w:p>
            <w:pPr>
              <w:pStyle w:val="TableContents"/>
              <w:bidi w:val="0"/>
              <w:spacing w:before="0" w:after="283"/>
              <w:jc w:val="right"/>
              <w:rPr/>
            </w:pPr>
            <w:r>
              <w:rPr/>
              <w:t>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14.4</w:t>
            </w:r>
          </w:p>
        </w:tc>
        <w:tc>
          <w:tcPr>
            <w:tcW w:w="305" w:type="dxa"/>
            <w:tcBorders/>
            <w:shd w:fill="CCEEFF" w:val="clear"/>
            <w:vAlign w:val="center"/>
          </w:tcPr>
          <w:p>
            <w:pPr>
              <w:pStyle w:val="TableContents"/>
              <w:bidi w:val="0"/>
              <w:spacing w:before="0" w:after="283"/>
              <w:jc w:val="left"/>
              <w:rPr/>
            </w:pPr>
            <w:r>
              <w:rPr/>
              <w:t>%</w:t>
            </w:r>
          </w:p>
        </w:tc>
      </w:tr>
      <w:tr>
        <w:trPr/>
        <w:tc>
          <w:tcPr>
            <w:tcW w:w="3950" w:type="dxa"/>
            <w:tcBorders/>
            <w:shd w:fill="FFFFFF" w:val="clear"/>
            <w:vAlign w:val="center"/>
          </w:tcPr>
          <w:p>
            <w:pPr>
              <w:pStyle w:val="TableContents"/>
              <w:bidi w:val="0"/>
              <w:spacing w:before="0" w:after="283"/>
              <w:jc w:val="left"/>
              <w:rPr/>
            </w:pPr>
            <w:r>
              <w:rPr/>
              <w:t>Software license royalties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0.2</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(53.8</w:t>
            </w:r>
          </w:p>
        </w:tc>
        <w:tc>
          <w:tcPr>
            <w:tcW w:w="305" w:type="dxa"/>
            <w:tcBorders/>
            <w:shd w:fill="FFFFFF" w:val="clear"/>
            <w:vAlign w:val="center"/>
          </w:tcPr>
          <w:p>
            <w:pPr>
              <w:pStyle w:val="TableContents"/>
              <w:bidi w:val="0"/>
              <w:spacing w:before="0" w:after="283"/>
              <w:jc w:val="left"/>
              <w:rPr/>
            </w:pPr>
            <w:r>
              <w:rPr/>
              <w:t>)%</w:t>
            </w:r>
          </w:p>
        </w:tc>
      </w:tr>
      <w:tr>
        <w:trPr/>
        <w:tc>
          <w:tcPr>
            <w:tcW w:w="3950" w:type="dxa"/>
            <w:tcBorders/>
            <w:shd w:fill="CCEEFF" w:val="clear"/>
            <w:vAlign w:val="center"/>
          </w:tcPr>
          <w:p>
            <w:pPr>
              <w:pStyle w:val="TableContents"/>
              <w:bidi w:val="0"/>
              <w:spacing w:before="0" w:after="283"/>
              <w:jc w:val="left"/>
              <w:rPr/>
            </w:pPr>
            <w:r>
              <w:rPr/>
              <w:t>License and amortization - related parties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6.0</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15.5</w:t>
            </w:r>
          </w:p>
        </w:tc>
        <w:tc>
          <w:tcPr>
            <w:tcW w:w="305" w:type="dxa"/>
            <w:tcBorders/>
            <w:shd w:fill="CCEEFF" w:val="clear"/>
            <w:vAlign w:val="center"/>
          </w:tcPr>
          <w:p>
            <w:pPr>
              <w:pStyle w:val="TableContents"/>
              <w:bidi w:val="0"/>
              <w:spacing w:before="0" w:after="283"/>
              <w:jc w:val="left"/>
              <w:rPr/>
            </w:pPr>
            <w:r>
              <w:rPr/>
              <w:t>%</w:t>
            </w:r>
          </w:p>
        </w:tc>
      </w:tr>
      <w:tr>
        <w:trPr/>
        <w:tc>
          <w:tcPr>
            <w:tcW w:w="3950" w:type="dxa"/>
            <w:tcBorders/>
            <w:shd w:fill="FFFFFF" w:val="clear"/>
            <w:vAlign w:val="center"/>
          </w:tcPr>
          <w:p>
            <w:pPr>
              <w:pStyle w:val="TableContents"/>
              <w:bidi w:val="0"/>
              <w:spacing w:before="0" w:after="283"/>
              <w:jc w:val="left"/>
              <w:rPr/>
            </w:pPr>
            <w:r>
              <w:rPr/>
              <w:t>Merchant fees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0.2</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(51.8</w:t>
            </w:r>
          </w:p>
        </w:tc>
        <w:tc>
          <w:tcPr>
            <w:tcW w:w="305" w:type="dxa"/>
            <w:tcBorders/>
            <w:shd w:fill="FFFFFF" w:val="clear"/>
            <w:vAlign w:val="center"/>
          </w:tcPr>
          <w:p>
            <w:pPr>
              <w:pStyle w:val="TableContents"/>
              <w:bidi w:val="0"/>
              <w:spacing w:before="0" w:after="283"/>
              <w:jc w:val="left"/>
              <w:rPr/>
            </w:pPr>
            <w:r>
              <w:rPr/>
              <w:t>)%</w:t>
            </w:r>
          </w:p>
        </w:tc>
      </w:tr>
      <w:tr>
        <w:trPr/>
        <w:tc>
          <w:tcPr>
            <w:tcW w:w="3950" w:type="dxa"/>
            <w:tcBorders/>
            <w:shd w:fill="CCEEFF" w:val="clear"/>
            <w:vAlign w:val="center"/>
          </w:tcPr>
          <w:p>
            <w:pPr>
              <w:pStyle w:val="TableContents"/>
              <w:bidi w:val="0"/>
              <w:spacing w:before="0" w:after="283"/>
              <w:jc w:val="left"/>
              <w:rPr/>
            </w:pPr>
            <w:r>
              <w:rPr/>
              <w:t>Engine fees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1.0</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126.6</w:t>
            </w:r>
          </w:p>
        </w:tc>
        <w:tc>
          <w:tcPr>
            <w:tcW w:w="305" w:type="dxa"/>
            <w:tcBorders/>
            <w:shd w:fill="CCEEFF" w:val="clear"/>
            <w:vAlign w:val="center"/>
          </w:tcPr>
          <w:p>
            <w:pPr>
              <w:pStyle w:val="TableContents"/>
              <w:bidi w:val="0"/>
              <w:spacing w:before="0" w:after="283"/>
              <w:jc w:val="left"/>
              <w:rPr/>
            </w:pPr>
            <w:r>
              <w:rPr/>
              <w:t>%</w:t>
            </w:r>
          </w:p>
        </w:tc>
      </w:tr>
      <w:tr>
        <w:trPr/>
        <w:tc>
          <w:tcPr>
            <w:tcW w:w="3950" w:type="dxa"/>
            <w:tcBorders/>
            <w:shd w:fill="FFFFFF" w:val="clear"/>
            <w:vAlign w:val="center"/>
          </w:tcPr>
          <w:p>
            <w:pPr>
              <w:pStyle w:val="TableContents"/>
              <w:bidi w:val="0"/>
              <w:spacing w:before="0" w:after="283"/>
              <w:jc w:val="left"/>
              <w:rPr/>
            </w:pPr>
            <w:r>
              <w:rPr/>
              <w:t>Internet, server and data center</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4" w:type="dxa"/>
            <w:tcBorders>
              <w:bottom w:val="single" w:sz="12" w:space="0" w:color="000000"/>
            </w:tcBorders>
            <w:shd w:fill="FFFFFF" w:val="clear"/>
            <w:tcMar>
              <w:bottom w:w="28" w:type="dxa"/>
            </w:tcMar>
            <w:vAlign w:val="center"/>
          </w:tcPr>
          <w:p>
            <w:pPr>
              <w:pStyle w:val="TableContents"/>
              <w:bidi w:val="0"/>
              <w:spacing w:before="0" w:after="283"/>
              <w:jc w:val="right"/>
              <w:rPr/>
            </w:pPr>
            <w:r>
              <w:rPr/>
              <w:t>1.4</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4" w:type="dxa"/>
            <w:tcBorders>
              <w:bottom w:val="single" w:sz="12" w:space="0" w:color="000000"/>
            </w:tcBorders>
            <w:shd w:fill="FFFFFF" w:val="clear"/>
            <w:tcMar>
              <w:bottom w:w="28" w:type="dxa"/>
            </w:tcMar>
            <w:vAlign w:val="center"/>
          </w:tcPr>
          <w:p>
            <w:pPr>
              <w:pStyle w:val="TableContents"/>
              <w:bidi w:val="0"/>
              <w:spacing w:before="0" w:after="283"/>
              <w:jc w:val="right"/>
              <w:rPr/>
            </w:pPr>
            <w:r>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5" w:type="dxa"/>
            <w:tcBorders>
              <w:bottom w:val="single" w:sz="12" w:space="0" w:color="000000"/>
            </w:tcBorders>
            <w:shd w:fill="FFFFFF" w:val="clear"/>
            <w:tcMar>
              <w:bottom w:w="28" w:type="dxa"/>
            </w:tcMar>
            <w:vAlign w:val="center"/>
          </w:tcPr>
          <w:p>
            <w:pPr>
              <w:pStyle w:val="TableContents"/>
              <w:bidi w:val="0"/>
              <w:spacing w:before="0" w:after="283"/>
              <w:jc w:val="right"/>
              <w:rPr/>
            </w:pPr>
            <w:r>
              <w:rPr/>
              <w:t>(0.1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shd w:fill="FFFFFF" w:val="clear"/>
            <w:tcMar>
              <w:bottom w:w="28" w:type="dxa"/>
            </w:tcMar>
            <w:vAlign w:val="center"/>
          </w:tcPr>
          <w:p>
            <w:pPr>
              <w:pStyle w:val="TableContents"/>
              <w:bidi w:val="0"/>
              <w:spacing w:before="0" w:after="283"/>
              <w:jc w:val="right"/>
              <w:rPr/>
            </w:pPr>
            <w:r>
              <w:rPr/>
              <w:t>(9.1</w:t>
            </w:r>
          </w:p>
        </w:tc>
        <w:tc>
          <w:tcPr>
            <w:tcW w:w="305" w:type="dxa"/>
            <w:tcBorders/>
            <w:shd w:fill="FFFFFF" w:val="clear"/>
            <w:vAlign w:val="center"/>
          </w:tcPr>
          <w:p>
            <w:pPr>
              <w:pStyle w:val="TableContents"/>
              <w:bidi w:val="0"/>
              <w:spacing w:before="0" w:after="283"/>
              <w:jc w:val="left"/>
              <w:rPr/>
            </w:pPr>
            <w:r>
              <w:rPr/>
              <w:t>)%</w:t>
            </w:r>
          </w:p>
        </w:tc>
      </w:tr>
      <w:tr>
        <w:trPr/>
        <w:tc>
          <w:tcPr>
            <w:tcW w:w="395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94" w:type="dxa"/>
            <w:tcBorders>
              <w:bottom w:val="double" w:sz="6" w:space="0" w:color="000000"/>
            </w:tcBorders>
            <w:shd w:fill="CCEEFF" w:val="clear"/>
            <w:tcMar>
              <w:bottom w:w="28" w:type="dxa"/>
            </w:tcMar>
            <w:vAlign w:val="center"/>
          </w:tcPr>
          <w:p>
            <w:pPr>
              <w:pStyle w:val="TableContents"/>
              <w:bidi w:val="0"/>
              <w:spacing w:before="0" w:after="283"/>
              <w:jc w:val="right"/>
              <w:rPr/>
            </w:pPr>
            <w:r>
              <w:rPr/>
              <w:t>12.1</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94" w:type="dxa"/>
            <w:tcBorders>
              <w:bottom w:val="double" w:sz="6" w:space="0" w:color="000000"/>
            </w:tcBorders>
            <w:shd w:fill="CCEEFF" w:val="clear"/>
            <w:tcMar>
              <w:bottom w:w="28" w:type="dxa"/>
            </w:tcMar>
            <w:vAlign w:val="center"/>
          </w:tcPr>
          <w:p>
            <w:pPr>
              <w:pStyle w:val="TableContents"/>
              <w:bidi w:val="0"/>
              <w:spacing w:before="0" w:after="283"/>
              <w:jc w:val="right"/>
              <w:rPr/>
            </w:pPr>
            <w:r>
              <w:rPr/>
              <w:t>10.9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35" w:type="dxa"/>
            <w:tcBorders>
              <w:bottom w:val="double" w:sz="6" w:space="0" w:color="000000"/>
            </w:tcBorders>
            <w:shd w:fill="CCEEFF" w:val="clear"/>
            <w:tcMar>
              <w:bottom w:w="28" w:type="dxa"/>
            </w:tcMar>
            <w:vAlign w:val="center"/>
          </w:tcPr>
          <w:p>
            <w:pPr>
              <w:pStyle w:val="TableContents"/>
              <w:bidi w:val="0"/>
              <w:spacing w:before="0" w:after="283"/>
              <w:jc w:val="right"/>
              <w:rPr/>
            </w:pPr>
            <w:r>
              <w:rPr/>
              <w:t>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double" w:sz="6" w:space="0" w:color="000000"/>
            </w:tcBorders>
            <w:shd w:fill="CCEEFF" w:val="clear"/>
            <w:tcMar>
              <w:bottom w:w="28" w:type="dxa"/>
            </w:tcMar>
            <w:vAlign w:val="center"/>
          </w:tcPr>
          <w:p>
            <w:pPr>
              <w:pStyle w:val="TableContents"/>
              <w:bidi w:val="0"/>
              <w:spacing w:before="0" w:after="283"/>
              <w:jc w:val="right"/>
              <w:rPr/>
            </w:pPr>
            <w:r>
              <w:rPr/>
              <w:t>10.9</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increase in cost of revenues for the three months ended March 31, 2024 was due to an increase of $0.8 million in license and amortization – related parties, a result of increased monthly license costs to SDE Inc. partially offset by a lower depreciable of intangible assets in 2024, an increase in software license royalties – related parties of $0.4 million; increased engine fees of $0.6 million resulting from an increase in total </w:t>
      </w:r>
      <w:r>
        <w:rPr>
          <w:rFonts w:ascii="Times New Roman;Times;Serif" w:hAnsi="Times New Roman;Times;Serif"/>
          <w:b w:val="false"/>
          <w:i/>
          <w:caps w:val="false"/>
          <w:smallCaps w:val="false"/>
          <w:sz w:val="20"/>
        </w:rPr>
        <w:t xml:space="preserve">Ark </w:t>
      </w:r>
      <w:r>
        <w:rPr>
          <w:rFonts w:ascii="Times New Roman;Times;Serif" w:hAnsi="Times New Roman;Times;Serif"/>
          <w:b w:val="false"/>
          <w:i w:val="false"/>
          <w:caps w:val="false"/>
          <w:smallCaps w:val="false"/>
          <w:sz w:val="20"/>
        </w:rPr>
        <w:t xml:space="preserve">sales partially offset by decreased merchant fees of $0.3 million resulting from decreased sales of </w:t>
      </w:r>
      <w:r>
        <w:rPr>
          <w:rFonts w:ascii="Times New Roman;Times;Serif" w:hAnsi="Times New Roman;Times;Serif"/>
          <w:b w:val="false"/>
          <w:i/>
          <w:caps w:val="false"/>
          <w:smallCaps w:val="false"/>
          <w:sz w:val="20"/>
        </w:rPr>
        <w:t>Ark Mobile</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three months ended March 31, 2024 decreased by $2.2 million, or 49.6%, compared to the three months ended March 31, 2023. The decrease in general and administrative expenses was due to a decrease in legal and professional expenses of $1.0 million, a decrease in administrative internet and server costs of $0.2 million, a decrease in salaries and wages of $0.9 million due to the reversal of previously expensed stock based compensation, and a decrease in expenses of $0.2 million for SEC filing fees, investor relations, NASDAQ listing fees and compliance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Research and development expenses for the three months ended March 31, 2024 increased by $0.4 million, or 29.3%, compared to the three months ended March 31, 2023. The increase in research and development expenses was due to the outsourced development of </w:t>
      </w:r>
      <w:r>
        <w:rPr>
          <w:rFonts w:ascii="Times New Roman;Times;Serif" w:hAnsi="Times New Roman;Times;Serif"/>
          <w:b w:val="false"/>
          <w:i/>
          <w:caps w:val="false"/>
          <w:smallCaps w:val="false"/>
          <w:sz w:val="20"/>
        </w:rPr>
        <w:t xml:space="preserve">Hermes </w:t>
      </w:r>
      <w:r>
        <w:rPr>
          <w:rFonts w:ascii="Times New Roman;Times;Serif" w:hAnsi="Times New Roman;Times;Serif"/>
          <w:b w:val="false"/>
          <w:i w:val="false"/>
          <w:caps w:val="false"/>
          <w:smallCaps w:val="false"/>
          <w:sz w:val="20"/>
        </w:rPr>
        <w:t>paid through Suzhou Snail</w:t>
      </w:r>
      <w:r>
        <w:rPr>
          <w:rFonts w:ascii="Times New Roman;Times;Serif" w:hAnsi="Times New Roman;Times;Serif"/>
          <w:b w:val="false"/>
          <w:i/>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Factors Affecting Net Loss</w:t>
      </w:r>
    </w:p>
    <w:p>
      <w:pPr>
        <w:pStyle w:val="TextBody"/>
        <w:bidi w:val="0"/>
        <w:spacing w:before="0" w:after="0"/>
        <w:ind w:left="0" w:right="0" w:hanging="0"/>
        <w:jc w:val="both"/>
        <w:rPr>
          <w:caps w:val="false"/>
          <w:smallCaps w:val="false"/>
        </w:rPr>
      </w:pPr>
      <w:r>
        <w:rPr>
          <w:caps w:val="false"/>
          <w:smallCaps w:val="false"/>
        </w:rPr>
        <w:t> </w:t>
      </w:r>
    </w:p>
    <w:tbl>
      <w:tblPr>
        <w:tblW w:w="6301" w:type="dxa"/>
        <w:jc w:val="left"/>
        <w:tblInd w:w="0" w:type="dxa"/>
        <w:tblLayout w:type="fixed"/>
        <w:tblCellMar>
          <w:top w:w="0" w:type="dxa"/>
          <w:left w:w="0" w:type="dxa"/>
          <w:bottom w:w="0" w:type="dxa"/>
          <w:right w:w="0" w:type="dxa"/>
        </w:tblCellMar>
      </w:tblPr>
      <w:tblGrid>
        <w:gridCol w:w="1790"/>
        <w:gridCol w:w="60"/>
        <w:gridCol w:w="197"/>
        <w:gridCol w:w="557"/>
        <w:gridCol w:w="134"/>
        <w:gridCol w:w="84"/>
        <w:gridCol w:w="197"/>
        <w:gridCol w:w="557"/>
        <w:gridCol w:w="95"/>
        <w:gridCol w:w="60"/>
        <w:gridCol w:w="260"/>
        <w:gridCol w:w="735"/>
        <w:gridCol w:w="95"/>
        <w:gridCol w:w="60"/>
        <w:gridCol w:w="83"/>
        <w:gridCol w:w="1032"/>
        <w:gridCol w:w="305"/>
      </w:tblGrid>
      <w:tr>
        <w:trPr/>
        <w:tc>
          <w:tcPr>
            <w:tcW w:w="1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6"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46" w:type="dxa"/>
            <w:gridSpan w:val="14"/>
            <w:tcBorders/>
            <w:vAlign w:val="center"/>
          </w:tcPr>
          <w:p>
            <w:pPr>
              <w:pStyle w:val="TableContents"/>
              <w:bidi w:val="0"/>
              <w:spacing w:before="0" w:after="283"/>
              <w:jc w:val="center"/>
              <w:rPr>
                <w:b/>
              </w:rPr>
            </w:pPr>
            <w:r>
              <w:rPr>
                <w:b/>
              </w:rPr>
              <w:t>(in millions)</w:t>
            </w:r>
          </w:p>
        </w:tc>
        <w:tc>
          <w:tcPr>
            <w:tcW w:w="305"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557" w:type="dxa"/>
            <w:tcBorders/>
            <w:shd w:fill="CCEEFF" w:val="clear"/>
            <w:vAlign w:val="center"/>
          </w:tcPr>
          <w:p>
            <w:pPr>
              <w:pStyle w:val="TableContents"/>
              <w:bidi w:val="0"/>
              <w:spacing w:before="0" w:after="283"/>
              <w:jc w:val="right"/>
              <w:rPr/>
            </w:pPr>
            <w:r>
              <w:rPr/>
              <w:t>0.1</w:t>
            </w:r>
          </w:p>
        </w:tc>
        <w:tc>
          <w:tcPr>
            <w:tcW w:w="13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55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217.0</w:t>
            </w:r>
          </w:p>
        </w:tc>
        <w:tc>
          <w:tcPr>
            <w:tcW w:w="305" w:type="dxa"/>
            <w:tcBorders/>
            <w:shd w:fill="CCEEFF" w:val="clear"/>
            <w:vAlign w:val="center"/>
          </w:tcPr>
          <w:p>
            <w:pPr>
              <w:pStyle w:val="TableContents"/>
              <w:bidi w:val="0"/>
              <w:spacing w:before="0" w:after="283"/>
              <w:jc w:val="left"/>
              <w:rPr/>
            </w:pPr>
            <w:r>
              <w:rPr/>
              <w:t>%</w:t>
            </w:r>
          </w:p>
        </w:tc>
      </w:tr>
      <w:tr>
        <w:trPr/>
        <w:tc>
          <w:tcPr>
            <w:tcW w:w="179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pPr>
            <w:r>
              <w:rPr/>
              <w:t>(0.4</w:t>
            </w:r>
          </w:p>
        </w:tc>
        <w:tc>
          <w:tcPr>
            <w:tcW w:w="134" w:type="dxa"/>
            <w:tcBorders/>
            <w:shd w:fill="FFFFFF" w:val="clear"/>
            <w:vAlign w:val="center"/>
          </w:tcPr>
          <w:p>
            <w:pPr>
              <w:pStyle w:val="TableContents"/>
              <w:bidi w:val="0"/>
              <w:spacing w:before="0" w:after="283"/>
              <w:jc w:val="left"/>
              <w:rPr/>
            </w:pPr>
            <w:r>
              <w:rPr/>
              <w:t>)</w:t>
            </w:r>
          </w:p>
        </w:tc>
        <w:tc>
          <w:tcPr>
            <w:tcW w:w="8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pPr>
            <w:r>
              <w:rPr/>
              <w:t>(0.3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t>34.4</w:t>
            </w:r>
          </w:p>
        </w:tc>
        <w:tc>
          <w:tcPr>
            <w:tcW w:w="305" w:type="dxa"/>
            <w:tcBorders/>
            <w:shd w:fill="FFFFFF" w:val="clear"/>
            <w:vAlign w:val="center"/>
          </w:tcPr>
          <w:p>
            <w:pPr>
              <w:pStyle w:val="TableContents"/>
              <w:bidi w:val="0"/>
              <w:spacing w:before="0" w:after="283"/>
              <w:jc w:val="left"/>
              <w:rPr/>
            </w:pPr>
            <w:r>
              <w:rPr/>
              <w:t>%</w:t>
            </w:r>
          </w:p>
        </w:tc>
      </w:tr>
      <w:tr>
        <w:trPr/>
        <w:tc>
          <w:tcPr>
            <w:tcW w:w="1790"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557" w:type="dxa"/>
            <w:tcBorders/>
            <w:shd w:fill="CCEEFF" w:val="clear"/>
            <w:vAlign w:val="center"/>
          </w:tcPr>
          <w:p>
            <w:pPr>
              <w:pStyle w:val="TableContents"/>
              <w:bidi w:val="0"/>
              <w:spacing w:before="0" w:after="283"/>
              <w:jc w:val="right"/>
              <w:rPr/>
            </w:pPr>
            <w:r>
              <w:rPr/>
              <w:t>0.2</w:t>
            </w:r>
          </w:p>
        </w:tc>
        <w:tc>
          <w:tcPr>
            <w:tcW w:w="13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55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2,677.6</w:t>
            </w:r>
          </w:p>
        </w:tc>
        <w:tc>
          <w:tcPr>
            <w:tcW w:w="305" w:type="dxa"/>
            <w:tcBorders/>
            <w:shd w:fill="CCEEFF" w:val="clear"/>
            <w:vAlign w:val="center"/>
          </w:tcPr>
          <w:p>
            <w:pPr>
              <w:pStyle w:val="TableContents"/>
              <w:bidi w:val="0"/>
              <w:spacing w:before="0" w:after="283"/>
              <w:jc w:val="left"/>
              <w:rPr/>
            </w:pPr>
            <w:r>
              <w:rPr/>
              <w:t>%</w:t>
            </w:r>
          </w:p>
        </w:tc>
      </w:tr>
      <w:tr>
        <w:trPr/>
        <w:tc>
          <w:tcPr>
            <w:tcW w:w="1790" w:type="dxa"/>
            <w:tcBorders/>
            <w:shd w:fill="FFFFFF" w:val="clear"/>
            <w:vAlign w:val="center"/>
          </w:tcPr>
          <w:p>
            <w:pPr>
              <w:pStyle w:val="TableContents"/>
              <w:bidi w:val="0"/>
              <w:spacing w:before="0" w:after="283"/>
              <w:jc w:val="left"/>
              <w:rPr/>
            </w:pPr>
            <w:r>
              <w:rPr/>
              <w:t>Income tax benefit</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pPr>
            <w:r>
              <w:rPr/>
              <w:t>0.5</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pPr>
            <w:r>
              <w:rPr/>
              <w:t>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t>(40.7</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was $0.1 million and $0.0 million for the three months ended March 31, 2024 and 2023, respectively. The increase was due to the balance of the of our cash deposits being higher on average during the three months ended March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primarily related to our outstanding indebtedness with third-party lenders. Interest expense increased by $0.1 million for the three months ended March 31, 2024 as a result of rising interest charges on the Company’s floating rate debt and amortization of debt discounts which did not occur in the three months ended March 31,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increased by $0.2 million for the three months ended March 31, 2024, in comparison to the three months ended March 31, 2023. The increase is due to the recognition of $0.2 million of litigation revenues due to a revenue share agreement that was the result of the litigation settlement.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Benefit from income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an income tax benefit of $0.5 million for the three months ended March 31, 2024 and a benefit of $0.8 million for the three months ended March 31, 2023. Our effective income tax rate was 21% during both periods.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spending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 capital expenditures in the normal course of business and perform ongoing enhancements and updates to our social and mobile games to maintain their quality standards. Cash used for capital expenditures in the normal course of business is typically made available from cash flows generated by operating activities. We may also pursue acquisition opportunities for additional businesses or games that meet our strategic and return on investment criteria. Capital needs for investment opportunities are evaluated on an individual opportunity basis and may require significant capital commitments.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Liquidity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sources of liquidity are the cash flows generated from our operations, that are currently available as unrestricted cash. Our unrestricted cash was $16.1 million and $15.2 million as of March 31, 2024 and December 31, 2023,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restricted cash and cash equivalents were $1.1 million as of March 31, 2024 and December 31, 2023. Our restricted cash primarily consists of time deposits and is used as security for certain of our debt instruments and to secure standby letters of credit with certain of our landlords.</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2024, our 2021 Revolving Loan and Convertible Notes of $3.0 million and $0.7 million are due in December 2024 and May 2024, respectively. On August 24, 2023, the Company issued convertible notes at a 7.4% discount and a principal balance of $1,080,000. In addition to the stated discount, the fair value of the Convertible Notes was allocated to warrants issued in connection with the debt giving rise to an additional discount in the amount of $445,754. The notes have an interest rate of 7.5%, will be paid in consecutive monthly installments beginning February 24, 2024 and if the note is not converted, it will mature on May 24, 2024. In February 2024, the Company made the first payments of principal and accrued interest in the amount of $312,075, and the convertible note holders converted 71,460 shares for an aggregate value of $60,000. The Company paid an additional $548,438 of accrued interest and principal on its convertible notes balance in April 2024. In concurrence with the registration of the convertible notes shares the Company registered shares for distribution in an equity line of credit. The Company has the right, but not the obligation, to sell up to $5.0 million in Class A common stock to the investor. We intend to renegotiate with the lender to extend the maturity date of the 2021 Revolving Loan and to negotiate a new Short Term Note. However, there is no guarantee that we will be able to renegotiate the terms of the 2021 Revolving Loan or obtain a new short term note with the lender at terms acceptable to us or at all. Currently, we expect that we will not be in compliance with our quarterly debt covenant for the three months ending June 30, 2024. We are working with the lender to resolve the expected non-compliance with the debt covenant.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raised additional capital during the year ended December 31, 2023 in the form of the convertible notes, short term financing arrangement with the Company’s internet and data center (“IDC”) vendor, and the distribution agreement entered into with our retail partner which provided advanced royalties. We may need to raise additional capital and issue registered shares to draw on an equity line of credit if needed. The need for additional capital depends on many factors, including, among other things, whether we can successfully renegotiate the terms of our debt arrangements, the rate at which our business grows, demands for working capital, revenue generated from existing DLCs and game titles and launches of new DLCs and new game titles, and any acquisitions that we may pursue. From time to time, we could be required, or may otherwise attempt, to seek additional sources of capital, including, but not limited to, equity and/or debt financings. We cannot provide assurance that we will be able to successfully access any such equity or debt financings, that the required equity or debt financings would be available on terms acceptable to us, if at all, or that any such financings would not be dilutive to our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unrestricted cash position of approximately $16.1 million, and our expected revenue receipts will allow the Company to continue operations beyond the next 12 months and service its current debts.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a summary of our cash flows for the periods indicated (in millions):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08"/>
        <w:gridCol w:w="60"/>
        <w:gridCol w:w="175"/>
        <w:gridCol w:w="496"/>
        <w:gridCol w:w="119"/>
        <w:gridCol w:w="75"/>
        <w:gridCol w:w="175"/>
        <w:gridCol w:w="496"/>
        <w:gridCol w:w="95"/>
        <w:gridCol w:w="60"/>
        <w:gridCol w:w="240"/>
        <w:gridCol w:w="755"/>
        <w:gridCol w:w="95"/>
        <w:gridCol w:w="60"/>
        <w:gridCol w:w="96"/>
        <w:gridCol w:w="1019"/>
        <w:gridCol w:w="281"/>
      </w:tblGrid>
      <w:tr>
        <w:trPr/>
        <w:tc>
          <w:tcPr>
            <w:tcW w:w="59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6"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281" w:type="dxa"/>
            <w:tcBorders/>
            <w:vAlign w:val="center"/>
          </w:tcPr>
          <w:p>
            <w:pPr>
              <w:pStyle w:val="TableContents"/>
              <w:bidi w:val="0"/>
              <w:spacing w:before="0" w:after="283"/>
              <w:jc w:val="left"/>
              <w:rPr/>
            </w:pPr>
            <w:r>
              <w:rPr/>
              <w:t> </w:t>
            </w:r>
          </w:p>
        </w:tc>
      </w:tr>
      <w:tr>
        <w:trPr/>
        <w:tc>
          <w:tcPr>
            <w:tcW w:w="59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7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81" w:type="dxa"/>
            <w:tcBorders/>
            <w:vAlign w:val="center"/>
          </w:tcPr>
          <w:p>
            <w:pPr>
              <w:pStyle w:val="TableContents"/>
              <w:bidi w:val="0"/>
              <w:spacing w:before="0" w:after="283"/>
              <w:jc w:val="left"/>
              <w:rPr/>
            </w:pPr>
            <w:r>
              <w:rPr/>
              <w:t> </w:t>
            </w:r>
          </w:p>
        </w:tc>
      </w:tr>
      <w:tr>
        <w:trPr/>
        <w:tc>
          <w:tcPr>
            <w:tcW w:w="59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6" w:type="dxa"/>
            <w:gridSpan w:val="14"/>
            <w:tcBorders/>
            <w:vAlign w:val="center"/>
          </w:tcPr>
          <w:p>
            <w:pPr>
              <w:pStyle w:val="TableContents"/>
              <w:bidi w:val="0"/>
              <w:spacing w:before="0" w:after="283"/>
              <w:jc w:val="center"/>
              <w:rPr>
                <w:b/>
              </w:rPr>
            </w:pPr>
            <w:r>
              <w:rPr>
                <w:b/>
              </w:rPr>
              <w:t>(in millions)</w:t>
            </w:r>
          </w:p>
        </w:tc>
        <w:tc>
          <w:tcPr>
            <w:tcW w:w="281" w:type="dxa"/>
            <w:tcBorders/>
            <w:vAlign w:val="center"/>
          </w:tcPr>
          <w:p>
            <w:pPr>
              <w:pStyle w:val="TableContents"/>
              <w:bidi w:val="0"/>
              <w:spacing w:before="0" w:after="283"/>
              <w:jc w:val="left"/>
              <w:rPr/>
            </w:pPr>
            <w:r>
              <w:rPr/>
              <w:t> </w:t>
            </w:r>
          </w:p>
        </w:tc>
      </w:tr>
      <w:tr>
        <w:trPr/>
        <w:tc>
          <w:tcPr>
            <w:tcW w:w="5908" w:type="dxa"/>
            <w:tcBorders/>
            <w:shd w:fill="CCEEFF" w:val="clear"/>
            <w:vAlign w:val="center"/>
          </w:tcPr>
          <w:p>
            <w:pPr>
              <w:pStyle w:val="TableContents"/>
              <w:bidi w:val="0"/>
              <w:spacing w:before="0" w:after="283"/>
              <w:jc w:val="left"/>
              <w:rPr/>
            </w:pPr>
            <w:r>
              <w:rPr/>
              <w:t>Net cash flows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496" w:type="dxa"/>
            <w:tcBorders/>
            <w:shd w:fill="CCEEFF" w:val="clear"/>
            <w:vAlign w:val="center"/>
          </w:tcPr>
          <w:p>
            <w:pPr>
              <w:pStyle w:val="TableContents"/>
              <w:bidi w:val="0"/>
              <w:spacing w:before="0" w:after="283"/>
              <w:jc w:val="right"/>
              <w:rPr/>
            </w:pPr>
            <w:r>
              <w:rPr/>
              <w:t>6.8</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496" w:type="dxa"/>
            <w:tcBorders/>
            <w:shd w:fill="CCEEFF" w:val="clear"/>
            <w:vAlign w:val="center"/>
          </w:tcPr>
          <w:p>
            <w:pPr>
              <w:pStyle w:val="TableContents"/>
              <w:bidi w:val="0"/>
              <w:spacing w:before="0" w:after="283"/>
              <w:jc w:val="right"/>
              <w:rPr/>
            </w:pPr>
            <w:r>
              <w:rPr/>
              <w:t>(6.7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201.0</w:t>
            </w:r>
          </w:p>
        </w:tc>
        <w:tc>
          <w:tcPr>
            <w:tcW w:w="281" w:type="dxa"/>
            <w:tcBorders/>
            <w:shd w:fill="CCEEFF" w:val="clear"/>
            <w:vAlign w:val="center"/>
          </w:tcPr>
          <w:p>
            <w:pPr>
              <w:pStyle w:val="TableContents"/>
              <w:bidi w:val="0"/>
              <w:spacing w:before="0" w:after="283"/>
              <w:jc w:val="left"/>
              <w:rPr/>
            </w:pPr>
            <w:r>
              <w:rPr/>
              <w:t>%</w:t>
            </w:r>
          </w:p>
        </w:tc>
      </w:tr>
      <w:tr>
        <w:trPr/>
        <w:tc>
          <w:tcPr>
            <w:tcW w:w="5908" w:type="dxa"/>
            <w:tcBorders/>
            <w:shd w:fill="FFFFFF" w:val="clear"/>
            <w:vAlign w:val="center"/>
          </w:tcPr>
          <w:p>
            <w:pPr>
              <w:pStyle w:val="TableContents"/>
              <w:bidi w:val="0"/>
              <w:spacing w:before="0" w:after="283"/>
              <w:jc w:val="left"/>
              <w:rPr/>
            </w:pPr>
            <w:r>
              <w:rPr/>
              <w:t>Net cash flows used in financing activities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96" w:type="dxa"/>
            <w:tcBorders>
              <w:bottom w:val="single" w:sz="12" w:space="0" w:color="000000"/>
            </w:tcBorders>
            <w:shd w:fill="FFFFFF" w:val="clear"/>
            <w:tcMar>
              <w:bottom w:w="28" w:type="dxa"/>
            </w:tcMar>
            <w:vAlign w:val="center"/>
          </w:tcPr>
          <w:p>
            <w:pPr>
              <w:pStyle w:val="TableContents"/>
              <w:bidi w:val="0"/>
              <w:spacing w:before="0" w:after="283"/>
              <w:jc w:val="right"/>
              <w:rPr/>
            </w:pPr>
            <w:r>
              <w:rPr/>
              <w:t>(5.9</w:t>
            </w:r>
          </w:p>
        </w:tc>
        <w:tc>
          <w:tcPr>
            <w:tcW w:w="119" w:type="dxa"/>
            <w:tcBorders/>
            <w:shd w:fill="FFFFFF" w:val="clear"/>
            <w:vAlign w:val="center"/>
          </w:tcPr>
          <w:p>
            <w:pPr>
              <w:pStyle w:val="TableContents"/>
              <w:bidi w:val="0"/>
              <w:spacing w:before="0" w:after="283"/>
              <w:jc w:val="left"/>
              <w:rPr/>
            </w:pPr>
            <w:r>
              <w:rPr/>
              <w:t>)</w:t>
            </w:r>
          </w:p>
        </w:tc>
        <w:tc>
          <w:tcPr>
            <w:tcW w:w="75" w:type="dxa"/>
            <w:tcBorders/>
            <w:shd w:fill="FFFFFF" w:val="clear"/>
            <w:vAlign w:val="center"/>
          </w:tcPr>
          <w:p>
            <w:pPr>
              <w:pStyle w:val="TableContents"/>
              <w:bidi w:val="0"/>
              <w:spacing w:before="0" w:after="283"/>
              <w:jc w:val="left"/>
              <w:rPr/>
            </w:pPr>
            <w:r>
              <w:rPr/>
              <w:t> </w:t>
            </w:r>
          </w:p>
        </w:tc>
        <w:tc>
          <w:tcPr>
            <w:tcW w:w="1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96" w:type="dxa"/>
            <w:tcBorders>
              <w:bottom w:val="single" w:sz="12" w:space="0" w:color="000000"/>
            </w:tcBorders>
            <w:shd w:fill="FFFFFF" w:val="clear"/>
            <w:tcMar>
              <w:bottom w:w="28" w:type="dxa"/>
            </w:tcM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FFFFFF" w:val="clear"/>
            <w:tcMar>
              <w:bottom w:w="28" w:type="dxa"/>
            </w:tcMar>
            <w:vAlign w:val="center"/>
          </w:tcPr>
          <w:p>
            <w:pPr>
              <w:pStyle w:val="TableContents"/>
              <w:bidi w:val="0"/>
              <w:spacing w:before="0" w:after="283"/>
              <w:jc w:val="right"/>
              <w:rPr/>
            </w:pPr>
            <w:r>
              <w:rPr/>
              <w:t>(188.2</w:t>
            </w:r>
          </w:p>
        </w:tc>
        <w:tc>
          <w:tcPr>
            <w:tcW w:w="281" w:type="dxa"/>
            <w:tcBorders/>
            <w:shd w:fill="FFFFFF" w:val="clear"/>
            <w:vAlign w:val="center"/>
          </w:tcPr>
          <w:p>
            <w:pPr>
              <w:pStyle w:val="TableContents"/>
              <w:bidi w:val="0"/>
              <w:spacing w:before="0" w:after="283"/>
              <w:jc w:val="left"/>
              <w:rPr/>
            </w:pPr>
            <w:r>
              <w:rPr/>
              <w:t>)%</w:t>
            </w:r>
          </w:p>
        </w:tc>
      </w:tr>
      <w:tr>
        <w:trPr/>
        <w:tc>
          <w:tcPr>
            <w:tcW w:w="5908" w:type="dxa"/>
            <w:tcBorders/>
            <w:shd w:fill="CCEEFF" w:val="clear"/>
            <w:vAlign w:val="center"/>
          </w:tcPr>
          <w:p>
            <w:pPr>
              <w:pStyle w:val="TableContents"/>
              <w:bidi w:val="0"/>
              <w:spacing w:before="0" w:after="283"/>
              <w:jc w:val="left"/>
              <w:rPr/>
            </w:pPr>
            <w:r>
              <w:rPr/>
              <w:t>Net increase (decrease) in cash and cash equivalents and restricted cash and cash equivalents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96" w:type="dxa"/>
            <w:tcBorders>
              <w:bottom w:val="double" w:sz="6" w:space="0" w:color="000000"/>
            </w:tcBorders>
            <w:shd w:fill="CCEEFF" w:val="clear"/>
            <w:tcMar>
              <w:bottom w:w="28" w:type="dxa"/>
            </w:tcMar>
            <w:vAlign w:val="center"/>
          </w:tcPr>
          <w:p>
            <w:pPr>
              <w:pStyle w:val="TableContents"/>
              <w:bidi w:val="0"/>
              <w:spacing w:before="0" w:after="283"/>
              <w:jc w:val="right"/>
              <w:rPr/>
            </w:pPr>
            <w:r>
              <w:rPr/>
              <w:t>0.9</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96" w:type="dxa"/>
            <w:tcBorders>
              <w:bottom w:val="double" w:sz="6" w:space="0" w:color="000000"/>
            </w:tcBorders>
            <w:shd w:fill="CCEEFF" w:val="clear"/>
            <w:tcMar>
              <w:bottom w:w="28" w:type="dxa"/>
            </w:tcMar>
            <w:vAlign w:val="center"/>
          </w:tcPr>
          <w:p>
            <w:pPr>
              <w:pStyle w:val="TableContents"/>
              <w:bidi w:val="0"/>
              <w:spacing w:before="0" w:after="283"/>
              <w:jc w:val="right"/>
              <w:rPr/>
            </w:pPr>
            <w:r>
              <w:rPr/>
              <w:t>(8.7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double" w:sz="6" w:space="0" w:color="000000"/>
            </w:tcBorders>
            <w:shd w:fill="CCEEFF" w:val="clear"/>
            <w:tcMar>
              <w:bottom w:w="28" w:type="dxa"/>
            </w:tcMar>
            <w:vAlign w:val="center"/>
          </w:tcPr>
          <w:p>
            <w:pPr>
              <w:pStyle w:val="TableContents"/>
              <w:bidi w:val="0"/>
              <w:spacing w:before="0" w:after="283"/>
              <w:jc w:val="right"/>
              <w:rPr/>
            </w:pPr>
            <w:r>
              <w:rPr/>
              <w:t>110.0</w:t>
            </w:r>
          </w:p>
        </w:tc>
        <w:tc>
          <w:tcPr>
            <w:tcW w:w="281"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provided by (used in) operating activities for the three months ended March 31, 2024 increased $13.5 million as compared to the three months ended March 31, 2023, which resulted primarily from an increase in deferred revenues of $4.9 million, a decrease in accounts receivable and accounts receivable - related party of $16.9 million, a decrease in net loss of $1.2 million, partially offset by a decrease in accounts payable and accounts payable – related parties of $6.5 million, a decrease in accrued expenses of $0.9 million, and a decrease in noncash reconciling items of $2.1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a net loss of $1.8 million and $3.0 million for the three months ended March 31, 2024 and 2023, respectively, representing an decrease of $1.2 million. The decrease was primarily due to an increase in net revenue of $0.6 million, decreased general and administrative expenses of $2.2 million, an increase in other income of $0.2 million, an increase in interest income of $0.1 million, partially offset by increased research and development costs of $0.4 million, increased costs of revenues of $1.2 million, increased interest expenses of $0.1 million, and a decrease in income tax provision of $0.3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reconciling items were ($1.2) million and $1.0 million for the three months ended March 31, 2024 and 2023, respectively, representing a decrease of $2.2 million. The decrease in the non-cash reconciling items was due to a decrease in amortization of intangible assets of $0.7 million, a decrease in stock based compensation expense of $1.1 million, and a decrease in deferred taxes of $0.6 million, partially offset by an increase in accretion expense of $0.2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accounts receivable - related party represent revenues attributable to certain mobile games that, for administrative reasons, were collected on our behalf by SDE Inc. (“SDE”), an affiliated entity, from fiscal year 2018 through 2021. SDE no longer collects such payments on our behalf; all such payments are received directly from the platforms through which we offer the relevant games. As of March 31, 2024 and December 31, 2023, the net outstanding balances of receivables due from SDE were $12.0 million and $13.5 million, respectively. We expect accounts receivables owed to us by SDE will be repaid within the next two fiscal years and intend to exercise all legally available means of collection. The Company and SDE have entered into an agreement to offset uncollected amounts against monthly payments due to SDE for operating expenses and costs of revenue. See Note 5- </w:t>
      </w:r>
      <w:r>
        <w:rPr>
          <w:rFonts w:ascii="Times New Roman;Times;Serif" w:hAnsi="Times New Roman;Times;Serif"/>
          <w:b w:val="false"/>
          <w:i/>
          <w:caps w:val="false"/>
          <w:smallCaps w:val="false"/>
          <w:sz w:val="20"/>
        </w:rPr>
        <w:t>Accounts Receivable - Related Party</w:t>
      </w:r>
      <w:r>
        <w:rPr>
          <w:rFonts w:ascii="Times New Roman;Times;Serif" w:hAnsi="Times New Roman;Times;Serif"/>
          <w:b w:val="false"/>
          <w:i w:val="false"/>
          <w:caps w:val="false"/>
          <w:smallCaps w:val="false"/>
          <w:sz w:val="20"/>
        </w:rPr>
        <w:t xml:space="preserve"> to our unaudited condensed consolidated financial statements included in this Quarterly Report.</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used in financing activities for the three months ended March 31, 2024 were $5.9 million compared to $2.0 million for the three months ended March 31, 2023. Financing activities for the three months ended March 31, 2024 included $5.6 million in debt payments and $0.3 million in payments of capitalized offering costs in accounts payable. Financing activities for the three months ended March 31, 2023 included repayments of $1.7 million on a short term note, purchases of treasury stock in the amount of $0.3 million, and $0.1 million in payments of capitalized offering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Registered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2022, we filed a Form S-1 Registration Statement with the United States Securities and Exchange Commission in connection with our IPO. As of the effective date of the Registration Statement, we became the parent company of Snail Games USA and a holding company, with our principal asset consisting of all the shares of common stock of Snail Games USA.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IPO, we issued 3,000,000 shares of our Class A common stock and net proceeds from the issuance were distributed to Snail Games USA in November 2022 in the amount of $12.0 million. In connection with the IPO, $1.0 million of the net proceeds were remitted to an escrow account which was held to provide a source of funding for our indemnification obligations to the underwriters. The amount in escrow was released to the Company in November 2023 and is reported as part of unrestricted cash and cash equivalents as of March 31, 2024 and December 31,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we filed a Form S-1 Registration Statement with the SEC in connection with our issuance of convertible note, equity line of credit and warrants related to each financing as noted below.</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fund our operations from our net cash flows provided by operating activities. In addition to these cash flows, we have entered into certain debt arrangements to provide additional liquidity and to finance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Revolving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2018, we entered into a revolving loan and security agreement with a financial institution for a revolving note in the amount of $5.5 million. On June 17, 2021, we amended and restated our revolving loan and security agreement (the “2021 Revolving Loan”) to increase our revolving line of credit to $9.0 million. As amended, the 2021 Revolving Loan matured on December 31, 2023 and bore interest at a rate equal to the prime rate less 0.25%. Interest is due and payable under the 2021 Revolving Loan on a monthly basis. The Company amended the revolving loan agreement in December 2023, to extend the 2021 Revolving Loan maturity date to December 31, 2024. As of March 31, 2024, we had borrowings of $3.0 million outstanding under our 2021 Revolving Loan. We intend to extend the 2021 Revolving Loan prior to its maturity date in December 2024. There is no guarantee that we will be able to extend the 2021 Revolving Loan on terms acceptable to us in the future,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2021, we entered into a loan agreement with a financial institution providing for a term loan in an aggregate principal amount of $3.0 million (the “Term Loan”). The Term Loan, which was originally set to mature in June 2031, bears interest at a fixed rate of 3.5% for the first five years and then at a floating rate of the Wall Street Journal prime rate until maturity. The Term Loan is secured by our principal headquarters.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2022 Short Term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2022, we amended and restated our 2021 Revolving Loan and we executed a promissory note to obtain an additional long-term loan with a principal balance of $10.0 million which was set to mature on January 26, 2023 (the “2022 Short Term Note”). In November 2022, the maturity date was extended to January 26, 2024. Interest was equal to the higher of 3.75% and the Wall Street Journal prime rate plus 0.50%. The 2022 Short Term Note is secured and collateralized by our existing assets. The Company completed the last payment obligation on the 2022 Short Term Note during the three months ended March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2023, the Company issued convertible notes at a 7.4% discount and a principal balance of $1,080,000. The notes have an interest rate of 7.5%, will be paid in consecutive monthly installments beginning February 24, 2024 and will mature on May 24, 2024. In the event of a default the interest rate will be increased to the lower of 16% per annum or the highest amount permitted by applicable law. The Company has the option to prepay the notes at any time and the note holders have the option to convert the notes, in whole or in part, any time after November 24, 2023. In connection with the Convertible Notes the Company issued to the investors warrants to purchase an aggregate of 714,285 shares that were accounted for under the fair value method and allocated a value of $445,754. The difference of $525,754 between the proceeds allocated to the Convertible Notes and the aggregate principal amount will be accreted over the life of the notes and accounts for the fair value of the warrants and the stated discount. Additionally, $152,500 of transaction costs incurred by the Company were recorded as a debt discount. The discount is amortized using the effective interest rate of 103.4%. The effective interest rate is based on the principal balance discounted by stated interest, debt issuance costs and fair value allocated to the related warrants. As of March 31, 2024, we had borrowings of $750,450, net of a $48,166 discount under the Convertible Notes. The Company has registered shares for potential issuance on exercise of the warrants, or conversion of the note, on Form S-1 that was declared effective on October 30, 2023. As of March 31, 2024, the note holders have not exercised the warrants. During the three months ended March 31, 2024 the noteholders exercised the option to convert $60,000 in principal of the notes to 71,460 shares of the Company’s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Equity Line Purchase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2023, the Company entered into a common stock purchase agreement (the “Equity Line Purchase Agreement”) and a registration rights agreement (the “Registration Rights Agreement”) with an investor, pursuant to which the investor has committed to purchase up to $5,000,000 in shares of the Company’s Class A common stock, subject to certain limitations and conditions set forth in the Equity Line Purchase Agreement. The Company shall not issue or sell any shares of common stock under the Equity Line Purchase Agreement which, when aggregated with all other shares of common stock beneficially owned by the investor, would result in beneficial ownership of more than 9.99% of the Company’s outstanding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Equity Line Purchase Agreement, the Company has the right, but not the obligation, to sell to the investor, shares of Class A common stock over the period commencing on the execution date of the Equity Line Purchase Agreement and ending on the earlier of (i) December 31, 2025, or (ii) the date on which the investor shall have purchased Securities pursuant to the Equity Line Purchase Agreement for an aggregate purchase price of the $5,000,000, provided that a registration statement covering the resale of shares of Class A common stock that have been and may be issued under the Equity Line Purchase Agreement is declared effective by the SEC. The Company has registered shares for potential issuance on exercise of the warrants, or drawing of the equity line, on Form S-1 that was declared effective on October 30, 2023. As of March 31, 2024 the Company has not sold any Class A common stock under the Equity Line Purchase Agreement.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2023 Note Payable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2023, the Company entered into a cooperation agreement with its IDC vendor. The Company agreed to make the vendor the official server host of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and future iterations and sequels of the game for a period of 7 years. In return, the vendor has agreed to provide the Company with funds in cash of up to $3.0 million without discount and free of charges and costs to the Company. The funds are to be repaid in monthly installments starting in November 2023 and were based on 20% of the gross monthly </w:t>
      </w:r>
      <w:r>
        <w:rPr>
          <w:rFonts w:ascii="Times New Roman;Times;Serif" w:hAnsi="Times New Roman;Times;Serif"/>
          <w:b w:val="false"/>
          <w:i/>
          <w:caps w:val="false"/>
          <w:smallCaps w:val="false"/>
          <w:sz w:val="20"/>
        </w:rPr>
        <w:t>ARK: Survival Ascended</w:t>
      </w:r>
      <w:r>
        <w:rPr>
          <w:rFonts w:ascii="Times New Roman;Times;Serif" w:hAnsi="Times New Roman;Times;Serif"/>
          <w:b w:val="false"/>
          <w:i w:val="false"/>
          <w:caps w:val="false"/>
          <w:smallCaps w:val="false"/>
          <w:sz w:val="20"/>
        </w:rPr>
        <w:t xml:space="preserve"> revenues. The Company has imputed interest at 8.0% on draws made. As of March 31, 2024, we had repaid the remaining $1.5 million outstanding under the Note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covenants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2021 Revolving Loan, Term Loan and the 2022 Short Term Note require us to maintain a minimum debt service coverage ratio of 1.5 to 1.0. Additionally, the 2021 Revolving Loan requires us to maintain an outstanding principal balance of no more than $3.0 million for 30 consecutive days during any twelve-month period. For the three months ended March 31, 2024, our debt service coverage ratio was 0.0, and we received waivers for all covenants under our debt facilities as of March 31, 2024. The waiver is applicable to all debt facilities with the lender and will waive the covenants for the trailing twelve months ended March 31, 2024. The Company repaid the $0.8 million term note that was one of three debt facilities with the lender, in January 2024. The Company’s ability to comply with the covenants, or receive waivers for the covenants, can lead to the acceleration of payments due under the debt facilities with the lender, cause the lender to cease making advances under the revolving agreement, or allow the lender to take possession of collateral. Due to the failure of complying with the debt covenant the Company classifies its long term debt as current.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additional information regarding our indebtedness, see Note 11, </w:t>
      </w:r>
      <w:r>
        <w:rPr>
          <w:rFonts w:ascii="Times New Roman;Times;Serif" w:hAnsi="Times New Roman;Times;Serif"/>
          <w:b w:val="false"/>
          <w:i/>
          <w:caps w:val="false"/>
          <w:smallCaps w:val="false"/>
          <w:sz w:val="20"/>
        </w:rPr>
        <w:t xml:space="preserve">Revolving Loan, Short Term Note and Long-Term Debt </w:t>
      </w:r>
      <w:r>
        <w:rPr>
          <w:rFonts w:ascii="Times New Roman;Times;Serif" w:hAnsi="Times New Roman;Times;Serif"/>
          <w:b w:val="false"/>
          <w:i w:val="false"/>
          <w:caps w:val="false"/>
          <w:smallCaps w:val="false"/>
          <w:sz w:val="20"/>
        </w:rPr>
        <w:t>to our unaudited condensed consolidated financial statements included in this Quarterly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discussion and analysis of results of operations, financial condition, and liquidity are based upon our condensed consolidated financial statements, which have been prepared in accordance with U.S. GAAP. The preparation of these condensed consolidated financial statements requires us to make estimates and judgements that affect the reported amounts of assets and liabilities and disclosure of contingent assets and liabilities at the date of the condensed consolidated financial statements and the reported amounts of revenues and expenses during the reporting period. We based our estimates on historical experience and on various other assumptions that are believed to be reasonable under the circumstances. Actual results may materially differ from these estimates under different assumptions or conditions. On an on-going basis, we review our estimates to ensure that they appropriately reflect changes in our business or new information as it becomes available. For additional information on our significant accounting policies, please refer to Note 2 - </w:t>
      </w:r>
      <w:r>
        <w:rPr>
          <w:rFonts w:ascii="Times New Roman;Times;Serif" w:hAnsi="Times New Roman;Times;Serif"/>
          <w:b w:val="false"/>
          <w:i/>
          <w:caps w:val="false"/>
          <w:smallCaps w:val="false"/>
          <w:sz w:val="20"/>
        </w:rPr>
        <w:t>Summary of Significant Accounting Policies</w:t>
      </w:r>
      <w:r>
        <w:rPr>
          <w:rFonts w:ascii="Times New Roman;Times;Serif" w:hAnsi="Times New Roman;Times;Serif"/>
          <w:b w:val="false"/>
          <w:i w:val="false"/>
          <w:caps w:val="false"/>
          <w:smallCaps w:val="false"/>
          <w:sz w:val="20"/>
        </w:rPr>
        <w:t xml:space="preserve"> to our condensed consolidated financial statements included in this Quarterly Report. We believe that the following critical accounting policies and estimates have the greatest potential impact on our condensed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defers, and classifies the timing of deferred revenues from the sale of its products based on estimates of the release date, technical support obligations and timing of its performance obligations. The estimated timing of release dates is dependent on development milestones met by developers and compliance with platform requirements. At any time, platform requirements may change, or the developers may miss milestones. Estimates in technical support obligations will vary by platform and could change from period to period depending on user trends. Changes in estimates of our release schedule may affect the classification of short and long term deferred revenues and the rate at which deferred revenue is recognized, which could have a material impact on the Company’s condensed consolidated financial statements.</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Estimated Service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deferral and subsequent recognition of revenue for the Company’s technical support obligations are estimated based on our estimated service period. We consider a variety of data points when determining and subsequently reassessing the estimated service period for players of our software products. Primarily, we review the weighted average number of days between players’ first and last days played online. When a new game is launched and no history of online player data is available, we consider other factors to determine the estimated service period, such as the estimated service period of other games actively being sold with similar characteristics. We also consider publicly available sources of online trends, the service periods of our previously released software products, and, to the extent publicly available, the service periods of our competitors’ software products that are similar in nature to ours.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this provides a reasonable depiction of the use of games by our customers, as it is the best representation of the period during which our customers play our software products. An increase in estimated service period could result in a reclassification of deferred revenues from short term to long term and extend the period over which we would recognize said revenue resulting in a lower net income in future periods.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consumable and durable virtual items, we use a variety of data points in determining consumption and estimated service period. We also consider publicly available online trends, the service periods of our previously released software products, and to the extent publicly available, the service periods of our competitors’ software products that are similar in nature to ours. The estimated consumption and service periods for virtual goods are approximately 30 to 100 days. Determining the estimated service period is subjective and requires significant management judgment and estimates. Future usage patterns may differ from historical usage patterns, and therefore the estimated service period may change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Prices of Performance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following reasonably available information in developing the standalone selling prices of the performance obligations: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Reasonably available data points, including third party or industry pricing, and contractually stated prices.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such as market demand, competition, market constraints, awareness of the product and market trends.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Entity-specific factors including pricing strategies and objectives, market share and pricing practices for bundled arrangements.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Income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deferred income tax assets reflect the net tax effects of temporary differences between the carrying amounts of assets and liabilities for financial reporting purposes and the amounts used for income tax purposes. Changes in tax laws or the level of future taxable income could affect the realizability of deferred income tax assets. The Company recognizes deferred income taxes based on estimates of future taxable income and the utilization of tax loss carryforwards. In evaluating the realizability of deferred taxes, the Company evaluates all available positive and negative evidence of whether sufficient future taxable income will be generated to realize the deferred tax assets, including the results of recent operations and projections of future taxable income. The weighting of positive and negative evidence and the projection of future taxable income requires significant judgment and estimates. In addition, changes in these estimates may have a material impact on the Company’s condensed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 description of recently issued and adopted accounting pronouncements, including the respective dates of adoption and expected effects on our results of operations and financial condition, please see Note 2 - </w:t>
      </w:r>
      <w:r>
        <w:rPr>
          <w:rFonts w:ascii="Times New Roman;Times;Serif" w:hAnsi="Times New Roman;Times;Serif"/>
          <w:b w:val="false"/>
          <w:i/>
          <w:caps w:val="false"/>
          <w:smallCaps w:val="false"/>
          <w:sz w:val="20"/>
        </w:rPr>
        <w:t xml:space="preserve">Summary of Significant Accounting Policies </w:t>
      </w:r>
      <w:r>
        <w:rPr>
          <w:rFonts w:ascii="Times New Roman;Times;Serif" w:hAnsi="Times New Roman;Times;Serif"/>
          <w:b w:val="false"/>
          <w:i w:val="false"/>
          <w:caps w:val="false"/>
          <w:smallCaps w:val="false"/>
          <w:sz w:val="20"/>
        </w:rPr>
        <w:t>to our Condensed Consolidated Financial Statements included in this Quarterly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and Smaller Reporting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and an exemption from the requirements to obtain a non-binding advisory vote on executive compensation or golden parachute arrangements. We have elected to take advantage of certain of the reduced disclosure obligations and may elect to take advantage of other reduced reporting requirements in our future filings with the SEC. As a result, the information that we provide to our stockholders may be different than you might receive from other public reporting companies in which you hold equity interests.</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 emerging growth company can take advantage of an extended transition period for complying with new or revised accounting standards. This provision allows an emerging growth company to delay the adoption of certain accounting standards until those standards would otherwise apply to private companies. We have elected to avail ourselves of this provision of the JOBS Act. As a result, we will not be subject to new or revised accounting standards at the same time as other public companies that are not emerging growth companies. Therefore, our condensed consolidated financial statements may not be comparable to those of companies that comply with new or revised accounting pronouncements as of public company effective 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earliest of: (a)(i) the last day of the fiscal year following the fifth anniversary of the closing of our initial public offering; (ii) the last day of the fiscal year in which we have total annual gross revenue of at least $1.235 billion; or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and (b) the date on which we have issued more than $1.0 billion in non-convertible debt securities during the prior three-year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27" w:name="ku_002"/>
      <w:bookmarkEnd w:id="927"/>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as defined by Item 10 of Regulation S-K, the Company is not required to provide the information required by this item.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28" w:name="ku_003"/>
      <w:bookmarkEnd w:id="928"/>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disclosure controls and procedures (as defined in Rule 13a-15(e) under the Exchange Act) that are designed to ensure that information required to be disclosed in the Company’s reports under the Exchange Act is recorded, processed, summarized and reported within the time periods specified in the Securities and Exchange Commission’s rules and forms, and that such information is accumulated and communicated to the Company’s management, including the Chief Executive Officer and the Chief Financial Officer, as appropriate (and will include, beginning on April 15, 2024, the Company’s Co-Chief Executive Officers), to allow timely decisions regarding required disclosure.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our management, including the Chief Executive Officer and Chief Financial Officer, we have evaluated the effectiveness of our disclosure controls and procedures (as defined in Rules 13a-15(e) and 15d-15(e) under the Exchange Act), as of March 31, 2024. A material weakness is a deficiency, or combination of deficiencies, in internal control over financial reporting, such that there is a reasonable possibility that a material misstatement of our annual and interim financial statements will not be prevented or detected in a timely manner. Based on that evaluation, the Chief Executive Officer and Chief Financial Officer have concluded that our disclosure controls and procedures were not effective as of such date due to a material weakness in the internal control over financial reporting as described in Management’s Report on Internal Control Over Financial Reporting, in Part II, Item 9A “Controls and Procedures” in our Annual Report on Form 10-K for the year ended December 31, 2023 filed with the SEC on April 1, 2024 (the “</w:t>
      </w:r>
      <w:r>
        <w:rPr>
          <w:rFonts w:ascii="Times New Roman;Times;Serif" w:hAnsi="Times New Roman;Times;Serif"/>
          <w:b w:val="false"/>
          <w:i w:val="false"/>
          <w:caps w:val="false"/>
          <w:smallCaps w:val="false"/>
          <w:sz w:val="20"/>
          <w:shd w:fill="FFFFFF" w:val="clear"/>
        </w:rPr>
        <w:t>2023 Annual Report on Form 10-K”), which includes our failure to properly design and implement controls related to the accounting for income taxes and disclosure controls related to deferred taxes in the consolidated financial statements; failure to properly classify certain operating expenses and games server costs as cost of revenues in the consolidated financial statements; failure to identify and allocate the consideration received from a settlement between the settlement gain and revenues generating activities; failure to properly determine the stand-alone selling prices of each performance obligation for certain digital revenue contracts; and, failure to design and implement information technology general controls related to segregation of duties within an information system relevant to the preparation of our consolidated financial statements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Management’s Plan for Remediation </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taking steps to remediate the material weaknesses, which include enhancing our financial reporting close control procedures by implementing additional review of unusual transactions, improving our segregation of duties in the recording and approving of transactions, ensuring the completeness of our income tax footnote disclosure through consultation with income tax professionals, hire experts to assist in preparing our revenue recognition policies, and hire experts in designing and implementing custom approval workflows in our ERP system in order to remediate these material weaknesses. However, our efforts to remediate the material weaknesses may not be effective in preventing a future material weakness or significant deficiency in our internal control over financial reporting.</w:t>
      </w:r>
    </w:p>
    <w:p>
      <w:pPr>
        <w:pStyle w:val="TextBody"/>
        <w:shd w:fill="FFFFFF" w:val="clear"/>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ensuring that our internal controls over financial reporting are designed and operating effectively. Management believes the efforts taken to date and the planned remediation will improve the effectiveness of our internal control over financial reporting. While these remediation efforts are ongoing, the controls must be operating effectively for a sufficient period of time and be tested by management in order to consider them remediated and conclude that the design is effective to address the risks of material misstatement.</w:t>
      </w:r>
    </w:p>
    <w:p>
      <w:pPr>
        <w:pStyle w:val="TextBody"/>
        <w:shd w:fill="FFFFFF" w:val="clear"/>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 give no assurance that the measures we have taken or plans to take in the future will remediate the material weaknesses identified or that any additional material weaknesses or restatements of financial results will not arise in the future due to a failure to implement and maintain adequate internal control over financial reporting or circumvention of these controls.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2024, there were no changes in our internal control over financial reporting (as defined in Rules 13a-15(f) and 15d-15(f) under the Exchange Act) which have materially affected, or are reasonably likely to materially affect, our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29" w:name="ku_004"/>
      <w:bookmarkEnd w:id="929"/>
      <w:r>
        <w:rPr>
          <w:rFonts w:ascii="Times New Roman;Times;Serif" w:hAnsi="Times New Roman;Times;Serif"/>
          <w:b/>
          <w:i w:val="false"/>
          <w:caps w:val="false"/>
          <w:smallCaps w:val="false"/>
          <w:sz w:val="20"/>
        </w:rPr>
        <w:t>PART II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30" w:name="ku_005"/>
      <w:bookmarkEnd w:id="930"/>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 of Part I, “Unaudited Condensed Consolidated Financial Statements - Note 14 - Commitments and Contingencies-Litigation.”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31" w:name="ku_006"/>
      <w:bookmarkEnd w:id="931"/>
      <w:r>
        <w:rPr>
          <w:rFonts w:ascii="Times New Roman;Times;Serif" w:hAnsi="Times New Roman;Times;Serif"/>
          <w:b/>
          <w:i w:val="false"/>
          <w:caps w:val="false"/>
          <w:smallCaps w:val="false"/>
          <w:sz w:val="20"/>
        </w:rPr>
        <w:t>Item 1A. Risk Factors.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Investing in our securities involves a high degree of risk. Before making an investment decision, you should carefully consider the risk factors described below as well as under the “Risk Factors” section in Part I – Item 1A of our 2023 Annual Report on Form 10-K, and any other periodic or current report that we file with the SEC, together with all of the related financial statements and notes thereto. Other than as set forth below, we have not identified any material changes to the risk factors previously disclosed in Part I – Item 1A – “Risk Factors” in our Annual Report on Form 10-K for the year ended December 31, 2023.</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on the future success of our ARK franchise, and we must continue to publish “hit” titles or sequels to such “hit” titles in order to compete successfully in our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ARK </w:t>
      </w:r>
      <w:r>
        <w:rPr>
          <w:rFonts w:ascii="Times New Roman;Times;Serif" w:hAnsi="Times New Roman;Times;Serif"/>
          <w:b w:val="false"/>
          <w:i w:val="false"/>
          <w:caps w:val="false"/>
          <w:smallCaps w:val="false"/>
          <w:sz w:val="20"/>
        </w:rPr>
        <w:t xml:space="preserve">is a “hit” product and has historically accounted for a substantial portion of our revenue. The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contributed 78.6% of our net revenue for the three months ended March 31, 2024, and our five best-selling franchises (including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which may change year over year, in the aggregate accounted for 82.1% of our net revenue for the three months ended March 31, 2024. If we fail to continue to develop and sell new commercially successful “hit” titles or sequels to such “hit” titles or experience any delays in product releases or disruptions following the commercial release of our “hit” titles or their sequels, our revenue and profits may decrease substantially, and we may incur losses. In addition, competition in our industry is intense and a relatively small number of hit titles account for a large portion of total revenue in our industry. Hit products offered by our competitors may take a larger share of consumer spending than we anticipate, which could cause revenue generated from our products to fall below our expectations. If our competitors develop more successful products or services at lower price points or based on payment models perceived as offering better value, or if we do not continue to develop consistently high-quality and well-received products and services, our revenue and profitability may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license agreements to publish certain games, including games in our ARK franchise. Failure to renew our existing content licenses on favorable terms or at all or to obtain additional licenses would impair our ability to introduce new games, improvements or enhancements or to continue to offer our current games, which would materially harm our business, results of operations,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license certain intellectual property rights from third parties, including related parties, and in the future, we may enter into additional agreements that provide us with licenses to valuable intellectual property rights or technology. In particular, we license intellectual property rights related to our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from SDE, the parent company of Studio Wildcard, which is also an entity that is owned and controlled by the spouse of our Founder, Co-Chief Executive Officer, Chief Strategy Officer and Chairman, Mr. Shi. We entered into an original exclusive software license agreement with SDE in November 2015, for the rights to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and subsequently entered into the amended and restated ARK1 License Agreement. In December 2022 and October 2023, we amended the ARK1 License Agreement. The terms of our license agreements with SDE may differ from those terms which would be negotiated with independent parties. In addition, we may have disputes with SDE that may impact our business, results of operations, financial condition and/or prospects. The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contributed 78.6% of our net revenue for the three months ended March 31, 2024. Even if our games that are dependent on third-party license agreements remain popular, any of our licensors could decide not to renew our existing license agreements or not to license additional intellectual property rights to us and instead license to our competitors or develop and publish its own games or other applications, competing with us in the marketplace. Moreover, many of our licensors develop games for other platforms and may have significant experience and development resources available to them should they decide to compete with us rather than license to us. For additional information concerning our license arrangements, including licensing agreements with affiliated third parties, see Item 1 of Part I, “Business — Intellectual Property,” included in the Company’s Annual Report on Form 10-K for the fiscal year ended December 31, 2023.</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Failure to maintain or renew our existing material licenses or to obtain additional licenses could impair our ability to introduce new games and new content or to continue to offer our current games, which could materially harm our business, results of operations and financial condition. If we breach our obligations under existing or future licenses, we may be required to pay damages and our licensors may have the right to terminate the license or change an exclusive license to a non-exclusive license. Termination of our license agreements by a material licensor, such as SDE, would cause us to lose valuable rights, such as the rights to our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and would inhibit our ability to commercialize future games, which would harm our business, results of operations and financial condition. In addition, certain intellectual property rights may be licensed to us on a non-exclusive basis. The owners of nonexclusively licensed intellectual property rights would be free to license such rights to third parties, including our competitors, on terms that may be superior to those offered to us, which could place us at a competitive disadvantage. Moreover, our licensors may own or control intellectual property rights that have not been licensed to us and, as a result, we may be subject to claims, regardless of their merit, that we are infringing or otherwise violating the licensor’s rights. In addition, the agreements under which we license intellectual property rights or technology from third parties and related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of the foregoing could harm our competitive position,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third-party platforms, such as Xbox Live and Game Pass, PlayStation Network, Steam, Epic Games Store, My Nintendo Store, the Apple App Store, the Google Play Store, and the Amazon Appstore, to distribute our games and collect revenues generated on such platforms and rely on third-party payment service providers to collect revenues generated on our own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games are primarily purchased, accessed and operated through Xbox Live and Game Pass, PlayStation Network, Steam, Epic Games Store, My Nintendo Store, and in the case of our mobile games, the Apple App Store, the Google Play Store and the Amazon Appstore. Substantially all of the games, DLC and in-game virtual items that we sell are purchased using the payment processing systems of these platforms and, for the three months ended March 31, 2024, 88.1% of our revenues were generated through Xbox Live and Game Pass, PlayStation Network, Steam, Epic Games Store, My Nintendo Store, the Apple App Store, the Google Play Store, and the Amazon Appstore. Consequently, our expansion and prospects depend on our continued relationships with these providers, and any other emerging platform providers that are widely adopted by our target players. In addition, having such a large portion of our total net revenues concentrated in a few counterparties reduces our negotiating leverage. We are subject to the standard terms and conditions that these platform providers have for game developers, which govern the content, promotion, distribution, operation of games and other applications on their platforms, as well as the terms of the payment processing services provided by the platforms, and which the platform providers can change unilaterally on short notice or without notice. As such, our business would be harmed if:</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 providers discontinue or limit our access to their platforms;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or private parties, such as internet providers, impose bandwidth restrictions, increase charges or restrict or prohibit access to those platforms;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platforms increase the fees they charge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platforms modify their algorithms, communication channels available to developers, respective terms of service or other policies;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platforms decline in popularity;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platforms adopt changes or updates to their technology that impede integration with other software systems or otherwise require us to modify our technology or update our games in order to ensure players can continue to access our games and content with ease;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platforms elect or are required to change how they label free-to-play games or take payment for in-game purchases;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platforms block or limit access to the genres of games that we provide in any jurisdiction;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 experiences a bankruptcy or other form of insolvency event;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unable to comply with the platform providers’ terms of service.</w:t>
            </w:r>
          </w:p>
        </w:tc>
      </w:tr>
    </w:tbl>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if our platform providers do not perform their obligations in accordance with our platform agreements or otherwise meet our business requirements, we could be adversely impacted. For example, in the past, some of these platform providers have experienced outages for short periods of time, unexpectedly changed their terms or conditions, or experienced issues with their features that permit our players to purchase games or in-game virtual items. In addition, if we do not adhere to the terms and conditions of our platform providers, the platform providers may take actions to limit the operations of, suspend or remove our games from the platform, and/or we may be exposed to liability or litigation. For example, in August 2020, Epic Games, Inc. (“Epic Games”), attempted to bypass Apple and Google’s payment systems for in-game purchases with an update that allowed users to make purchases directly through Epic Games in its game, Fortnite. Apple and Google promptly removed Fortnite from their respective app stores, and Apple filed a lawsuit seeking injunctive relief to block the use of Epic Games’ payment system and sought monetary damages to recover funds made while the updated version of Fortnite was active.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such events described above occur on a short-term or long-term basis, or if these third-party platforms and online payment service providers otherwise experience issues that impact the ability of players to download or access our games, access social features, or make in-game purchases, it would have a material adverse effect on our brands and reputation, as well as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subject to our ability to develop commercially successful products for the current video game platforms, which may not generate immediate or near-term revenues, and as a result, our business and operating results may be more volatile and difficult to predict during console transitions than during other times.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most of our revenue from publishing video games on third-party platform providers, such as Xbox Live and Game Pass, PlayStation Network, Steam, Epic Games Store, the Apple App Store, the Google Play Store, My Nintendo Store and the Amazon Appstore, which, in the aggregate, comprised 88.1% of our net revenue by product platform for the three months ended March 31, 2024. The success of our business is subject to the continued popularity of these platforms and our ability to develop commercially successful products for these platforms.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when next generation consoles are announced or introduced into the market, consumers have typically reduced their purchases of products for prior-generation consoles in anticipation of purchasing a next-generation console and products for that console. During these periods, sales of the products we publish may decline until new platforms achieve wide consumer acceptance. Console transitions may have a comparable impact on sales of DLC, amplifying the impact on our revenues. This decline may not be offset by increased sales of products for the next-generation consoles. In addition, as console hardware moves through its life cycle, hardware manufacturers typically enact price reductions, and decreasing prices may put downward pressure on software prices. During console transitions, we may simultaneously incur costs both in continuing to develop and market new titles for prior-generation video game platforms, which may not sell at premium prices, and also in developing products for next-generation platforms, which may not generate immediate or near-term revenues. As a result, our business and operating results may be more volatile and difficult to predict during console transitions than during other times.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law or tax rate changes could affect our effective tax rate and future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effective tax rate was 21% for both of the three month periods ended March 31, 2024 and 2023. In general, changes in applicable U.S. federal and state and foreign tax laws and regulations, or their interpretation and application, including the possibility of retroactive effect, could affect our tax expense. In addition, taxing authorities in many jurisdictions in which we operate may propose changes to their tax laws and regulations. These potential changes could have a material impact on our effective tax rate, long-term tax planning and financial results.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Company has debt obligations with short term durations that are coming due within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significant debt obligations coming due within one year. Our current revolving loan has a balance of $3.0 million as of March 31, 2024, and is due for repayment on December 31, 2024. On August 24, 2023, the Company issued convertible notes at a 7.4% discount and a principal balance of $1,080,000. The notes have an interest rate of 7.5%, will be paid in consecutive monthly installments beginning February 24, 2024 and if the note is not converted, it will mature on May 24, 2024. In February 2024, the Company made the first payments of principal and accrued interest in the amount of $312,075, and the convertible note holders converted 71,460 shares for an aggregate value of $60,000. The Company paid an additional $548,438 of accrued interest and principal on its convertible notes balance in April 2024. The Company intends to extend the revolving loan and renew our short-term note debt arrangement and faces the risk that we will be unable to. If we are unable to extend the revolving loan or renew the debt arrangement, the Company may have significantly reduced unrestricted cash which could adversely impact our results of operations and ability to invest in the development and acquisition of IP. See Note 11 – </w:t>
      </w:r>
      <w:r>
        <w:rPr>
          <w:rFonts w:ascii="Times New Roman;Times;Serif" w:hAnsi="Times New Roman;Times;Serif"/>
          <w:b w:val="false"/>
          <w:i/>
          <w:caps w:val="false"/>
          <w:smallCaps w:val="false"/>
          <w:sz w:val="20"/>
        </w:rPr>
        <w:t>Revolving Loan, Short Term Note and Long-Term Debt</w:t>
      </w:r>
      <w:r>
        <w:rPr>
          <w:rFonts w:ascii="Times New Roman;Times;Serif" w:hAnsi="Times New Roman;Times;Serif"/>
          <w:b w:val="false"/>
          <w:i w:val="false"/>
          <w:caps w:val="false"/>
          <w:smallCaps w:val="false"/>
          <w:sz w:val="20"/>
        </w:rPr>
        <w:t xml:space="preserve"> to our unaudited condensed consolidated financial statements included in this Quarterly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guarantee that our share repurchase program will be fully implemented or it will enhance stockholder value, and share repurchases could affect the price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2022, our board of directors authorized a share repurchase program of up to $5 million of our outstanding Class A common stock (the “Share Repurchase Program”), which does not have a fixed expiration date. Share repurchases under the program may be made from time to time through open market transactions, block trades, privately negotiated transactions or otherwise and are subject to market and business conditions, levels of available liquidity, cash requirements for other purposes, regulatory, and other relevant factors, at the discretion of management and in accordance with applicable federal securities laws and other applicable legal requirements and Nasdaq listing rules. The timing, pricing, and size of share repurchases will depend on a number of factors, including, but not limited to, price, corporate and regulatory requirements, and general market and economic conditions. As of March 31, 2024, approximately $1.3 million of the Share Repurchase Program remains available for future repurchases. The Share Repurchase Program does not obligate us to repurchase any dollar amount or number of shares, and the program may be suspended or discontinued at any time, which may result in a decrease in the price of our Class A common stock.</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Repurchases under our Share Repurchase Program will decrease the number of outstanding shares of our Class A common stock and therefore could affect the price of our Class A common stock and increase its volatility. The existence of our Share Repurchase Program could also cause the price of our Class A common stock to be higher than it would be in the absence of such a program and could reduce the market liquidity for our Class A common stock. Additionally, repurchases under our Share Repurchase Program will diminish our cash reserves, which could impact our ability to further develop our business and service our indebtedness. There can be no assurance that any share repurchases will enhance stockholder value because the market price of our Class A common stock may decline below the levels at which we repurchased such shares. Any failure to repurchase shares after we have announced our intention to do so may negatively impact our reputation and investor confidence in us and may negatively impact our Class A common stock price. Although our Share Repurchase Program is intended to enhance long-term stockholder value, short-term price fluctuations could reduce the program’s effectiveness.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identified material weaknesses in our internal control over financial reporting and we may identify additional material weaknesses in the future that may cause us to fail to meet our reporting obligations or result in material misstatements of our financial statements. If we do not effectively remediate the material weaknesses or if we otherwise fail to maintain effective internal control over financial reporting, we may not be able to accurately and timely report our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identified material weaknesses in our internal control over financial reporting involving the failure to properly design and implement controls related to the accounting for income taxes and disclosure controls related to deferred taxes in the consolidated financial statements; failure to properly classify certain operating expenses and games server costs as cost of revenues in the consolidated financial statements; failure to identify and allocate the consideration received from a settlement between the settlement gain and revenues generating activities; failure to properly determine the stand-alone selling prices of each performance obligation for certain digital revenue contracts; and, failure to design and implement information technology general controls related to segregation of duties within an information system relevant to the preparation of the Company’s consolidated financial statements. Due to the size and nature of our organization and the implementation timing of our new cloud-based ERP system, we had limited personnel and system capabilities for adequate segregation of duties during the three months ended March 31, 2024. See Part I, Item 4, “Controls and Procedures,” in this Quarterly Report for information regarding the identified material weaknesses and our actions to date to remediate the material weaknesses. As a result of the material weaknesses, our management has concluded that our internal control over financial reporting were not effective as of March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taking steps to remediate the material weaknesses, which include to enhancing our financial reporting close control procedures by implementing additional review of unusual transactions, improving our segregation of duties in the recording and approving of transactions, ensuring the completeness of our income tax footnote disclosure through consultation with income tax professionals, hire experts to assist in preparing our revenue recognition policies, and hire experts in designing and implementing custom approval workflows in our ERP system in order to remediate these material weaknesses. However, our efforts to remediate the material weaknesses may not be effective in preventing a future material weakness or significant deficiency in our internal control over financial reporting. If we do not effectively remediate the material weaknesses or if we otherwise fail to maintain effective internal control over financial reporting, we may not be able to accurately and timely report our financial results, which could cause our reported financial results to be materially misstated, result in the loss of investor confidence and cause the market price of our Class A common stock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 give no assurance that the measures we have taken or plans to take in the future will remediate the material weaknesses identified or that any additional material weaknesses or restatements of financial results will not arise in the future due to a failure to implement and maintain adequate internal control over financial reporting or circumvention of these controls.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our key management and product development personnel.</w:t>
      </w:r>
    </w:p>
    <w:p>
      <w:pPr>
        <w:pStyle w:val="TextBody"/>
        <w:shd w:fill="FFFFFF" w:val="clear"/>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success will depend to a significant extent on our senior management team and maintaining positive relationships with our games’ developers, including Studio Wildcard, and the product development personnel responsible for content creation and development of our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franchise.</w:t>
      </w:r>
    </w:p>
    <w:p>
      <w:pPr>
        <w:pStyle w:val="TextBody"/>
        <w:shd w:fill="FFFFFF" w:val="clear"/>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15, 2024, Jim S. Tsai notified the Company of his decision to resign from his position as the Chief Executive Officer of the Company and all of the Company’s subsidiaries, including, Snail Games USA, Inc., with such resignation effective April 15, 2024; however, Mr. Tsai will remain with the Company for a 30-day transition period. In conjunction with Mr. Tsai’s resignation as the Company’s Chief Executive Officer, the Company appointed Hai Shi and Xuedong (Tony) Tian to serve as the Company’s new Co-Chief Executive Officers, effective April 15, 2024. We are highly dependent on the expertise, skill and knowledge of Mr. Shi, our Founder, Co-Chief Executive Officer, Chief Strategy Officer and Chairman, Mr. Tian, our other Co-Chief Executive Officer, and Mr. Peter Kang, our Chief Operating Officer. The loss of the services of any or all of these executive officers, or certain key product development personnel, including those employed by studio partners, such as Studio Wildcard, could significantly harm our business. In addition, if one or more key employees were to join a competitor or form a competing company, we may lose additional personnel, experience material interruptions in product development, delays in bringing products to market and difficulties in our relationships with licensors, suppliers and customers, which would significantly harm our business. Failure to continue to attract and retain qualified management and creative personnel could adversely affect our business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32" w:name="ku_007"/>
      <w:bookmarkEnd w:id="932"/>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issue any securities that were not registered under the Securities Act during the three months ended March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Use of Proceeds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Purchases of Equity Securities by the Issuer and Affiliated Purchasers</w:t>
      </w:r>
    </w:p>
    <w:p>
      <w:pPr>
        <w:pStyle w:val="TextBody"/>
        <w:bidi w:val="0"/>
        <w:spacing w:before="0" w:after="0"/>
        <w:ind w:left="0" w:right="0" w:hanging="0"/>
        <w:jc w:val="both"/>
        <w:rPr>
          <w:caps w:val="false"/>
          <w:smallCaps w:val="false"/>
        </w:rPr>
      </w:pPr>
      <w:r>
        <w:rPr>
          <w:caps w:val="false"/>
          <w:smallCaps w:val="false"/>
        </w:rPr>
        <w:t> </w:t>
      </w:r>
    </w:p>
    <w:tbl>
      <w:tblPr>
        <w:tblW w:w="6592" w:type="dxa"/>
        <w:jc w:val="left"/>
        <w:tblInd w:w="0" w:type="dxa"/>
        <w:tblLayout w:type="fixed"/>
        <w:tblCellMar>
          <w:top w:w="0" w:type="dxa"/>
          <w:left w:w="0" w:type="dxa"/>
          <w:bottom w:w="0" w:type="dxa"/>
          <w:right w:w="0" w:type="dxa"/>
        </w:tblCellMar>
      </w:tblPr>
      <w:tblGrid>
        <w:gridCol w:w="1430"/>
        <w:gridCol w:w="60"/>
        <w:gridCol w:w="161"/>
        <w:gridCol w:w="968"/>
        <w:gridCol w:w="60"/>
        <w:gridCol w:w="60"/>
        <w:gridCol w:w="204"/>
        <w:gridCol w:w="700"/>
        <w:gridCol w:w="60"/>
        <w:gridCol w:w="60"/>
        <w:gridCol w:w="144"/>
        <w:gridCol w:w="1061"/>
        <w:gridCol w:w="60"/>
        <w:gridCol w:w="60"/>
        <w:gridCol w:w="199"/>
        <w:gridCol w:w="1230"/>
        <w:gridCol w:w="75"/>
      </w:tblGrid>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br/>
              <w:t>Number of</w:t>
              <w:br/>
              <w:t>Shares</w:t>
              <w:br/>
              <w:t>Purchased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br/>
              <w:t>Price Paid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Total </w:t>
              <w:br/>
              <w:t>Number</w:t>
              <w:br/>
              <w:t xml:space="preserve">of Shares </w:t>
              <w:br/>
              <w:t xml:space="preserve">Purchased </w:t>
              <w:br/>
              <w:t xml:space="preserve">as Part of </w:t>
              <w:br/>
              <w:t>Publicly</w:t>
              <w:br/>
              <w:t>Announced</w:t>
              <w:br/>
              <w:t>Plans or</w:t>
              <w:br/>
              <w:t>Programs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Approximate</w:t>
              <w:br/>
              <w:t>Dollar Value</w:t>
              <w:br/>
              <w:t>of Shares that</w:t>
              <w:br/>
              <w:t>May Yet Be</w:t>
              <w:br/>
              <w:t>Purchased</w:t>
              <w:br/>
              <w:t xml:space="preserve">under the </w:t>
              <w:br/>
              <w:t xml:space="preserve">Plans or </w:t>
              <w:br/>
              <w:t>Programs</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27"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In thousands, except per share amounts</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left"/>
              <w:rPr/>
            </w:pPr>
            <w:r>
              <w:rPr/>
              <w:t>Period</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pPr>
            <w:r>
              <w:rPr/>
              <w:t>January 2024</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left"/>
              <w:rPr/>
            </w:pPr>
            <w:r>
              <w:rPr/>
              <w:t>February 2024</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pPr>
            <w:r>
              <w:rPr/>
              <w:t>March 2024</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6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6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10, 2022, our board of directors authorized a Share Repurchase Program under which we may repurchase up to $5 million in outstanding shares of our Class A common stock, subject to ongoing compliance with Nasdaq listing rules. The program does not have a fixed expiration date. The share repurchases may be made from time to time through open market transactions, block trades, privately negotiated transactions or otherwise and are subject to market and business conditions, levels of available liquidity, cash requirements for other purposes, regulatory, and other relevant factors. There were no share repurchases settled in the three months ended March 31, 2024. As of March 31, 2024, 1,350,275 shares of Class A common stock were repurchased pursuant to the Share Repurchase Program for an aggregate purchase price of approximately $3.7 million. The average price paid per share was $2.72 and approximately $1.3 million aggregate amount of shares of Class A common stock remain available for repurchase under the Share Repurchase Program. For more information regarding the Share Repurchase Program refer to Note 2 - </w:t>
      </w:r>
      <w:r>
        <w:rPr>
          <w:rFonts w:ascii="Times New Roman;Times;Serif" w:hAnsi="Times New Roman;Times;Serif"/>
          <w:b w:val="false"/>
          <w:i/>
          <w:caps w:val="false"/>
          <w:smallCaps w:val="false"/>
          <w:sz w:val="20"/>
        </w:rPr>
        <w:t>Summary of Significant Accounting Policies</w:t>
      </w:r>
      <w:r>
        <w:rPr>
          <w:rFonts w:ascii="Times New Roman;Times;Serif" w:hAnsi="Times New Roman;Times;Serif"/>
          <w:b w:val="false"/>
          <w:i w:val="false"/>
          <w:caps w:val="false"/>
          <w:smallCaps w:val="false"/>
          <w:sz w:val="20"/>
        </w:rPr>
        <w:t xml:space="preserve"> to our condensed consolidated financial statements included in this Quarterly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33" w:name="ku_008"/>
      <w:bookmarkEnd w:id="933"/>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34" w:name="ku_009"/>
      <w:bookmarkEnd w:id="934"/>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35" w:name="ku_010"/>
      <w:bookmarkEnd w:id="935"/>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quarter ended March 31, 2024, no director or officer of the Company </w:t>
      </w:r>
      <w:bookmarkStart w:id="936" w:name="xdx_904_eecd--NonRule10b51ArrAdoptedFlag"/>
      <w:bookmarkStart w:id="937" w:name="xdx_904_eecd--Rule10b51ArrAdoptedFlag_db"/>
      <w:bookmarkEnd w:id="936"/>
      <w:bookmarkEnd w:id="937"/>
      <w:r>
        <w:rPr>
          <w:rFonts w:ascii="Times New Roman;Times;Serif" w:hAnsi="Times New Roman;Times;Serif"/>
          <w:b w:val="false"/>
          <w:i w:val="false"/>
          <w:caps w:val="false"/>
          <w:smallCaps w:val="false"/>
          <w:sz w:val="20"/>
        </w:rPr>
        <w:t xml:space="preserve">adopted or </w:t>
      </w:r>
      <w:bookmarkStart w:id="938" w:name="xdx_901_eecd--NonRule10b51ArrTrmntdFlag_"/>
      <w:bookmarkStart w:id="939" w:name="xdx_904_eecd--Rule10b51ArrTrmntdFlag_dbF"/>
      <w:bookmarkEnd w:id="938"/>
      <w:bookmarkEnd w:id="939"/>
      <w:r>
        <w:rPr>
          <w:rFonts w:ascii="Times New Roman;Times;Serif" w:hAnsi="Times New Roman;Times;Serif"/>
          <w:b w:val="false"/>
          <w:i w:val="false"/>
          <w:caps w:val="false"/>
          <w:smallCaps w:val="false"/>
          <w:sz w:val="20"/>
        </w:rPr>
        <w:t>terminated any “Rule 10b5-1 trading arrangement” or “non-Rule 10b5-1 trading arrangement,” as each term is defined in Item 408(a) of Regulation 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40" w:name="ku_011"/>
      <w:bookmarkEnd w:id="940"/>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4"/>
        <w:gridCol w:w="60"/>
        <w:gridCol w:w="6226"/>
        <w:gridCol w:w="60"/>
        <w:gridCol w:w="500"/>
        <w:gridCol w:w="60"/>
        <w:gridCol w:w="664"/>
        <w:gridCol w:w="60"/>
        <w:gridCol w:w="650"/>
        <w:gridCol w:w="60"/>
        <w:gridCol w:w="1121"/>
      </w:tblGrid>
      <w:tr>
        <w:trPr/>
        <w:tc>
          <w:tcPr>
            <w:tcW w:w="74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22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115" w:type="dxa"/>
            <w:gridSpan w:val="7"/>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tc>
      </w:tr>
      <w:tr>
        <w:trPr/>
        <w:tc>
          <w:tcPr>
            <w:tcW w:w="744"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226"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4"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21"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r>
      <w:tr>
        <w:trPr/>
        <w:tc>
          <w:tcPr>
            <w:tcW w:w="7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2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2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CCEEFF" w:val="cle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Amended and Restated Certificate of Incorporation of Snail, Inc.</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001-41556</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15, 2022</w:t>
            </w:r>
          </w:p>
        </w:tc>
      </w:tr>
      <w:tr>
        <w:trPr/>
        <w:tc>
          <w:tcPr>
            <w:tcW w:w="7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CCEEFF" w:val="cle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Amended and Restated Bylaws of Snail, Inc.</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001-41556</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15, 2022</w:t>
            </w:r>
          </w:p>
        </w:tc>
      </w:tr>
      <w:tr>
        <w:trPr/>
        <w:tc>
          <w:tcPr>
            <w:tcW w:w="7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CCEEFF" w:val="cle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Offer Letter, dated April 15, 2024, by and among, Xuedong (Tony) Tian, Snail, Inc. and Snail Games USA, Inc.</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001-41556</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19, 2024</w:t>
            </w:r>
          </w:p>
        </w:tc>
      </w:tr>
      <w:tr>
        <w:trPr/>
        <w:tc>
          <w:tcPr>
            <w:tcW w:w="7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CCEEFF" w:val="cle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CO-Principal Executive Officer Pursuant to Rules 13a-14(a) and 15d-14(a), under the Securities Exchange Act of 1934, as Adopted pursuant to Section 302 of the Sarbanes-Oxley Act of 2002.</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CCEEFF" w:val="cle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CCEEFF" w:val="cle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CO-Principal Executive Officer Pursuant to 18 U.S.C. Section 1350, as Adopted Pursuant to Section 906 of the Sarbanes-Oxley Act of 2002.</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CCEEFF" w:val="clear"/>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180" w:type="dxa"/>
            <w:tcBorders/>
            <w:vAlign w:val="center"/>
          </w:tcPr>
          <w:p>
            <w:pPr>
              <w:pStyle w:val="TableContents"/>
              <w:bidi w:val="0"/>
              <w:spacing w:before="0" w:after="283"/>
              <w:jc w:val="both"/>
              <w:rPr>
                <w:caps w:val="false"/>
                <w:smallCaps w:val="false"/>
              </w:rPr>
            </w:pPr>
            <w:r>
              <w:rPr>
                <w:caps w:val="false"/>
                <w:smallCaps w:val="false"/>
              </w:rPr>
              <w:t> </w:t>
            </w:r>
          </w:p>
        </w:tc>
        <w:tc>
          <w:tcPr>
            <w:tcW w:w="10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certifications are being furnished solely to accompany this Quarterly Report on Form 10-Q pursuant to 18 U.S.C. Section 1350, and are not being filed for purposes of Section 18 of the Securities Exchange Act of 1934 and are not to be incorporated by reference into any filing of Snail, Inc., whether made before or after the date hereof, regardless of any general incorporation language in such filing.</w:t>
            </w:r>
          </w:p>
        </w:tc>
      </w:tr>
      <w:tr>
        <w:trPr/>
        <w:tc>
          <w:tcPr>
            <w:tcW w:w="180" w:type="dxa"/>
            <w:tcBorders/>
            <w:vAlign w:val="center"/>
          </w:tcPr>
          <w:p>
            <w:pPr>
              <w:pStyle w:val="TableContents"/>
              <w:bidi w:val="0"/>
              <w:spacing w:before="0" w:after="283"/>
              <w:jc w:val="both"/>
              <w:rPr>
                <w:caps w:val="false"/>
                <w:smallCaps w:val="false"/>
              </w:rPr>
            </w:pPr>
            <w:r>
              <w:rPr>
                <w:caps w:val="false"/>
                <w:smallCaps w:val="false"/>
              </w:rPr>
              <w:t> </w:t>
            </w:r>
          </w:p>
        </w:tc>
        <w:tc>
          <w:tcPr>
            <w:tcW w:w="10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0" w:type="dxa"/>
            <w:tcBorders/>
            <w:vAlign w:val="center"/>
          </w:tcPr>
          <w:p>
            <w:pPr>
              <w:pStyle w:val="TableContents"/>
              <w:bidi w:val="0"/>
              <w:spacing w:before="0" w:after="283"/>
              <w:jc w:val="both"/>
              <w:rPr>
                <w:caps w:val="false"/>
                <w:smallCaps w:val="false"/>
              </w:rPr>
            </w:pPr>
            <w:r>
              <w:rPr>
                <w:caps w:val="false"/>
                <w:smallCaps w:val="false"/>
              </w:rPr>
              <w:t>†</w:t>
            </w:r>
          </w:p>
        </w:tc>
        <w:tc>
          <w:tcPr>
            <w:tcW w:w="10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Indicates management contract or compensatory plan.</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41" w:name="ku_012"/>
      <w:bookmarkEnd w:id="941"/>
      <w:r>
        <w:rPr>
          <w:rFonts w:ascii="Times New Roman;Times;Serif" w:hAnsi="Times New Roman;Times;Serif"/>
          <w:b/>
          <w:i w:val="false"/>
          <w:caps w:val="false"/>
          <w:smallCaps w:val="false"/>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as amended, the Registrant has duly caused this Report to be signed on its behalf by the undersigned, thereunto duly authorized, in Culver City, California, on May 15, 2024</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tbl>
      <w:tblPr>
        <w:tblW w:w="4335" w:type="dxa"/>
        <w:jc w:val="left"/>
        <w:tblInd w:w="0" w:type="dxa"/>
        <w:tblLayout w:type="fixed"/>
        <w:tblCellMar>
          <w:top w:w="0" w:type="dxa"/>
          <w:left w:w="0" w:type="dxa"/>
          <w:bottom w:w="0" w:type="dxa"/>
          <w:right w:w="0" w:type="dxa"/>
        </w:tblCellMar>
      </w:tblPr>
      <w:tblGrid>
        <w:gridCol w:w="1655"/>
        <w:gridCol w:w="320"/>
        <w:gridCol w:w="2360"/>
      </w:tblGrid>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268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Snail, Inc.</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3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15, 2024</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6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Xuedong Tian</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3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Xuedong Tian</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3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Co-Chief Executive Officer </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3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15, 2024</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6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Heidy Chow</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3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Heidy Chow</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3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Chief Financial Officer </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942" w:name="ex31-1.htm"/>
      <w:bookmarkStart w:id="943" w:name="ksex311"/>
      <w:bookmarkEnd w:id="942"/>
      <w:bookmarkEnd w:id="94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CO-CHIEF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AND RULE 15d-14(a) OF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Xuedong Tian, certify that: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185"/>
        <w:gridCol w:w="822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period ended March 31, 2024 of Snail, Inc;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financing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4635" w:type="dxa"/>
        <w:jc w:val="left"/>
        <w:tblInd w:w="0" w:type="dxa"/>
        <w:tblLayout w:type="fixed"/>
        <w:tblCellMar>
          <w:top w:w="0" w:type="dxa"/>
          <w:left w:w="0" w:type="dxa"/>
          <w:bottom w:w="0" w:type="dxa"/>
          <w:right w:w="0" w:type="dxa"/>
        </w:tblCellMar>
      </w:tblPr>
      <w:tblGrid>
        <w:gridCol w:w="1655"/>
        <w:gridCol w:w="320"/>
        <w:gridCol w:w="2660"/>
      </w:tblGrid>
      <w:tr>
        <w:trPr/>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15, 2024</w:t>
            </w:r>
          </w:p>
        </w:tc>
        <w:tc>
          <w:tcPr>
            <w:tcW w:w="3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660" w:type="dxa"/>
            <w:tcBorders>
              <w:bottom w:val="single" w:sz="1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Xuedong Tian</w:t>
            </w:r>
          </w:p>
        </w:tc>
      </w:tr>
      <w:tr>
        <w:trPr/>
        <w:tc>
          <w:tcPr>
            <w:tcW w:w="165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Xuedong Tian</w:t>
            </w:r>
          </w:p>
        </w:tc>
      </w:tr>
      <w:tr>
        <w:trPr/>
        <w:tc>
          <w:tcPr>
            <w:tcW w:w="165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6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Co-Chief Executive Officer </w:t>
              <w:br/>
              <w:t>(Co-Principal Executive Officer)</w:t>
            </w:r>
          </w:p>
        </w:tc>
      </w:tr>
    </w:tbl>
    <w:p>
      <w:pPr>
        <w:pStyle w:val="TextBody"/>
        <w:bidi w:val="0"/>
        <w:spacing w:before="0" w:after="0"/>
        <w:ind w:left="0" w:right="0" w:hanging="0"/>
        <w:jc w:val="righ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944" w:name="ex31-2.htm"/>
      <w:bookmarkStart w:id="945" w:name="ksex312"/>
      <w:bookmarkEnd w:id="944"/>
      <w:bookmarkEnd w:id="94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AND RULE 15d-14(a) OF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Heidy Chow, certify that: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185"/>
        <w:gridCol w:w="831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have reviewed this quarterly report on Form 10-Q for the period ended March 31, 2024 of Snail, Inc.;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financing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7005" w:type="dxa"/>
        <w:jc w:val="left"/>
        <w:tblInd w:w="0" w:type="dxa"/>
        <w:tblLayout w:type="fixed"/>
        <w:tblCellMar>
          <w:top w:w="0" w:type="dxa"/>
          <w:left w:w="0" w:type="dxa"/>
          <w:bottom w:w="0" w:type="dxa"/>
          <w:right w:w="0" w:type="dxa"/>
        </w:tblCellMar>
      </w:tblPr>
      <w:tblGrid>
        <w:gridCol w:w="1655"/>
        <w:gridCol w:w="320"/>
        <w:gridCol w:w="5030"/>
      </w:tblGrid>
      <w:tr>
        <w:trPr/>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15, 2024</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03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Heidy Chow</w:t>
            </w:r>
          </w:p>
        </w:tc>
      </w:tr>
      <w:tr>
        <w:trPr/>
        <w:tc>
          <w:tcPr>
            <w:tcW w:w="165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03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Heidy Chow</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65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 Principal Accounting Officer)</w:t>
            </w:r>
          </w:p>
        </w:tc>
      </w:tr>
    </w:tbl>
    <w:p>
      <w:pPr>
        <w:pStyle w:val="TextBody"/>
        <w:bidi w:val="0"/>
        <w:spacing w:before="0" w:after="0"/>
        <w:ind w:left="0" w:right="0" w:hanging="0"/>
        <w:jc w:val="righ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right"/>
        <w:rPr>
          <w:caps w:val="false"/>
          <w:smallCaps w:val="false"/>
        </w:rPr>
      </w:pPr>
      <w:bookmarkStart w:id="946" w:name="ex32-1.htm"/>
      <w:bookmarkStart w:id="947" w:name="ksex321"/>
      <w:bookmarkEnd w:id="946"/>
      <w:bookmarkEnd w:id="94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CO-CHIEF EXECUTIVE OFFICERS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Snail, Inc. (the “Company”) on Form 10-Q for the quarter ended March 31, 2024 (the “Report”), I, Hai Shi, Founder, Chairman, Co-Chief Executive Officer and Chief Strategy Officer of the Company, and Xuedong Tian, Co-Chief Executive Officer of the Company, certify, pursuant to 18 U.S.C. Section 1350, as adopted pursuant to Section 906 of the Sarbanes-Oxley Act of 2002, that, to the best of my knowledge: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260"/>
        <w:gridCol w:w="957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Registrant.</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905" w:type="dxa"/>
        <w:jc w:val="left"/>
        <w:tblInd w:w="0" w:type="dxa"/>
        <w:tblLayout w:type="fixed"/>
        <w:tblCellMar>
          <w:top w:w="0" w:type="dxa"/>
          <w:left w:w="0" w:type="dxa"/>
          <w:bottom w:w="0" w:type="dxa"/>
          <w:right w:w="0" w:type="dxa"/>
        </w:tblCellMar>
      </w:tblPr>
      <w:tblGrid>
        <w:gridCol w:w="1655"/>
        <w:gridCol w:w="590"/>
        <w:gridCol w:w="2660"/>
      </w:tblGrid>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15, 2024</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66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Xuedong Tian</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6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Xuedong Tian</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6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Executive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right"/>
        <w:rPr>
          <w:caps w:val="false"/>
          <w:smallCaps w:val="false"/>
        </w:rPr>
      </w:pPr>
      <w:bookmarkStart w:id="948" w:name="ex32-2.htm"/>
      <w:bookmarkStart w:id="949" w:name="ksex322"/>
      <w:bookmarkEnd w:id="948"/>
      <w:bookmarkEnd w:id="94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CHIEF FINANCIAL OFFICER</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Snail, Inc. (the “Company”) on Form 10-Q for the quarter ended March 31, 2024 (the “Report”), I, Heidy Chow, Chief Financial Officer of the Company, certify, pursuant to 18 U.S.C. Section 1350, as adopted pursuant to Section 906 of the Sarbanes-Oxley Act of 2002, that, to the best of my knowledge: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260"/>
        <w:gridCol w:w="957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Registrant.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7275" w:type="dxa"/>
        <w:jc w:val="left"/>
        <w:tblInd w:w="0" w:type="dxa"/>
        <w:tblLayout w:type="fixed"/>
        <w:tblCellMar>
          <w:top w:w="0" w:type="dxa"/>
          <w:left w:w="0" w:type="dxa"/>
          <w:bottom w:w="0" w:type="dxa"/>
          <w:right w:w="0" w:type="dxa"/>
        </w:tblCellMar>
      </w:tblPr>
      <w:tblGrid>
        <w:gridCol w:w="1655"/>
        <w:gridCol w:w="590"/>
        <w:gridCol w:w="5030"/>
      </w:tblGrid>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15, 2024</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0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Heidy Chow</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Heidy Chow</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0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 Principal Accounting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86894/000110465922118795/tm2128835d28_ex3-1.htm" TargetMode="External"/><Relationship Id="rId3" Type="http://schemas.openxmlformats.org/officeDocument/2006/relationships/hyperlink" Target="https://www.sec.gov/Archives/edgar/data/1886894/000110465922118795/tm2128835d28_ex3-2.htm" TargetMode="External"/><Relationship Id="rId4" Type="http://schemas.openxmlformats.org/officeDocument/2006/relationships/hyperlink" Target="https://www.sec.gov/Archives/edgar/data/1886894/000149315224015242/ex10-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33231</Words>
  <Characters>179786</Characters>
  <CharactersWithSpaces>215563</CharactersWithSpaces>
  <Paragraphs>8138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