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caps w:val="false"/>
          <w:smallCaps w:val="false"/>
          <w:bdr w:val="single" w:sz="32" w:space="1" w:color="000000"/>
        </w:rPr>
      </w:pPr>
      <w:r>
        <w:rPr>
          <w:caps w:val="false"/>
          <w:smallCaps w:val="false"/>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101__20"/>
      <w:bookmarkEnd w:id="2"/>
      <w:r>
        <w:rPr>
          <w:rFonts w:ascii="Times New Roman;Times;Serif" w:hAnsi="Times New Roman;Times;Serif"/>
          <w:b/>
          <w:i w:val="false"/>
          <w:caps w:val="false"/>
          <w:smallCaps w:val="false"/>
          <w:sz w:val="36"/>
        </w:rPr>
        <w:t>10-Q</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7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7_edei--DocumentPeriodEndDate_c202"/>
      <w:bookmarkEnd w:id="4"/>
      <w:r>
        <w:rPr>
          <w:rFonts w:ascii="Times New Roman;Times;Serif" w:hAnsi="Times New Roman;Times;Serif"/>
          <w:b/>
          <w:i w:val="false"/>
          <w:caps w:val="false"/>
          <w:smallCaps w:val="false"/>
          <w:sz w:val="20"/>
        </w:rPr>
        <w:t xml:space="preserve">June 30, </w:t>
      </w:r>
      <w:bookmarkStart w:id="5" w:name="xdx_90E_edei--DocumentFiscalYearFocus_c2"/>
      <w:bookmarkEnd w:id="5"/>
      <w:r>
        <w:rPr>
          <w:rFonts w:ascii="Times New Roman;Times;Serif" w:hAnsi="Times New Roman;Times;Serif"/>
          <w:b/>
          <w:i w:val="false"/>
          <w:caps w:val="false"/>
          <w:smallCaps w:val="false"/>
          <w:sz w:val="20"/>
        </w:rPr>
        <w:t>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6" w:name="xdx_90F_edei--DocumentTransitionReport_c"/>
            <w:bookmarkEnd w:id="6"/>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TRANSITION REPORT PURSUANT TO SECTION 13 OR 15(d) OF THE SECURITIES EXCHANGE ACT OF 1934 FOR THE TRANSITION PERIOD FROM TO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8_edei--EntityFileNumber_c20260101"/>
      <w:bookmarkEnd w:id="7"/>
      <w:r>
        <w:rPr>
          <w:rFonts w:ascii="Times New Roman;Times;Serif" w:hAnsi="Times New Roman;Times;Serif"/>
          <w:b/>
          <w:i w:val="false"/>
          <w:caps w:val="false"/>
          <w:smallCaps w:val="false"/>
          <w:sz w:val="20"/>
        </w:rPr>
        <w:t>001-41556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bookmarkStart w:id="8" w:name="xdx_90F_edei--EntityRegistrantName_c2026"/>
      <w:bookmarkEnd w:id="8"/>
      <w:r>
        <w:rPr>
          <w:rFonts w:ascii="Times New Roman;Times;Serif" w:hAnsi="Times New Roman;Times;Serif"/>
          <w:b/>
          <w:i w:val="false"/>
          <w:caps w:val="false"/>
          <w:smallCaps w:val="false"/>
          <w:sz w:val="36"/>
        </w:rPr>
        <w:t>SNAIL,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60"/>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F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4_edei--EntityTaxIdentificationNum"/>
            <w:bookmarkEnd w:id="10"/>
            <w:r>
              <w:rPr>
                <w:rFonts w:ascii="Times New Roman;Times;Serif" w:hAnsi="Times New Roman;Times;Serif"/>
                <w:b/>
                <w:i w:val="false"/>
                <w:caps w:val="false"/>
                <w:smallCaps w:val="false"/>
                <w:sz w:val="20"/>
              </w:rPr>
              <w:t>88-4146991</w:t>
            </w:r>
          </w:p>
        </w:tc>
      </w:tr>
      <w:tr>
        <w:trPr/>
        <w:tc>
          <w:tcPr>
            <w:tcW w:w="2660"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3290"/>
        <w:gridCol w:w="60"/>
        <w:gridCol w:w="890"/>
      </w:tblGrid>
      <w:tr>
        <w:trPr/>
        <w:tc>
          <w:tcPr>
            <w:tcW w:w="3290" w:type="dxa"/>
            <w:tcBorders/>
            <w:vAlign w:val="center"/>
          </w:tcPr>
          <w:p>
            <w:pPr>
              <w:pStyle w:val="TableContents"/>
              <w:bidi w:val="0"/>
              <w:jc w:val="center"/>
              <w:rPr>
                <w:rFonts w:ascii="Times New Roman;Times;Serif" w:hAnsi="Times New Roman;Times;Serif"/>
                <w:b/>
                <w:i w:val="false"/>
                <w:caps w:val="false"/>
                <w:smallCaps w:val="false"/>
                <w:sz w:val="20"/>
              </w:rPr>
            </w:pPr>
            <w:bookmarkStart w:id="11" w:name="xdx_904_edei--EntityAddressAddressLine1_"/>
            <w:bookmarkEnd w:id="11"/>
            <w:r>
              <w:rPr>
                <w:rFonts w:ascii="Times New Roman;Times;Serif" w:hAnsi="Times New Roman;Times;Serif"/>
                <w:b/>
                <w:i w:val="false"/>
                <w:caps w:val="false"/>
                <w:smallCaps w:val="false"/>
                <w:sz w:val="20"/>
              </w:rPr>
              <w:t>12049 Jefferson Blvd</w:t>
            </w:r>
          </w:p>
          <w:p>
            <w:pPr>
              <w:pStyle w:val="TableContents"/>
              <w:bidi w:val="0"/>
              <w:spacing w:before="0" w:after="283"/>
              <w:jc w:val="center"/>
              <w:rPr>
                <w:rFonts w:ascii="Times New Roman;Times;Serif" w:hAnsi="Times New Roman;Times;Serif"/>
                <w:b/>
                <w:i w:val="false"/>
                <w:caps w:val="false"/>
                <w:smallCaps w:val="false"/>
                <w:sz w:val="20"/>
              </w:rPr>
            </w:pPr>
            <w:bookmarkStart w:id="12" w:name="xdx_901_edei--EntityAddressCityOrTown_c2"/>
            <w:bookmarkEnd w:id="12"/>
            <w:r>
              <w:rPr>
                <w:rFonts w:ascii="Times New Roman;Times;Serif" w:hAnsi="Times New Roman;Times;Serif"/>
                <w:b/>
                <w:i w:val="false"/>
                <w:caps w:val="false"/>
                <w:smallCaps w:val="false"/>
                <w:sz w:val="20"/>
              </w:rPr>
              <w:t xml:space="preserve">Culver City, </w:t>
            </w:r>
            <w:bookmarkStart w:id="13" w:name="xdx_901_edei--EntityAddressStateOrProvin"/>
            <w:bookmarkEnd w:id="13"/>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F_edei--EntityAddressPostalZipCode"/>
            <w:bookmarkEnd w:id="14"/>
            <w:r>
              <w:rPr>
                <w:rFonts w:ascii="Times New Roman;Times;Serif" w:hAnsi="Times New Roman;Times;Serif"/>
                <w:b/>
                <w:i w:val="false"/>
                <w:caps w:val="false"/>
                <w:smallCaps w:val="false"/>
                <w:sz w:val="20"/>
              </w:rPr>
              <w:t>90230</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+1 </w:t>
      </w:r>
      <w:bookmarkStart w:id="15" w:name="xdx_908_edei--CityAreaCode_c20260101__20"/>
      <w:bookmarkEnd w:id="15"/>
      <w:r>
        <w:rPr>
          <w:rFonts w:ascii="Times New Roman;Times;Serif" w:hAnsi="Times New Roman;Times;Serif"/>
          <w:b/>
          <w:i w:val="false"/>
          <w:caps w:val="false"/>
          <w:smallCaps w:val="false"/>
          <w:sz w:val="20"/>
        </w:rPr>
        <w:t xml:space="preserve">(310) </w:t>
      </w:r>
      <w:bookmarkStart w:id="16" w:name="xdx_90A_edei--LocalPhoneNumber_c20260101"/>
      <w:bookmarkEnd w:id="16"/>
      <w:r>
        <w:rPr>
          <w:rFonts w:ascii="Times New Roman;Times;Serif" w:hAnsi="Times New Roman;Times;Serif"/>
          <w:b/>
          <w:i w:val="false"/>
          <w:caps w:val="false"/>
          <w:smallCaps w:val="false"/>
          <w:sz w:val="20"/>
        </w:rPr>
        <w:t>988-0643</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center"/>
        <w:rPr>
          <w:caps w:val="false"/>
          <w:smallCaps w:val="false"/>
        </w:rPr>
      </w:pPr>
      <w:r>
        <w:rPr>
          <w:caps w:val="false"/>
          <w:smallCaps w:val="false"/>
        </w:rPr>
        <w:t> </w:t>
      </w:r>
    </w:p>
    <w:tbl>
      <w:tblPr>
        <w:tblW w:w="9690" w:type="dxa"/>
        <w:jc w:val="left"/>
        <w:tblInd w:w="0" w:type="dxa"/>
        <w:tblLayout w:type="fixed"/>
        <w:tblCellMar>
          <w:top w:w="0" w:type="dxa"/>
          <w:left w:w="0" w:type="dxa"/>
          <w:bottom w:w="28" w:type="dxa"/>
          <w:right w:w="0" w:type="dxa"/>
        </w:tblCellMar>
      </w:tblPr>
      <w:tblGrid>
        <w:gridCol w:w="4205"/>
        <w:gridCol w:w="60"/>
        <w:gridCol w:w="1655"/>
        <w:gridCol w:w="60"/>
        <w:gridCol w:w="3710"/>
      </w:tblGrid>
      <w:tr>
        <w:trPr/>
        <w:tc>
          <w:tcPr>
            <w:tcW w:w="42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4_edei--Security12bTitle_c20260101"/>
            <w:bookmarkEnd w:id="17"/>
            <w:r>
              <w:rPr>
                <w:rFonts w:ascii="Times New Roman;Times;Serif" w:hAnsi="Times New Roman;Times;Serif"/>
                <w:b w:val="false"/>
                <w:i w:val="false"/>
                <w:caps w:val="false"/>
                <w:smallCaps w:val="false"/>
                <w:sz w:val="20"/>
              </w:rPr>
              <w:t>Class A 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9_edei--TradingSymbol_c20260101__2"/>
            <w:bookmarkEnd w:id="18"/>
            <w:r>
              <w:rPr>
                <w:rFonts w:ascii="Times New Roman;Times;Serif" w:hAnsi="Times New Roman;Times;Serif"/>
                <w:b w:val="false"/>
                <w:i w:val="false"/>
                <w:caps w:val="false"/>
                <w:smallCaps w:val="false"/>
                <w:sz w:val="20"/>
              </w:rPr>
              <w:t>SNAL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bookmarkStart w:id="19" w:name="xdx_909_edei--SecurityExchangeName_c2026"/>
            <w:bookmarkEnd w:id="19"/>
            <w:r>
              <w:rPr>
                <w:rFonts w:ascii="Times New Roman;Times;Serif" w:hAnsi="Times New Roman;Times;Serif"/>
                <w:b w:val="false"/>
                <w:i w:val="false"/>
                <w:caps w:val="false"/>
                <w:smallCaps w:val="false"/>
                <w:sz w:val="20"/>
              </w:rPr>
              <w:t>The Nasdaq Stock Market LLC</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D_edei--EntityCurrentReportingStat"/>
      <w:bookmarkEnd w:id="20"/>
      <w:r>
        <w:rPr>
          <w:rFonts w:ascii="Times New Roman;Times;Serif" w:hAnsi="Times New Roman;Times;Serif"/>
          <w:b w:val="false"/>
          <w:i w:val="false"/>
          <w:caps w:val="false"/>
          <w:smallCaps w:val="false"/>
          <w:sz w:val="20"/>
        </w:rPr>
        <w:t>YES ☒ 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21" w:name="xdx_905_edei--EntityInteractiveDataCurre"/>
      <w:bookmarkEnd w:id="21"/>
      <w:r>
        <w:rPr>
          <w:rFonts w:ascii="Times New Roman;Times;Serif" w:hAnsi="Times New Roman;Times;Serif"/>
          <w:b w:val="false"/>
          <w:i w:val="false"/>
          <w:caps w:val="false"/>
          <w:smallCaps w:val="false"/>
          <w:sz w:val="20"/>
        </w:rPr>
        <w:t>YES ☒ 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center"/>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D_edei--EntityFilerCategory_c20260"/>
            <w:bookmarkEnd w:id="22"/>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right"/>
              <w:rPr>
                <w:caps w:val="false"/>
                <w:smallCaps w:val="false"/>
              </w:rPr>
            </w:pPr>
            <w:bookmarkStart w:id="23" w:name="xdx_905_edei--EntitySmallBusiness_c20260"/>
            <w:bookmarkEnd w:id="23"/>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24" w:name="xdx_905_edei--EntityEmergingGrowthCompan"/>
            <w:bookmarkEnd w:id="24"/>
            <w:r>
              <w:rPr>
                <w:caps w:val="false"/>
                <w:smallCaps w:val="false"/>
              </w:rPr>
              <w:t>☒</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7_edei--EntityExTransitionPeriod_c"/>
      <w:bookmarkEnd w:id="25"/>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6" w:name="xdx_904_edei--EntityShellCompany_dbF_c20"/>
      <w:bookmarkEnd w:id="26"/>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registrant’s classes of common stock, as of the latest practicable date.</w:t>
      </w:r>
    </w:p>
    <w:p>
      <w:pPr>
        <w:pStyle w:val="TextBody"/>
        <w:bidi w:val="0"/>
        <w:jc w:val="both"/>
        <w:rPr>
          <w:caps w:val="false"/>
          <w:smallCaps w:val="false"/>
        </w:rPr>
      </w:pPr>
      <w:r>
        <w:rPr>
          <w:caps w:val="false"/>
          <w:smallCaps w:val="false"/>
        </w:rPr>
        <w:t> </w:t>
      </w:r>
    </w:p>
    <w:tbl>
      <w:tblPr>
        <w:tblW w:w="8035" w:type="dxa"/>
        <w:jc w:val="left"/>
        <w:tblInd w:w="0" w:type="dxa"/>
        <w:tblLayout w:type="fixed"/>
        <w:tblCellMar>
          <w:top w:w="0" w:type="dxa"/>
          <w:left w:w="0" w:type="dxa"/>
          <w:bottom w:w="28" w:type="dxa"/>
          <w:right w:w="0" w:type="dxa"/>
        </w:tblCellMar>
      </w:tblPr>
      <w:tblGrid>
        <w:gridCol w:w="4460"/>
        <w:gridCol w:w="60"/>
        <w:gridCol w:w="3515"/>
      </w:tblGrid>
      <w:tr>
        <w:trPr/>
        <w:tc>
          <w:tcPr>
            <w:tcW w:w="44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of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Shares as of August 10, 2026</w:t>
            </w:r>
          </w:p>
        </w:tc>
      </w:tr>
      <w:tr>
        <w:trPr/>
        <w:tc>
          <w:tcPr>
            <w:tcW w:w="4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par value $</w:t>
            </w:r>
            <w:bookmarkStart w:id="27" w:name="xdx_905_edei--EntityListingParValuePerSh"/>
            <w:bookmarkEnd w:id="27"/>
            <w:r>
              <w:rPr>
                <w:rFonts w:ascii="Times New Roman;Times;Serif" w:hAnsi="Times New Roman;Times;Serif"/>
                <w:b/>
                <w:i w:val="false"/>
                <w:caps w:val="false"/>
                <w:smallCaps w:val="false"/>
                <w:sz w:val="20"/>
              </w:rPr>
              <w:t>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8" w:name="xdx_909_edei--EntityCommonStockSharesOut"/>
            <w:bookmarkEnd w:id="28"/>
            <w:r>
              <w:rPr>
                <w:rFonts w:ascii="Times New Roman;Times;Serif" w:hAnsi="Times New Roman;Times;Serif"/>
                <w:b/>
                <w:i w:val="false"/>
                <w:caps w:val="false"/>
                <w:smallCaps w:val="false"/>
                <w:sz w:val="20"/>
              </w:rPr>
              <w:t>3,206,095</w:t>
            </w:r>
          </w:p>
        </w:tc>
      </w:tr>
      <w:tr>
        <w:trPr/>
        <w:tc>
          <w:tcPr>
            <w:tcW w:w="4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Common Stock, par value $</w:t>
            </w:r>
            <w:bookmarkStart w:id="29" w:name="xdx_907_edei--EntityListingParValuePerSh"/>
            <w:bookmarkEnd w:id="29"/>
            <w:r>
              <w:rPr>
                <w:rFonts w:ascii="Times New Roman;Times;Serif" w:hAnsi="Times New Roman;Times;Serif"/>
                <w:b/>
                <w:i w:val="false"/>
                <w:caps w:val="false"/>
                <w:smallCaps w:val="false"/>
                <w:sz w:val="20"/>
              </w:rPr>
              <w:t>0.0001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0" w:name="xdx_90C_edei--EntityCommonStockSharesOut"/>
            <w:bookmarkEnd w:id="30"/>
            <w:r>
              <w:rPr>
                <w:rFonts w:ascii="Times New Roman;Times;Serif" w:hAnsi="Times New Roman;Times;Serif"/>
                <w:b/>
                <w:i w:val="false"/>
                <w:caps w:val="false"/>
                <w:smallCaps w:val="false"/>
                <w:sz w:val="20"/>
              </w:rPr>
              <w:t>5,749,716</w:t>
            </w:r>
          </w:p>
        </w:tc>
      </w:tr>
    </w:tbl>
    <w:p>
      <w:pPr>
        <w:pStyle w:val="TextBody"/>
        <w:bidi w:val="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 Ended June 30,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6"/>
        <w:gridCol w:w="9113"/>
        <w:gridCol w:w="456"/>
      </w:tblGrid>
      <w:tr>
        <w:trPr/>
        <w:tc>
          <w:tcPr>
            <w:tcW w:w="636" w:type="dxa"/>
            <w:tcBorders/>
            <w:vAlign w:val="center"/>
          </w:tcPr>
          <w:p>
            <w:pPr>
              <w:pStyle w:val="TableContents"/>
              <w:bidi w:val="0"/>
              <w:spacing w:before="0" w:after="283"/>
              <w:jc w:val="left"/>
              <w:rPr>
                <w:caps w:val="false"/>
                <w:smallCaps w:val="false"/>
              </w:rPr>
            </w:pPr>
            <w:r>
              <w:rPr>
                <w:caps w:val="false"/>
                <w:smallCaps w:val="false"/>
              </w:rPr>
              <w:t> </w:t>
            </w:r>
          </w:p>
        </w:tc>
        <w:tc>
          <w:tcPr>
            <w:tcW w:w="9113"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3"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Cautionary Statement</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49" w:type="dxa"/>
            <w:gridSpan w:val="2"/>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i w:val="false"/>
                  <w:caps w:val="false"/>
                  <w:smallCaps w:val="false"/>
                  <w:sz w:val="20"/>
                </w:rPr>
                <w:t>PART I. FINANCIAL INFORMATION</w:t>
              </w:r>
            </w:hyperlink>
          </w:p>
        </w:tc>
        <w:tc>
          <w:tcPr>
            <w:tcW w:w="4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113"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3"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Snail, Inc. and Subsidiaries Condensed Consolidated Balance Sheets as of June 30, 2026 and December 31, 2025</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3"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Snail, Inc. and Subsidiaries Condensed Consolidated Statements of Operations and Comprehensive Loss for the Three and Six Months Ended June 30, 2026 and 2025</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3"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Snail, Inc. and Subsidiaries Condensed Consolidated Statements of Equity (Deficit) for the Three and Six Months Ended June 30, 2026 and 2025</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3"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Snail, Inc. and Subsidiaries Condensed Consolidated Statements of Cash Flows for the Six Months Ended June 30, 2026 and 2025</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3"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Snail, Inc. and Subsidiaries Notes to Condensed Consolidated Financial Statements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 </w:t>
            </w:r>
          </w:p>
        </w:tc>
        <w:tc>
          <w:tcPr>
            <w:tcW w:w="9113" w:type="dxa"/>
            <w:tcBorders/>
            <w:shd w:fill="CCEEFF" w:val="clear"/>
            <w:vAlign w:val="center"/>
          </w:tcPr>
          <w:p>
            <w:pPr>
              <w:pStyle w:val="TableContents"/>
              <w:bidi w:val="0"/>
              <w:spacing w:before="0" w:after="283"/>
              <w:jc w:val="left"/>
              <w:rPr/>
            </w:pPr>
            <w:hyperlink w:anchor="G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3. </w:t>
            </w:r>
          </w:p>
        </w:tc>
        <w:tc>
          <w:tcPr>
            <w:tcW w:w="9113" w:type="dxa"/>
            <w:tcBorders/>
            <w:shd w:fill="FFFFFF" w:val="clear"/>
            <w:vAlign w:val="center"/>
          </w:tcPr>
          <w:p>
            <w:pPr>
              <w:pStyle w:val="TableContents"/>
              <w:bidi w:val="0"/>
              <w:spacing w:before="0" w:after="283"/>
              <w:jc w:val="left"/>
              <w:rPr/>
            </w:pPr>
            <w:hyperlink w:anchor="G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113" w:type="dxa"/>
            <w:tcBorders/>
            <w:shd w:fill="CCEEFF" w:val="clear"/>
            <w:vAlign w:val="center"/>
          </w:tcPr>
          <w:p>
            <w:pPr>
              <w:pStyle w:val="TableContents"/>
              <w:bidi w:val="0"/>
              <w:spacing w:before="0" w:after="283"/>
              <w:jc w:val="left"/>
              <w:rPr/>
            </w:pPr>
            <w:hyperlink w:anchor="G_003">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749" w:type="dxa"/>
            <w:gridSpan w:val="2"/>
            <w:tcBorders/>
            <w:shd w:fill="FFFFFF" w:val="clear"/>
            <w:vAlign w:val="center"/>
          </w:tcPr>
          <w:p>
            <w:pPr>
              <w:pStyle w:val="TableContents"/>
              <w:bidi w:val="0"/>
              <w:spacing w:before="0" w:after="283"/>
              <w:jc w:val="left"/>
              <w:rPr/>
            </w:pPr>
            <w:hyperlink w:anchor="G_012">
              <w:r>
                <w:rPr>
                  <w:rStyle w:val="InternetLink"/>
                  <w:rFonts w:ascii="Times New Roman;Times;Serif" w:hAnsi="Times New Roman;Times;Serif"/>
                  <w:b/>
                  <w:i w:val="false"/>
                  <w:caps w:val="false"/>
                  <w:smallCaps w:val="false"/>
                  <w:sz w:val="20"/>
                </w:rPr>
                <w:t>PART II. OTHER INFORMATION</w:t>
              </w:r>
            </w:hyperlink>
          </w:p>
        </w:tc>
        <w:tc>
          <w:tcPr>
            <w:tcW w:w="4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113" w:type="dxa"/>
            <w:tcBorders/>
            <w:shd w:fill="CCEEFF" w:val="clear"/>
            <w:vAlign w:val="center"/>
          </w:tcPr>
          <w:p>
            <w:pPr>
              <w:pStyle w:val="TableContents"/>
              <w:bidi w:val="0"/>
              <w:spacing w:before="0" w:after="283"/>
              <w:jc w:val="left"/>
              <w:rPr/>
            </w:pPr>
            <w:hyperlink w:anchor="G_004">
              <w:r>
                <w:rPr>
                  <w:rStyle w:val="InternetLink"/>
                  <w:rFonts w:ascii="Times New Roman;Times;Serif" w:hAnsi="Times New Roman;Times;Serif"/>
                  <w:b w:val="false"/>
                  <w:i w:val="false"/>
                  <w:caps w:val="false"/>
                  <w:smallCaps w:val="false"/>
                  <w:sz w:val="20"/>
                </w:rPr>
                <w:t>Legal Proceedings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1A. </w:t>
            </w:r>
          </w:p>
        </w:tc>
        <w:tc>
          <w:tcPr>
            <w:tcW w:w="9113" w:type="dxa"/>
            <w:tcBorders/>
            <w:shd w:fill="FFFFFF" w:val="clear"/>
            <w:vAlign w:val="center"/>
          </w:tcPr>
          <w:p>
            <w:pPr>
              <w:pStyle w:val="TableContents"/>
              <w:bidi w:val="0"/>
              <w:spacing w:before="0" w:after="283"/>
              <w:jc w:val="left"/>
              <w:rPr/>
            </w:pPr>
            <w:hyperlink w:anchor="G_005">
              <w:r>
                <w:rPr>
                  <w:rStyle w:val="InternetLink"/>
                  <w:rFonts w:ascii="Times New Roman;Times;Serif" w:hAnsi="Times New Roman;Times;Serif"/>
                  <w:b w:val="false"/>
                  <w:i w:val="false"/>
                  <w:caps w:val="false"/>
                  <w:smallCaps w:val="false"/>
                  <w:sz w:val="20"/>
                </w:rPr>
                <w:t>Risk Factors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113" w:type="dxa"/>
            <w:tcBorders/>
            <w:shd w:fill="CCEEFF" w:val="clear"/>
            <w:vAlign w:val="center"/>
          </w:tcPr>
          <w:p>
            <w:pPr>
              <w:pStyle w:val="TableContents"/>
              <w:bidi w:val="0"/>
              <w:spacing w:before="0" w:after="283"/>
              <w:jc w:val="left"/>
              <w:rPr/>
            </w:pPr>
            <w:hyperlink w:anchor="G_006">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113" w:type="dxa"/>
            <w:tcBorders/>
            <w:shd w:fill="FFFFFF" w:val="clear"/>
            <w:vAlign w:val="center"/>
          </w:tcPr>
          <w:p>
            <w:pPr>
              <w:pStyle w:val="TableContents"/>
              <w:bidi w:val="0"/>
              <w:spacing w:before="0" w:after="283"/>
              <w:jc w:val="left"/>
              <w:rPr/>
            </w:pPr>
            <w:hyperlink w:anchor="G_007">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113" w:type="dxa"/>
            <w:tcBorders/>
            <w:shd w:fill="CCEEFF" w:val="clear"/>
            <w:vAlign w:val="center"/>
          </w:tcPr>
          <w:p>
            <w:pPr>
              <w:pStyle w:val="TableContents"/>
              <w:bidi w:val="0"/>
              <w:spacing w:before="0" w:after="283"/>
              <w:jc w:val="left"/>
              <w:rPr/>
            </w:pPr>
            <w:hyperlink w:anchor="G_008">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113" w:type="dxa"/>
            <w:tcBorders/>
            <w:shd w:fill="FFFFFF" w:val="clear"/>
            <w:vAlign w:val="center"/>
          </w:tcPr>
          <w:p>
            <w:pPr>
              <w:pStyle w:val="TableContents"/>
              <w:bidi w:val="0"/>
              <w:spacing w:before="0" w:after="283"/>
              <w:jc w:val="left"/>
              <w:rPr/>
            </w:pPr>
            <w:hyperlink w:anchor="G_009">
              <w:r>
                <w:rPr>
                  <w:rStyle w:val="InternetLink"/>
                  <w:rFonts w:ascii="Times New Roman;Times;Serif" w:hAnsi="Times New Roman;Times;Serif"/>
                  <w:b w:val="false"/>
                  <w:i w:val="false"/>
                  <w:caps w:val="false"/>
                  <w:smallCaps w:val="false"/>
                  <w:sz w:val="20"/>
                </w:rPr>
                <w:t>Other Information</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113" w:type="dxa"/>
            <w:tcBorders/>
            <w:shd w:fill="CCEEFF" w:val="clear"/>
            <w:vAlign w:val="center"/>
          </w:tcPr>
          <w:p>
            <w:pPr>
              <w:pStyle w:val="TableContents"/>
              <w:bidi w:val="0"/>
              <w:spacing w:before="0" w:after="283"/>
              <w:jc w:val="left"/>
              <w:rPr/>
            </w:pPr>
            <w:hyperlink w:anchor="G_010">
              <w:r>
                <w:rPr>
                  <w:rStyle w:val="InternetLink"/>
                  <w:rFonts w:ascii="Times New Roman;Times;Serif" w:hAnsi="Times New Roman;Times;Serif"/>
                  <w:b w:val="false"/>
                  <w:i w:val="false"/>
                  <w:caps w:val="false"/>
                  <w:smallCaps w:val="false"/>
                  <w:sz w:val="20"/>
                </w:rPr>
                <w:t>Exhibits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749" w:type="dxa"/>
            <w:gridSpan w:val="2"/>
            <w:tcBorders/>
            <w:shd w:fill="FFFFFF" w:val="clear"/>
            <w:vAlign w:val="center"/>
          </w:tcPr>
          <w:p>
            <w:pPr>
              <w:pStyle w:val="TableContents"/>
              <w:bidi w:val="0"/>
              <w:spacing w:before="0" w:after="283"/>
              <w:jc w:val="left"/>
              <w:rPr/>
            </w:pPr>
            <w:hyperlink w:anchor="G_011">
              <w:r>
                <w:rPr>
                  <w:rStyle w:val="InternetLink"/>
                  <w:rFonts w:ascii="Times New Roman;Times;Serif" w:hAnsi="Times New Roman;Times;Serif"/>
                  <w:b w:val="false"/>
                  <w:i w:val="false"/>
                  <w:caps w:val="false"/>
                  <w:smallCaps w:val="false"/>
                  <w:sz w:val="20"/>
                </w:rPr>
                <w:t xml:space="preserve">SIGNATURES </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bl>
    <w:p>
      <w:pPr>
        <w:pStyle w:val="TextBody"/>
        <w:bidi w:val="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1" w:name="a_001"/>
      <w:bookmarkEnd w:id="31"/>
      <w:r>
        <w:rPr>
          <w:rFonts w:ascii="Times New Roman;Times;Serif" w:hAnsi="Times New Roman;Times;Serif"/>
          <w:b/>
          <w:i w:val="false"/>
          <w:caps w:val="false"/>
          <w:smallCaps w:val="false"/>
          <w:sz w:val="20"/>
        </w:rPr>
        <w:t>CAUTIONARY STATEMENT REGARDING FORWARD-LOOKING STATEMENTS</w:t>
      </w:r>
    </w:p>
    <w:p>
      <w:pPr>
        <w:pStyle w:val="TextBody"/>
        <w:bidi w:val="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(the “Quarterly Report”) contains statements that constitute forward-looking statements. Many of the forward-looking statements contained in this Quarterly Report can be identified by the use of forward-looking words such as “anticipate,” “believe,” “could,” “expect,” “should,” “plan,” “intend,” “may,” “predict,” “continue,” “estimate” and “potential,” or the negative of these terms or other similar expressions.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Quarterly Report and include, but are not limited to, statements regarding our intent, belief or current expectations. These forward-looking statements include information about possible or assumed future results of our business, financial condition, results of operations, liquidity, plans and objectives.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described in “Part II, Item 1A. – Risk Factors,” of this Quarterly Report. The statements we make regarding the following matters are forward-looking by their nature:</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re-establish profitable operations, raise additional capital or renegotiate our debt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prospects and strategies;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new games and additional functionality to games that are commercially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significant drivers of our future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regain or maintain compliance with the continued listing requirements of the Nasdaq Capital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and increase our player base and develop new video games and enhance our existing games;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companies in a number of industries, including other casual game developers and publishers and both large and small, public and private multimedia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a qualified management team and other team members while controlling our labor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relationships with third-party platforms such as Xbox Live and Game Pass, PlayStation Network, Steam, Epic Games Store, the Apple App Store, the Google Play Store and My Nintendo Store;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enter new markets and manage our international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and developing our brand and intellectual property portfolio;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defending intellectual property infringement and other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results of operations and financial condition;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rulings by courts or other governmental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Repurchase Program (as defined below), including expectations regarding the timing and manner of repurchases made under the Share Repurchase Program;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pursue and successfully integrate strategic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described in this Quarterly Report, including those described in Item 1A of Part II, “Risk Factors”;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capital we may require to support our strategic digital asset initiative, and any various licensing requirement and significant compliance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negative publicity regarding stablecoins or the broader digital asset industry potentially having an outsize negative effect on consumer confidence in our proposed proprietary stablecoins;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underlying any of the foregoing.</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on risks, uncertainties and other factors that could affect our financial results are included in our filings with the United States Securities and Exchange Commission (the “SEC”) from time to time, including in Item 1A of Part II, “Risk Factors,” of this Quarterly Report and other periodic reports on Form 10-K and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Quarterly Report are based on management’s beliefs and assumptions and on information currently available to us as of the date of this filing, and we do not assume any obligation to update the forward-looking statements provided to reflect events that occur or circumstances that exist after the date on which they were made.</w:t>
      </w:r>
    </w:p>
    <w:p>
      <w:pPr>
        <w:pStyle w:val="TextBody"/>
        <w:bidi w:val="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effected a 1-for-5 reverse stock split (the “Reverse Stock Split”) of our authorized, issued, and outstanding Class A common stock and Class B common stock. Unless otherwise noted, all references to share amounts in this Quarterly Report reflect the Reverse Stock Split.</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32" w:name="a_008"/>
      <w:bookmarkEnd w:id="32"/>
      <w:r>
        <w:rPr>
          <w:rFonts w:ascii="Times New Roman;Times;Serif" w:hAnsi="Times New Roman;Times;Serif"/>
          <w:b/>
          <w:i w:val="false"/>
          <w:caps w:val="false"/>
          <w:smallCaps w:val="false"/>
          <w:sz w:val="20"/>
        </w:rPr>
        <w:t>PART I</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3" w:name="a_002"/>
      <w:bookmarkEnd w:id="33"/>
      <w:r>
        <w:rPr>
          <w:rFonts w:ascii="Times New Roman;Times;Serif" w:hAnsi="Times New Roman;Times;Serif"/>
          <w:b/>
          <w:i w:val="false"/>
          <w:caps w:val="false"/>
          <w:smallCaps w:val="false"/>
          <w:sz w:val="20"/>
        </w:rPr>
        <w:t>Item 1. Condensed Consolidated Financial Statements (Unaudited)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bookmarkStart w:id="34" w:name="a_003"/>
      <w:bookmarkEnd w:id="34"/>
      <w:r>
        <w:rPr>
          <w:rFonts w:ascii="Times New Roman;Times;Serif" w:hAnsi="Times New Roman;Times;Serif"/>
          <w:b/>
          <w:i w:val="false"/>
          <w:caps w:val="false"/>
          <w:smallCaps w:val="false"/>
          <w:sz w:val="20"/>
        </w:rPr>
        <w:t>Condensed Consolidated Balance Sheets as of June 30, 2026 and December 31, 2025</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 w:name="xdx_305_111_ziEKCbwF6qUf"/>
      <w:bookmarkStart w:id="36" w:name="xdx_305_111_ziEKCbwF6qUf"/>
      <w:bookmarkEnd w:id="36"/>
    </w:p>
    <w:tbl>
      <w:tblPr>
        <w:tblW w:w="10205" w:type="dxa"/>
        <w:jc w:val="left"/>
        <w:tblInd w:w="0" w:type="dxa"/>
        <w:tblLayout w:type="fixed"/>
        <w:tblCellMar>
          <w:top w:w="0" w:type="dxa"/>
          <w:left w:w="0" w:type="dxa"/>
          <w:bottom w:w="0" w:type="dxa"/>
          <w:right w:w="0" w:type="dxa"/>
        </w:tblCellMar>
      </w:tblPr>
      <w:tblGrid>
        <w:gridCol w:w="7085"/>
        <w:gridCol w:w="60"/>
        <w:gridCol w:w="142"/>
        <w:gridCol w:w="1196"/>
        <w:gridCol w:w="95"/>
        <w:gridCol w:w="60"/>
        <w:gridCol w:w="154"/>
        <w:gridCol w:w="1300"/>
        <w:gridCol w:w="113"/>
      </w:tblGrid>
      <w:tr>
        <w:trPr/>
        <w:tc>
          <w:tcPr>
            <w:tcW w:w="7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 w:name="xdx_491_20260630_zZhWREMSMDuk"/>
            <w:bookmarkEnd w:id="37"/>
          </w:p>
        </w:tc>
        <w:tc>
          <w:tcPr>
            <w:tcW w:w="13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8" w:name="xdx_491_20251231_zu19HXqKpl1b"/>
            <w:bookmarkEnd w:id="38"/>
          </w:p>
        </w:tc>
        <w:tc>
          <w:tcPr>
            <w:tcW w:w="14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December 31, 2025</w:t>
            </w:r>
          </w:p>
        </w:tc>
        <w:tc>
          <w:tcPr>
            <w:tcW w:w="113" w:type="dxa"/>
            <w:tcBorders/>
            <w:vAlign w:val="center"/>
          </w:tcPr>
          <w:p>
            <w:pPr>
              <w:pStyle w:val="TableContents"/>
              <w:bidi w:val="0"/>
              <w:spacing w:before="0" w:after="283"/>
              <w:jc w:val="center"/>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39" w:name="xdx_400_eus-gaap--AssetsAbstract_iB_z2Ib"/>
            <w:bookmarkEnd w:id="39"/>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0" w:name="xdx_40C_eus-gaap--AssetsCurrentAbstract_"/>
            <w:bookmarkEnd w:id="40"/>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1" w:name="xdx_401_eus-gaap--CashAndCashEquivalents"/>
            <w:bookmarkEnd w:id="41"/>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13,293,820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8,568,164</w:t>
            </w:r>
          </w:p>
        </w:tc>
        <w:tc>
          <w:tcPr>
            <w:tcW w:w="113" w:type="dxa"/>
            <w:tcBorders/>
            <w:shd w:fill="FFFFFF" w:val="clear"/>
            <w:vAlign w:val="center"/>
          </w:tcPr>
          <w:p>
            <w:pPr>
              <w:pStyle w:val="TableContents"/>
              <w:bidi w:val="0"/>
              <w:spacing w:before="0" w:after="283"/>
              <w:jc w:val="left"/>
              <w:rPr/>
            </w:pPr>
            <w:r>
              <w:rPr/>
              <w:t> </w:t>
            </w:r>
            <w:bookmarkStart w:id="42" w:name="xdx_40B_eus-gaap--RestrictedCashAndCashE"/>
            <w:bookmarkEnd w:id="42"/>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187,000</w:t>
            </w:r>
          </w:p>
        </w:tc>
        <w:tc>
          <w:tcPr>
            <w:tcW w:w="113" w:type="dxa"/>
            <w:tcBorders/>
            <w:shd w:fill="CCEEFF" w:val="clear"/>
            <w:vAlign w:val="center"/>
          </w:tcPr>
          <w:p>
            <w:pPr>
              <w:pStyle w:val="TableContents"/>
              <w:bidi w:val="0"/>
              <w:spacing w:before="0" w:after="283"/>
              <w:jc w:val="left"/>
              <w:rPr/>
            </w:pPr>
            <w:r>
              <w:rPr/>
              <w:t> </w:t>
            </w:r>
            <w:bookmarkStart w:id="43" w:name="xdx_40C_eus-gaap--AccountsReceivableNetC"/>
            <w:bookmarkEnd w:id="43"/>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allowances for credit losses of $</w:t>
            </w:r>
            <w:bookmarkStart w:id="44" w:name="xdx_906_eus-gaap--AllowanceForDoubtfulAc"/>
            <w:bookmarkStart w:id="45" w:name="xdx_907_eus-gaap--AllowanceForDoubtfulAc"/>
            <w:bookmarkEnd w:id="44"/>
            <w:bookmarkEnd w:id="45"/>
            <w:r>
              <w:rPr>
                <w:rFonts w:ascii="Times New Roman;Times;Serif" w:hAnsi="Times New Roman;Times;Serif"/>
              </w:rPr>
              <w:t>523,500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9,345,753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12,528,347</w:t>
            </w:r>
          </w:p>
        </w:tc>
        <w:tc>
          <w:tcPr>
            <w:tcW w:w="113" w:type="dxa"/>
            <w:tcBorders/>
            <w:shd w:fill="FFFFFF" w:val="clear"/>
            <w:vAlign w:val="center"/>
          </w:tcPr>
          <w:p>
            <w:pPr>
              <w:pStyle w:val="TableContents"/>
              <w:bidi w:val="0"/>
              <w:spacing w:before="0" w:after="283"/>
              <w:jc w:val="left"/>
              <w:rPr/>
            </w:pPr>
            <w:r>
              <w:rPr/>
              <w:t> </w:t>
            </w:r>
            <w:bookmarkStart w:id="46" w:name="xdx_40D_eus-gaap--OtherReceivablesNetCur"/>
            <w:bookmarkEnd w:id="46"/>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 and interest receivable – related party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107,759</w:t>
            </w:r>
          </w:p>
        </w:tc>
        <w:tc>
          <w:tcPr>
            <w:tcW w:w="113" w:type="dxa"/>
            <w:tcBorders/>
            <w:shd w:fill="CCEEFF" w:val="clear"/>
            <w:vAlign w:val="center"/>
          </w:tcPr>
          <w:p>
            <w:pPr>
              <w:pStyle w:val="TableContents"/>
              <w:bidi w:val="0"/>
              <w:spacing w:before="0" w:after="283"/>
              <w:jc w:val="left"/>
              <w:rPr/>
            </w:pPr>
            <w:r>
              <w:rPr/>
              <w:t> </w:t>
            </w:r>
            <w:bookmarkStart w:id="47" w:name="xdx_401_ecustom--PrepaidExpensesRelatedP"/>
            <w:bookmarkEnd w:id="47"/>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 related party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5,793,460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2,700,474</w:t>
            </w:r>
          </w:p>
        </w:tc>
        <w:tc>
          <w:tcPr>
            <w:tcW w:w="113" w:type="dxa"/>
            <w:tcBorders/>
            <w:shd w:fill="FFFFFF" w:val="clear"/>
            <w:vAlign w:val="center"/>
          </w:tcPr>
          <w:p>
            <w:pPr>
              <w:pStyle w:val="TableContents"/>
              <w:bidi w:val="0"/>
              <w:spacing w:before="0" w:after="283"/>
              <w:jc w:val="left"/>
              <w:rPr/>
            </w:pPr>
            <w:r>
              <w:rPr/>
              <w:t> </w:t>
            </w:r>
            <w:bookmarkStart w:id="48" w:name="xdx_408_eus-gaap--PrepaidExpenseAndOther"/>
            <w:bookmarkEnd w:id="48"/>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1,621,428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2,232,485</w:t>
            </w:r>
          </w:p>
        </w:tc>
        <w:tc>
          <w:tcPr>
            <w:tcW w:w="113" w:type="dxa"/>
            <w:tcBorders/>
            <w:shd w:fill="CCEEFF" w:val="clear"/>
            <w:vAlign w:val="center"/>
          </w:tcPr>
          <w:p>
            <w:pPr>
              <w:pStyle w:val="TableContents"/>
              <w:bidi w:val="0"/>
              <w:spacing w:before="0" w:after="283"/>
              <w:jc w:val="left"/>
              <w:rPr/>
            </w:pPr>
            <w:r>
              <w:rPr/>
              <w:t> </w:t>
            </w:r>
            <w:bookmarkStart w:id="49" w:name="xdx_40E_eus-gaap--PrepaidTaxes_i02I_maAC"/>
            <w:bookmarkEnd w:id="49"/>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taxes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1,047,870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4,734,007</w:t>
            </w:r>
          </w:p>
        </w:tc>
        <w:tc>
          <w:tcPr>
            <w:tcW w:w="113" w:type="dxa"/>
            <w:tcBorders/>
            <w:shd w:fill="FFFFFF" w:val="clear"/>
            <w:vAlign w:val="center"/>
          </w:tcPr>
          <w:p>
            <w:pPr>
              <w:pStyle w:val="TableContents"/>
              <w:bidi w:val="0"/>
              <w:spacing w:before="0" w:after="283"/>
              <w:jc w:val="left"/>
              <w:rPr/>
            </w:pPr>
            <w:r>
              <w:rPr/>
              <w:t> </w:t>
            </w:r>
            <w:bookmarkStart w:id="50" w:name="xdx_40E_eus-gaap--AssetsCurrent_i02TI_mt"/>
            <w:bookmarkEnd w:id="50"/>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31,773,082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31,058,236</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1" w:name="xdx_407_eus-gaap--RestrictedCashAndCashE"/>
            <w:bookmarkEnd w:id="51"/>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and cash equivalents, net of current portion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1,748,000</w:t>
            </w:r>
          </w:p>
        </w:tc>
        <w:tc>
          <w:tcPr>
            <w:tcW w:w="113" w:type="dxa"/>
            <w:tcBorders/>
            <w:shd w:fill="CCEEFF" w:val="clear"/>
            <w:vAlign w:val="center"/>
          </w:tcPr>
          <w:p>
            <w:pPr>
              <w:pStyle w:val="TableContents"/>
              <w:bidi w:val="0"/>
              <w:spacing w:before="0" w:after="283"/>
              <w:jc w:val="left"/>
              <w:rPr/>
            </w:pPr>
            <w:r>
              <w:rPr/>
              <w:t> </w:t>
            </w:r>
            <w:bookmarkStart w:id="52" w:name="xdx_40A_ecustom--PrepaidExpensesRelatedP"/>
            <w:bookmarkEnd w:id="52"/>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 related party, net of current portion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5,582,500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8,282,974</w:t>
            </w:r>
          </w:p>
        </w:tc>
        <w:tc>
          <w:tcPr>
            <w:tcW w:w="113" w:type="dxa"/>
            <w:tcBorders/>
            <w:shd w:fill="FFFFFF" w:val="clear"/>
            <w:vAlign w:val="center"/>
          </w:tcPr>
          <w:p>
            <w:pPr>
              <w:pStyle w:val="TableContents"/>
              <w:bidi w:val="0"/>
              <w:spacing w:before="0" w:after="283"/>
              <w:jc w:val="left"/>
              <w:rPr/>
            </w:pPr>
            <w:r>
              <w:rPr/>
              <w:t> </w:t>
            </w:r>
            <w:bookmarkStart w:id="53" w:name="xdx_40C_eus-gaap--PropertyPlantAndEquipm"/>
            <w:bookmarkEnd w:id="53"/>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4,120,607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4,146,175</w:t>
            </w:r>
          </w:p>
        </w:tc>
        <w:tc>
          <w:tcPr>
            <w:tcW w:w="113" w:type="dxa"/>
            <w:tcBorders/>
            <w:shd w:fill="CCEEFF" w:val="clear"/>
            <w:vAlign w:val="center"/>
          </w:tcPr>
          <w:p>
            <w:pPr>
              <w:pStyle w:val="TableContents"/>
              <w:bidi w:val="0"/>
              <w:spacing w:before="0" w:after="283"/>
              <w:jc w:val="left"/>
              <w:rPr/>
            </w:pPr>
            <w:r>
              <w:rPr/>
              <w:t> </w:t>
            </w:r>
            <w:bookmarkStart w:id="54" w:name="xdx_40C_eus-gaap--IntangibleAssetsNetExc"/>
            <w:bookmarkEnd w:id="54"/>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3,898,541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3,827,927</w:t>
            </w:r>
          </w:p>
        </w:tc>
        <w:tc>
          <w:tcPr>
            <w:tcW w:w="113" w:type="dxa"/>
            <w:tcBorders/>
            <w:shd w:fill="FFFFFF" w:val="clear"/>
            <w:vAlign w:val="center"/>
          </w:tcPr>
          <w:p>
            <w:pPr>
              <w:pStyle w:val="TableContents"/>
              <w:bidi w:val="0"/>
              <w:spacing w:before="0" w:after="283"/>
              <w:jc w:val="left"/>
              <w:rPr/>
            </w:pPr>
            <w:r>
              <w:rPr/>
              <w:t> </w:t>
            </w:r>
            <w:bookmarkStart w:id="55" w:name="xdx_40B_eus-gaap--IntangibleAssetsNetExc"/>
            <w:bookmarkEnd w:id="55"/>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 – related party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4,416,667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4,916,667</w:t>
            </w:r>
          </w:p>
        </w:tc>
        <w:tc>
          <w:tcPr>
            <w:tcW w:w="113" w:type="dxa"/>
            <w:tcBorders/>
            <w:shd w:fill="CCEEFF" w:val="clear"/>
            <w:vAlign w:val="center"/>
          </w:tcPr>
          <w:p>
            <w:pPr>
              <w:pStyle w:val="TableContents"/>
              <w:bidi w:val="0"/>
              <w:spacing w:before="0" w:after="283"/>
              <w:jc w:val="left"/>
              <w:rPr/>
            </w:pPr>
            <w:r>
              <w:rPr/>
              <w:t> </w:t>
            </w:r>
            <w:bookmarkStart w:id="56" w:name="xdx_40E_eus-gaap--IntangibleAssetsNetExc"/>
            <w:bookmarkEnd w:id="56"/>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4,416,667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4,916,667</w:t>
            </w:r>
          </w:p>
        </w:tc>
        <w:tc>
          <w:tcPr>
            <w:tcW w:w="113" w:type="dxa"/>
            <w:tcBorders/>
            <w:shd w:fill="CCEEFF" w:val="clear"/>
            <w:vAlign w:val="center"/>
          </w:tcPr>
          <w:p>
            <w:pPr>
              <w:pStyle w:val="TableContents"/>
              <w:bidi w:val="0"/>
              <w:spacing w:before="0" w:after="283"/>
              <w:jc w:val="left"/>
              <w:rPr/>
            </w:pPr>
            <w:r>
              <w:rPr/>
              <w:t> </w:t>
            </w:r>
            <w:bookmarkStart w:id="57" w:name="xdx_405_eus-gaap--OtherAssetsNoncurrent_"/>
            <w:bookmarkEnd w:id="57"/>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604,793</w:t>
            </w:r>
          </w:p>
        </w:tc>
        <w:tc>
          <w:tcPr>
            <w:tcW w:w="113" w:type="dxa"/>
            <w:tcBorders/>
            <w:shd w:fill="FFFFFF" w:val="clear"/>
            <w:vAlign w:val="center"/>
          </w:tcPr>
          <w:p>
            <w:pPr>
              <w:pStyle w:val="TableContents"/>
              <w:bidi w:val="0"/>
              <w:spacing w:before="0" w:after="283"/>
              <w:jc w:val="left"/>
              <w:rPr/>
            </w:pPr>
            <w:r>
              <w:rPr/>
              <w:t> </w:t>
            </w:r>
            <w:bookmarkStart w:id="58" w:name="xdx_406_eus-gaap--OperatingLeaseRightOfU"/>
            <w:bookmarkEnd w:id="58"/>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4,687,027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4,722,366</w:t>
            </w:r>
          </w:p>
        </w:tc>
        <w:tc>
          <w:tcPr>
            <w:tcW w:w="113" w:type="dxa"/>
            <w:tcBorders/>
            <w:shd w:fill="CCEEFF" w:val="clear"/>
            <w:vAlign w:val="center"/>
          </w:tcPr>
          <w:p>
            <w:pPr>
              <w:pStyle w:val="TableContents"/>
              <w:bidi w:val="0"/>
              <w:spacing w:before="0" w:after="283"/>
              <w:jc w:val="left"/>
              <w:rPr/>
            </w:pPr>
            <w:r>
              <w:rPr/>
              <w:t> </w:t>
            </w:r>
            <w:bookmarkStart w:id="59" w:name="xdx_40F_eus-gaap--Assets_i01TI_mtAzVBu_z"/>
            <w:bookmarkEnd w:id="59"/>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57,134,832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59,307,138</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0" w:name="xdx_407_eus-gaap--LiabilitiesAndStockhol"/>
            <w:bookmarkEnd w:id="60"/>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NONCONTROLLING INTERESTS AND STOCKHOLDERS’ DEFICIT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1" w:name="xdx_407_eus-gaap--LiabilitiesCurrentAbst"/>
            <w:bookmarkEnd w:id="61"/>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2" w:name="xdx_400_eus-gaap--AccountsPayableCurrent"/>
            <w:bookmarkEnd w:id="62"/>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3,926,768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5,506,332</w:t>
            </w:r>
          </w:p>
        </w:tc>
        <w:tc>
          <w:tcPr>
            <w:tcW w:w="113" w:type="dxa"/>
            <w:tcBorders/>
            <w:shd w:fill="CCEEFF" w:val="clear"/>
            <w:vAlign w:val="center"/>
          </w:tcPr>
          <w:p>
            <w:pPr>
              <w:pStyle w:val="TableContents"/>
              <w:bidi w:val="0"/>
              <w:spacing w:before="0" w:after="283"/>
              <w:jc w:val="left"/>
              <w:rPr/>
            </w:pPr>
            <w:r>
              <w:rPr/>
              <w:t> </w:t>
            </w:r>
            <w:bookmarkStart w:id="63" w:name="xdx_407_eus-gaap--AccountsPayableCurrent"/>
            <w:bookmarkEnd w:id="63"/>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 related parties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18,426,220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20,067,013</w:t>
            </w:r>
          </w:p>
        </w:tc>
        <w:tc>
          <w:tcPr>
            <w:tcW w:w="113" w:type="dxa"/>
            <w:tcBorders/>
            <w:shd w:fill="FFFFFF" w:val="clear"/>
            <w:vAlign w:val="center"/>
          </w:tcPr>
          <w:p>
            <w:pPr>
              <w:pStyle w:val="TableContents"/>
              <w:bidi w:val="0"/>
              <w:spacing w:before="0" w:after="283"/>
              <w:jc w:val="left"/>
              <w:rPr/>
            </w:pPr>
            <w:r>
              <w:rPr/>
              <w:t> </w:t>
            </w:r>
            <w:bookmarkStart w:id="64" w:name="xdx_40A_eus-gaap--AccountsPayableCurrent"/>
            <w:bookmarkEnd w:id="64"/>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18,426,220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20,067,013</w:t>
            </w:r>
          </w:p>
        </w:tc>
        <w:tc>
          <w:tcPr>
            <w:tcW w:w="113" w:type="dxa"/>
            <w:tcBorders/>
            <w:shd w:fill="FFFFFF" w:val="clear"/>
            <w:vAlign w:val="center"/>
          </w:tcPr>
          <w:p>
            <w:pPr>
              <w:pStyle w:val="TableContents"/>
              <w:bidi w:val="0"/>
              <w:spacing w:before="0" w:after="283"/>
              <w:jc w:val="left"/>
              <w:rPr/>
            </w:pPr>
            <w:r>
              <w:rPr/>
              <w:t> </w:t>
            </w:r>
            <w:bookmarkStart w:id="65" w:name="xdx_409_ecustom--AccruedExpensesAndOther"/>
            <w:bookmarkEnd w:id="65"/>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3,939,436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3,364,150</w:t>
            </w:r>
          </w:p>
        </w:tc>
        <w:tc>
          <w:tcPr>
            <w:tcW w:w="113" w:type="dxa"/>
            <w:tcBorders/>
            <w:shd w:fill="CCEEFF" w:val="clear"/>
            <w:vAlign w:val="center"/>
          </w:tcPr>
          <w:p>
            <w:pPr>
              <w:pStyle w:val="TableContents"/>
              <w:bidi w:val="0"/>
              <w:spacing w:before="0" w:after="283"/>
              <w:jc w:val="left"/>
              <w:rPr/>
            </w:pPr>
            <w:r>
              <w:rPr/>
              <w:t> </w:t>
            </w:r>
            <w:bookmarkStart w:id="66" w:name="xdx_406_ecustom--InterestPayableRelatedP"/>
            <w:bookmarkEnd w:id="66"/>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payable – related parties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527,770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527,770</w:t>
            </w:r>
          </w:p>
        </w:tc>
        <w:tc>
          <w:tcPr>
            <w:tcW w:w="113" w:type="dxa"/>
            <w:tcBorders/>
            <w:shd w:fill="FFFFFF" w:val="clear"/>
            <w:vAlign w:val="center"/>
          </w:tcPr>
          <w:p>
            <w:pPr>
              <w:pStyle w:val="TableContents"/>
              <w:bidi w:val="0"/>
              <w:spacing w:before="0" w:after="283"/>
              <w:jc w:val="left"/>
              <w:rPr/>
            </w:pPr>
            <w:r>
              <w:rPr/>
              <w:t> </w:t>
            </w:r>
            <w:bookmarkStart w:id="67" w:name="xdx_407_eus-gaap--ConvertibleDebtCurrent"/>
            <w:bookmarkEnd w:id="67"/>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at fair value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3,842,189</w:t>
            </w:r>
          </w:p>
        </w:tc>
        <w:tc>
          <w:tcPr>
            <w:tcW w:w="113" w:type="dxa"/>
            <w:tcBorders/>
            <w:shd w:fill="CCEEFF" w:val="clear"/>
            <w:vAlign w:val="center"/>
          </w:tcPr>
          <w:p>
            <w:pPr>
              <w:pStyle w:val="TableContents"/>
              <w:bidi w:val="0"/>
              <w:spacing w:before="0" w:after="283"/>
              <w:jc w:val="left"/>
              <w:rPr/>
            </w:pPr>
            <w:r>
              <w:rPr/>
              <w:t> </w:t>
            </w:r>
            <w:bookmarkStart w:id="68" w:name="xdx_404_ecustom--LongTermDebtCurrentPort"/>
            <w:bookmarkEnd w:id="68"/>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1,353,296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1,305,880</w:t>
            </w:r>
          </w:p>
        </w:tc>
        <w:tc>
          <w:tcPr>
            <w:tcW w:w="113" w:type="dxa"/>
            <w:tcBorders/>
            <w:shd w:fill="FFFFFF" w:val="clear"/>
            <w:vAlign w:val="center"/>
          </w:tcPr>
          <w:p>
            <w:pPr>
              <w:pStyle w:val="TableContents"/>
              <w:bidi w:val="0"/>
              <w:spacing w:before="0" w:after="283"/>
              <w:jc w:val="left"/>
              <w:rPr/>
            </w:pPr>
            <w:r>
              <w:rPr/>
              <w:t> </w:t>
            </w:r>
            <w:bookmarkStart w:id="69" w:name="xdx_404_eus-gaap--DeferredRevenueCurrent"/>
            <w:bookmarkEnd w:id="69"/>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deferred revenue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28,538,494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14,799,840</w:t>
            </w:r>
          </w:p>
        </w:tc>
        <w:tc>
          <w:tcPr>
            <w:tcW w:w="113" w:type="dxa"/>
            <w:tcBorders/>
            <w:shd w:fill="CCEEFF" w:val="clear"/>
            <w:vAlign w:val="center"/>
          </w:tcPr>
          <w:p>
            <w:pPr>
              <w:pStyle w:val="TableContents"/>
              <w:bidi w:val="0"/>
              <w:spacing w:before="0" w:after="283"/>
              <w:jc w:val="left"/>
              <w:rPr/>
            </w:pPr>
            <w:r>
              <w:rPr/>
              <w:t> </w:t>
            </w:r>
            <w:bookmarkStart w:id="70" w:name="xdx_400_eus-gaap--OperatingLeaseLiabilit"/>
            <w:bookmarkEnd w:id="70"/>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393,448</w:t>
            </w:r>
          </w:p>
        </w:tc>
        <w:tc>
          <w:tcPr>
            <w:tcW w:w="113" w:type="dxa"/>
            <w:tcBorders/>
            <w:shd w:fill="FFFFFF" w:val="clear"/>
            <w:vAlign w:val="center"/>
          </w:tcPr>
          <w:p>
            <w:pPr>
              <w:pStyle w:val="TableContents"/>
              <w:bidi w:val="0"/>
              <w:spacing w:before="0" w:after="283"/>
              <w:jc w:val="left"/>
              <w:rPr/>
            </w:pPr>
            <w:r>
              <w:rPr/>
              <w:t> </w:t>
            </w:r>
            <w:bookmarkStart w:id="71" w:name="xdx_404_eus-gaap--LiabilitiesCurrent_i02"/>
            <w:bookmarkEnd w:id="71"/>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57,752,828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49,806,622</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2" w:name="xdx_409_eus-gaap--AccountsPayableAndAccr"/>
            <w:bookmarkEnd w:id="72"/>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625,354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468,106</w:t>
            </w:r>
          </w:p>
        </w:tc>
        <w:tc>
          <w:tcPr>
            <w:tcW w:w="113" w:type="dxa"/>
            <w:tcBorders/>
            <w:shd w:fill="CCEEFF" w:val="clear"/>
            <w:vAlign w:val="center"/>
          </w:tcPr>
          <w:p>
            <w:pPr>
              <w:pStyle w:val="TableContents"/>
              <w:bidi w:val="0"/>
              <w:spacing w:before="0" w:after="283"/>
              <w:jc w:val="left"/>
              <w:rPr/>
            </w:pPr>
            <w:r>
              <w:rPr/>
              <w:t> </w:t>
            </w:r>
            <w:bookmarkStart w:id="73" w:name="xdx_400_ecustom--RevolvingLoanPayableNon"/>
            <w:bookmarkEnd w:id="73"/>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Revolving loan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5,000,000</w:t>
            </w:r>
          </w:p>
        </w:tc>
        <w:tc>
          <w:tcPr>
            <w:tcW w:w="113" w:type="dxa"/>
            <w:tcBorders/>
            <w:shd w:fill="FFFFFF" w:val="clear"/>
            <w:vAlign w:val="center"/>
          </w:tcPr>
          <w:p>
            <w:pPr>
              <w:pStyle w:val="TableContents"/>
              <w:bidi w:val="0"/>
              <w:spacing w:before="0" w:after="283"/>
              <w:jc w:val="left"/>
              <w:rPr/>
            </w:pPr>
            <w:r>
              <w:rPr/>
              <w:t> </w:t>
            </w:r>
            <w:bookmarkStart w:id="74" w:name="xdx_408_eus-gaap--LongTermDebtNoncurrent"/>
            <w:bookmarkEnd w:id="74"/>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debt, net of current portion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3,650,745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4,292,538</w:t>
            </w:r>
          </w:p>
        </w:tc>
        <w:tc>
          <w:tcPr>
            <w:tcW w:w="113" w:type="dxa"/>
            <w:tcBorders/>
            <w:shd w:fill="CCEEFF" w:val="clear"/>
            <w:vAlign w:val="center"/>
          </w:tcPr>
          <w:p>
            <w:pPr>
              <w:pStyle w:val="TableContents"/>
              <w:bidi w:val="0"/>
              <w:spacing w:before="0" w:after="283"/>
              <w:jc w:val="left"/>
              <w:rPr/>
            </w:pPr>
            <w:r>
              <w:rPr/>
              <w:t> </w:t>
            </w:r>
            <w:bookmarkStart w:id="75" w:name="xdx_40B_eus-gaap--DeferredRevenueNoncurr"/>
            <w:bookmarkEnd w:id="75"/>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5,276,523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17,282,685</w:t>
            </w:r>
          </w:p>
        </w:tc>
        <w:tc>
          <w:tcPr>
            <w:tcW w:w="113" w:type="dxa"/>
            <w:tcBorders/>
            <w:shd w:fill="FFFFFF" w:val="clear"/>
            <w:vAlign w:val="center"/>
          </w:tcPr>
          <w:p>
            <w:pPr>
              <w:pStyle w:val="TableContents"/>
              <w:bidi w:val="0"/>
              <w:spacing w:before="0" w:after="283"/>
              <w:jc w:val="left"/>
              <w:rPr/>
            </w:pPr>
            <w:r>
              <w:rPr/>
              <w:t> </w:t>
            </w:r>
            <w:bookmarkStart w:id="76" w:name="xdx_405_eus-gaap--OperatingLeaseLiabilit"/>
            <w:bookmarkEnd w:id="76"/>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4,328,864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4,336,240</w:t>
            </w:r>
          </w:p>
        </w:tc>
        <w:tc>
          <w:tcPr>
            <w:tcW w:w="113" w:type="dxa"/>
            <w:tcBorders/>
            <w:shd w:fill="CCEEFF" w:val="clear"/>
            <w:vAlign w:val="center"/>
          </w:tcPr>
          <w:p>
            <w:pPr>
              <w:pStyle w:val="TableContents"/>
              <w:bidi w:val="0"/>
              <w:spacing w:before="0" w:after="283"/>
              <w:jc w:val="left"/>
              <w:rPr/>
            </w:pPr>
            <w:r>
              <w:rPr/>
              <w:t> </w:t>
            </w:r>
            <w:bookmarkStart w:id="77" w:name="xdx_40C_eus-gaap--Liabilities_i01TI_mtLz"/>
            <w:bookmarkEnd w:id="77"/>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74,134,314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81,186,191</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8" w:name="xdx_40B_eus-gaap--CommitmentsAndContinge"/>
            <w:bookmarkEnd w:id="78"/>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9" w:name="xdx_40A_eus-gaap--StockholdersEquityIncl"/>
            <w:bookmarkEnd w:id="79"/>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Deficit: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0" w:name="xdx_407_eus-gaap--CommonStockValue_i02I_"/>
            <w:bookmarkEnd w:id="80"/>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 $</w:t>
            </w:r>
            <w:bookmarkStart w:id="81" w:name="xdx_908_eus-gaap--CommonStockParOrStated"/>
            <w:bookmarkStart w:id="82" w:name="xdx_903_eus-gaap--CommonStockParOrStated"/>
            <w:bookmarkEnd w:id="81"/>
            <w:bookmarkEnd w:id="82"/>
            <w:r>
              <w:rPr>
                <w:rFonts w:ascii="Times New Roman;Times;Serif" w:hAnsi="Times New Roman;Times;Serif"/>
              </w:rPr>
              <w:t xml:space="preserve">0.0001 par value, </w:t>
            </w:r>
            <w:bookmarkStart w:id="83" w:name="xdx_905_eus-gaap--CommonStockSharesAutho"/>
            <w:bookmarkStart w:id="84" w:name="xdx_903_eus-gaap--CommonStockSharesAutho"/>
            <w:bookmarkEnd w:id="83"/>
            <w:bookmarkEnd w:id="84"/>
            <w:r>
              <w:rPr>
                <w:rFonts w:ascii="Times New Roman;Times;Serif" w:hAnsi="Times New Roman;Times;Serif"/>
              </w:rPr>
              <w:t xml:space="preserve">500,000,000 shares authorized; </w:t>
            </w:r>
            <w:bookmarkStart w:id="85" w:name="xdx_90A_eus-gaap--CommonStockSharesIssue"/>
            <w:bookmarkEnd w:id="85"/>
            <w:r>
              <w:rPr>
                <w:rFonts w:ascii="Times New Roman;Times;Serif" w:hAnsi="Times New Roman;Times;Serif"/>
              </w:rPr>
              <w:t xml:space="preserve">3,363,834 shares issued and </w:t>
            </w:r>
            <w:bookmarkStart w:id="86" w:name="xdx_90F_eus-gaap--CommonStockSharesOutst"/>
            <w:bookmarkEnd w:id="86"/>
            <w:r>
              <w:rPr>
                <w:rFonts w:ascii="Times New Roman;Times;Serif" w:hAnsi="Times New Roman;Times;Serif"/>
              </w:rPr>
              <w:t xml:space="preserve">3,093,778 shares outstanding as of June 30, 2026, and </w:t>
            </w:r>
            <w:bookmarkStart w:id="87" w:name="xdx_90B_eus-gaap--CommonStockSharesIssue"/>
            <w:bookmarkEnd w:id="87"/>
            <w:r>
              <w:rPr>
                <w:rFonts w:ascii="Times New Roman;Times;Serif" w:hAnsi="Times New Roman;Times;Serif"/>
              </w:rPr>
              <w:t xml:space="preserve">2,076,467 shares issued and </w:t>
            </w:r>
            <w:bookmarkStart w:id="88" w:name="xdx_902_eus-gaap--CommonStockSharesOutst"/>
            <w:bookmarkEnd w:id="88"/>
            <w:r>
              <w:rPr>
                <w:rFonts w:ascii="Times New Roman;Times;Serif" w:hAnsi="Times New Roman;Times;Serif"/>
              </w:rPr>
              <w:t>1,806,412 shares outstanding as of December 31, 2025</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w:t>
            </w:r>
          </w:p>
        </w:tc>
        <w:tc>
          <w:tcPr>
            <w:tcW w:w="113" w:type="dxa"/>
            <w:tcBorders/>
            <w:shd w:fill="CCEEFF" w:val="clear"/>
            <w:vAlign w:val="center"/>
          </w:tcPr>
          <w:p>
            <w:pPr>
              <w:pStyle w:val="TableContents"/>
              <w:bidi w:val="0"/>
              <w:spacing w:before="0" w:after="283"/>
              <w:jc w:val="left"/>
              <w:rPr/>
            </w:pPr>
            <w:r>
              <w:rPr/>
              <w:t> </w:t>
            </w:r>
            <w:bookmarkStart w:id="89" w:name="xdx_404_eus-gaap--CommonStockValue_i02I_"/>
            <w:bookmarkEnd w:id="89"/>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common stock, $</w:t>
            </w:r>
            <w:bookmarkStart w:id="90" w:name="xdx_908_eus-gaap--CommonStockParOrStated"/>
            <w:bookmarkStart w:id="91" w:name="xdx_909_eus-gaap--CommonStockParOrStated"/>
            <w:bookmarkEnd w:id="90"/>
            <w:bookmarkEnd w:id="91"/>
            <w:r>
              <w:rPr>
                <w:rFonts w:ascii="Times New Roman;Times;Serif" w:hAnsi="Times New Roman;Times;Serif"/>
              </w:rPr>
              <w:t xml:space="preserve">0.0001 par value, </w:t>
            </w:r>
            <w:bookmarkStart w:id="92" w:name="xdx_909_eus-gaap--CommonStockSharesAutho"/>
            <w:bookmarkStart w:id="93" w:name="xdx_908_eus-gaap--CommonStockSharesAutho"/>
            <w:bookmarkEnd w:id="92"/>
            <w:bookmarkEnd w:id="93"/>
            <w:r>
              <w:rPr>
                <w:rFonts w:ascii="Times New Roman;Times;Serif" w:hAnsi="Times New Roman;Times;Serif"/>
              </w:rPr>
              <w:t xml:space="preserve">100,000,000 shares authorized; </w:t>
            </w:r>
            <w:bookmarkStart w:id="94" w:name="xdx_904_eus-gaap--CommonStockSharesOutst"/>
            <w:bookmarkStart w:id="95" w:name="xdx_903_eus-gaap--CommonStockSharesIssue"/>
            <w:bookmarkStart w:id="96" w:name="xdx_904_eus-gaap--CommonStockSharesOutst"/>
            <w:bookmarkStart w:id="97" w:name="xdx_904_eus-gaap--CommonStockSharesIssue"/>
            <w:bookmarkEnd w:id="94"/>
            <w:bookmarkEnd w:id="95"/>
            <w:bookmarkEnd w:id="96"/>
            <w:bookmarkEnd w:id="97"/>
            <w:r>
              <w:rPr>
                <w:rFonts w:ascii="Times New Roman;Times;Serif" w:hAnsi="Times New Roman;Times;Serif"/>
              </w:rPr>
              <w:t>5,749,716 shares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w:t>
            </w:r>
          </w:p>
        </w:tc>
        <w:tc>
          <w:tcPr>
            <w:tcW w:w="113" w:type="dxa"/>
            <w:tcBorders/>
            <w:shd w:fill="FFFFFF" w:val="clear"/>
            <w:vAlign w:val="center"/>
          </w:tcPr>
          <w:p>
            <w:pPr>
              <w:pStyle w:val="TableContents"/>
              <w:bidi w:val="0"/>
              <w:spacing w:before="0" w:after="283"/>
              <w:jc w:val="left"/>
              <w:rPr/>
            </w:pPr>
            <w:r>
              <w:rPr/>
              <w:t> </w:t>
            </w:r>
            <w:bookmarkStart w:id="98" w:name="xdx_403_eus-gaap--CommonStockValue_i02I_"/>
            <w:bookmarkEnd w:id="98"/>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value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9" w:name="xdx_403_eus-gaap--AdditionalPaidInCapita"/>
            <w:bookmarkEnd w:id="99"/>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32,732,935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26,926,245</w:t>
            </w:r>
          </w:p>
        </w:tc>
        <w:tc>
          <w:tcPr>
            <w:tcW w:w="113" w:type="dxa"/>
            <w:tcBorders/>
            <w:shd w:fill="FFFFFF" w:val="clear"/>
            <w:vAlign w:val="center"/>
          </w:tcPr>
          <w:p>
            <w:pPr>
              <w:pStyle w:val="TableContents"/>
              <w:bidi w:val="0"/>
              <w:spacing w:before="0" w:after="283"/>
              <w:jc w:val="left"/>
              <w:rPr/>
            </w:pPr>
            <w:r>
              <w:rPr/>
              <w:t> </w:t>
            </w:r>
            <w:bookmarkStart w:id="100" w:name="xdx_400_eus-gaap--AccumulatedOtherCompre"/>
            <w:bookmarkEnd w:id="100"/>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(295,578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(275,049</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1" w:name="xdx_40B_eus-gaap--RetainedEarningsAccumu"/>
            <w:bookmarkEnd w:id="101"/>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(40,258,553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(39,352,510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2" w:name="xdx_40E_eus-gaap--TreasuryStockCommonVal"/>
            <w:bookmarkEnd w:id="102"/>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Treasury stock at cost (</w:t>
            </w:r>
            <w:bookmarkStart w:id="103" w:name="xdx_903_eus-gaap--TreasuryStockCommonSha"/>
            <w:bookmarkEnd w:id="103"/>
            <w:r>
              <w:rPr>
                <w:rFonts w:ascii="Times New Roman;Times;Serif" w:hAnsi="Times New Roman;Times;Serif"/>
              </w:rPr>
              <w:t>270,055 shares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(3,671,806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(3,671,806</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4" w:name="xdx_408_eus-gaap--StockholdersEquity_i02"/>
            <w:bookmarkEnd w:id="104"/>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Snail, Inc. deficit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(11,492,091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(16,372,337</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5" w:name="xdx_40E_eus-gaap--MinorityInterest_i02I_"/>
            <w:bookmarkEnd w:id="105"/>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Noncontrolling interests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(5,507,391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(5,506,716</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6" w:name="xdx_408_eus-gaap--StockholdersEquityIncl"/>
            <w:bookmarkEnd w:id="106"/>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deficit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(16,999,482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(21,879,053</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7" w:name="xdx_40D_eus-gaap--LiabilitiesAndStockhol"/>
            <w:bookmarkEnd w:id="107"/>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noncontrolling interests and stockholders’ deficit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57,134,832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59,307,138</w:t>
            </w:r>
          </w:p>
        </w:tc>
        <w:tc>
          <w:tcPr>
            <w:tcW w:w="113"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bookmarkStart w:id="108" w:name="a_004"/>
      <w:bookmarkEnd w:id="108"/>
      <w:r>
        <w:rPr>
          <w:rFonts w:ascii="Times New Roman;Times;Serif" w:hAnsi="Times New Roman;Times;Serif"/>
          <w:b/>
          <w:i w:val="false"/>
          <w:caps w:val="false"/>
          <w:smallCaps w:val="false"/>
          <w:sz w:val="20"/>
        </w:rPr>
        <w:t>Condensed Consolidated Statements of Operations and Comprehensive Loss for the Three and Six Months Ended June 30, 2026 and 2025</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9" w:name="xdx_300_113_zZP1Xn570HUc"/>
      <w:bookmarkStart w:id="110" w:name="xdx_300_113_zZP1Xn570HUc"/>
      <w:bookmarkEnd w:id="110"/>
    </w:p>
    <w:tbl>
      <w:tblPr>
        <w:tblW w:w="10205" w:type="dxa"/>
        <w:jc w:val="left"/>
        <w:tblInd w:w="0" w:type="dxa"/>
        <w:tblLayout w:type="fixed"/>
        <w:tblCellMar>
          <w:top w:w="0" w:type="dxa"/>
          <w:left w:w="0" w:type="dxa"/>
          <w:bottom w:w="0" w:type="dxa"/>
          <w:right w:w="0" w:type="dxa"/>
        </w:tblCellMar>
      </w:tblPr>
      <w:tblGrid>
        <w:gridCol w:w="4325"/>
        <w:gridCol w:w="60"/>
        <w:gridCol w:w="145"/>
        <w:gridCol w:w="1143"/>
        <w:gridCol w:w="98"/>
        <w:gridCol w:w="62"/>
        <w:gridCol w:w="145"/>
        <w:gridCol w:w="1221"/>
        <w:gridCol w:w="95"/>
        <w:gridCol w:w="60"/>
        <w:gridCol w:w="141"/>
        <w:gridCol w:w="1111"/>
        <w:gridCol w:w="96"/>
        <w:gridCol w:w="60"/>
        <w:gridCol w:w="141"/>
        <w:gridCol w:w="1187"/>
        <w:gridCol w:w="115"/>
      </w:tblGrid>
      <w:tr>
        <w:trPr/>
        <w:tc>
          <w:tcPr>
            <w:tcW w:w="4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1" w:name="xdx_497_20260401__20260630_zJ0jaKsanUW6"/>
            <w:bookmarkEnd w:id="111"/>
          </w:p>
        </w:tc>
        <w:tc>
          <w:tcPr>
            <w:tcW w:w="12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2026</w:t>
            </w:r>
          </w:p>
        </w:tc>
        <w:tc>
          <w:tcPr>
            <w:tcW w:w="98"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bookmarkStart w:id="112" w:name="xdx_490_20250401__20250630_zMRfb809FA68"/>
            <w:bookmarkEnd w:id="112"/>
          </w:p>
        </w:tc>
        <w:tc>
          <w:tcPr>
            <w:tcW w:w="13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3" w:name="xdx_490_20260101__20260630_znCGib8i6wG"/>
            <w:bookmarkEnd w:id="113"/>
          </w:p>
        </w:tc>
        <w:tc>
          <w:tcPr>
            <w:tcW w:w="12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2026</w:t>
            </w:r>
          </w:p>
        </w:tc>
        <w:tc>
          <w:tcPr>
            <w:tcW w:w="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4" w:name="xdx_49F_20250101__20250630_z6DdTXM4vxOi"/>
            <w:bookmarkEnd w:id="114"/>
          </w:p>
        </w:tc>
        <w:tc>
          <w:tcPr>
            <w:tcW w:w="13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115" w:type="dxa"/>
            <w:tcBorders/>
            <w:vAlign w:val="center"/>
          </w:tcPr>
          <w:p>
            <w:pPr>
              <w:pStyle w:val="TableContents"/>
              <w:bidi w:val="0"/>
              <w:spacing w:before="0" w:after="283"/>
              <w:jc w:val="center"/>
              <w:rPr/>
            </w:pPr>
            <w:r>
              <w:rPr/>
              <w:t> </w:t>
            </w:r>
          </w:p>
        </w:tc>
      </w:tr>
      <w:tr>
        <w:trPr/>
        <w:tc>
          <w:tcPr>
            <w:tcW w:w="43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8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11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11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66"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bookmarkStart w:id="115" w:name="xdx_409_eus-gaap--RevenueFromContractWit"/>
            <w:bookmarkEnd w:id="115"/>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19,676,448</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22,185,750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46,971,102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42,296,622</w:t>
            </w:r>
          </w:p>
        </w:tc>
        <w:tc>
          <w:tcPr>
            <w:tcW w:w="115" w:type="dxa"/>
            <w:tcBorders/>
            <w:shd w:fill="CCEEFF" w:val="clear"/>
            <w:vAlign w:val="center"/>
          </w:tcPr>
          <w:p>
            <w:pPr>
              <w:pStyle w:val="TableContents"/>
              <w:bidi w:val="0"/>
              <w:spacing w:before="0" w:after="283"/>
              <w:jc w:val="left"/>
              <w:rPr/>
            </w:pPr>
            <w:r>
              <w:rPr/>
              <w:t> </w:t>
            </w:r>
            <w:bookmarkStart w:id="116" w:name="xdx_401_eus-gaap--CostOfGoodsAndServices"/>
            <w:bookmarkEnd w:id="116"/>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11,988,665</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15,231,005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27,626,878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29,494,350</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17" w:name="xdx_40E_eus-gaap--GrossProfit_iT_mtGPzTO"/>
            <w:bookmarkEnd w:id="117"/>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7,687,783</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6,954,745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19,344,224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12,802,272</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18" w:name="xdx_407_eus-gaap--OperatingExpensesAbstr"/>
            <w:bookmarkEnd w:id="118"/>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19" w:name="xdx_40C_eus-gaap--GeneralAndAdministrati"/>
            <w:bookmarkEnd w:id="119"/>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4,975,250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3,475,089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9,626,007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8,439,440</w:t>
            </w:r>
          </w:p>
        </w:tc>
        <w:tc>
          <w:tcPr>
            <w:tcW w:w="115" w:type="dxa"/>
            <w:tcBorders/>
            <w:shd w:fill="CCEEFF" w:val="clear"/>
            <w:vAlign w:val="center"/>
          </w:tcPr>
          <w:p>
            <w:pPr>
              <w:pStyle w:val="TableContents"/>
              <w:bidi w:val="0"/>
              <w:spacing w:before="0" w:after="283"/>
              <w:jc w:val="left"/>
              <w:rPr/>
            </w:pPr>
            <w:r>
              <w:rPr/>
              <w:t> </w:t>
            </w:r>
            <w:bookmarkStart w:id="120" w:name="xdx_405_eus-gaap--ResearchAndDevelopment"/>
            <w:bookmarkEnd w:id="120"/>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4,453,153</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3,293,409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8,467,822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6,903,154</w:t>
            </w:r>
          </w:p>
        </w:tc>
        <w:tc>
          <w:tcPr>
            <w:tcW w:w="115" w:type="dxa"/>
            <w:tcBorders/>
            <w:shd w:fill="FFFFFF" w:val="clear"/>
            <w:vAlign w:val="center"/>
          </w:tcPr>
          <w:p>
            <w:pPr>
              <w:pStyle w:val="TableContents"/>
              <w:bidi w:val="0"/>
              <w:spacing w:before="0" w:after="283"/>
              <w:jc w:val="left"/>
              <w:rPr/>
            </w:pPr>
            <w:r>
              <w:rPr/>
              <w:t> </w:t>
            </w:r>
            <w:bookmarkStart w:id="121" w:name="xdx_40E_eus-gaap--MarketingAndAdvertisin"/>
            <w:bookmarkEnd w:id="121"/>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Advertising and marketing</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814,705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1,520,201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1,683,494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2,826,567</w:t>
            </w:r>
          </w:p>
        </w:tc>
        <w:tc>
          <w:tcPr>
            <w:tcW w:w="115" w:type="dxa"/>
            <w:tcBorders/>
            <w:shd w:fill="CCEEFF" w:val="clear"/>
            <w:vAlign w:val="center"/>
          </w:tcPr>
          <w:p>
            <w:pPr>
              <w:pStyle w:val="TableContents"/>
              <w:bidi w:val="0"/>
              <w:spacing w:before="0" w:after="283"/>
              <w:jc w:val="left"/>
              <w:rPr/>
            </w:pPr>
            <w:r>
              <w:rPr/>
              <w:t> </w:t>
            </w:r>
            <w:bookmarkStart w:id="122" w:name="xdx_405_eus-gaap--DepreciationAndAmortiz"/>
            <w:bookmarkEnd w:id="122"/>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12,834</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25,568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135,665</w:t>
            </w:r>
          </w:p>
        </w:tc>
        <w:tc>
          <w:tcPr>
            <w:tcW w:w="115" w:type="dxa"/>
            <w:tcBorders/>
            <w:shd w:fill="FFFFFF" w:val="clear"/>
            <w:vAlign w:val="center"/>
          </w:tcPr>
          <w:p>
            <w:pPr>
              <w:pStyle w:val="TableContents"/>
              <w:bidi w:val="0"/>
              <w:spacing w:before="0" w:after="283"/>
              <w:jc w:val="left"/>
              <w:rPr/>
            </w:pPr>
            <w:r>
              <w:rPr/>
              <w:t> </w:t>
            </w:r>
            <w:bookmarkStart w:id="123" w:name="xdx_404_eus-gaap--AssetImpairmentCharges"/>
            <w:bookmarkEnd w:id="123"/>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film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96,838</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165,987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415,719</w:t>
            </w:r>
          </w:p>
        </w:tc>
        <w:tc>
          <w:tcPr>
            <w:tcW w:w="115" w:type="dxa"/>
            <w:tcBorders/>
            <w:shd w:fill="CCEEFF" w:val="clear"/>
            <w:vAlign w:val="center"/>
          </w:tcPr>
          <w:p>
            <w:pPr>
              <w:pStyle w:val="TableContents"/>
              <w:bidi w:val="0"/>
              <w:spacing w:before="0" w:after="283"/>
              <w:jc w:val="left"/>
              <w:rPr/>
            </w:pPr>
            <w:r>
              <w:rPr/>
              <w:t> </w:t>
            </w:r>
            <w:bookmarkStart w:id="124" w:name="xdx_401_eus-gaap--OperatingExpenses_i01T"/>
            <w:bookmarkEnd w:id="124"/>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10,352,780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8,772,179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19,968,878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18,720,545</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25" w:name="xdx_40E_eus-gaap--OperatingIncomeLoss_iT"/>
            <w:bookmarkEnd w:id="125"/>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(2,664,997</w:t>
            </w:r>
          </w:p>
        </w:tc>
        <w:tc>
          <w:tcPr>
            <w:tcW w:w="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(1,817,434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(624,654</w:t>
            </w:r>
          </w:p>
        </w:tc>
        <w:tc>
          <w:tcPr>
            <w:tcW w:w="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(5,918,273</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26" w:name="xdx_404_eus-gaap--NonoperatingIncomeExpe"/>
            <w:bookmarkEnd w:id="126"/>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27" w:name="xdx_40C_eus-gaap--InterestIncomeOther_i0"/>
            <w:bookmarkEnd w:id="127"/>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58,235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100,082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61,878</w:t>
            </w:r>
          </w:p>
        </w:tc>
        <w:tc>
          <w:tcPr>
            <w:tcW w:w="115" w:type="dxa"/>
            <w:tcBorders/>
            <w:shd w:fill="CCEEFF" w:val="clear"/>
            <w:vAlign w:val="center"/>
          </w:tcPr>
          <w:p>
            <w:pPr>
              <w:pStyle w:val="TableContents"/>
              <w:bidi w:val="0"/>
              <w:spacing w:before="0" w:after="283"/>
              <w:jc w:val="left"/>
              <w:rPr/>
            </w:pPr>
            <w:r>
              <w:rPr/>
              <w:t> </w:t>
            </w:r>
            <w:bookmarkStart w:id="128" w:name="xdx_404_eus-gaap--InterestIncomeOther_i0"/>
            <w:bookmarkEnd w:id="128"/>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 – related party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w:t>
            </w:r>
          </w:p>
        </w:tc>
        <w:tc>
          <w:tcPr>
            <w:tcW w:w="115" w:type="dxa"/>
            <w:tcBorders/>
            <w:shd w:fill="FFFFFF" w:val="clear"/>
            <w:vAlign w:val="center"/>
          </w:tcPr>
          <w:p>
            <w:pPr>
              <w:pStyle w:val="TableContents"/>
              <w:bidi w:val="0"/>
              <w:spacing w:before="0" w:after="283"/>
              <w:jc w:val="left"/>
              <w:rPr/>
            </w:pPr>
            <w:r>
              <w:rPr/>
              <w:t> </w:t>
            </w:r>
            <w:bookmarkStart w:id="129" w:name="xdx_402_eus-gaap--InterestIncomeOther_i0"/>
            <w:bookmarkEnd w:id="129"/>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w:t>
            </w:r>
          </w:p>
        </w:tc>
        <w:tc>
          <w:tcPr>
            <w:tcW w:w="115" w:type="dxa"/>
            <w:tcBorders/>
            <w:shd w:fill="FFFFFF" w:val="clear"/>
            <w:vAlign w:val="center"/>
          </w:tcPr>
          <w:p>
            <w:pPr>
              <w:pStyle w:val="TableContents"/>
              <w:bidi w:val="0"/>
              <w:spacing w:before="0" w:after="283"/>
              <w:jc w:val="left"/>
              <w:rPr/>
            </w:pPr>
            <w:r>
              <w:rPr/>
              <w:t> </w:t>
            </w:r>
            <w:bookmarkStart w:id="130" w:name="xdx_40C_eus-gaap--InterestExpenseNonoper"/>
            <w:bookmarkEnd w:id="130"/>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(152,125</w:t>
            </w:r>
          </w:p>
        </w:tc>
        <w:tc>
          <w:tcPr>
            <w:tcW w:w="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(169,286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(358,171</w:t>
            </w:r>
          </w:p>
        </w:tc>
        <w:tc>
          <w:tcPr>
            <w:tcW w:w="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(250,115</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1" w:name="xdx_40C_eus-gaap--OtherNonoperatingIncom"/>
            <w:bookmarkEnd w:id="131"/>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 income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(415,082</w:t>
            </w:r>
          </w:p>
        </w:tc>
        <w:tc>
          <w:tcPr>
            <w:tcW w:w="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(707,968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(60,031</w:t>
            </w:r>
          </w:p>
        </w:tc>
        <w:tc>
          <w:tcPr>
            <w:tcW w:w="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61,794</w:t>
            </w:r>
          </w:p>
        </w:tc>
        <w:tc>
          <w:tcPr>
            <w:tcW w:w="115" w:type="dxa"/>
            <w:tcBorders/>
            <w:shd w:fill="FFFFFF" w:val="clear"/>
            <w:vAlign w:val="center"/>
          </w:tcPr>
          <w:p>
            <w:pPr>
              <w:pStyle w:val="TableContents"/>
              <w:bidi w:val="0"/>
              <w:spacing w:before="0" w:after="283"/>
              <w:jc w:val="left"/>
              <w:rPr/>
            </w:pPr>
            <w:r>
              <w:rPr/>
              <w:t> </w:t>
            </w:r>
            <w:bookmarkStart w:id="132" w:name="xdx_40C_eus-gaap--ForeignCurrencyTransac"/>
            <w:bookmarkEnd w:id="132"/>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transaction gain (loss)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w:t>
            </w:r>
          </w:p>
        </w:tc>
        <w:tc>
          <w:tcPr>
            <w:tcW w:w="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(68,179</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3" w:name="xdx_408_eus-gaap--NonoperatingIncomeExpe"/>
            <w:bookmarkEnd w:id="133"/>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 net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(509,906</w:t>
            </w:r>
          </w:p>
        </w:tc>
        <w:tc>
          <w:tcPr>
            <w:tcW w:w="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(876,674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(308,869</w:t>
            </w:r>
          </w:p>
        </w:tc>
        <w:tc>
          <w:tcPr>
            <w:tcW w:w="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(193,630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4" w:name="xdx_406_eus-gaap--IncomeLossFromContinui"/>
            <w:bookmarkEnd w:id="134"/>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(3,174,903</w:t>
            </w:r>
          </w:p>
        </w:tc>
        <w:tc>
          <w:tcPr>
            <w:tcW w:w="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(2,694,108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(933,523</w:t>
            </w:r>
          </w:p>
        </w:tc>
        <w:tc>
          <w:tcPr>
            <w:tcW w:w="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(6,111,903</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5" w:name="xdx_40C_eus-gaap--IncomeTaxExpenseBenefi"/>
            <w:bookmarkEnd w:id="135"/>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(133,629</w:t>
            </w:r>
          </w:p>
        </w:tc>
        <w:tc>
          <w:tcPr>
            <w:tcW w:w="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13,868,598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(26,805</w:t>
            </w:r>
          </w:p>
        </w:tc>
        <w:tc>
          <w:tcPr>
            <w:tcW w:w="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12,397,768</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6" w:name="xdx_401_eus-gaap--ProfitLoss_iT_mtPLzztP"/>
            <w:bookmarkEnd w:id="136"/>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(3,041,274</w:t>
            </w:r>
          </w:p>
        </w:tc>
        <w:tc>
          <w:tcPr>
            <w:tcW w:w="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(16,562,706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(906,718</w:t>
            </w:r>
          </w:p>
        </w:tc>
        <w:tc>
          <w:tcPr>
            <w:tcW w:w="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(18,509,671</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7" w:name="xdx_408_eus-gaap--NetIncomeLossAttributa"/>
            <w:bookmarkEnd w:id="137"/>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w:t>
            </w:r>
          </w:p>
        </w:tc>
        <w:tc>
          <w:tcPr>
            <w:tcW w:w="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w:t>
            </w:r>
          </w:p>
        </w:tc>
        <w:tc>
          <w:tcPr>
            <w:tcW w:w="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(1,238</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8" w:name="xdx_40F_eus-gaap--NetIncomeLoss_iT_mtNIL"/>
            <w:bookmarkEnd w:id="138"/>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Snail, Inc.</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(3,040,749</w:t>
            </w:r>
          </w:p>
        </w:tc>
        <w:tc>
          <w:tcPr>
            <w:tcW w:w="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(16,562,424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(906,043</w:t>
            </w:r>
          </w:p>
        </w:tc>
        <w:tc>
          <w:tcPr>
            <w:tcW w:w="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(18,508,433</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9" w:name="xdx_403_eus-gaap--ComprehensiveIncomeNet"/>
            <w:bookmarkEnd w:id="139"/>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Comprehensive loss statement: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40" w:name="xdx_40B_eus-gaap--ProfitLoss_i01_maCINOT"/>
            <w:bookmarkEnd w:id="140"/>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(3,041,274</w:t>
            </w:r>
          </w:p>
        </w:tc>
        <w:tc>
          <w:tcPr>
            <w:tcW w:w="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(16,562,706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(906,718</w:t>
            </w:r>
          </w:p>
        </w:tc>
        <w:tc>
          <w:tcPr>
            <w:tcW w:w="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(18,509,671</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41" w:name="xdx_40D_eus-gaap--OtherComprehensiveInco"/>
            <w:bookmarkEnd w:id="141"/>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 (loss) related to foreign currency translation adjustments, net of tax</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984</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(25,839</w:t>
            </w:r>
          </w:p>
        </w:tc>
        <w:tc>
          <w:tcPr>
            <w:tcW w:w="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63,820</w:t>
            </w:r>
          </w:p>
        </w:tc>
        <w:tc>
          <w:tcPr>
            <w:tcW w:w="115" w:type="dxa"/>
            <w:tcBorders/>
            <w:shd w:fill="FFFFFF" w:val="clear"/>
            <w:vAlign w:val="center"/>
          </w:tcPr>
          <w:p>
            <w:pPr>
              <w:pStyle w:val="TableContents"/>
              <w:bidi w:val="0"/>
              <w:spacing w:before="0" w:after="283"/>
              <w:jc w:val="left"/>
              <w:rPr/>
            </w:pPr>
            <w:r>
              <w:rPr/>
              <w:t> </w:t>
            </w:r>
            <w:bookmarkStart w:id="142" w:name="xdx_40C_ecustom--OtherComprehensiveIncom"/>
            <w:bookmarkEnd w:id="142"/>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 related to credit adjustments, net of tax</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22,023</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43" w:name="xdx_409_eus-gaap--ComprehensiveIncomeNet"/>
            <w:bookmarkEnd w:id="143"/>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comprehensive loss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(3,040,290</w:t>
            </w:r>
          </w:p>
        </w:tc>
        <w:tc>
          <w:tcPr>
            <w:tcW w:w="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(16,532,119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(927,247</w:t>
            </w:r>
          </w:p>
        </w:tc>
        <w:tc>
          <w:tcPr>
            <w:tcW w:w="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(18,423,828</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44" w:name="xdx_402_eus-gaap--NetIncomeLossAvailable"/>
            <w:bookmarkEnd w:id="144"/>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45" w:name="xdx_40A_eus-gaap--NetIncomeLossAvailable"/>
            <w:bookmarkEnd w:id="145"/>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(989,812</w:t>
            </w:r>
          </w:p>
        </w:tc>
        <w:tc>
          <w:tcPr>
            <w:tcW w:w="9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(3,775,300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(258,255</w:t>
            </w:r>
          </w:p>
        </w:tc>
        <w:tc>
          <w:tcPr>
            <w:tcW w:w="9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(4,210,496</w:t>
            </w:r>
          </w:p>
        </w:tc>
        <w:tc>
          <w:tcPr>
            <w:tcW w:w="1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46" w:name="xdx_408_eus-gaap--NetIncomeLossAvailable"/>
            <w:bookmarkEnd w:id="146"/>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(989,812</w:t>
            </w:r>
          </w:p>
        </w:tc>
        <w:tc>
          <w:tcPr>
            <w:tcW w:w="9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(3,775,300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(258,255</w:t>
            </w:r>
          </w:p>
        </w:tc>
        <w:tc>
          <w:tcPr>
            <w:tcW w:w="9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(4,216,414</w:t>
            </w:r>
          </w:p>
        </w:tc>
        <w:tc>
          <w:tcPr>
            <w:tcW w:w="1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47" w:name="xdx_40C_eus-gaap--NetIncomeLossAvailable"/>
            <w:bookmarkEnd w:id="147"/>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48" w:name="xdx_404_eus-gaap--NetIncomeLossAvailable"/>
            <w:bookmarkEnd w:id="148"/>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49" w:name="xdx_408_eus-gaap--NetIncomeLossAvailable"/>
            <w:bookmarkEnd w:id="149"/>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(2,050,937</w:t>
            </w:r>
          </w:p>
        </w:tc>
        <w:tc>
          <w:tcPr>
            <w:tcW w:w="9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(12,787,124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(647,788</w:t>
            </w:r>
          </w:p>
        </w:tc>
        <w:tc>
          <w:tcPr>
            <w:tcW w:w="9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(14,297,937</w:t>
            </w:r>
          </w:p>
        </w:tc>
        <w:tc>
          <w:tcPr>
            <w:tcW w:w="1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50" w:name="xdx_404_eus-gaap--NetIncomeLossAvailable"/>
            <w:bookmarkEnd w:id="150"/>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(2,050,937</w:t>
            </w:r>
          </w:p>
        </w:tc>
        <w:tc>
          <w:tcPr>
            <w:tcW w:w="9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(12,787,124</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(647,788</w:t>
            </w:r>
          </w:p>
        </w:tc>
        <w:tc>
          <w:tcPr>
            <w:tcW w:w="9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(14,318,033</w:t>
            </w:r>
          </w:p>
        </w:tc>
        <w:tc>
          <w:tcPr>
            <w:tcW w:w="1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51" w:name="xdx_40F_eus-gaap--EarningsPerShareReconc"/>
            <w:bookmarkEnd w:id="151"/>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per share attributable to Class A and B common stockholders: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52" w:name="xdx_40C_eus-gaap--EarningsPerShareBasic_"/>
            <w:bookmarkEnd w:id="152"/>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(0.36</w:t>
            </w:r>
          </w:p>
        </w:tc>
        <w:tc>
          <w:tcPr>
            <w:tcW w:w="9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(0.11</w:t>
            </w:r>
          </w:p>
        </w:tc>
        <w:tc>
          <w:tcPr>
            <w:tcW w:w="9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(2.49</w:t>
            </w:r>
          </w:p>
        </w:tc>
        <w:tc>
          <w:tcPr>
            <w:tcW w:w="1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53" w:name="xdx_405_eus-gaap--EarningsPerShareDilute"/>
            <w:bookmarkEnd w:id="153"/>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(0.36</w:t>
            </w:r>
          </w:p>
        </w:tc>
        <w:tc>
          <w:tcPr>
            <w:tcW w:w="9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(2.22</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(0.11</w:t>
            </w:r>
          </w:p>
        </w:tc>
        <w:tc>
          <w:tcPr>
            <w:tcW w:w="9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(2.49</w:t>
            </w:r>
          </w:p>
        </w:tc>
        <w:tc>
          <w:tcPr>
            <w:tcW w:w="1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54" w:name="xdx_40A_eus-gaap--WeightedAverageNumberO"/>
            <w:bookmarkEnd w:id="154"/>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shares used to compute income (loss) per share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55" w:name="xdx_400_eus-gaap--WeightedAverageNumberO"/>
            <w:bookmarkEnd w:id="155"/>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2,774,897</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1,697,559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2,292,247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1,693,192</w:t>
            </w:r>
          </w:p>
        </w:tc>
        <w:tc>
          <w:tcPr>
            <w:tcW w:w="115" w:type="dxa"/>
            <w:tcBorders/>
            <w:shd w:fill="CCEEFF" w:val="clear"/>
            <w:vAlign w:val="center"/>
          </w:tcPr>
          <w:p>
            <w:pPr>
              <w:pStyle w:val="TableContents"/>
              <w:bidi w:val="0"/>
              <w:spacing w:before="0" w:after="283"/>
              <w:jc w:val="left"/>
              <w:rPr/>
            </w:pPr>
            <w:r>
              <w:rPr/>
              <w:t> </w:t>
            </w:r>
            <w:bookmarkStart w:id="156" w:name="xdx_405_eus-gaap--WeightedAverageNumberO"/>
            <w:bookmarkEnd w:id="156"/>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2,774,897</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1,697,559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2,292,247</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1,693,507</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57" w:name="xdx_40C_eus-gaap--WeightedAverageNumberO"/>
            <w:bookmarkEnd w:id="157"/>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shares used to compute income (loss) per share attributable to Class B common stockholders: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58" w:name="xdx_40B_eus-gaap--WeightedAverageNumberO"/>
            <w:bookmarkEnd w:id="158"/>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shares used to compute loss per share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59" w:name="xdx_407_eus-gaap--WeightedAverageNumberO"/>
            <w:bookmarkEnd w:id="159"/>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5,749,716</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5,749,716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5,749,716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5,749,716</w:t>
            </w:r>
          </w:p>
        </w:tc>
        <w:tc>
          <w:tcPr>
            <w:tcW w:w="115" w:type="dxa"/>
            <w:tcBorders/>
            <w:shd w:fill="FFFFFF" w:val="clear"/>
            <w:vAlign w:val="center"/>
          </w:tcPr>
          <w:p>
            <w:pPr>
              <w:pStyle w:val="TableContents"/>
              <w:bidi w:val="0"/>
              <w:spacing w:before="0" w:after="283"/>
              <w:jc w:val="left"/>
              <w:rPr/>
            </w:pPr>
            <w:r>
              <w:rPr/>
              <w:t> </w:t>
            </w:r>
            <w:bookmarkStart w:id="160" w:name="xdx_405_eus-gaap--WeightedAverageNumberO"/>
            <w:bookmarkEnd w:id="160"/>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5,749,716</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5,749,716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5,749,716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5,749,716</w:t>
            </w:r>
          </w:p>
        </w:tc>
        <w:tc>
          <w:tcPr>
            <w:tcW w:w="115"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bookmarkStart w:id="161" w:name="a_005"/>
      <w:bookmarkEnd w:id="161"/>
      <w:r>
        <w:rPr>
          <w:rFonts w:ascii="Times New Roman;Times;Serif" w:hAnsi="Times New Roman;Times;Serif"/>
          <w:b/>
          <w:i w:val="false"/>
          <w:caps w:val="false"/>
          <w:smallCaps w:val="false"/>
          <w:sz w:val="20"/>
        </w:rPr>
        <w:t>Condensed Consolidated Statements of Equity (Deficit) for the Three and Six Months Ended June 30, 2026 and 2025</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2" w:name="xdx_302_114_zBgf7L8WFMWk"/>
      <w:bookmarkStart w:id="163" w:name="xdx_302_114_zBgf7L8WFMWk"/>
      <w:bookmarkEnd w:id="163"/>
    </w:p>
    <w:tbl>
      <w:tblPr>
        <w:tblW w:w="14685" w:type="dxa"/>
        <w:jc w:val="left"/>
        <w:tblInd w:w="0" w:type="dxa"/>
        <w:tblLayout w:type="fixed"/>
        <w:tblCellMar>
          <w:top w:w="0" w:type="dxa"/>
          <w:left w:w="0" w:type="dxa"/>
          <w:bottom w:w="0" w:type="dxa"/>
          <w:right w:w="0" w:type="dxa"/>
        </w:tblCellMar>
      </w:tblPr>
      <w:tblGrid>
        <w:gridCol w:w="1175"/>
        <w:gridCol w:w="60"/>
        <w:gridCol w:w="60"/>
        <w:gridCol w:w="845"/>
        <w:gridCol w:w="60"/>
        <w:gridCol w:w="60"/>
        <w:gridCol w:w="188"/>
        <w:gridCol w:w="507"/>
        <w:gridCol w:w="60"/>
        <w:gridCol w:w="60"/>
        <w:gridCol w:w="60"/>
        <w:gridCol w:w="845"/>
        <w:gridCol w:w="60"/>
        <w:gridCol w:w="60"/>
        <w:gridCol w:w="188"/>
        <w:gridCol w:w="507"/>
        <w:gridCol w:w="60"/>
        <w:gridCol w:w="60"/>
        <w:gridCol w:w="125"/>
        <w:gridCol w:w="950"/>
        <w:gridCol w:w="80"/>
        <w:gridCol w:w="60"/>
        <w:gridCol w:w="190"/>
        <w:gridCol w:w="1150"/>
        <w:gridCol w:w="80"/>
        <w:gridCol w:w="60"/>
        <w:gridCol w:w="125"/>
        <w:gridCol w:w="1010"/>
        <w:gridCol w:w="80"/>
        <w:gridCol w:w="60"/>
        <w:gridCol w:w="60"/>
        <w:gridCol w:w="755"/>
        <w:gridCol w:w="80"/>
        <w:gridCol w:w="60"/>
        <w:gridCol w:w="125"/>
        <w:gridCol w:w="905"/>
        <w:gridCol w:w="80"/>
        <w:gridCol w:w="60"/>
        <w:gridCol w:w="125"/>
        <w:gridCol w:w="1010"/>
        <w:gridCol w:w="80"/>
        <w:gridCol w:w="60"/>
        <w:gridCol w:w="125"/>
        <w:gridCol w:w="905"/>
        <w:gridCol w:w="80"/>
        <w:gridCol w:w="60"/>
        <w:gridCol w:w="125"/>
        <w:gridCol w:w="1010"/>
        <w:gridCol w:w="95"/>
      </w:tblGrid>
      <w:tr>
        <w:trPr/>
        <w:tc>
          <w:tcPr>
            <w:tcW w:w="1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4" w:name="xdx_4B4_us-gaap--StatementEquityComponen"/>
            <w:bookmarkEnd w:id="164"/>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5" w:name="xdx_4BB_us-gaap--StatementEquityComponen"/>
            <w:bookmarkEnd w:id="165"/>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6" w:name="xdx_4B1_us-gaap--StatementEquityComponen"/>
            <w:bookmarkEnd w:id="166"/>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7" w:name="xdx_4B9_us-gaap--StatementEquityComponen"/>
            <w:bookmarkEnd w:id="167"/>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8" w:name="xdx_4BF_us-gaap--StatementEquityComponen"/>
            <w:bookmarkEnd w:id="168"/>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9" w:name="xdx_4B0_us-gaap--StatementEquityComponen"/>
            <w:bookmarkEnd w:id="169"/>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0" w:name="xdx_4BA_us-gaap--StatementEquityComponen"/>
            <w:bookmarkEnd w:id="170"/>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1" w:name="xdx_4BE_us-gaap--StatementEquityComponen"/>
            <w:bookmarkEnd w:id="171"/>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interests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2" w:name="xdx_4B5_zf3mTJswMMZ6"/>
            <w:bookmarkEnd w:id="172"/>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95" w:type="dxa"/>
            <w:tcBorders/>
            <w:vAlign w:val="center"/>
          </w:tcPr>
          <w:p>
            <w:pPr>
              <w:pStyle w:val="TableContents"/>
              <w:bidi w:val="0"/>
              <w:spacing w:before="0" w:after="283"/>
              <w:jc w:val="center"/>
              <w:rPr/>
            </w:pPr>
            <w:r>
              <w:rPr/>
              <w:t> </w:t>
            </w:r>
          </w:p>
        </w:tc>
      </w:tr>
      <w:tr>
        <w:trPr/>
        <w:tc>
          <w:tcPr>
            <w:tcW w:w="1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 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Treasury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Snail, Inc.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9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9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bookmarkStart w:id="173" w:name="xdx_43D_c20260101__20260331_eus-gaap--St"/>
            <w:bookmarkEnd w:id="173"/>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4" w:name="xdx_98E_eus-gaap--SharesOutstanding_iS_p"/>
            <w:bookmarkEnd w:id="174"/>
          </w:p>
        </w:tc>
        <w:tc>
          <w:tcPr>
            <w:tcW w:w="8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2,076,467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507"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 w:name="xdx_98F_eus-gaap--SharesOutstanding_iS_p"/>
            <w:bookmarkEnd w:id="175"/>
          </w:p>
        </w:tc>
        <w:tc>
          <w:tcPr>
            <w:tcW w:w="8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5,749,716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507"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26,926,245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(275,049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(39,352,510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(270,055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(3,671,806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(16,372,337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(5,506,716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(21,879,053</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117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76" w:name="xdx_40F_eus-gaap--StockIssuedDuringPerio"/>
            <w:bookmarkEnd w:id="176"/>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issued for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7" w:name="xdx_98D_eus-gaap--StockIssuedDuringPerio"/>
            <w:bookmarkEnd w:id="177"/>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78" w:name="xdx_404_eus-gaap--AdjustmentsToAdditiona"/>
            <w:bookmarkEnd w:id="178"/>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44,880</w:t>
            </w:r>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79" w:name="xdx_409_eus-gaap--OtherComprehensiveInco"/>
            <w:bookmarkEnd w:id="179"/>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(26,823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0" w:name="xdx_40C_ecustom--OtherComprehensiveIncom"/>
            <w:bookmarkEnd w:id="180"/>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changes of 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5,310</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5,310</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5,310</w:t>
            </w:r>
          </w:p>
        </w:tc>
        <w:tc>
          <w:tcPr>
            <w:tcW w:w="95" w:type="dxa"/>
            <w:tcBorders/>
            <w:shd w:fill="CCEEFF" w:val="clear"/>
          </w:tcPr>
          <w:p>
            <w:pPr>
              <w:pStyle w:val="TableContents"/>
              <w:bidi w:val="0"/>
              <w:spacing w:before="0" w:after="283"/>
              <w:jc w:val="left"/>
              <w:rPr>
                <w:sz w:val="4"/>
                <w:szCs w:val="4"/>
              </w:rPr>
            </w:pPr>
            <w:r>
              <w:rPr>
                <w:sz w:val="4"/>
                <w:szCs w:val="4"/>
              </w:rPr>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1" w:name="xdx_40A_eus-gaap--ProfitLoss_zhmx5MYdzMk"/>
            <w:bookmarkEnd w:id="181"/>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2,134,706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2,134,706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2,134,556</w:t>
            </w:r>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2" w:name="xdx_437_c20260401__20260630_eus-gaap--St"/>
            <w:bookmarkEnd w:id="182"/>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3" w:name="xdx_980_eus-gaap--SharesOutstanding_iS_p"/>
            <w:bookmarkEnd w:id="183"/>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2,083,134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4" w:name="xdx_987_eus-gaap--SharesOutstanding_iS_p"/>
            <w:bookmarkEnd w:id="184"/>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5,749,716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26,971,124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(296,562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(37,217,804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(270,055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(3,671,806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(14,214,264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(5,506,866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(19,721,130</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5" w:name="xdx_408_ecustom--StockIssuedDuringPeriod"/>
            <w:bookmarkEnd w:id="185"/>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At-the-market offering, net of issuance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6" w:name="xdx_989_ecustom--StockIssuedDuringPeriod"/>
            <w:bookmarkEnd w:id="186"/>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659,429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4,232,831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4,232,897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4,232,897</w:t>
            </w:r>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7" w:name="xdx_408_eus-gaap--StockIssuedDuringPerio"/>
            <w:bookmarkEnd w:id="187"/>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convertible notes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8" w:name="xdx_983_eus-gaap--StockIssuedDuringPerio"/>
            <w:bookmarkEnd w:id="188"/>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866,204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866,250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866,250</w:t>
            </w:r>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9" w:name="xdx_406_eus-gaap--StockIssuedDuringPerio"/>
            <w:bookmarkEnd w:id="189"/>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0" w:name="xdx_984_eus-gaap--StockIssuedDuringPerio"/>
            <w:bookmarkEnd w:id="190"/>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606,541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606,541</w:t>
            </w:r>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91" w:name="xdx_404_eus-gaap--AdjustmentsToAdditiona"/>
            <w:bookmarkEnd w:id="191"/>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56,250</w:t>
            </w:r>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92" w:name="xdx_40F_eus-gaap--StockIssuedDuringPerio"/>
            <w:bookmarkEnd w:id="192"/>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issued for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3" w:name="xdx_983_eus-gaap--StockIssuedDuringPerio"/>
            <w:bookmarkEnd w:id="193"/>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94" w:name="xdx_409_eus-gaap--OtherComprehensiveInco"/>
            <w:bookmarkEnd w:id="194"/>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w:t>
            </w:r>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95" w:name="xdx_40A_eus-gaap--ProfitLoss_zZrMANMYdUw"/>
            <w:bookmarkEnd w:id="195"/>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(3,040,749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(3,040,749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(3,041,274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96" w:name="xdx_439_c20260401__20260630_eus-gaap--St"/>
            <w:bookmarkEnd w:id="196"/>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7" w:name="xdx_984_eus-gaap--SharesOutstanding_iE_p"/>
            <w:bookmarkEnd w:id="197"/>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3,363,834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8" w:name="xdx_98A_eus-gaap--SharesOutstanding_iE_p"/>
            <w:bookmarkEnd w:id="198"/>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5,749,716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32,732,935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(295,578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(40,258,553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(270,055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(3,671,806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(11,492,091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(5,507,391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(16,999,482</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jc w:val="center"/>
        <w:rPr>
          <w:caps w:val="false"/>
          <w:smallCaps w:val="false"/>
        </w:rPr>
      </w:pPr>
      <w:r>
        <w:rPr>
          <w:caps w:val="false"/>
          <w:smallCaps w:val="false"/>
        </w:rPr>
        <w:t> </w:t>
      </w:r>
    </w:p>
    <w:tbl>
      <w:tblPr>
        <w:tblW w:w="16725"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231"/>
        <w:gridCol w:w="629"/>
        <w:gridCol w:w="60"/>
        <w:gridCol w:w="60"/>
        <w:gridCol w:w="60"/>
        <w:gridCol w:w="980"/>
        <w:gridCol w:w="60"/>
        <w:gridCol w:w="60"/>
        <w:gridCol w:w="231"/>
        <w:gridCol w:w="629"/>
        <w:gridCol w:w="60"/>
        <w:gridCol w:w="60"/>
        <w:gridCol w:w="140"/>
        <w:gridCol w:w="1100"/>
        <w:gridCol w:w="95"/>
        <w:gridCol w:w="60"/>
        <w:gridCol w:w="184"/>
        <w:gridCol w:w="1156"/>
        <w:gridCol w:w="95"/>
        <w:gridCol w:w="60"/>
        <w:gridCol w:w="140"/>
        <w:gridCol w:w="1175"/>
        <w:gridCol w:w="95"/>
        <w:gridCol w:w="60"/>
        <w:gridCol w:w="60"/>
        <w:gridCol w:w="875"/>
        <w:gridCol w:w="95"/>
        <w:gridCol w:w="60"/>
        <w:gridCol w:w="140"/>
        <w:gridCol w:w="1055"/>
        <w:gridCol w:w="95"/>
        <w:gridCol w:w="60"/>
        <w:gridCol w:w="140"/>
        <w:gridCol w:w="1175"/>
        <w:gridCol w:w="95"/>
        <w:gridCol w:w="60"/>
        <w:gridCol w:w="140"/>
        <w:gridCol w:w="1055"/>
        <w:gridCol w:w="95"/>
        <w:gridCol w:w="60"/>
        <w:gridCol w:w="140"/>
        <w:gridCol w:w="1175"/>
        <w:gridCol w:w="110"/>
      </w:tblGrid>
      <w:tr>
        <w:trPr/>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Class B</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Additional </w:t>
            </w:r>
          </w:p>
          <w:p>
            <w:pPr>
              <w:pStyle w:val="TableContents"/>
              <w:bidi w:val="0"/>
              <w:spacing w:before="0" w:after="283"/>
              <w:jc w:val="center"/>
              <w:rPr/>
            </w:pPr>
            <w:r>
              <w:rPr/>
              <w:t> </w:t>
            </w:r>
            <w:r>
              <w:rPr>
                <w:rFonts w:ascii="Times New Roman;Times;Serif" w:hAnsi="Times New Roman;Times;Serif"/>
                <w:b/>
              </w:rP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85"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Snail, Inc.</w:t>
            </w:r>
          </w:p>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 controlling</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interests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99" w:name="xdx_43D_c20250101__20250331_eus-gaap--St"/>
            <w:bookmarkEnd w:id="199"/>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0" w:name="xdx_980_eus-gaap--SharesOutstanding_iS_p"/>
            <w:bookmarkEnd w:id="200"/>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1,925,214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1" w:name="xdx_989_eus-gaap--SharesOutstanding_iS_p"/>
            <w:bookmarkEnd w:id="201"/>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5,749,716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25,741,152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5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(279,457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(12,117,385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(270,055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(3,671,806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9,673,271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(5,504,109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4,169,162</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2" w:name="xdx_403_eus-gaap--StockIssuedDuringPerio"/>
            <w:bookmarkEnd w:id="202"/>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3" w:name="xdx_98F_eus-gaap--StockIssuedDuringPerio"/>
            <w:bookmarkEnd w:id="203"/>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482,113</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4" w:name="xdx_404_eus-gaap--AdjustmentsToAdditiona"/>
            <w:bookmarkEnd w:id="204"/>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843,619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843,619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843,619</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5" w:name="xdx_409_eus-gaap--OtherComprehensiveInco"/>
            <w:bookmarkEnd w:id="205"/>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33,232</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6" w:name="xdx_40C_ecustom--OtherComprehensiveIncom"/>
            <w:bookmarkEnd w:id="206"/>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changes of 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22,023</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7" w:name="xdx_40A_eus-gaap--ProfitLoss_zugS6LJYiZ0"/>
            <w:bookmarkEnd w:id="207"/>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(1,946,007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(1,946,007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(1,946,963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8" w:name="xdx_434_c20250401__20250630_eus-gaap--St"/>
            <w:bookmarkEnd w:id="208"/>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9" w:name="xdx_988_eus-gaap--SharesOutstanding_iS_p"/>
            <w:bookmarkEnd w:id="209"/>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1,963,071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0" w:name="xdx_987_eus-gaap--SharesOutstanding_iS_p"/>
            <w:bookmarkEnd w:id="210"/>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5,749,716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27,066,880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5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(224,202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(14,063,392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(270,055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(3,671,806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9,108,251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(5,505,065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3,603,186</w:t>
            </w:r>
          </w:p>
        </w:tc>
        <w:tc>
          <w:tcPr>
            <w:tcW w:w="110" w:type="dxa"/>
            <w:tcBorders/>
            <w:shd w:fill="CCEEFF" w:val="clear"/>
            <w:vAlign w:val="center"/>
          </w:tcPr>
          <w:p>
            <w:pPr>
              <w:pStyle w:val="TableContents"/>
              <w:bidi w:val="0"/>
              <w:spacing w:before="0" w:after="283"/>
              <w:jc w:val="left"/>
              <w:rPr/>
            </w:pPr>
            <w:r>
              <w:rPr/>
              <w:t> </w:t>
            </w:r>
            <w:bookmarkStart w:id="211" w:name="xdx_439_c20250401__20250630_eus-gaap--St"/>
            <w:bookmarkEnd w:id="211"/>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2" w:name="xdx_980_eus-gaap--SharesOutstanding_iS_p"/>
            <w:bookmarkEnd w:id="212"/>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1,963,071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3" w:name="xdx_983_eus-gaap--SharesOutstanding_iS_p"/>
            <w:bookmarkEnd w:id="213"/>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5,749,716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27,066,880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5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(224,202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(14,063,392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(270,055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(3,671,806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9,108,251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(5,505,065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3,603,186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4" w:name="xdx_404_eus-gaap--AdjustmentsToAdditiona"/>
            <w:bookmarkEnd w:id="214"/>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(562,731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(562,731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(562,731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5" w:name="xdx_409_eus-gaap--StockIssuedDuringPerio"/>
            <w:bookmarkEnd w:id="215"/>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for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6" w:name="xdx_98E_eus-gaap--StockIssuedDuringPerio"/>
            <w:bookmarkEnd w:id="21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7" w:name="xdx_409_eus-gaap--OtherComprehensiveInco"/>
            <w:bookmarkEnd w:id="217"/>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30,587</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8" w:name="xdx_40A_eus-gaap--ProfitLoss_zvoc0ZtBQR0"/>
            <w:bookmarkEnd w:id="218"/>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(16,562,424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(16,562,424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(16,562,706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9" w:name="xdx_40D_eus-gaap--ProfitLoss_zBtCcFDAFhF"/>
            <w:bookmarkEnd w:id="219"/>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(16,562,424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(16,562,424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(16,562,706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0" w:name="xdx_43A_c20250401__20250630_eus-gaap--St"/>
            <w:bookmarkEnd w:id="220"/>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1" w:name="xdx_98E_eus-gaap--SharesOutstanding_iE_p"/>
            <w:bookmarkEnd w:id="22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2,003,959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2" w:name="xdx_986_eus-gaap--SharesOutstanding_iE_p"/>
            <w:bookmarkEnd w:id="22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5,749,716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26,504,145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(193,615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(30,625,816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(270,055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(3,671,806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(7,986,317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(5,505,347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(13,491,664</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223" w:name="xdx_435_c20250401__20250630_eus-gaap--St"/>
            <w:bookmarkEnd w:id="223"/>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4" w:name="xdx_98A_eus-gaap--SharesOutstanding_iE_p"/>
            <w:bookmarkEnd w:id="224"/>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2,003,959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5" w:name="xdx_983_eus-gaap--SharesOutstanding_iE_p"/>
            <w:bookmarkEnd w:id="225"/>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5,749,716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26,504,145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(193,615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(30,625,816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(270,055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(3,671,806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(7,986,317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(5,505,347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(13,491,664</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bookmarkStart w:id="226" w:name="a_006"/>
      <w:bookmarkEnd w:id="226"/>
      <w:r>
        <w:rPr>
          <w:rFonts w:ascii="Times New Roman;Times;Serif" w:hAnsi="Times New Roman;Times;Serif"/>
          <w:b/>
          <w:i w:val="false"/>
          <w:caps w:val="false"/>
          <w:smallCaps w:val="false"/>
          <w:sz w:val="20"/>
        </w:rPr>
        <w:t>Condensed Consolidated Statements of Cash Flows for the Six Months Ended June 30, 2026 and 2025</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7" w:name="xdx_305_112_zXihZsGBYygb"/>
      <w:bookmarkStart w:id="228" w:name="xdx_305_112_zXihZsGBYygb"/>
      <w:bookmarkEnd w:id="228"/>
    </w:p>
    <w:tbl>
      <w:tblPr>
        <w:tblW w:w="10205" w:type="dxa"/>
        <w:jc w:val="left"/>
        <w:tblInd w:w="0" w:type="dxa"/>
        <w:tblLayout w:type="fixed"/>
        <w:tblCellMar>
          <w:top w:w="0" w:type="dxa"/>
          <w:left w:w="0" w:type="dxa"/>
          <w:bottom w:w="0" w:type="dxa"/>
          <w:right w:w="0" w:type="dxa"/>
        </w:tblCellMar>
      </w:tblPr>
      <w:tblGrid>
        <w:gridCol w:w="7325"/>
        <w:gridCol w:w="60"/>
        <w:gridCol w:w="140"/>
        <w:gridCol w:w="1100"/>
        <w:gridCol w:w="95"/>
        <w:gridCol w:w="60"/>
        <w:gridCol w:w="140"/>
        <w:gridCol w:w="1175"/>
        <w:gridCol w:w="110"/>
      </w:tblGrid>
      <w:tr>
        <w:trPr/>
        <w:tc>
          <w:tcPr>
            <w:tcW w:w="7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9" w:name="xdx_498_20260101__20260630_z1ujASDaGQMf"/>
            <w:bookmarkEnd w:id="229"/>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0" w:name="xdx_499_20250101__20250630_zlni6H27Th65"/>
            <w:bookmarkEnd w:id="230"/>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110"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231" w:name="xdx_40B_eus-gaap--NetCashProvidedByUsedI"/>
            <w:bookmarkEnd w:id="231"/>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2" w:name="xdx_400_eus-gaap--ProfitLoss_i01_maNCPBU"/>
            <w:bookmarkEnd w:id="232"/>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(906,718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(18,509,671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3" w:name="xdx_405_eus-gaap--AdjustmentsToReconcile"/>
            <w:bookmarkEnd w:id="233"/>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4" w:name="xdx_409_eus-gaap--AmortizationOfIntangib"/>
            <w:bookmarkEnd w:id="234"/>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 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79,424</w:t>
            </w:r>
          </w:p>
        </w:tc>
        <w:tc>
          <w:tcPr>
            <w:tcW w:w="110" w:type="dxa"/>
            <w:tcBorders/>
            <w:shd w:fill="FFFFFF" w:val="clear"/>
            <w:vAlign w:val="center"/>
          </w:tcPr>
          <w:p>
            <w:pPr>
              <w:pStyle w:val="TableContents"/>
              <w:bidi w:val="0"/>
              <w:spacing w:before="0" w:after="283"/>
              <w:jc w:val="left"/>
              <w:rPr/>
            </w:pPr>
            <w:r>
              <w:rPr/>
              <w:t> </w:t>
            </w:r>
            <w:bookmarkStart w:id="235" w:name="xdx_40F_eus-gaap--AmortizationOfIntangib"/>
            <w:bookmarkEnd w:id="235"/>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 intangible assets, net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36" w:name="xdx_406_eus-gaap--AmortizationOfIntangib"/>
            <w:bookmarkEnd w:id="236"/>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 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37" w:name="xdx_408_eus-gaap--AmortizationOfRegulato"/>
            <w:bookmarkEnd w:id="237"/>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 film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645,069</w:t>
            </w:r>
          </w:p>
        </w:tc>
        <w:tc>
          <w:tcPr>
            <w:tcW w:w="110" w:type="dxa"/>
            <w:tcBorders/>
            <w:shd w:fill="FFFFFF" w:val="clear"/>
            <w:vAlign w:val="center"/>
          </w:tcPr>
          <w:p>
            <w:pPr>
              <w:pStyle w:val="TableContents"/>
              <w:bidi w:val="0"/>
              <w:spacing w:before="0" w:after="283"/>
              <w:jc w:val="left"/>
              <w:rPr/>
            </w:pPr>
            <w:r>
              <w:rPr/>
              <w:t> </w:t>
            </w:r>
            <w:bookmarkStart w:id="238" w:name="xdx_407_ecustom--AmortizationLoanOrigina"/>
            <w:bookmarkEnd w:id="238"/>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 loan origination fees and debt discounts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(19,504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9" w:name="xdx_40A_ecustom--GainOnChangeInFairValue"/>
            <w:bookmarkEnd w:id="239"/>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82,180</w:t>
            </w:r>
          </w:p>
        </w:tc>
        <w:tc>
          <w:tcPr>
            <w:tcW w:w="110" w:type="dxa"/>
            <w:tcBorders/>
            <w:shd w:fill="FFFFFF" w:val="clear"/>
            <w:vAlign w:val="center"/>
          </w:tcPr>
          <w:p>
            <w:pPr>
              <w:pStyle w:val="TableContents"/>
              <w:bidi w:val="0"/>
              <w:spacing w:before="0" w:after="283"/>
              <w:jc w:val="left"/>
              <w:rPr/>
            </w:pPr>
            <w:r>
              <w:rPr/>
              <w:t> </w:t>
            </w:r>
            <w:bookmarkStart w:id="240" w:name="xdx_40F_eus-gaap--FairValueAdjustmentOfW"/>
            <w:bookmarkEnd w:id="240"/>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(91,383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1" w:name="xdx_405_eus-gaap--Depreciation_i02_maNCP"/>
            <w:bookmarkEnd w:id="241"/>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135,667</w:t>
            </w:r>
          </w:p>
        </w:tc>
        <w:tc>
          <w:tcPr>
            <w:tcW w:w="110" w:type="dxa"/>
            <w:tcBorders/>
            <w:shd w:fill="FFFFFF" w:val="clear"/>
            <w:vAlign w:val="center"/>
          </w:tcPr>
          <w:p>
            <w:pPr>
              <w:pStyle w:val="TableContents"/>
              <w:bidi w:val="0"/>
              <w:spacing w:before="0" w:after="283"/>
              <w:jc w:val="left"/>
              <w:rPr/>
            </w:pPr>
            <w:r>
              <w:rPr/>
              <w:t> </w:t>
            </w:r>
            <w:bookmarkStart w:id="242" w:name="xdx_400_eus-gaap--OtherAssetImpairmentCh"/>
            <w:bookmarkEnd w:id="242"/>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film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415,719</w:t>
            </w:r>
          </w:p>
        </w:tc>
        <w:tc>
          <w:tcPr>
            <w:tcW w:w="110" w:type="dxa"/>
            <w:tcBorders/>
            <w:shd w:fill="CCEEFF" w:val="clear"/>
            <w:vAlign w:val="center"/>
          </w:tcPr>
          <w:p>
            <w:pPr>
              <w:pStyle w:val="TableContents"/>
              <w:bidi w:val="0"/>
              <w:spacing w:before="0" w:after="283"/>
              <w:jc w:val="left"/>
              <w:rPr/>
            </w:pPr>
            <w:r>
              <w:rPr/>
              <w:t> </w:t>
            </w:r>
            <w:bookmarkStart w:id="243" w:name="xdx_408_ecustom--GainOnRemeasurementOfPr"/>
            <w:bookmarkEnd w:id="243"/>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remeasurement of previously held equity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4" w:name="xdx_40A_eus-gaap--GainLossOnTerminationO"/>
            <w:bookmarkEnd w:id="244"/>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lease termination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5" w:name="xdx_40C_eus-gaap--ShareBasedCompensation"/>
            <w:bookmarkEnd w:id="245"/>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280,888</w:t>
            </w:r>
          </w:p>
        </w:tc>
        <w:tc>
          <w:tcPr>
            <w:tcW w:w="110" w:type="dxa"/>
            <w:tcBorders/>
            <w:shd w:fill="FFFFFF" w:val="clear"/>
            <w:vAlign w:val="center"/>
          </w:tcPr>
          <w:p>
            <w:pPr>
              <w:pStyle w:val="TableContents"/>
              <w:bidi w:val="0"/>
              <w:spacing w:before="0" w:after="283"/>
              <w:jc w:val="left"/>
              <w:rPr/>
            </w:pPr>
            <w:r>
              <w:rPr/>
              <w:t> </w:t>
            </w:r>
            <w:bookmarkStart w:id="246" w:name="xdx_40C_ecustom--DeferredIncomeTaxExpens"/>
            <w:bookmarkEnd w:id="246"/>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10,808,885</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7" w:name="xdx_403_eus-gaap--IncreaseDecreaseInOper"/>
            <w:bookmarkEnd w:id="247"/>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assets and liabilities, net of business acquisitions: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8" w:name="xdx_408_eus-gaap--IncreaseDecreaseInAcco"/>
            <w:bookmarkEnd w:id="248"/>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3,182,594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(7,825,905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9" w:name="xdx_401_eus-gaap--IncreaseDecreaseInAcco"/>
            <w:bookmarkEnd w:id="249"/>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3,836,866</w:t>
            </w:r>
          </w:p>
        </w:tc>
        <w:tc>
          <w:tcPr>
            <w:tcW w:w="110" w:type="dxa"/>
            <w:tcBorders/>
            <w:shd w:fill="CCEEFF" w:val="clear"/>
            <w:vAlign w:val="center"/>
          </w:tcPr>
          <w:p>
            <w:pPr>
              <w:pStyle w:val="TableContents"/>
              <w:bidi w:val="0"/>
              <w:spacing w:before="0" w:after="283"/>
              <w:jc w:val="left"/>
              <w:rPr/>
            </w:pPr>
            <w:r>
              <w:rPr/>
              <w:t> </w:t>
            </w:r>
            <w:bookmarkStart w:id="250" w:name="xdx_40F_ecustom--IncreaseDecreaseInPrepa"/>
            <w:bookmarkEnd w:id="250"/>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(392,512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(1,728,666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1" w:name="xdx_408_eus-gaap--IncreaseDecreaseInPrep"/>
            <w:bookmarkEnd w:id="251"/>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537,799</w:t>
            </w:r>
          </w:p>
        </w:tc>
        <w:tc>
          <w:tcPr>
            <w:tcW w:w="110" w:type="dxa"/>
            <w:tcBorders/>
            <w:shd w:fill="CCEEFF" w:val="clear"/>
            <w:vAlign w:val="center"/>
          </w:tcPr>
          <w:p>
            <w:pPr>
              <w:pStyle w:val="TableContents"/>
              <w:bidi w:val="0"/>
              <w:spacing w:before="0" w:after="283"/>
              <w:jc w:val="left"/>
              <w:rPr/>
            </w:pPr>
            <w:r>
              <w:rPr/>
              <w:t> </w:t>
            </w:r>
            <w:bookmarkStart w:id="252" w:name="xdx_407_eus-gaap--IncreaseDecreaseInPrep"/>
            <w:bookmarkEnd w:id="252"/>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3,686,137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1,161,649</w:t>
            </w:r>
          </w:p>
        </w:tc>
        <w:tc>
          <w:tcPr>
            <w:tcW w:w="110" w:type="dxa"/>
            <w:tcBorders/>
            <w:shd w:fill="FFFFFF" w:val="clear"/>
            <w:vAlign w:val="center"/>
          </w:tcPr>
          <w:p>
            <w:pPr>
              <w:pStyle w:val="TableContents"/>
              <w:bidi w:val="0"/>
              <w:spacing w:before="0" w:after="283"/>
              <w:jc w:val="left"/>
              <w:rPr/>
            </w:pPr>
            <w:r>
              <w:rPr/>
              <w:t> </w:t>
            </w:r>
            <w:bookmarkStart w:id="253" w:name="xdx_409_eus-gaap--IncreaseDecreaseInOthe"/>
            <w:bookmarkEnd w:id="253"/>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Other noncurrent assets, </w:t>
            </w:r>
            <w:r>
              <w:rPr>
                <w:rFonts w:ascii="Times New Roman;Times;Serif" w:hAnsi="Times New Roman;Times;Serif"/>
                <w:sz w:val="20"/>
              </w:rPr>
              <w:t>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(696,951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(1,064,165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4" w:name="xdx_407_eus-gaap--IncreaseDecreaseInAcco"/>
            <w:bookmarkEnd w:id="254"/>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(1,636,164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(110,912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5" w:name="xdx_409_eus-gaap--IncreaseDecreaseInAcco"/>
            <w:bookmarkEnd w:id="255"/>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(1,640,793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1,040,862</w:t>
            </w:r>
          </w:p>
        </w:tc>
        <w:tc>
          <w:tcPr>
            <w:tcW w:w="110" w:type="dxa"/>
            <w:tcBorders/>
            <w:shd w:fill="CCEEFF" w:val="clear"/>
            <w:vAlign w:val="center"/>
          </w:tcPr>
          <w:p>
            <w:pPr>
              <w:pStyle w:val="TableContents"/>
              <w:bidi w:val="0"/>
              <w:spacing w:before="0" w:after="283"/>
              <w:jc w:val="left"/>
              <w:rPr/>
            </w:pPr>
            <w:r>
              <w:rPr/>
              <w:t> </w:t>
            </w:r>
            <w:bookmarkStart w:id="256" w:name="xdx_407_eus-gaap--IncreaseDecreaseInAccr"/>
            <w:bookmarkEnd w:id="256"/>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1,378,317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1,009,796</w:t>
            </w:r>
          </w:p>
        </w:tc>
        <w:tc>
          <w:tcPr>
            <w:tcW w:w="110" w:type="dxa"/>
            <w:tcBorders/>
            <w:shd w:fill="FFFFFF" w:val="clear"/>
            <w:vAlign w:val="center"/>
          </w:tcPr>
          <w:p>
            <w:pPr>
              <w:pStyle w:val="TableContents"/>
              <w:bidi w:val="0"/>
              <w:spacing w:before="0" w:after="283"/>
              <w:jc w:val="left"/>
              <w:rPr/>
            </w:pPr>
            <w:r>
              <w:rPr/>
              <w:t> </w:t>
            </w:r>
            <w:bookmarkStart w:id="257" w:name="xdx_40E_ecustom--IncreaseDecreaseInLoanA"/>
            <w:bookmarkEnd w:id="257"/>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 and interest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8" w:name="xdx_409_eus-gaap--IncreaseDecreaseInOper"/>
            <w:bookmarkEnd w:id="258"/>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(163,920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9" w:name="xdx_40F_eus-gaap--IncreaseDecreaseInDefe"/>
            <w:bookmarkEnd w:id="259"/>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1,732,492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7,075,046</w:t>
            </w:r>
          </w:p>
        </w:tc>
        <w:tc>
          <w:tcPr>
            <w:tcW w:w="110" w:type="dxa"/>
            <w:tcBorders/>
            <w:shd w:fill="CCEEFF" w:val="clear"/>
            <w:vAlign w:val="center"/>
          </w:tcPr>
          <w:p>
            <w:pPr>
              <w:pStyle w:val="TableContents"/>
              <w:bidi w:val="0"/>
              <w:spacing w:before="0" w:after="283"/>
              <w:jc w:val="left"/>
              <w:rPr/>
            </w:pPr>
            <w:r>
              <w:rPr/>
              <w:t> </w:t>
            </w:r>
            <w:bookmarkStart w:id="260" w:name="xdx_405_eus-gaap--NetCashProvidedByUsedI"/>
            <w:bookmarkEnd w:id="260"/>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6,862,539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(2,413,125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1" w:name="xdx_400_eus-gaap--NetCashProvidedByUsedI"/>
            <w:bookmarkEnd w:id="261"/>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2" w:name="xdx_402_eus-gaap--PaymentsToAcquireSoftw"/>
            <w:bookmarkEnd w:id="262"/>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3" w:name="xdx_409_eus-gaap--PaymentsToAcquireIntan"/>
            <w:bookmarkEnd w:id="263"/>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software licenses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(343,770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(2,008,690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4" w:name="xdx_409_eus-gaap--PaymentsToAcquireInves"/>
            <w:bookmarkEnd w:id="264"/>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Investments in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(718,236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5" w:name="xdx_402_eus-gaap--PaymentsToAcquireBusin"/>
            <w:bookmarkEnd w:id="265"/>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paid for acquisition of Matrioshka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6" w:name="xdx_400_eus-gaap--NetCashProvidedByUsedI"/>
            <w:bookmarkEnd w:id="266"/>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(343,770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(3,026,645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7" w:name="xdx_405_eus-gaap--NetCashProvidedByUsedI"/>
            <w:bookmarkEnd w:id="267"/>
          </w:p>
        </w:tc>
      </w:tr>
      <w:tr>
        <w:trPr/>
        <w:tc>
          <w:tcPr>
            <w:tcW w:w="732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8" w:name="xdx_409_eus-gaap--ProceedsFromIssuanceIn"/>
            <w:bookmarkEnd w:id="268"/>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at-the-market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4,232,897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69" w:name="xdx_400_eus-gaap--RepaymentsOfNotesPayab"/>
            <w:bookmarkEnd w:id="269"/>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(594,376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70" w:name="xdx_40A_eus-gaap--RepaymentsOfConvertibl"/>
            <w:bookmarkEnd w:id="270"/>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(2,523,295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(638,753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1" w:name="xdx_40D_eus-gaap--RepaymentsOfLinesOfCre"/>
            <w:bookmarkEnd w:id="271"/>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revolving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(43,018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2" w:name="xdx_40D_eus-gaap--ProceedsFromShortTermD"/>
            <w:bookmarkEnd w:id="272"/>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 on term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w:t>
            </w:r>
          </w:p>
        </w:tc>
        <w:tc>
          <w:tcPr>
            <w:tcW w:w="110" w:type="dxa"/>
            <w:tcBorders/>
            <w:shd w:fill="FFFFFF" w:val="clear"/>
            <w:vAlign w:val="center"/>
          </w:tcPr>
          <w:p>
            <w:pPr>
              <w:pStyle w:val="TableContents"/>
              <w:bidi w:val="0"/>
              <w:spacing w:before="0" w:after="283"/>
              <w:jc w:val="left"/>
              <w:rPr/>
            </w:pPr>
            <w:r>
              <w:rPr/>
              <w:t> </w:t>
            </w:r>
            <w:bookmarkStart w:id="273" w:name="xdx_408_eus-gaap--ProceedsFromWarrantExe"/>
            <w:bookmarkEnd w:id="273"/>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proceeds from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159,000</w:t>
            </w:r>
          </w:p>
        </w:tc>
        <w:tc>
          <w:tcPr>
            <w:tcW w:w="110" w:type="dxa"/>
            <w:tcBorders/>
            <w:shd w:fill="CCEEFF" w:val="clear"/>
            <w:vAlign w:val="center"/>
          </w:tcPr>
          <w:p>
            <w:pPr>
              <w:pStyle w:val="TableContents"/>
              <w:bidi w:val="0"/>
              <w:spacing w:before="0" w:after="283"/>
              <w:jc w:val="left"/>
              <w:rPr/>
            </w:pPr>
            <w:r>
              <w:rPr/>
              <w:t> </w:t>
            </w:r>
            <w:bookmarkStart w:id="274" w:name="xdx_405_eus-gaap--ProceedsFromIssuanceOf"/>
            <w:bookmarkEnd w:id="274"/>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3,000,000</w:t>
            </w:r>
          </w:p>
        </w:tc>
        <w:tc>
          <w:tcPr>
            <w:tcW w:w="110" w:type="dxa"/>
            <w:tcBorders/>
            <w:shd w:fill="FFFFFF" w:val="clear"/>
            <w:vAlign w:val="center"/>
          </w:tcPr>
          <w:p>
            <w:pPr>
              <w:pStyle w:val="TableContents"/>
              <w:bidi w:val="0"/>
              <w:spacing w:before="0" w:after="283"/>
              <w:jc w:val="left"/>
              <w:rPr/>
            </w:pPr>
            <w:r>
              <w:rPr/>
              <w:t> </w:t>
            </w:r>
            <w:bookmarkStart w:id="275" w:name="xdx_400_eus-gaap--PaymentsOfLoanCosts_i0"/>
            <w:bookmarkEnd w:id="275"/>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loan origination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76" w:name="xdx_40D_eus-gaap--NetCashProvidedByUsedI"/>
            <w:bookmarkEnd w:id="276"/>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(1,392,274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5,977,229</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7" w:name="xdx_40F_eus-gaap--EffectOfExchangeRateOn"/>
            <w:bookmarkEnd w:id="277"/>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64,023</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8" w:name="xdx_402_eus-gaap--CashCashEquivalentsRes"/>
            <w:bookmarkEnd w:id="278"/>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in cash and cash equivalents, and 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601,482</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9" w:name="xdx_40E_eus-gaap--CashCashEquivalentsRes"/>
            <w:bookmarkEnd w:id="279"/>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and restricted cash and cash equivalents –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10,503,164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8,238,944</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0" w:name="xdx_404_eus-gaap--CashCashEquivalentsRes"/>
            <w:bookmarkEnd w:id="280"/>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and restricted cash and cash equivalents –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15,603,820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8,840,426</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1" w:name="xdx_408_eus-gaap--SupplementalCashFlowIn"/>
            <w:bookmarkEnd w:id="281"/>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2" w:name="xdx_405_ecustom--CashPaidDuringPeriodFor"/>
            <w:bookmarkEnd w:id="282"/>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3" w:name="xdx_40A_eus-gaap--InterestPaidNet_i02_zU"/>
            <w:bookmarkEnd w:id="283"/>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230,318</w:t>
            </w:r>
          </w:p>
        </w:tc>
        <w:tc>
          <w:tcPr>
            <w:tcW w:w="110" w:type="dxa"/>
            <w:tcBorders/>
            <w:shd w:fill="FFFFFF" w:val="clear"/>
            <w:vAlign w:val="center"/>
          </w:tcPr>
          <w:p>
            <w:pPr>
              <w:pStyle w:val="TableContents"/>
              <w:bidi w:val="0"/>
              <w:spacing w:before="0" w:after="283"/>
              <w:jc w:val="left"/>
              <w:rPr/>
            </w:pPr>
            <w:r>
              <w:rPr/>
              <w:t> </w:t>
            </w:r>
            <w:bookmarkStart w:id="284" w:name="xdx_408_eus-gaap--IncomeTaxesPaidNet_i02"/>
            <w:bookmarkEnd w:id="284"/>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612,007</w:t>
            </w:r>
          </w:p>
        </w:tc>
        <w:tc>
          <w:tcPr>
            <w:tcW w:w="110" w:type="dxa"/>
            <w:tcBorders/>
            <w:shd w:fill="CCEEFF" w:val="clear"/>
            <w:vAlign w:val="center"/>
          </w:tcPr>
          <w:p>
            <w:pPr>
              <w:pStyle w:val="TableContents"/>
              <w:bidi w:val="0"/>
              <w:spacing w:before="0" w:after="283"/>
              <w:jc w:val="left"/>
              <w:rPr/>
            </w:pPr>
            <w:r>
              <w:rPr/>
              <w:t> </w:t>
            </w:r>
            <w:bookmarkStart w:id="285" w:name="xdx_40B_ecustom--CashFlowTransactionsDur"/>
            <w:bookmarkEnd w:id="285"/>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transactions during the period for: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6" w:name="xdx_402_ecustom--LiabilitiesConvertedToE"/>
            <w:bookmarkEnd w:id="286"/>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converted to equity upon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323,113</w:t>
            </w:r>
          </w:p>
        </w:tc>
        <w:tc>
          <w:tcPr>
            <w:tcW w:w="110" w:type="dxa"/>
            <w:tcBorders/>
            <w:shd w:fill="CCEEFF" w:val="clear"/>
            <w:vAlign w:val="center"/>
          </w:tcPr>
          <w:p>
            <w:pPr>
              <w:pStyle w:val="TableContents"/>
              <w:bidi w:val="0"/>
              <w:spacing w:before="0" w:after="283"/>
              <w:jc w:val="left"/>
              <w:rPr/>
            </w:pPr>
            <w:r>
              <w:rPr/>
              <w:t> </w:t>
            </w:r>
            <w:bookmarkStart w:id="287" w:name="xdx_407_ecustom--AcquisitionOfFilmLicens"/>
            <w:bookmarkEnd w:id="287"/>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film licenses in 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86,069</w:t>
            </w:r>
          </w:p>
        </w:tc>
        <w:tc>
          <w:tcPr>
            <w:tcW w:w="110" w:type="dxa"/>
            <w:tcBorders/>
            <w:shd w:fill="FFFFFF" w:val="clear"/>
            <w:vAlign w:val="center"/>
          </w:tcPr>
          <w:p>
            <w:pPr>
              <w:pStyle w:val="TableContents"/>
              <w:bidi w:val="0"/>
              <w:spacing w:before="0" w:after="283"/>
              <w:jc w:val="left"/>
              <w:rPr/>
            </w:pPr>
            <w:r>
              <w:rPr/>
              <w:t> </w:t>
            </w:r>
            <w:bookmarkStart w:id="288" w:name="xdx_40D_ecustom--AcquisitionOfSoftwareAn"/>
            <w:bookmarkEnd w:id="288"/>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software and software licenses in 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313,282</w:t>
            </w:r>
          </w:p>
        </w:tc>
        <w:tc>
          <w:tcPr>
            <w:tcW w:w="110" w:type="dxa"/>
            <w:tcBorders/>
            <w:shd w:fill="CCEEFF" w:val="clear"/>
            <w:vAlign w:val="center"/>
          </w:tcPr>
          <w:p>
            <w:pPr>
              <w:pStyle w:val="TableContents"/>
              <w:bidi w:val="0"/>
              <w:spacing w:before="0" w:after="283"/>
              <w:jc w:val="left"/>
              <w:rPr/>
            </w:pPr>
            <w:r>
              <w:rPr/>
              <w:t> </w:t>
            </w:r>
            <w:bookmarkStart w:id="289" w:name="xdx_401_ecustom--ChangeInFairValueOfNote"/>
            <w:bookmarkEnd w:id="289"/>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notes recorded in 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22,023</w:t>
            </w:r>
          </w:p>
        </w:tc>
        <w:tc>
          <w:tcPr>
            <w:tcW w:w="110" w:type="dxa"/>
            <w:tcBorders/>
            <w:shd w:fill="FFFFFF" w:val="clear"/>
            <w:vAlign w:val="center"/>
          </w:tcPr>
          <w:p>
            <w:pPr>
              <w:pStyle w:val="TableContents"/>
              <w:bidi w:val="0"/>
              <w:spacing w:before="0" w:after="283"/>
              <w:jc w:val="left"/>
              <w:rPr/>
            </w:pPr>
            <w:r>
              <w:rPr/>
              <w:t> </w:t>
            </w:r>
            <w:bookmarkStart w:id="290" w:name="xdx_406_eus-gaap--RightOfUseAssetObtaine"/>
            <w:bookmarkEnd w:id="290"/>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obtained in exchange for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(55,267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1" w:name="xdx_408_eus-gaap--FairValueOfAssetsAcqui"/>
            <w:bookmarkEnd w:id="291"/>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assets acquired in a business combination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5,461</w:t>
            </w:r>
          </w:p>
        </w:tc>
        <w:tc>
          <w:tcPr>
            <w:tcW w:w="110" w:type="dxa"/>
            <w:tcBorders/>
            <w:shd w:fill="FFFFFF" w:val="clear"/>
            <w:vAlign w:val="center"/>
          </w:tcPr>
          <w:p>
            <w:pPr>
              <w:pStyle w:val="TableContents"/>
              <w:bidi w:val="0"/>
              <w:spacing w:before="0" w:after="283"/>
              <w:jc w:val="left"/>
              <w:rPr/>
            </w:pPr>
            <w:r>
              <w:rPr/>
              <w:t> </w:t>
            </w:r>
            <w:bookmarkStart w:id="292" w:name="xdx_409_ecustom--DebtConvertedToEquity_i"/>
            <w:bookmarkEnd w:id="292"/>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converted to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bookmarkStart w:id="293" w:name="a_007"/>
      <w:bookmarkEnd w:id="293"/>
      <w:r>
        <w:rPr>
          <w:rFonts w:ascii="Times New Roman;Times;Serif" w:hAnsi="Times New Roman;Times;Serif"/>
          <w:b/>
          <w:i w:val="false"/>
          <w:caps w:val="false"/>
          <w:smallCaps w:val="false"/>
          <w:sz w:val="20"/>
        </w:rPr>
        <w:t>Notes to Condensed Consolidated Financial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94" w:name="xdx_806_eus-gaap--OrganizationConsolidat"/>
      <w:bookmarkEnd w:id="294"/>
      <w:r>
        <w:rPr>
          <w:rFonts w:ascii="Times New Roman;Times;Serif" w:hAnsi="Times New Roman;Times;Serif"/>
          <w:b/>
          <w:i w:val="false"/>
          <w:caps w:val="false"/>
          <w:smallCaps w:val="false"/>
          <w:sz w:val="20"/>
        </w:rPr>
        <w:t xml:space="preserve">NOTE 1 – </w:t>
      </w:r>
      <w:bookmarkStart w:id="295" w:name="xdx_826_zolIWNuYMcXc"/>
      <w:bookmarkEnd w:id="295"/>
      <w:r>
        <w:rPr>
          <w:rFonts w:ascii="Times New Roman;Times;Serif" w:hAnsi="Times New Roman;Times;Serif"/>
          <w:b/>
          <w:i w:val="false"/>
          <w:caps w:val="false"/>
          <w:smallCaps w:val="false"/>
          <w:sz w:val="20"/>
        </w:rPr>
        <w:t>PRESENTATION AND NATURE OF OPERATIONS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Inc. was incorporated under the laws of Delaware in January 2022. The terms “Snail, Inc,” “Snail Games,” “our” and the “Company” are used to refer collectively to Snail, Inc. and its subsidiaries. The Company’s fiscal year end is December 31. The Company was formed for the purpose of completing an initial public offering (“IPO”) and related transactions to carry on the business of Snail Games USA Inc. and its subsidiaries. Snail Games USA Inc. was founded in 2009 as a wholly owned subsidiary of Suzhou Snail Digital Technology Co., Ltd. (“Suzhou Snail”) located in Suzhou, China and is the operating entity that continues post IPO. Snail Games USA Inc. is devoted to researching, developing, marketing, publishing, and distributing games, content and support that can be played on a variety of platforms including game consoles, PCs, mobile phones and tablets.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Consolidation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in accordance with the rules and regulations of the Securities and Exchange Commission (the “SEC”) and generally accepted accounting principles as promulgated in the United States of America (“U.S. GAAP”) for interim reporting. Accordingly, certain notes or other information that are normally required by U.S. GAAP have been condensed or omitted if they substantially duplicate disclosures contained in our annual audited consolidated financial statements. Additionally, the year-end condensed consolidated balance sheet data was derived from audited consolidated financial statements but does not include all disclosures required by U.S. GAAP. Accordingly, the unaudited condensed consolidated financial statements should be read in conjunction with the audited consolidated financial statements and notes thereto for the year ended December 31, 2025 included in the Company’s Annual Report on Form 10-K for the fiscal year ended December 31, 2025, filed with the SEC on March 19, 2026. The condensed consolidated results of operations for any interim period are not necessarily indicative of the results to be expected for the full year or for any other future annual or interim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considered necessary for the fair presentation of the Company’s financial position and its results of operations in accordance with U.S. GAAP (consisting of normal recurring adjustments) have been included in the accompanying unaudited condensed consolidated financial statements.</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96" w:name="xdx_89F_ecustom--ScheduleOfEquityInteres"/>
      <w:bookmarkEnd w:id="296"/>
      <w:r>
        <w:rPr>
          <w:rFonts w:ascii="Times New Roman;Times;Serif" w:hAnsi="Times New Roman;Times;Serif"/>
          <w:b w:val="false"/>
          <w:i w:val="false"/>
          <w:caps w:val="false"/>
          <w:smallCaps w:val="false"/>
          <w:sz w:val="20"/>
        </w:rPr>
        <w:t>The condensed consolidated financial statements include the accounts of Snail, Inc. and the following subsidiaries:</w:t>
      </w:r>
    </w:p>
    <w:p>
      <w:pPr>
        <w:pStyle w:val="TextBody"/>
        <w:bidi w:val="0"/>
        <w:jc w:val="center"/>
        <w:rPr>
          <w:rFonts w:ascii="Times New Roman;Times;Serif" w:hAnsi="Times New Roman;Times;Serif"/>
          <w:b w:val="false"/>
          <w:i w:val="false"/>
          <w:caps w:val="false"/>
          <w:smallCaps w:val="false"/>
          <w:sz w:val="20"/>
        </w:rPr>
      </w:pPr>
      <w:bookmarkStart w:id="297" w:name="xdx_8BB_zNTG2rdTyvl5"/>
      <w:bookmarkEnd w:id="297"/>
      <w:r>
        <w:rPr>
          <w:rFonts w:ascii="Times New Roman;Times;Serif" w:hAnsi="Times New Roman;Times;Serif"/>
          <w:b w:val="false"/>
          <w:i w:val="false"/>
          <w:caps w:val="false"/>
          <w:smallCaps w:val="false"/>
          <w:sz w:val="20"/>
        </w:rPr>
        <w:t>SCHEDULE OF SUBSIDIARIES INCLUDED IN THE CONSOLIDATED FINANCIAL STATEMENTS </w:t>
      </w:r>
    </w:p>
    <w:tbl>
      <w:tblPr>
        <w:tblW w:w="4409" w:type="dxa"/>
        <w:jc w:val="left"/>
        <w:tblInd w:w="0" w:type="dxa"/>
        <w:tblLayout w:type="fixed"/>
        <w:tblCellMar>
          <w:top w:w="0" w:type="dxa"/>
          <w:left w:w="0" w:type="dxa"/>
          <w:bottom w:w="0" w:type="dxa"/>
          <w:right w:w="0" w:type="dxa"/>
        </w:tblCellMar>
      </w:tblPr>
      <w:tblGrid>
        <w:gridCol w:w="3110"/>
        <w:gridCol w:w="60"/>
        <w:gridCol w:w="136"/>
        <w:gridCol w:w="873"/>
        <w:gridCol w:w="230"/>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 %</w:t>
            </w:r>
          </w:p>
        </w:tc>
        <w:tc>
          <w:tcPr>
            <w:tcW w:w="230" w:type="dxa"/>
            <w:tcBorders/>
            <w:vAlign w:val="center"/>
          </w:tcPr>
          <w:p>
            <w:pPr>
              <w:pStyle w:val="TableContents"/>
              <w:bidi w:val="0"/>
              <w:spacing w:before="0" w:after="283"/>
              <w:jc w:val="left"/>
              <w:rPr/>
            </w:pPr>
            <w:r>
              <w:rPr/>
              <w:t> </w:t>
            </w:r>
          </w:p>
        </w:tc>
      </w:tr>
      <w:tr>
        <w:trPr/>
        <w:tc>
          <w:tcPr>
            <w:tcW w:w="31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Subsidiary Name</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Owned</w:t>
            </w:r>
          </w:p>
        </w:tc>
        <w:tc>
          <w:tcPr>
            <w:tcW w:w="23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Snail Games USA Inc.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98" w:name="xdx_982_eus-gaap--EquityMethodInvestment"/>
            <w:bookmarkEnd w:id="298"/>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Snail Innovation Institute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99" w:name="xdx_988_eus-gaap--EquityMethodInvestment"/>
            <w:bookmarkEnd w:id="299"/>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Frostkeep Studios, Inc.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00" w:name="xdx_985_eus-gaap--EquityMethodInvestment"/>
            <w:bookmarkEnd w:id="300"/>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Eminence Corp</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01" w:name="xdx_98C_eus-gaap--EquityMethodInvestment"/>
            <w:bookmarkEnd w:id="301"/>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Wandering Wizard,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02" w:name="xdx_98D_eus-gaap--EquityMethodInvestment"/>
            <w:bookmarkEnd w:id="302"/>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Donkey Crew,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03" w:name="xdx_98D_eus-gaap--EquityMethodInvestment"/>
            <w:bookmarkEnd w:id="303"/>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Interactive Films,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04" w:name="xdx_983_eus-gaap--EquityMethodInvestment"/>
            <w:bookmarkEnd w:id="304"/>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Project AWK Productions,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05" w:name="xdx_98F_eus-gaap--EquityMethodInvestment"/>
            <w:bookmarkEnd w:id="305"/>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BTBX.IO,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06" w:name="xdx_982_eus-gaap--EquityMethodInvestment"/>
            <w:bookmarkEnd w:id="306"/>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Matrioshka Games,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07" w:name="xdx_984_eus-gaap--EquityMethodInvestment"/>
            <w:bookmarkEnd w:id="307"/>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Snail Coins,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08" w:name="xdx_984_eus-gaap--EquityMethodInvestment"/>
            <w:bookmarkEnd w:id="308"/>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Snail Coins (BVI), Ltd</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09" w:name="xdx_980_eus-gaap--EquityMethodInvestment"/>
            <w:bookmarkEnd w:id="309"/>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Egofold,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10" w:name="xdx_988_eus-gaap--EquityMethodInvestment"/>
            <w:bookmarkEnd w:id="310"/>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Rustic Roost,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11" w:name="xdx_989_eus-gaap--EquityMethodInvestment"/>
            <w:bookmarkEnd w:id="311"/>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both"/>
        <w:rPr>
          <w:caps w:val="false"/>
          <w:smallCaps w:val="false"/>
        </w:rPr>
      </w:pPr>
      <w:bookmarkStart w:id="312" w:name="xdx_8A6_z54GbB1JPt99"/>
      <w:bookmarkEnd w:id="31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incorporated wholly owned subsidiaries to facilitate future business operations and strategic initiatives. All intercompany accounts, transactions, and profits have been eliminated upon consolidation.</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 2026, the Company effected a </w:t>
      </w:r>
      <w:bookmarkStart w:id="313" w:name="xdx_901_eus-gaap--StockholdersEquityReve"/>
      <w:bookmarkEnd w:id="313"/>
      <w:r>
        <w:rPr>
          <w:rFonts w:ascii="Times New Roman;Times;Serif" w:hAnsi="Times New Roman;Times;Serif"/>
          <w:b w:val="false"/>
          <w:i w:val="false"/>
          <w:caps w:val="false"/>
          <w:smallCaps w:val="false"/>
          <w:sz w:val="20"/>
        </w:rPr>
        <w:t>1-for-5 reverse stock split of its Class A and Class B common stock (the “Reverse Stock Split”). All share and per-share amounts for all periods presented in these condensed consolidated financial statements have been retroactively adjusted to give effect to the Reverse Stock Split. The Reverse Stock Split did not change the par value per share of the Company’s common stock or the number of authorized shares of Class A or Class B common stock. The Company proportionately adjusted the number of shares underlying outstanding stock options, restricted stock units, warrants, and convertible notes, as well as the number of shares reserved for future issuance under the Company’s equity incentive plan, to reflect the Reverse Stock Split. No fractional shares were issued in connection with the Reverse Stock Split. Stockholders who would otherwise have been entitled to a fractional share received a cash payment in lieu thereof.</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preparation of condensed consolidated financial statements in conformity with U.S. GAAP requires the Company to make estimates and assumptions that affect the amounts reported in our consolidated financial statements and the accompanying notes. Such estimates include revenue recognition, see Note 2 – </w:t>
      </w:r>
      <w:r>
        <w:rPr>
          <w:rFonts w:ascii="Times New Roman;Times;Serif" w:hAnsi="Times New Roman;Times;Serif"/>
          <w:b w:val="false"/>
          <w:i/>
          <w:caps w:val="false"/>
          <w:smallCaps w:val="false"/>
          <w:sz w:val="20"/>
        </w:rPr>
        <w:t>Revenue Recognition</w:t>
      </w:r>
      <w:r>
        <w:rPr>
          <w:rFonts w:ascii="Times New Roman;Times;Serif" w:hAnsi="Times New Roman;Times;Serif"/>
          <w:b w:val="false"/>
          <w:i w:val="false"/>
          <w:caps w:val="false"/>
          <w:smallCaps w:val="false"/>
          <w:sz w:val="20"/>
        </w:rPr>
        <w:t>, provisions for credit losses, deferred income tax assets and associated valuation allowances, deferred revenue, stock-based compensation, the fair value of warrants and convertible debt.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314" w:name="xdx_90A_eus-gaap--NumberOfOperatingSegme"/>
      <w:bookmarkStart w:id="315" w:name="xdx_906_eus-gaap--NumberOfReportableSegm"/>
      <w:bookmarkEnd w:id="314"/>
      <w:bookmarkEnd w:id="315"/>
      <w:r>
        <w:rPr>
          <w:rFonts w:ascii="Times New Roman;Times;Serif" w:hAnsi="Times New Roman;Times;Serif"/>
          <w:b w:val="false"/>
          <w:i w:val="false"/>
          <w:caps w:val="false"/>
          <w:smallCaps w:val="false"/>
          <w:sz w:val="20"/>
        </w:rPr>
        <w:t xml:space="preserve">one operating and reportable segment. Our operations involve similar products and customers worldwide. Revenue earned is primarily derived from the sale of software titles, which are developed internally or licensed from related and third parties. No internally developed software costs were capitalized during the six months ended June 30, 2026. Financial information about our geographic regions is included in Note 3 –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 xml:space="preserve">and information about our reportable operating segment is included in Note 18 – </w:t>
      </w:r>
      <w:r>
        <w:rPr>
          <w:rFonts w:ascii="Times New Roman;Times;Serif" w:hAnsi="Times New Roman;Times;Serif"/>
          <w:b w:val="false"/>
          <w:i/>
          <w:caps w:val="false"/>
          <w:smallCaps w:val="false"/>
          <w:sz w:val="20"/>
        </w:rPr>
        <w:t>Operating Segments</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16" w:name="xdx_808_eus-gaap--SignificantAccountingP"/>
      <w:bookmarkEnd w:id="316"/>
      <w:r>
        <w:rPr>
          <w:rFonts w:ascii="Times New Roman;Times;Serif" w:hAnsi="Times New Roman;Times;Serif"/>
          <w:b/>
          <w:i w:val="false"/>
          <w:caps w:val="false"/>
          <w:smallCaps w:val="false"/>
          <w:sz w:val="20"/>
        </w:rPr>
        <w:t xml:space="preserve">NOTE 2 – </w:t>
      </w:r>
      <w:bookmarkStart w:id="317" w:name="xdx_823_zt7InSi5hEvg"/>
      <w:bookmarkEnd w:id="317"/>
      <w:r>
        <w:rPr>
          <w:rFonts w:ascii="Times New Roman;Times;Serif" w:hAnsi="Times New Roman;Times;Serif"/>
          <w:b/>
          <w:i w:val="false"/>
          <w:caps w:val="false"/>
          <w:smallCaps w:val="false"/>
          <w:sz w:val="20"/>
        </w:rPr>
        <w:t>SUMMARY OF SIGNIFICANT ACCOUNTING POLICIES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bookmarkStart w:id="318" w:name="xdx_84F_eus-gaap--RevenueRecognitionPoli"/>
      <w:bookmarkEnd w:id="318"/>
      <w:r>
        <w:rPr>
          <w:rFonts w:ascii="Times New Roman;Times;Serif" w:hAnsi="Times New Roman;Times;Serif"/>
          <w:b/>
          <w:i/>
          <w:caps w:val="false"/>
          <w:smallCaps w:val="false"/>
          <w:sz w:val="20"/>
        </w:rPr>
        <w:t>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publishing of software games sold digitally and through physical discs (e.g., packaged goods), the publishing of separate downloadable content that are new feature releases to existing digital full-game downloads that are sold digitally, and in-app purchases of virtual goods used by players of its free-to-play mobile games. When control of the promised products and services is transferred to the end users, the Company recognizes revenue in the amount that reflects the consideration it expects to receive in exchange for these products and services. Revenue from delivery of products is recognized at a point in time when the intellectual property is made available to the third-party platform.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the standalone selling price for its technical support performance obligation using the cost-plus-margin approach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determines the proportion of total technical support activity attributable to its games based on historical data. The Company then uses a per-unit cost determination to allocate technical support costs over an estimated service period of five years, the expected life of the user. The resulting per-unit cost is increased by a reasonable margin percentage to arrive at the per unit price of the Company’s technical support obligations.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whether it acts as principal or agent in each transaction, considering factors such as contractual terms, primary responsibility for fulfilling the promise to deliver the product, and discretion in pricing. The Company is a publisher of games, developed by SDE Inc. (“SDE”), a related party, and sells to its customers including Microsoft’s Xbox Live, Sony’s PlayStation Network, Valve’s Steam, Epic Games Store, My Nintendo Store and retail distributors. Under this arrangement, the Company licenses intellectual property rights from SDE. The Company serves as the principal for the publisher of games in its arrangement with SDE, recognizing revenue on a gross basis. The Company’s mobile games are developed by Suzhou Snail, a related party. For these mobile games sales sold via Apple’s App Store and the Google Play Store, the Company has discretion in establishing the price for the specified good or service and it has determined that the Company is the principal to the end user and thus reports revenue on a gross basis. The Company serves as the principal of games in its arrangement with Suzhou Snail.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virtual goods that the Company sells to players of its free-to-play mobile-games, include virtual currency or in-game purchases of additional game play functionality. For virtual goods, the satisfaction of the Company’s performance obligation is dependent on the nature of the virtual good purchased and as a result, the Company categorizes its virtual goods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Consumable: consumable virtual items represent items that can be consumed by a specific player action. Consumable virtual items do not result in a direct benefit that the player keeps or provide the player any continuing benefit following consumption, and they often enable a player to perform an in-game action immediately. For the sale of consumable virtual items, the Company recognizes revenue ratably over the estimated service period, or as items are consumed, as applicable to the game (i.e., over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Durable: durable virtual items represent items that are accessible to the player over an extended period of time. The Company recognizes revenue from the sale of durable virtual items ratably over the estimated service period for the applicable game (i.e., over time), which represents the Company’s best estimate of the average life of the durable virtual item or the life of the user.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games that were sold in a bundle with downloadable content (“DLC”) that have not yet been launched and been reported in deferred revenue in the condensed consolidated balance sheets, the Company has used the adjusted market assessment approach per Accounting Standards Codification (“ASC”) 606-10-32-34 to assign a value for the Company’s remaining performance obligations. The Company uses the following reasonably available information in developing the standalone selling prices of the performance obligations: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Reasonably available data points, including third party or industry pricing, and contractually stated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such as market demand, competition, market constraints, awareness of the product and market trends.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Entity-specific factors including pricing strategies and objectives, market share and pricing practices for bundled arrangements.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using the following five steps as provided by ASC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1) identify the contract(s) with the customer; 2) identify the performance obligations in each contract; 3) determine the transaction price; 4) allocate the transaction price to the performance obligations; and 5) recognize revenue when, or as, the entity satisfies a performance obligation. The Company’s terms and conditions vary by customers and typically provide payment terms of net </w:t>
      </w:r>
      <w:bookmarkStart w:id="319" w:name="xdx_90D_ecustom--CustomerTerms_dtD_c2026"/>
      <w:bookmarkEnd w:id="319"/>
      <w:r>
        <w:rPr>
          <w:rFonts w:ascii="Times New Roman;Times;Serif" w:hAnsi="Times New Roman;Times;Serif"/>
          <w:b w:val="false"/>
          <w:i w:val="false"/>
          <w:caps w:val="false"/>
          <w:smallCaps w:val="false"/>
          <w:sz w:val="20"/>
        </w:rPr>
        <w:t xml:space="preserve">30 to </w:t>
      </w:r>
      <w:bookmarkStart w:id="320" w:name="xdx_902_ecustom--CustomerTerms_dtD_c2026"/>
      <w:bookmarkEnd w:id="320"/>
      <w:r>
        <w:rPr>
          <w:rFonts w:ascii="Times New Roman;Times;Serif" w:hAnsi="Times New Roman;Times;Serif"/>
          <w:b w:val="false"/>
          <w:i w:val="false"/>
          <w:caps w:val="false"/>
          <w:smallCaps w:val="false"/>
          <w:sz w:val="20"/>
        </w:rPr>
        <w:t>75 days.</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321" w:name="xdx_849_ecustom--ContractBalancePolicyTe"/>
      <w:bookmarkEnd w:id="321"/>
      <w:r>
        <w:rPr>
          <w:rFonts w:ascii="Times New Roman;Times;Serif" w:hAnsi="Times New Roman;Times;Serif"/>
          <w:b/>
          <w:i/>
          <w:caps w:val="false"/>
          <w:smallCaps w:val="false"/>
          <w:sz w:val="20"/>
        </w:rPr>
        <w:t>Contract Balance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when cash payments are received or due in advance of its performance, even if amounts are non-refundable.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is comprised of the transaction price allocable to the Company’s performance obligation on technical support and the sale of virtual goods available for in-app purchase, and payments received from customers prior to launching the games on the platforms. The Company recognizes revenues from the sale of virtual goods either ratably over their estimated service period or as virtual items are consumed, as applicable to the respective game. The Company’s estimated service period for players of the Company’s mobile games is generally 90 days from the date of purchase.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long-term title license agreement with a platform which makes </w:t>
      </w:r>
      <w:r>
        <w:rPr>
          <w:rFonts w:ascii="Times New Roman;Times;Serif" w:hAnsi="Times New Roman;Times;Serif"/>
          <w:b w:val="false"/>
          <w:i/>
          <w:caps w:val="false"/>
          <w:smallCaps w:val="false"/>
          <w:sz w:val="20"/>
        </w:rPr>
        <w:t>ARK 1</w:t>
      </w:r>
      <w:r>
        <w:rPr>
          <w:rFonts w:ascii="Times New Roman;Times;Serif" w:hAnsi="Times New Roman;Times;Serif"/>
          <w:b w:val="false"/>
          <w:i w:val="false"/>
          <w:caps w:val="false"/>
          <w:smallCaps w:val="false"/>
          <w:sz w:val="20"/>
        </w:rPr>
        <w:t xml:space="preserve"> available on the platform in perpetuity, and puts </w:t>
      </w:r>
      <w:r>
        <w:rPr>
          <w:rFonts w:ascii="Times New Roman;Times;Serif" w:hAnsi="Times New Roman;Times;Serif"/>
          <w:b w:val="false"/>
          <w:i/>
          <w:caps w:val="false"/>
          <w:smallCaps w:val="false"/>
          <w:sz w:val="20"/>
        </w:rPr>
        <w:t>ARK II</w:t>
      </w:r>
      <w:r>
        <w:rPr>
          <w:rFonts w:ascii="Times New Roman;Times;Serif" w:hAnsi="Times New Roman;Times;Serif"/>
          <w:b w:val="false"/>
          <w:i w:val="false"/>
          <w:caps w:val="false"/>
          <w:smallCaps w:val="false"/>
          <w:sz w:val="20"/>
        </w:rPr>
        <w:t xml:space="preserve"> on the platform for three years upon release. The Company deferred $</w:t>
      </w:r>
      <w:bookmarkStart w:id="322" w:name="xdx_907_eus-gaap--ContractWithCustomerLi"/>
      <w:bookmarkEnd w:id="322"/>
      <w:r>
        <w:rPr>
          <w:rFonts w:ascii="Times New Roman;Times;Serif" w:hAnsi="Times New Roman;Times;Serif"/>
          <w:b w:val="false"/>
          <w:i w:val="false"/>
          <w:caps w:val="false"/>
          <w:smallCaps w:val="false"/>
          <w:sz w:val="20"/>
        </w:rPr>
        <w:t xml:space="preserve">2.3 million related to </w:t>
      </w:r>
      <w:r>
        <w:rPr>
          <w:rFonts w:ascii="Times New Roman;Times;Serif" w:hAnsi="Times New Roman;Times;Serif"/>
          <w:b w:val="false"/>
          <w:i/>
          <w:caps w:val="false"/>
          <w:smallCaps w:val="false"/>
          <w:sz w:val="20"/>
        </w:rPr>
        <w:t>ARK II</w:t>
      </w:r>
      <w:r>
        <w:rPr>
          <w:rFonts w:ascii="Times New Roman;Times;Serif" w:hAnsi="Times New Roman;Times;Serif"/>
          <w:b w:val="false"/>
          <w:i w:val="false"/>
          <w:caps w:val="false"/>
          <w:smallCaps w:val="false"/>
          <w:sz w:val="20"/>
        </w:rPr>
        <w:t xml:space="preserve"> that is included in the long-term portion of deferred revenue and will be recognized upon the release of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on the platform.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2023, the Company entered into a distribution agreement with its retail distribution partner for the distribution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The initial term was two years and the agreement renews each subsequent year unless it is cancelled. As of June 30, 2026, the Company has deferred $</w:t>
      </w:r>
      <w:bookmarkStart w:id="323" w:name="xdx_909_eus-gaap--ContractWithCustomerLi"/>
      <w:bookmarkEnd w:id="323"/>
      <w:r>
        <w:rPr>
          <w:rFonts w:ascii="Times New Roman;Times;Serif" w:hAnsi="Times New Roman;Times;Serif"/>
          <w:b w:val="false"/>
          <w:i w:val="false"/>
          <w:caps w:val="false"/>
          <w:smallCaps w:val="false"/>
          <w:sz w:val="20"/>
        </w:rPr>
        <w:t xml:space="preserve">1.1 million related to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as short-term deferred revenue until the disc releases occur.</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bookmarkStart w:id="324" w:name="xdx_84B_eus-gaap--RevenueRemainingPerfor"/>
      <w:bookmarkEnd w:id="324"/>
      <w:r>
        <w:rPr>
          <w:rFonts w:ascii="Times New Roman;Times;Serif" w:hAnsi="Times New Roman;Times;Serif"/>
          <w:b/>
          <w:i/>
          <w:caps w:val="false"/>
          <w:smallCaps w:val="false"/>
          <w:sz w:val="20"/>
        </w:rPr>
        <w:t>Estimated Service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certain performance obligations satisfied over time, the Company has determined that the estimated service period is the time period in which an average user plays the Company’s software games (“user life”) which most faithfully depicts the timing of satisfying its performance obligation. The Company considers a variety of data points when determining and subsequently reassessing the estimated service period for players of our software games. The Company also considers publicly available online trends. The estimated service period for </w:t>
      </w:r>
      <w:r>
        <w:rPr>
          <w:rFonts w:ascii="Times New Roman;Times;Serif" w:hAnsi="Times New Roman;Times;Serif"/>
          <w:b w:val="false"/>
          <w:i/>
          <w:caps w:val="false"/>
          <w:smallCaps w:val="false"/>
          <w:sz w:val="20"/>
        </w:rPr>
        <w:t>ARK: Ultimate Mobile Edition</w:t>
      </w:r>
      <w:r>
        <w:rPr>
          <w:rFonts w:ascii="Times New Roman;Times;Serif" w:hAnsi="Times New Roman;Times;Serif"/>
          <w:b w:val="false"/>
          <w:i w:val="false"/>
          <w:caps w:val="false"/>
          <w:smallCaps w:val="false"/>
          <w:sz w:val="20"/>
        </w:rPr>
        <w:t xml:space="preserve"> is approximately three months. This estimate is based on observed gamer behavior, including low 90-day retention rates and keys purchase and consumption trends analyzed using a stratified sampling methodology, which indicates that most gamer activity occurs within two to three months of initial engagement.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this provides a reasonable depiction of the transfer of our game related services to our players, as it is the best representation of the period during which our players play our software games. Future usage patterns may differ from historical usage patterns, and therefore the estimated service period may change in the future. The estimated service periods for players of the Company’s current software games are generally 90 days depending on the software games.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325" w:name="xdx_843_ecustom--ShippingHandlingAndValu"/>
      <w:bookmarkEnd w:id="325"/>
      <w:r>
        <w:rPr>
          <w:rFonts w:ascii="Times New Roman;Times;Serif" w:hAnsi="Times New Roman;Times;Serif"/>
          <w:b/>
          <w:i/>
          <w:caps w:val="false"/>
          <w:smallCaps w:val="false"/>
          <w:sz w:val="20"/>
        </w:rPr>
        <w:t>Shipping, Handling and Value Added Taxes (“VAT”)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distributor is responsible for the shipping of the game discs to retail stores and incurring the shipping and VAT costs. The Company is paid the net sales amount after deducting shipping costs, VAT and other related expenses by the distributor.</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bookmarkStart w:id="326" w:name="xdx_845_eus-gaap--CostOfSalesPolicyTextB"/>
      <w:bookmarkEnd w:id="326"/>
      <w:r>
        <w:rPr>
          <w:rFonts w:ascii="Times New Roman;Times;Serif" w:hAnsi="Times New Roman;Times;Serif"/>
          <w:b/>
          <w:i/>
          <w:caps w:val="false"/>
          <w:smallCaps w:val="false"/>
          <w:sz w:val="20"/>
        </w:rPr>
        <w:t>Cost of Revenues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include software license royalty fees, merchant fees, server and database center costs, game licenses, engine fees and amortization costs. Cost of revenues for the three and six months ended June 30, 2026 and 2025 were comprised of the following:</w:t>
      </w:r>
    </w:p>
    <w:p>
      <w:pPr>
        <w:pStyle w:val="TextBody"/>
        <w:bidi w:val="0"/>
        <w:jc w:val="both"/>
        <w:rPr>
          <w:rFonts w:ascii="Times New Roman;Times;Serif" w:hAnsi="Times New Roman;Times;Serif"/>
          <w:b w:val="false"/>
          <w:i w:val="false"/>
          <w:caps w:val="false"/>
          <w:smallCaps w:val="false"/>
          <w:sz w:val="20"/>
        </w:rPr>
      </w:pPr>
      <w:bookmarkStart w:id="327" w:name="xdx_8B8_zGTiYU8Yjqg3"/>
      <w:bookmarkStart w:id="328" w:name="xdx_892_ecustom--CostOfGoodsAndServicesS"/>
      <w:bookmarkEnd w:id="327"/>
      <w:bookmarkEnd w:id="328"/>
      <w:r>
        <w:rPr>
          <w:rFonts w:ascii="Times New Roman;Times;Serif" w:hAnsi="Times New Roman;Times;Serif"/>
          <w:b w:val="false"/>
          <w:i w:val="false"/>
          <w:caps w:val="false"/>
          <w:smallCaps w:val="false"/>
          <w:sz w:val="20"/>
        </w:rPr>
        <w:t>SCHEDULE OF COST OF REVENUES </w:t>
      </w:r>
    </w:p>
    <w:tbl>
      <w:tblPr>
        <w:tblW w:w="10198" w:type="dxa"/>
        <w:jc w:val="left"/>
        <w:tblInd w:w="0" w:type="dxa"/>
        <w:tblLayout w:type="fixed"/>
        <w:tblCellMar>
          <w:top w:w="0" w:type="dxa"/>
          <w:left w:w="0" w:type="dxa"/>
          <w:bottom w:w="0" w:type="dxa"/>
          <w:right w:w="0" w:type="dxa"/>
        </w:tblCellMar>
      </w:tblPr>
      <w:tblGrid>
        <w:gridCol w:w="3995"/>
        <w:gridCol w:w="60"/>
        <w:gridCol w:w="168"/>
        <w:gridCol w:w="1322"/>
        <w:gridCol w:w="72"/>
        <w:gridCol w:w="72"/>
        <w:gridCol w:w="168"/>
        <w:gridCol w:w="1322"/>
        <w:gridCol w:w="60"/>
        <w:gridCol w:w="60"/>
        <w:gridCol w:w="152"/>
        <w:gridCol w:w="1195"/>
        <w:gridCol w:w="65"/>
        <w:gridCol w:w="65"/>
        <w:gridCol w:w="152"/>
        <w:gridCol w:w="1195"/>
        <w:gridCol w:w="75"/>
      </w:tblGrid>
      <w:tr>
        <w:trPr/>
        <w:tc>
          <w:tcPr>
            <w:tcW w:w="3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29" w:name="xdx_495_20260401__20260630_z3AMgCnc99S9"/>
            <w:bookmarkEnd w:id="329"/>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330" w:name="xdx_49D_20250401__20250630_zYEcWyo6wmPl"/>
            <w:bookmarkEnd w:id="330"/>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31" w:name="xdx_499_20260101__20260630_zq2gcZLht62k"/>
            <w:bookmarkEnd w:id="331"/>
          </w:p>
        </w:tc>
        <w:tc>
          <w:tcPr>
            <w:tcW w:w="13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bookmarkStart w:id="332" w:name="xdx_492_20250101__20250630_z44A2E3UCFLc"/>
            <w:bookmarkEnd w:id="332"/>
          </w:p>
        </w:tc>
        <w:tc>
          <w:tcPr>
            <w:tcW w:w="13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center"/>
              <w:rPr/>
            </w:pPr>
            <w:r>
              <w:rPr/>
              <w:t> </w:t>
            </w:r>
          </w:p>
        </w:tc>
      </w:tr>
      <w:tr>
        <w:trPr/>
        <w:tc>
          <w:tcPr>
            <w:tcW w:w="39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1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7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333" w:name="xdx_407_ecustom--CostSoftwareLicenseRoya"/>
            <w:bookmarkEnd w:id="333"/>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 license royalties – related parties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4,520,564</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5,754,679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10,854,541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11,028,407</w:t>
            </w:r>
          </w:p>
        </w:tc>
        <w:tc>
          <w:tcPr>
            <w:tcW w:w="75" w:type="dxa"/>
            <w:tcBorders/>
            <w:shd w:fill="CCEEFF" w:val="clear"/>
            <w:vAlign w:val="center"/>
          </w:tcPr>
          <w:p>
            <w:pPr>
              <w:pStyle w:val="TableContents"/>
              <w:bidi w:val="0"/>
              <w:spacing w:before="0" w:after="283"/>
              <w:jc w:val="left"/>
              <w:rPr/>
            </w:pPr>
            <w:r>
              <w:rPr/>
              <w:t> </w:t>
            </w:r>
            <w:bookmarkStart w:id="334" w:name="xdx_403_ecustom--CostSoftwareLicenseRoya"/>
            <w:bookmarkEnd w:id="334"/>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 license royalties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48,720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123,909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100,772</w:t>
            </w:r>
          </w:p>
        </w:tc>
        <w:tc>
          <w:tcPr>
            <w:tcW w:w="75" w:type="dxa"/>
            <w:tcBorders/>
            <w:shd w:fill="FFFFFF" w:val="clear"/>
            <w:vAlign w:val="center"/>
          </w:tcPr>
          <w:p>
            <w:pPr>
              <w:pStyle w:val="TableContents"/>
              <w:bidi w:val="0"/>
              <w:spacing w:before="0" w:after="283"/>
              <w:jc w:val="left"/>
              <w:rPr/>
            </w:pPr>
            <w:r>
              <w:rPr/>
              <w:t> </w:t>
            </w:r>
            <w:bookmarkStart w:id="335" w:name="xdx_40A_ecustom--CostLicensingFeesRelate"/>
            <w:bookmarkEnd w:id="335"/>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Licensing fees – related party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4,750,000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11,000,000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12,000,000</w:t>
            </w:r>
          </w:p>
        </w:tc>
        <w:tc>
          <w:tcPr>
            <w:tcW w:w="75" w:type="dxa"/>
            <w:tcBorders/>
            <w:shd w:fill="CCEEFF" w:val="clear"/>
            <w:vAlign w:val="center"/>
          </w:tcPr>
          <w:p>
            <w:pPr>
              <w:pStyle w:val="TableContents"/>
              <w:bidi w:val="0"/>
              <w:spacing w:before="0" w:after="283"/>
              <w:jc w:val="left"/>
              <w:rPr/>
            </w:pPr>
            <w:r>
              <w:rPr/>
              <w:t> </w:t>
            </w:r>
            <w:bookmarkStart w:id="336" w:name="xdx_40E_ecustom--CostLicenseFeesAndAmort"/>
            <w:bookmarkEnd w:id="336"/>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License and amortization</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282,320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618,172</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739,993</w:t>
            </w:r>
          </w:p>
        </w:tc>
        <w:tc>
          <w:tcPr>
            <w:tcW w:w="75" w:type="dxa"/>
            <w:tcBorders/>
            <w:shd w:fill="FFFFFF" w:val="clear"/>
            <w:vAlign w:val="center"/>
          </w:tcPr>
          <w:p>
            <w:pPr>
              <w:pStyle w:val="TableContents"/>
              <w:bidi w:val="0"/>
              <w:spacing w:before="0" w:after="283"/>
              <w:jc w:val="left"/>
              <w:rPr/>
            </w:pPr>
            <w:r>
              <w:rPr/>
              <w:t> </w:t>
            </w:r>
            <w:bookmarkStart w:id="337" w:name="xdx_40E_ecustom--CostMerchantFees_maCOGA"/>
            <w:bookmarkEnd w:id="337"/>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Merchant fees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288,105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616,764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1,039,156</w:t>
            </w:r>
          </w:p>
        </w:tc>
        <w:tc>
          <w:tcPr>
            <w:tcW w:w="75" w:type="dxa"/>
            <w:tcBorders/>
            <w:shd w:fill="CCEEFF" w:val="clear"/>
            <w:vAlign w:val="center"/>
          </w:tcPr>
          <w:p>
            <w:pPr>
              <w:pStyle w:val="TableContents"/>
              <w:bidi w:val="0"/>
              <w:spacing w:before="0" w:after="283"/>
              <w:jc w:val="left"/>
              <w:rPr/>
            </w:pPr>
            <w:r>
              <w:rPr/>
              <w:t> </w:t>
            </w:r>
            <w:bookmarkStart w:id="338" w:name="xdx_40A_ecustom--CostEngineFees_maCOGASz"/>
            <w:bookmarkEnd w:id="338"/>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Engine fees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822,081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945,877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1,832,845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1,758,826</w:t>
            </w:r>
          </w:p>
        </w:tc>
        <w:tc>
          <w:tcPr>
            <w:tcW w:w="75" w:type="dxa"/>
            <w:tcBorders/>
            <w:shd w:fill="FFFFFF" w:val="clear"/>
            <w:vAlign w:val="center"/>
          </w:tcPr>
          <w:p>
            <w:pPr>
              <w:pStyle w:val="TableContents"/>
              <w:bidi w:val="0"/>
              <w:spacing w:before="0" w:after="283"/>
              <w:jc w:val="left"/>
              <w:rPr/>
            </w:pPr>
            <w:r>
              <w:rPr/>
              <w:t> </w:t>
            </w:r>
            <w:bookmarkStart w:id="339" w:name="xdx_40C_ecustom--CostInternetExpense_maC"/>
            <w:bookmarkEnd w:id="339"/>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Internet, server and data center</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1,274,397</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2,565,155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2,763,016</w:t>
            </w:r>
          </w:p>
        </w:tc>
        <w:tc>
          <w:tcPr>
            <w:tcW w:w="75" w:type="dxa"/>
            <w:tcBorders/>
            <w:shd w:fill="CCEEFF" w:val="clear"/>
            <w:vAlign w:val="center"/>
          </w:tcPr>
          <w:p>
            <w:pPr>
              <w:pStyle w:val="TableContents"/>
              <w:bidi w:val="0"/>
              <w:spacing w:before="0" w:after="283"/>
              <w:jc w:val="left"/>
              <w:rPr/>
            </w:pPr>
            <w:r>
              <w:rPr/>
              <w:t> </w:t>
            </w:r>
            <w:bookmarkStart w:id="340" w:name="xdx_40F_ecustom--CostOther_maCOGASz5PP_z"/>
            <w:bookmarkEnd w:id="340"/>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15,492</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64,180</w:t>
            </w:r>
          </w:p>
        </w:tc>
        <w:tc>
          <w:tcPr>
            <w:tcW w:w="75" w:type="dxa"/>
            <w:tcBorders/>
            <w:shd w:fill="FFFFFF" w:val="clear"/>
            <w:vAlign w:val="center"/>
          </w:tcPr>
          <w:p>
            <w:pPr>
              <w:pStyle w:val="TableContents"/>
              <w:bidi w:val="0"/>
              <w:spacing w:before="0" w:after="283"/>
              <w:jc w:val="left"/>
              <w:rPr/>
            </w:pPr>
            <w:r>
              <w:rPr/>
              <w:t> </w:t>
            </w:r>
            <w:bookmarkStart w:id="341" w:name="xdx_404_eus-gaap--CostOfGoodsAndServices"/>
            <w:bookmarkEnd w:id="341"/>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11,988,665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15,231,005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27,626,878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29,494,350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342" w:name="xdx_8A0_zY5OBxlhk5Ea"/>
      <w:bookmarkEnd w:id="342"/>
      <w:r>
        <w:rPr>
          <w:caps w:val="false"/>
          <w:smallCaps w:val="false"/>
        </w:rPr>
        <w:t> </w:t>
      </w:r>
    </w:p>
    <w:p>
      <w:pPr>
        <w:pStyle w:val="TextBody"/>
        <w:bidi w:val="0"/>
        <w:jc w:val="both"/>
        <w:rPr>
          <w:rFonts w:ascii="Times New Roman;Times;Serif" w:hAnsi="Times New Roman;Times;Serif"/>
          <w:b/>
          <w:i/>
          <w:caps w:val="false"/>
          <w:smallCaps w:val="false"/>
          <w:sz w:val="20"/>
        </w:rPr>
      </w:pPr>
      <w:bookmarkStart w:id="343" w:name="xdx_845_eus-gaap--SellingGeneralAndAdmin"/>
      <w:bookmarkEnd w:id="343"/>
      <w:r>
        <w:rPr>
          <w:rFonts w:ascii="Times New Roman;Times;Serif" w:hAnsi="Times New Roman;Times;Serif"/>
          <w:b/>
          <w:i/>
          <w:caps w:val="false"/>
          <w:smallCaps w:val="false"/>
          <w:sz w:val="20"/>
        </w:rPr>
        <w:t>General and Administrative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rent, salaries, stock-based compensation, legal and professional expenses, expenses related to being a publicly traded company, administrative internet and server, contractor costs, insurance expense, licenses and permits, other taxes and travel expenses. These costs are expensed as they are incurred. Stock based compensation (income) expense, included in general and administrative costs, of $</w:t>
      </w:r>
      <w:bookmarkStart w:id="344" w:name="xdx_900_eus-gaap--AllocatedShareBasedCom"/>
      <w:bookmarkEnd w:id="344"/>
      <w:r>
        <w:rPr>
          <w:rFonts w:ascii="Times New Roman;Times;Serif" w:hAnsi="Times New Roman;Times;Serif"/>
          <w:b w:val="false"/>
          <w:i w:val="false"/>
          <w:caps w:val="false"/>
          <w:smallCaps w:val="false"/>
          <w:sz w:val="20"/>
        </w:rPr>
        <w:t>53,465 and ($</w:t>
      </w:r>
      <w:bookmarkStart w:id="345" w:name="xdx_909_eus-gaap--AllocatedShareBasedCom"/>
      <w:bookmarkEnd w:id="345"/>
      <w:r>
        <w:rPr>
          <w:rFonts w:ascii="Times New Roman;Times;Serif" w:hAnsi="Times New Roman;Times;Serif"/>
          <w:b w:val="false"/>
          <w:i w:val="false"/>
          <w:caps w:val="false"/>
          <w:smallCaps w:val="false"/>
          <w:sz w:val="20"/>
        </w:rPr>
        <w:t>530,535) was incurred during the three months ended June 30, 2026 and 2025, respectively. Stock compensation expense, included in general and administrative costs, of $</w:t>
      </w:r>
      <w:bookmarkStart w:id="346" w:name="xdx_902_eus-gaap--AllocatedShareBasedCom"/>
      <w:bookmarkEnd w:id="346"/>
      <w:r>
        <w:rPr>
          <w:rFonts w:ascii="Times New Roman;Times;Serif" w:hAnsi="Times New Roman;Times;Serif"/>
          <w:b w:val="false"/>
          <w:i w:val="false"/>
          <w:caps w:val="false"/>
          <w:smallCaps w:val="false"/>
          <w:sz w:val="20"/>
        </w:rPr>
        <w:t>95,556 and $</w:t>
      </w:r>
      <w:bookmarkStart w:id="347" w:name="xdx_902_eus-gaap--AllocatedShareBasedCom"/>
      <w:bookmarkEnd w:id="347"/>
      <w:r>
        <w:rPr>
          <w:rFonts w:ascii="Times New Roman;Times;Serif" w:hAnsi="Times New Roman;Times;Serif"/>
          <w:b w:val="false"/>
          <w:i w:val="false"/>
          <w:caps w:val="false"/>
          <w:smallCaps w:val="false"/>
          <w:sz w:val="20"/>
        </w:rPr>
        <w:t>257,642 was incurred during the six months ended June 30, 2026, and 2025, respectively.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bookmarkStart w:id="348" w:name="xdx_845_eus-gaap--ResearchAndDevelopment"/>
      <w:bookmarkEnd w:id="348"/>
      <w:r>
        <w:rPr>
          <w:rFonts w:ascii="Times New Roman;Times;Serif" w:hAnsi="Times New Roman;Times;Serif"/>
          <w:b/>
          <w:i/>
          <w:caps w:val="false"/>
          <w:smallCaps w:val="false"/>
          <w:sz w:val="20"/>
        </w:rPr>
        <w:t>Research and Development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Research and development costs include travel, payroll, and other general expenses specific to research and development activities. Stock-based compensation (income) expense, included in research and development costs, of $</w:t>
      </w:r>
      <w:bookmarkStart w:id="349" w:name="xdx_900_eus-gaap--AllocatedShareBasedCom"/>
      <w:bookmarkEnd w:id="349"/>
      <w:r>
        <w:rPr>
          <w:rFonts w:ascii="Times New Roman;Times;Serif" w:hAnsi="Times New Roman;Times;Serif"/>
          <w:b w:val="false"/>
          <w:i w:val="false"/>
          <w:caps w:val="false"/>
          <w:smallCaps w:val="false"/>
          <w:sz w:val="20"/>
        </w:rPr>
        <w:t>2,785 and ($</w:t>
      </w:r>
      <w:bookmarkStart w:id="350" w:name="xdx_903_eus-gaap--AllocatedShareBasedCom"/>
      <w:bookmarkEnd w:id="350"/>
      <w:r>
        <w:rPr>
          <w:rFonts w:ascii="Times New Roman;Times;Serif" w:hAnsi="Times New Roman;Times;Serif"/>
          <w:b w:val="false"/>
          <w:i w:val="false"/>
          <w:caps w:val="false"/>
          <w:smallCaps w:val="false"/>
          <w:sz w:val="20"/>
        </w:rPr>
        <w:t>32,196) was incurred during the three months ended June 30, 2026 and 2025, respectively. Stock-based compensation expense, included in research and development costs, of $</w:t>
      </w:r>
      <w:bookmarkStart w:id="351" w:name="xdx_904_eus-gaap--AllocatedShareBasedCom"/>
      <w:bookmarkEnd w:id="351"/>
      <w:r>
        <w:rPr>
          <w:rFonts w:ascii="Times New Roman;Times;Serif" w:hAnsi="Times New Roman;Times;Serif"/>
          <w:b w:val="false"/>
          <w:i w:val="false"/>
          <w:caps w:val="false"/>
          <w:smallCaps w:val="false"/>
          <w:sz w:val="20"/>
        </w:rPr>
        <w:t>5,574 and $</w:t>
      </w:r>
      <w:bookmarkStart w:id="352" w:name="xdx_90D_eus-gaap--AllocatedShareBasedCom"/>
      <w:bookmarkEnd w:id="352"/>
      <w:r>
        <w:rPr>
          <w:rFonts w:ascii="Times New Roman;Times;Serif" w:hAnsi="Times New Roman;Times;Serif"/>
          <w:b w:val="false"/>
          <w:i w:val="false"/>
          <w:caps w:val="false"/>
          <w:smallCaps w:val="false"/>
          <w:sz w:val="20"/>
        </w:rPr>
        <w:t>23,246 was incurred during the six months ended June 30, 2026 and 2025, respectively.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bookmarkStart w:id="353" w:name="xdx_84D_eus-gaap--AdvertisingCostsPolicy"/>
      <w:bookmarkEnd w:id="353"/>
      <w:r>
        <w:rPr>
          <w:rFonts w:ascii="Times New Roman;Times;Serif" w:hAnsi="Times New Roman;Times;Serif"/>
          <w:b/>
          <w:i/>
          <w:caps w:val="false"/>
          <w:smallCaps w:val="false"/>
          <w:sz w:val="20"/>
        </w:rPr>
        <w:t>Advertising and Marketing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and marketing costs as incurred. For the three months ended June 30, 2026 and 2025, advertising and marketing expenses totaled $</w:t>
      </w:r>
      <w:bookmarkStart w:id="354" w:name="xdx_909_eus-gaap--MarketingAndAdvertisin"/>
      <w:bookmarkEnd w:id="354"/>
      <w:r>
        <w:rPr>
          <w:rFonts w:ascii="Times New Roman;Times;Serif" w:hAnsi="Times New Roman;Times;Serif"/>
          <w:b w:val="false"/>
          <w:i w:val="false"/>
          <w:caps w:val="false"/>
          <w:smallCaps w:val="false"/>
          <w:sz w:val="20"/>
        </w:rPr>
        <w:t>814,705 and $</w:t>
      </w:r>
      <w:bookmarkStart w:id="355" w:name="xdx_904_eus-gaap--MarketingAndAdvertisin"/>
      <w:bookmarkEnd w:id="355"/>
      <w:r>
        <w:rPr>
          <w:rFonts w:ascii="Times New Roman;Times;Serif" w:hAnsi="Times New Roman;Times;Serif"/>
          <w:b w:val="false"/>
          <w:i w:val="false"/>
          <w:caps w:val="false"/>
          <w:smallCaps w:val="false"/>
          <w:sz w:val="20"/>
        </w:rPr>
        <w:t>1,520,201, respectively. For the six months ended June 30, 2026 and 2025, advertising and marketing expenses totaled $</w:t>
      </w:r>
      <w:bookmarkStart w:id="356" w:name="xdx_90C_eus-gaap--MarketingAndAdvertisin"/>
      <w:bookmarkEnd w:id="356"/>
      <w:r>
        <w:rPr>
          <w:rFonts w:ascii="Times New Roman;Times;Serif" w:hAnsi="Times New Roman;Times;Serif"/>
          <w:b w:val="false"/>
          <w:i w:val="false"/>
          <w:caps w:val="false"/>
          <w:smallCaps w:val="false"/>
          <w:sz w:val="20"/>
        </w:rPr>
        <w:t>1,683,494 and $</w:t>
      </w:r>
      <w:bookmarkStart w:id="357" w:name="xdx_909_eus-gaap--MarketingAndAdvertisin"/>
      <w:bookmarkEnd w:id="357"/>
      <w:r>
        <w:rPr>
          <w:rFonts w:ascii="Times New Roman;Times;Serif" w:hAnsi="Times New Roman;Times;Serif"/>
          <w:b w:val="false"/>
          <w:i w:val="false"/>
          <w:caps w:val="false"/>
          <w:smallCaps w:val="false"/>
          <w:sz w:val="20"/>
        </w:rPr>
        <w:t>2,826,567, respectively.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bookmarkStart w:id="358" w:name="xdx_846_eus-gaap--PropertyPlantAndEquipm"/>
      <w:bookmarkEnd w:id="358"/>
      <w:r>
        <w:rPr>
          <w:rFonts w:ascii="Times New Roman;Times;Serif" w:hAnsi="Times New Roman;Times;Serif"/>
          <w:b/>
          <w:i/>
          <w:caps w:val="false"/>
          <w:smallCaps w:val="false"/>
          <w:sz w:val="20"/>
        </w:rPr>
        <w:t>Impairment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intangible assets, including game licenses, software, and film assets, for impairment when events or circumstances indicate the carrying amount may not be recoverable, and recognizes an impairment loss for the amount by which the carrying value exceeds the asset’s fair value. For the three months ended June 30, 2026 and 2025, impairment expenses were $</w:t>
      </w:r>
      <w:bookmarkStart w:id="359" w:name="xdx_901_eus-gaap--AssetImpairmentCharges"/>
      <w:bookmarkEnd w:id="359"/>
      <w:r>
        <w:rPr>
          <w:rFonts w:ascii="Times New Roman;Times;Serif" w:hAnsi="Times New Roman;Times;Serif"/>
          <w:b w:val="false"/>
          <w:i w:val="false"/>
          <w:caps w:val="false"/>
          <w:smallCaps w:val="false"/>
          <w:sz w:val="20"/>
        </w:rPr>
        <w:t>96,838 and $</w:t>
      </w:r>
      <w:bookmarkStart w:id="360" w:name="xdx_90F_eus-gaap--AssetImpairmentCharges"/>
      <w:bookmarkEnd w:id="360"/>
      <w:r>
        <w:rPr>
          <w:rFonts w:ascii="Times New Roman;Times;Serif" w:hAnsi="Times New Roman;Times;Serif"/>
          <w:b w:val="false"/>
          <w:i w:val="false"/>
          <w:caps w:val="false"/>
          <w:smallCaps w:val="false"/>
          <w:sz w:val="20"/>
        </w:rPr>
        <w:t>415,719, respectively. For the six months ended June 30, 2026 and 2025, impairment expenses were $</w:t>
      </w:r>
      <w:bookmarkStart w:id="361" w:name="xdx_90E_eus-gaap--AssetImpairmentCharges"/>
      <w:bookmarkEnd w:id="361"/>
      <w:r>
        <w:rPr>
          <w:rFonts w:ascii="Times New Roman;Times;Serif" w:hAnsi="Times New Roman;Times;Serif"/>
          <w:b w:val="false"/>
          <w:i w:val="false"/>
          <w:caps w:val="false"/>
          <w:smallCaps w:val="false"/>
          <w:sz w:val="20"/>
        </w:rPr>
        <w:t>165,987 and $</w:t>
      </w:r>
      <w:bookmarkStart w:id="362" w:name="xdx_906_eus-gaap--AssetImpairmentCharges"/>
      <w:bookmarkEnd w:id="362"/>
      <w:r>
        <w:rPr>
          <w:rFonts w:ascii="Times New Roman;Times;Serif" w:hAnsi="Times New Roman;Times;Serif"/>
          <w:b w:val="false"/>
          <w:i w:val="false"/>
          <w:caps w:val="false"/>
          <w:smallCaps w:val="false"/>
          <w:sz w:val="20"/>
        </w:rPr>
        <w:t>415,719, respectively.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bookmarkStart w:id="363" w:name="xdx_849_ecustom--NonControllingInterestP"/>
      <w:bookmarkEnd w:id="363"/>
      <w:r>
        <w:rPr>
          <w:rFonts w:ascii="Times New Roman;Times;Serif" w:hAnsi="Times New Roman;Times;Serif"/>
          <w:b/>
          <w:i/>
          <w:caps w:val="false"/>
          <w:smallCaps w:val="false"/>
          <w:sz w:val="20"/>
        </w:rPr>
        <w:t>Non-controlling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on the condensed consolidated balance sheets and condensed consolidated statements of operations and comprehensive loss include the equity allocated to non-controlling interest holders. As of June 30, 2026 and December 31, 2025, there were non-controlling interests with the following subsidiaries: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364" w:name="xdx_8BA_zfGbkb0kmkki"/>
      <w:bookmarkStart w:id="365" w:name="xdx_895_ecustom--ScheduleOfEquityInteres"/>
      <w:bookmarkEnd w:id="364"/>
      <w:bookmarkEnd w:id="365"/>
      <w:r>
        <w:rPr>
          <w:rFonts w:ascii="Times New Roman;Times;Serif" w:hAnsi="Times New Roman;Times;Serif"/>
          <w:b w:val="false"/>
          <w:i w:val="false"/>
          <w:caps w:val="false"/>
          <w:smallCaps w:val="false"/>
          <w:sz w:val="20"/>
        </w:rPr>
        <w:t>SCHEDULE OF EQUITY INTEREST AND NON CONTROLLING INTEREST IN SUBSIDIARIES</w:t>
      </w:r>
    </w:p>
    <w:tbl>
      <w:tblPr>
        <w:tblW w:w="5738" w:type="dxa"/>
        <w:jc w:val="left"/>
        <w:tblInd w:w="0" w:type="dxa"/>
        <w:tblLayout w:type="fixed"/>
        <w:tblCellMar>
          <w:top w:w="0" w:type="dxa"/>
          <w:left w:w="0" w:type="dxa"/>
          <w:bottom w:w="28" w:type="dxa"/>
          <w:right w:w="0" w:type="dxa"/>
        </w:tblCellMar>
      </w:tblPr>
      <w:tblGrid>
        <w:gridCol w:w="2120"/>
        <w:gridCol w:w="60"/>
        <w:gridCol w:w="300"/>
        <w:gridCol w:w="1159"/>
        <w:gridCol w:w="185"/>
        <w:gridCol w:w="60"/>
        <w:gridCol w:w="283"/>
        <w:gridCol w:w="1371"/>
        <w:gridCol w:w="200"/>
      </w:tblGrid>
      <w:tr>
        <w:trPr/>
        <w:tc>
          <w:tcPr>
            <w:tcW w:w="21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 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 Owned</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Innovation Institute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66" w:name="xdx_90E_eus-gaap--MinorityInterestOwners"/>
            <w:bookmarkStart w:id="367" w:name="xdx_907_eus-gaap--MinorityInterestOwners"/>
            <w:bookmarkEnd w:id="366"/>
            <w:bookmarkEnd w:id="367"/>
            <w:r>
              <w:rPr>
                <w:rFonts w:ascii="Times New Roman;Times;Serif" w:hAnsi="Times New Roman;Times;Serif"/>
                <w:b w:val="false"/>
                <w:i w:val="false"/>
                <w:caps w:val="false"/>
                <w:smallCaps w:val="false"/>
                <w:sz w:val="20"/>
              </w:rPr>
              <w:t>70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68" w:name="xdx_90B_eus-gaap--MinorityInterestOwners"/>
            <w:bookmarkStart w:id="369" w:name="xdx_903_eus-gaap--MinorityInterestOwners"/>
            <w:bookmarkEnd w:id="368"/>
            <w:bookmarkEnd w:id="369"/>
            <w:r>
              <w:rPr>
                <w:rFonts w:ascii="Times New Roman;Times;Serif" w:hAnsi="Times New Roman;Times;Serif"/>
                <w:b w:val="false"/>
                <w:i w:val="false"/>
                <w:caps w:val="false"/>
                <w:smallCaps w:val="false"/>
                <w:sz w:val="20"/>
              </w:rPr>
              <w:t>30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BTBX.IO,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70" w:name="xdx_90C_eus-gaap--MinorityInterestOwners"/>
            <w:bookmarkStart w:id="371" w:name="xdx_908_eus-gaap--MinorityInterestOwners"/>
            <w:bookmarkEnd w:id="370"/>
            <w:bookmarkEnd w:id="371"/>
            <w:r>
              <w:rPr>
                <w:rFonts w:ascii="Times New Roman;Times;Serif" w:hAnsi="Times New Roman;Times;Serif"/>
                <w:b w:val="false"/>
                <w:i w:val="false"/>
                <w:caps w:val="false"/>
                <w:smallCaps w:val="false"/>
                <w:sz w:val="20"/>
              </w:rPr>
              <w:t>70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bookmarkStart w:id="372" w:name="xdx_902_eus-gaap--MinorityInterestOwners"/>
            <w:bookmarkStart w:id="373" w:name="xdx_90E_eus-gaap--MinorityInterestOwners"/>
            <w:bookmarkEnd w:id="372"/>
            <w:bookmarkEnd w:id="373"/>
            <w:r>
              <w:rPr>
                <w:rFonts w:ascii="Times New Roman;Times;Serif" w:hAnsi="Times New Roman;Times;Serif"/>
                <w:b w:val="false"/>
                <w:i w:val="false"/>
                <w:caps w:val="false"/>
                <w:smallCaps w:val="false"/>
                <w:sz w:val="20"/>
              </w:rPr>
              <w:t>30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Donkey Crew,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74" w:name="xdx_905_eus-gaap--MinorityInterestOwners"/>
            <w:bookmarkStart w:id="375" w:name="xdx_908_eus-gaap--MinorityInterestOwners"/>
            <w:bookmarkEnd w:id="374"/>
            <w:bookmarkEnd w:id="375"/>
            <w:r>
              <w:rPr>
                <w:rFonts w:ascii="Times New Roman;Times;Serif" w:hAnsi="Times New Roman;Times;Serif"/>
                <w:b w:val="false"/>
                <w:i w:val="false"/>
                <w:caps w:val="false"/>
                <w:smallCaps w:val="false"/>
                <w:sz w:val="20"/>
              </w:rPr>
              <w:t>99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76" w:name="xdx_900_eus-gaap--MinorityInterestOwners"/>
            <w:bookmarkStart w:id="377" w:name="xdx_90E_eus-gaap--MinorityInterestOwners"/>
            <w:bookmarkEnd w:id="376"/>
            <w:bookmarkEnd w:id="377"/>
            <w:r>
              <w:rPr>
                <w:rFonts w:ascii="Times New Roman;Times;Serif" w:hAnsi="Times New Roman;Times;Serif"/>
                <w:b w:val="false"/>
                <w:i w:val="false"/>
                <w:caps w:val="false"/>
                <w:smallCaps w:val="false"/>
                <w:sz w:val="20"/>
              </w:rPr>
              <w:t>1</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both"/>
        <w:rPr>
          <w:caps w:val="false"/>
          <w:smallCaps w:val="false"/>
        </w:rPr>
      </w:pPr>
      <w:bookmarkStart w:id="378" w:name="xdx_8A9_zudjaSfqyEU3"/>
      <w:bookmarkEnd w:id="378"/>
      <w:r>
        <w:rPr>
          <w:caps w:val="false"/>
          <w:smallCaps w:val="false"/>
        </w:rPr>
        <w:t> </w:t>
      </w:r>
    </w:p>
    <w:p>
      <w:pPr>
        <w:pStyle w:val="TextBody"/>
        <w:bidi w:val="0"/>
        <w:jc w:val="both"/>
        <w:rPr>
          <w:rFonts w:ascii="Times New Roman;Times;Serif" w:hAnsi="Times New Roman;Times;Serif"/>
          <w:b/>
          <w:i/>
          <w:caps w:val="false"/>
          <w:smallCaps w:val="false"/>
          <w:sz w:val="20"/>
        </w:rPr>
      </w:pPr>
      <w:bookmarkStart w:id="379" w:name="xdx_844_eus-gaap--CashAndCashEquivalents"/>
      <w:bookmarkEnd w:id="379"/>
      <w:r>
        <w:rPr>
          <w:rFonts w:ascii="Times New Roman;Times;Serif" w:hAnsi="Times New Roman;Times;Serif"/>
          <w:b/>
          <w:i/>
          <w:caps w:val="false"/>
          <w:smallCaps w:val="false"/>
          <w:sz w:val="20"/>
        </w:rPr>
        <w:t>Cash and Cash Equivalents and Restricted Cash and Cash Equivalents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available for use in current operations or other activities such as capital expenditures and business combinations. Restricted cash and cash equivalents are time deposits, that are currently provided as a standby letter of credit to landlords and collateral held in reserve related to the Company’s revolving line of credit. The Company’s policy for determining whether an item is treated as cash, or a cash equivalent, is based on its original maturity, liquidity, and risk profile. Investments with maturities of three months or less, are highly liquid and have insignificant risk are considered to be cash equivalents.</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380" w:name="xdx_844_eus-gaap--TradeAndOtherAccountsR"/>
      <w:bookmarkEnd w:id="380"/>
      <w:r>
        <w:rPr>
          <w:rFonts w:ascii="Times New Roman;Times;Serif" w:hAnsi="Times New Roman;Times;Serif"/>
          <w:b/>
          <w:i/>
          <w:caps w:val="false"/>
          <w:smallCaps w:val="false"/>
          <w:sz w:val="20"/>
        </w:rPr>
        <w:t>Accounts Receivable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records a receivable related to revenue when it has an unconditional right to invoice and receive payment. Accounts receivable are carried at original invoice amount less an allowance made for credit losses. The Company uses a combination of quantitative and qualitative risk factors to estimate the allowance, including an analysis of the customers’ creditworthiness, historical experience, age of current accounts receivable balances, changes in financial condition or payment terms of our customers, and reasonable forecasts of the collectability of the accounts receivable. The Company evaluates the allowance for credit losses on a periodic basis and adjusts it as necessary based on the risk factors mentioned above. Any increase in the provision for credit losses is recorded as a charge to general and administrative expense in the current period. Any amounts deemed uncollectible are written off against the allowance for credit losses. Management judgment is required to estimate our allowance for credit losses in any accounting period. The amount and timing of our credit losses and cash collection could change significantly because of a change in any of the risk factors mentioned above. There were no credit losses recognized during the three and six months ended June 30, 2026 and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381" w:name="xdx_842_eus-gaap--GoodwillAndIntangibleA"/>
      <w:bookmarkEnd w:id="381"/>
      <w:r>
        <w:rPr>
          <w:rFonts w:ascii="Times New Roman;Times;Serif" w:hAnsi="Times New Roman;Times;Serif"/>
          <w:b/>
          <w:i/>
          <w:caps w:val="false"/>
          <w:smallCaps w:val="false"/>
          <w:sz w:val="20"/>
        </w:rPr>
        <w:t>Intangible Assets – License Usage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license agreements with third-party developers and related party developers that require the Company to make payments for license usage rights and game development and production services. These license agreements grant the Company the exclusive publishing and distribution rights to game titles as well as, in some cases, the underlying intellectual property rights. These license agreements also specify the payment schedules, royalty rates and the relevant licensing period. The Company capitalizes the cost of license usage rights as intangible assets and amortizes them over the terms of the respective licensing rights. During the three months ended June 30, 2026 and 2025, the Company capitalized $</w:t>
      </w:r>
      <w:bookmarkStart w:id="382" w:name="xdx_906_ecustom--LicenseUsageCostsWithin"/>
      <w:bookmarkEnd w:id="382"/>
      <w:r>
        <w:rPr>
          <w:rFonts w:ascii="Times New Roman;Times;Serif" w:hAnsi="Times New Roman;Times;Serif"/>
          <w:b w:val="false"/>
          <w:i w:val="false"/>
          <w:caps w:val="false"/>
          <w:smallCaps w:val="false"/>
          <w:sz w:val="20"/>
        </w:rPr>
        <w:t>236,231 and $</w:t>
      </w:r>
      <w:bookmarkStart w:id="383" w:name="xdx_908_ecustom--LicenseUsageCostsWithin"/>
      <w:bookmarkEnd w:id="383"/>
      <w:r>
        <w:rPr>
          <w:rFonts w:ascii="Times New Roman;Times;Serif" w:hAnsi="Times New Roman;Times;Serif"/>
          <w:b w:val="false"/>
          <w:i w:val="false"/>
          <w:caps w:val="false"/>
          <w:smallCaps w:val="false"/>
          <w:sz w:val="20"/>
        </w:rPr>
        <w:t>1,399,466 of license usage costs within intangible assets, net, respectively. During the six months ended June 30, 2026 and 2025, the Company capitalized $</w:t>
      </w:r>
      <w:bookmarkStart w:id="384" w:name="xdx_90E_ecustom--LicenseUsageCostsWithin"/>
      <w:bookmarkEnd w:id="384"/>
      <w:r>
        <w:rPr>
          <w:rFonts w:ascii="Times New Roman;Times;Serif" w:hAnsi="Times New Roman;Times;Serif"/>
          <w:b w:val="false"/>
          <w:i w:val="false"/>
          <w:caps w:val="false"/>
          <w:smallCaps w:val="false"/>
          <w:sz w:val="20"/>
        </w:rPr>
        <w:t>406,870 and $</w:t>
      </w:r>
      <w:bookmarkStart w:id="385" w:name="xdx_901_ecustom--LicenseUsageCostsWithin"/>
      <w:bookmarkEnd w:id="385"/>
      <w:r>
        <w:rPr>
          <w:rFonts w:ascii="Times New Roman;Times;Serif" w:hAnsi="Times New Roman;Times;Serif"/>
          <w:b w:val="false"/>
          <w:i w:val="false"/>
          <w:caps w:val="false"/>
          <w:smallCaps w:val="false"/>
          <w:sz w:val="20"/>
        </w:rPr>
        <w:t>2,620,209 of license usage costs within intangible assets, net,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386" w:name="xdx_845_eus-gaap--FilmCostsPolicyPolicyT"/>
      <w:bookmarkEnd w:id="386"/>
      <w:r>
        <w:rPr>
          <w:rFonts w:ascii="Times New Roman;Times;Serif" w:hAnsi="Times New Roman;Times;Serif"/>
          <w:b/>
          <w:i/>
          <w:caps w:val="false"/>
          <w:smallCaps w:val="false"/>
          <w:sz w:val="20"/>
        </w:rPr>
        <w:t>Film Costs,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costs to produce short videos in accordance with Financial Accounting Standards Board (“FASB”) ASC Topic 926, including direct production costs, production overhead, interest, acquisition costs and development costs. The Company will account for each episodic series as a unit for which capitalized film costs will be amortized by the Company using the individual-film forecast-computation method. Each reporting period the Company will reassess its estimate of ultimate revenues used to determine the amortization rate for each episodic series. If the estimate is revised, the Company will account for the change prospectively. The Company will then remeasure the amortization based on the portion of ultimate revenues that have been recognized and that are yet to be recognized. Unamortized film costs shall be tested for impairment whenever events or changes in circumstances indicate that fair value of the film may be less than its unamortized film costs. If the fair value of an episodic series is less than its unamortized film costs, the Company will write off the excess amount. The Company groups its film and content rights by monetization strategy. As of June 30, 2026 and December 31, 2025, $</w:t>
      </w:r>
      <w:bookmarkStart w:id="387" w:name="xdx_90F_eus-gaap--IncreaseDecreaseInFilm"/>
      <w:bookmarkEnd w:id="387"/>
      <w:r>
        <w:rPr>
          <w:rFonts w:ascii="Times New Roman;Times;Serif" w:hAnsi="Times New Roman;Times;Serif"/>
          <w:b w:val="false"/>
          <w:i w:val="false"/>
          <w:caps w:val="false"/>
          <w:smallCaps w:val="false"/>
          <w:sz w:val="20"/>
        </w:rPr>
        <w:t>77,428 and $</w:t>
      </w:r>
      <w:bookmarkStart w:id="388" w:name="xdx_903_eus-gaap--IncreaseDecreaseInFilm"/>
      <w:bookmarkEnd w:id="388"/>
      <w:r>
        <w:rPr>
          <w:rFonts w:ascii="Times New Roman;Times;Serif" w:hAnsi="Times New Roman;Times;Serif"/>
          <w:b w:val="false"/>
          <w:i w:val="false"/>
          <w:caps w:val="false"/>
          <w:smallCaps w:val="false"/>
          <w:sz w:val="20"/>
        </w:rPr>
        <w:t>244,450, respectively, of film costs are capitalized and included in other noncurrent assets, net in the accompanying condensed consolidated balance sheets. During the three and six months ended June 30, 2026, $</w:t>
      </w:r>
      <w:bookmarkStart w:id="389" w:name="xdx_902_ecustom--PaymentsForAmortizedFil"/>
      <w:bookmarkEnd w:id="389"/>
      <w:r>
        <w:rPr>
          <w:rFonts w:ascii="Times New Roman;Times;Serif" w:hAnsi="Times New Roman;Times;Serif"/>
          <w:b w:val="false"/>
          <w:i w:val="false"/>
          <w:caps w:val="false"/>
          <w:smallCaps w:val="false"/>
          <w:sz w:val="20"/>
        </w:rPr>
        <w:t>91,207 and $</w:t>
      </w:r>
      <w:bookmarkStart w:id="390" w:name="xdx_907_ecustom--PaymentsForAmortizedFil"/>
      <w:bookmarkEnd w:id="390"/>
      <w:r>
        <w:rPr>
          <w:rFonts w:ascii="Times New Roman;Times;Serif" w:hAnsi="Times New Roman;Times;Serif"/>
          <w:b w:val="false"/>
          <w:i w:val="false"/>
          <w:caps w:val="false"/>
          <w:smallCaps w:val="false"/>
          <w:sz w:val="20"/>
        </w:rPr>
        <w:t>231,917 of film costs were amortized respectively, and reported in the cost of revenues in the Company’s condensed consolidated statement of operations and comprehensive loss. During the three and six months ended June 30, 2025, $</w:t>
      </w:r>
      <w:bookmarkStart w:id="391" w:name="xdx_90D_ecustom--PaymentsForAmortizedFil"/>
      <w:bookmarkEnd w:id="391"/>
      <w:r>
        <w:rPr>
          <w:rFonts w:ascii="Times New Roman;Times;Serif" w:hAnsi="Times New Roman;Times;Serif"/>
          <w:b w:val="false"/>
          <w:i w:val="false"/>
          <w:caps w:val="false"/>
          <w:smallCaps w:val="false"/>
          <w:sz w:val="20"/>
        </w:rPr>
        <w:t>432,360 and $</w:t>
      </w:r>
      <w:bookmarkStart w:id="392" w:name="xdx_906_ecustom--PaymentsForAmortizedFil"/>
      <w:bookmarkEnd w:id="392"/>
      <w:r>
        <w:rPr>
          <w:rFonts w:ascii="Times New Roman;Times;Serif" w:hAnsi="Times New Roman;Times;Serif"/>
          <w:b w:val="false"/>
          <w:i w:val="false"/>
          <w:caps w:val="false"/>
          <w:smallCaps w:val="false"/>
          <w:sz w:val="20"/>
        </w:rPr>
        <w:t>645,069 of film costs were amortized respectively, and reported in the cost of revenues in the Company’s condensed consolidated statement of operations and comprehensive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impairment of $</w:t>
      </w:r>
      <w:bookmarkStart w:id="393" w:name="xdx_90E_eus-gaap--OtherAssetImpairmentCh"/>
      <w:bookmarkEnd w:id="393"/>
      <w:r>
        <w:rPr>
          <w:rFonts w:ascii="Times New Roman;Times;Serif" w:hAnsi="Times New Roman;Times;Serif"/>
          <w:b w:val="false"/>
          <w:i w:val="false"/>
          <w:caps w:val="false"/>
          <w:smallCaps w:val="false"/>
          <w:sz w:val="20"/>
        </w:rPr>
        <w:t>96,838 and $</w:t>
      </w:r>
      <w:bookmarkStart w:id="394" w:name="xdx_907_eus-gaap--OtherAssetImpairmentCh"/>
      <w:bookmarkEnd w:id="394"/>
      <w:r>
        <w:rPr>
          <w:rFonts w:ascii="Times New Roman;Times;Serif" w:hAnsi="Times New Roman;Times;Serif"/>
          <w:b w:val="false"/>
          <w:i w:val="false"/>
          <w:caps w:val="false"/>
          <w:smallCaps w:val="false"/>
          <w:sz w:val="20"/>
        </w:rPr>
        <w:t>415,719 for the three months ended June 30, 2026 and 2025, respectively. The Company recognized an impairment of $</w:t>
      </w:r>
      <w:bookmarkStart w:id="395" w:name="xdx_90A_eus-gaap--OtherAssetImpairmentCh"/>
      <w:bookmarkEnd w:id="395"/>
      <w:r>
        <w:rPr>
          <w:rFonts w:ascii="Times New Roman;Times;Serif" w:hAnsi="Times New Roman;Times;Serif"/>
          <w:b w:val="false"/>
          <w:i w:val="false"/>
          <w:caps w:val="false"/>
          <w:smallCaps w:val="false"/>
          <w:sz w:val="20"/>
        </w:rPr>
        <w:t>165,987 and $</w:t>
      </w:r>
      <w:bookmarkStart w:id="396" w:name="xdx_901_eus-gaap--OtherAssetImpairmentCh"/>
      <w:bookmarkEnd w:id="396"/>
      <w:r>
        <w:rPr>
          <w:rFonts w:ascii="Times New Roman;Times;Serif" w:hAnsi="Times New Roman;Times;Serif"/>
          <w:b w:val="false"/>
          <w:i w:val="false"/>
          <w:caps w:val="false"/>
          <w:smallCaps w:val="false"/>
          <w:sz w:val="20"/>
        </w:rPr>
        <w:t>415,719 for the six months ended June 30, 2026 and 2025, respectively. The impairment is primarily related to the underperforming titles released during the period and the elimination of marketing plans for these titles. The impairment charges are included in the impairment of film assets on the condensed consolidated statement of operations and comprehensive loss. The Company continues to monitor the performance of its film assets and may record additional impairments in future periods if conditions warrant.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397" w:name="xdx_84A_ecustom--SoftwareDevelopmentCost"/>
      <w:bookmarkEnd w:id="397"/>
      <w:r>
        <w:rPr>
          <w:rFonts w:ascii="Times New Roman;Times;Serif" w:hAnsi="Times New Roman;Times;Serif"/>
          <w:b/>
          <w:i/>
          <w:caps w:val="false"/>
          <w:smallCaps w:val="false"/>
          <w:sz w:val="20"/>
        </w:rPr>
        <w:t>Software Development Costs and Licenses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software products intended to be sold, leased or otherwise marketed in accordance with ASC 985. Accordingly, we capitalize costs incurred for internally developed titles and payments made to third-party software developers under development agreements as software. These software development costs may include payroll, materials, and other costs directly related to development activities subsequent to establishing technological feasibility of the software. Significant management judgments are made in the assessment of when technological feasibility is established. Technological feasibility is evaluated on a product-by-product basis. Prior to establishing technological feasibility of a product, we record any costs incurred by third-party developers as research and development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the Company capitalized $</w:t>
      </w:r>
      <w:bookmarkStart w:id="398" w:name="xdx_90E_eus-gaap--ResearchAndDevelopment"/>
      <w:bookmarkEnd w:id="398"/>
      <w:r>
        <w:rPr>
          <w:rFonts w:ascii="Times New Roman;Times;Serif" w:hAnsi="Times New Roman;Times;Serif"/>
          <w:b w:val="false"/>
          <w:i w:val="false"/>
          <w:caps w:val="false"/>
          <w:smallCaps w:val="false"/>
          <w:sz w:val="20"/>
        </w:rPr>
        <w:t>398,370 and $</w:t>
      </w:r>
      <w:bookmarkStart w:id="399" w:name="xdx_90C_eus-gaap--ResearchAndDevelopment"/>
      <w:bookmarkEnd w:id="399"/>
      <w:r>
        <w:rPr>
          <w:rFonts w:ascii="Times New Roman;Times;Serif" w:hAnsi="Times New Roman;Times;Serif"/>
          <w:b w:val="false"/>
          <w:i w:val="false"/>
          <w:caps w:val="false"/>
          <w:smallCaps w:val="false"/>
          <w:sz w:val="20"/>
        </w:rPr>
        <w:t>2,620,209, respectively, of software development costs under ASC 985 for various titles, which are included in intangible assets, net, in the Company’s condensed consolidated balance sheets.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400" w:name="xdx_842_eus-gaap--FairValueMeasurementPo"/>
      <w:bookmarkEnd w:id="400"/>
      <w:r>
        <w:rPr>
          <w:rFonts w:ascii="Times New Roman;Times;Serif" w:hAnsi="Times New Roman;Times;Serif"/>
          <w:b/>
          <w:i/>
          <w:caps w:val="false"/>
          <w:smallCaps w:val="false"/>
          <w:sz w:val="20"/>
        </w:rPr>
        <w:t>Fair Value Measurements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the hierarchy of inputs used to measure fair value and the primary valuation methodologies used by the Company for financial instruments measured at fair value.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levels of inputs are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w:t>
            </w:r>
            <w:r>
              <w:rPr>
                <w:rFonts w:ascii="Times New Roman;Times;Serif" w:hAnsi="Times New Roman;Times;Serif"/>
                <w:b w:val="false"/>
                <w:i w:val="false"/>
                <w:caps w:val="false"/>
                <w:smallCaps w:val="false"/>
                <w:sz w:val="20"/>
              </w:rPr>
              <w:t>: Quoted prices in active markets for identical assets or liabilities that the Company has an ability to access as of the measurement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Inputs that are observable, either directly or indirectly, such as quoted prices for similar assets or liabilities, quoted prices in markets that are not active, or other inputs that are observable or can be corroborated by observable market data for substantially the same term of the assets or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Unobservable inputs that are supported by little or no market activity and that are significant to the fair value of the assets or liabilities.</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financial instrument’s categorization within the valuation hierarchy is based upon the lowest level of input that is significant to the fair value measurement. Our financial instruments include cash and cash equivalents, restricted cash and cash equivalents, short-term financial instruments, short-term loans, accounts receivable and accounts payable. The carrying values of receivables, payables, and other amounts arising out of the normal course of business approximate their fair value due to their short maturities or economic substance. The carrying amount of the Company’s short-term and long-term borrowings, which are considered level 2 liabilities, approximate their fair value based on current rates and terms available to the Company for similar debt. </w:t>
      </w:r>
      <w:bookmarkStart w:id="401" w:name="xdx_908_eus-gaap--DebtInstrumentDescript"/>
      <w:bookmarkEnd w:id="401"/>
      <w:r>
        <w:rPr>
          <w:rFonts w:ascii="Times New Roman;Times;Serif" w:hAnsi="Times New Roman;Times;Serif"/>
          <w:b w:val="false"/>
          <w:i w:val="false"/>
          <w:caps w:val="false"/>
          <w:smallCaps w:val="false"/>
          <w:sz w:val="20"/>
        </w:rPr>
        <w:t xml:space="preserve">The fair value of the Company’s promissory note has a fixed rate until June 2026, then a floating rate that approximates the Wall Street Journal Prime Rate plus 0.50%. The fair value of the Company’s term loan note has a floating rate that approximates the Wall Street Journal Prime Rate plus 0.50% or a floor rate of </w:t>
      </w:r>
      <w:bookmarkStart w:id="402" w:name="xdx_90D_eus-gaap--DebtInstrumentInterest"/>
      <w:bookmarkEnd w:id="402"/>
      <w:r>
        <w:rPr>
          <w:rFonts w:ascii="Times New Roman;Times;Serif" w:hAnsi="Times New Roman;Times;Serif"/>
          <w:b w:val="false"/>
          <w:i w:val="false"/>
          <w:caps w:val="false"/>
          <w:smallCaps w:val="false"/>
          <w:sz w:val="20"/>
        </w:rPr>
        <w:t xml:space="preserve">6.50%, whichever is higher. The Company considers the carrying amount of the loans to approximate fair value as the discounted cost in comparison to market rates would not be materially different than the cost to acquire a loan with similar terms. The Company’s convertible notes are measured at fair value using a binomial lattice framework and a range of level 3 inputs as described in Note 12 – </w:t>
      </w:r>
      <w:r>
        <w:rPr>
          <w:rFonts w:ascii="Times New Roman;Times;Serif" w:hAnsi="Times New Roman;Times;Serif"/>
          <w:b w:val="false"/>
          <w:i/>
          <w:caps w:val="false"/>
          <w:smallCaps w:val="false"/>
          <w:sz w:val="20"/>
        </w:rPr>
        <w:t>Revolving Loan, Short Term Notes and Long-Term Debt</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has liability classified warrants measured at fair value on a recurring basis. See Note 17 –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 xml:space="preserve"> for the fair value disclosures related to the Company’s convertible notes, and the Company’s warrant liability and derivative instruments. The Company does not have any other assets or liabilities measured at fair value on a recurring or non-recurring basis as of June 30, 2026 and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403" w:name="xdx_89D_eus-gaap--FairValueLiabilitiesMe"/>
      <w:bookmarkEnd w:id="403"/>
      <w:r>
        <w:rPr>
          <w:rFonts w:ascii="Times New Roman;Times;Serif" w:hAnsi="Times New Roman;Times;Serif"/>
          <w:b w:val="false"/>
          <w:i w:val="false"/>
          <w:caps w:val="false"/>
          <w:smallCaps w:val="false"/>
          <w:sz w:val="20"/>
        </w:rPr>
        <w:t>The following table presents the Company’s convertible notes, convertible notes warrants, and equity line of credit warrants measured at fair value and classified within the fair value hierarchy as of June 30, 2026 and December 31, 2025:</w:t>
      </w:r>
    </w:p>
    <w:p>
      <w:pPr>
        <w:pStyle w:val="TextBody"/>
        <w:bidi w:val="0"/>
        <w:jc w:val="both"/>
        <w:rPr>
          <w:rFonts w:ascii="Times New Roman;Times;Serif" w:hAnsi="Times New Roman;Times;Serif"/>
          <w:b w:val="false"/>
          <w:i w:val="false"/>
          <w:caps w:val="false"/>
          <w:smallCaps w:val="false"/>
          <w:sz w:val="20"/>
        </w:rPr>
      </w:pPr>
      <w:bookmarkStart w:id="404" w:name="xdx_8BB_ztEr3EQ0L9cb"/>
      <w:bookmarkEnd w:id="404"/>
      <w:r>
        <w:rPr>
          <w:rFonts w:ascii="Times New Roman;Times;Serif" w:hAnsi="Times New Roman;Times;Serif"/>
          <w:b w:val="false"/>
          <w:i w:val="false"/>
          <w:caps w:val="false"/>
          <w:smallCaps w:val="false"/>
          <w:sz w:val="20"/>
        </w:rPr>
        <w:t>SCHEDULE OF FAIR VALUE AND CLASSIFIED WITHIN THE FAIR VALUE HIERARCHY </w:t>
      </w:r>
    </w:p>
    <w:tbl>
      <w:tblPr>
        <w:tblW w:w="10205" w:type="dxa"/>
        <w:jc w:val="left"/>
        <w:tblInd w:w="0" w:type="dxa"/>
        <w:tblLayout w:type="fixed"/>
        <w:tblCellMar>
          <w:top w:w="0" w:type="dxa"/>
          <w:left w:w="0" w:type="dxa"/>
          <w:bottom w:w="0" w:type="dxa"/>
          <w:right w:w="0" w:type="dxa"/>
        </w:tblCellMar>
      </w:tblPr>
      <w:tblGrid>
        <w:gridCol w:w="2026"/>
        <w:gridCol w:w="60"/>
        <w:gridCol w:w="181"/>
        <w:gridCol w:w="1038"/>
        <w:gridCol w:w="68"/>
        <w:gridCol w:w="68"/>
        <w:gridCol w:w="685"/>
        <w:gridCol w:w="1274"/>
        <w:gridCol w:w="68"/>
        <w:gridCol w:w="68"/>
        <w:gridCol w:w="788"/>
        <w:gridCol w:w="1464"/>
        <w:gridCol w:w="68"/>
        <w:gridCol w:w="68"/>
        <w:gridCol w:w="326"/>
        <w:gridCol w:w="1875"/>
        <w:gridCol w:w="80"/>
      </w:tblGrid>
      <w:tr>
        <w:trPr/>
        <w:tc>
          <w:tcPr>
            <w:tcW w:w="20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03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Fair value measured as of June 30, 2026</w:t>
            </w:r>
          </w:p>
        </w:tc>
        <w:tc>
          <w:tcPr>
            <w:tcW w:w="80" w:type="dxa"/>
            <w:tcBorders/>
            <w:vAlign w:val="center"/>
          </w:tcPr>
          <w:p>
            <w:pPr>
              <w:pStyle w:val="TableContents"/>
              <w:bidi w:val="0"/>
              <w:spacing w:before="0" w:after="283"/>
              <w:jc w:val="left"/>
              <w:rPr/>
            </w:pPr>
            <w:r>
              <w:rPr/>
              <w:t> </w:t>
            </w:r>
          </w:p>
        </w:tc>
      </w:tr>
      <w:tr>
        <w:trPr/>
        <w:tc>
          <w:tcPr>
            <w:tcW w:w="20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 fair value</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Quoted prices in active markets</w:t>
            </w:r>
          </w:p>
          <w:p>
            <w:pPr>
              <w:pStyle w:val="TableContents"/>
              <w:bidi w:val="0"/>
              <w:spacing w:before="0" w:after="283"/>
              <w:jc w:val="center"/>
              <w:rPr/>
            </w:pPr>
            <w:r>
              <w:rPr/>
              <w:t> </w:t>
            </w:r>
            <w:r>
              <w:rPr>
                <w:rFonts w:ascii="Times New Roman;Times;Serif" w:hAnsi="Times New Roman;Times;Serif"/>
              </w:rPr>
              <w:t>(Level 1)</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25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Significant other observable inputs</w:t>
            </w:r>
          </w:p>
          <w:p>
            <w:pPr>
              <w:pStyle w:val="TableContents"/>
              <w:bidi w:val="0"/>
              <w:spacing w:before="0" w:after="283"/>
              <w:jc w:val="center"/>
              <w:rPr>
                <w:rFonts w:ascii="Times New Roman;Times;Serif" w:hAnsi="Times New Roman;Times;Serif"/>
              </w:rPr>
            </w:pPr>
            <w:r>
              <w:rPr>
                <w:rFonts w:ascii="Times New Roman;Times;Serif" w:hAnsi="Times New Roman;Times;Serif"/>
              </w:rPr>
              <w:t>(Level 2)</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201"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Significant unobservable inputs</w:t>
            </w:r>
          </w:p>
          <w:p>
            <w:pPr>
              <w:pStyle w:val="TableContents"/>
              <w:bidi w:val="0"/>
              <w:spacing w:before="0" w:after="283"/>
              <w:jc w:val="center"/>
              <w:rPr>
                <w:rFonts w:ascii="Times New Roman;Times;Serif" w:hAnsi="Times New Roman;Times;Serif"/>
              </w:rPr>
            </w:pPr>
            <w:r>
              <w:rPr>
                <w:rFonts w:ascii="Times New Roman;Times;Serif" w:hAnsi="Times New Roman;Times;Serif"/>
              </w:rPr>
              <w:t>(Level 3)</w:t>
            </w:r>
          </w:p>
        </w:tc>
        <w:tc>
          <w:tcPr>
            <w:tcW w:w="80" w:type="dxa"/>
            <w:tcBorders/>
            <w:vAlign w:val="center"/>
          </w:tcPr>
          <w:p>
            <w:pPr>
              <w:pStyle w:val="TableContents"/>
              <w:bidi w:val="0"/>
              <w:spacing w:before="0" w:after="283"/>
              <w:jc w:val="left"/>
              <w:rPr/>
            </w:pPr>
            <w:r>
              <w:rPr/>
              <w:t> </w:t>
            </w:r>
          </w:p>
        </w:tc>
      </w:tr>
      <w:tr>
        <w:trPr/>
        <w:tc>
          <w:tcPr>
            <w:tcW w:w="202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5" w:name="xdx_989_eus-gaap--ConvertibleDebtFairVal"/>
            <w:bookmarkEnd w:id="405"/>
          </w:p>
        </w:tc>
        <w:tc>
          <w:tcPr>
            <w:tcW w:w="10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568,499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6" w:name="xdx_984_eus-gaap--ConvertibleDebtFairVal"/>
            <w:bookmarkEnd w:id="406"/>
          </w:p>
        </w:tc>
        <w:tc>
          <w:tcPr>
            <w:tcW w:w="1274"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7" w:name="xdx_981_eus-gaap--ConvertibleDebtFairVal"/>
            <w:bookmarkEnd w:id="407"/>
          </w:p>
        </w:tc>
        <w:tc>
          <w:tcPr>
            <w:tcW w:w="1464"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8" w:name="xdx_98F_eus-gaap--ConvertibleDebtFairVal"/>
            <w:bookmarkEnd w:id="408"/>
          </w:p>
        </w:tc>
        <w:tc>
          <w:tcPr>
            <w:tcW w:w="1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568,499</w:t>
            </w:r>
          </w:p>
        </w:tc>
        <w:tc>
          <w:tcPr>
            <w:tcW w:w="80" w:type="dxa"/>
            <w:tcBorders/>
            <w:shd w:fill="CCEEFF" w:val="clear"/>
            <w:vAlign w:val="center"/>
          </w:tcPr>
          <w:p>
            <w:pPr>
              <w:pStyle w:val="TableContents"/>
              <w:bidi w:val="0"/>
              <w:spacing w:before="0" w:after="283"/>
              <w:jc w:val="left"/>
              <w:rPr/>
            </w:pPr>
            <w:r>
              <w:rPr/>
              <w:t> </w:t>
            </w:r>
          </w:p>
        </w:tc>
      </w:tr>
      <w:tr>
        <w:trPr/>
        <w:tc>
          <w:tcPr>
            <w:tcW w:w="202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line of credit warrants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09" w:name="xdx_981_eus-gaap--LinesOfCreditFairValue"/>
            <w:bookmarkEnd w:id="409"/>
          </w:p>
        </w:tc>
        <w:tc>
          <w:tcPr>
            <w:tcW w:w="10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130,768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10" w:name="xdx_984_eus-gaap--LinesOfCreditFairValue"/>
            <w:bookmarkEnd w:id="410"/>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11" w:name="xdx_986_eus-gaap--LinesOfCreditFairValue"/>
            <w:bookmarkEnd w:id="411"/>
          </w:p>
        </w:tc>
        <w:tc>
          <w:tcPr>
            <w:tcW w:w="14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12" w:name="xdx_98E_eus-gaap--LinesOfCreditFairValue"/>
            <w:bookmarkEnd w:id="412"/>
          </w:p>
        </w:tc>
        <w:tc>
          <w:tcPr>
            <w:tcW w:w="1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130,768</w:t>
            </w:r>
          </w:p>
        </w:tc>
        <w:tc>
          <w:tcPr>
            <w:tcW w:w="80" w:type="dxa"/>
            <w:tcBorders/>
            <w:shd w:fill="FFFFFF" w:val="clear"/>
            <w:vAlign w:val="center"/>
          </w:tcPr>
          <w:p>
            <w:pPr>
              <w:pStyle w:val="TableContents"/>
              <w:bidi w:val="0"/>
              <w:spacing w:before="0" w:after="283"/>
              <w:jc w:val="left"/>
              <w:rPr/>
            </w:pPr>
            <w:r>
              <w:rPr/>
              <w:t> </w:t>
            </w:r>
          </w:p>
        </w:tc>
      </w:tr>
      <w:tr>
        <w:trPr/>
        <w:tc>
          <w:tcPr>
            <w:tcW w:w="202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3" w:name="xdx_98F_eus-gaap--FinancialLiabilitiesFa"/>
            <w:bookmarkEnd w:id="413"/>
          </w:p>
        </w:tc>
        <w:tc>
          <w:tcPr>
            <w:tcW w:w="10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699,267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4" w:name="xdx_985_eus-gaap--FinancialLiabilitiesFa"/>
            <w:bookmarkEnd w:id="414"/>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5" w:name="xdx_98D_eus-gaap--FinancialLiabilitiesFa"/>
            <w:bookmarkEnd w:id="415"/>
          </w:p>
        </w:tc>
        <w:tc>
          <w:tcPr>
            <w:tcW w:w="146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6" w:name="xdx_983_eus-gaap--FinancialLiabilitiesFa"/>
            <w:bookmarkEnd w:id="416"/>
          </w:p>
        </w:tc>
        <w:tc>
          <w:tcPr>
            <w:tcW w:w="1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699,267</w:t>
            </w:r>
          </w:p>
        </w:tc>
        <w:tc>
          <w:tcPr>
            <w:tcW w:w="8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9"/>
        <w:gridCol w:w="60"/>
        <w:gridCol w:w="151"/>
        <w:gridCol w:w="1027"/>
        <w:gridCol w:w="67"/>
        <w:gridCol w:w="67"/>
        <w:gridCol w:w="653"/>
        <w:gridCol w:w="1358"/>
        <w:gridCol w:w="67"/>
        <w:gridCol w:w="67"/>
        <w:gridCol w:w="745"/>
        <w:gridCol w:w="1557"/>
        <w:gridCol w:w="67"/>
        <w:gridCol w:w="67"/>
        <w:gridCol w:w="281"/>
        <w:gridCol w:w="1898"/>
        <w:gridCol w:w="84"/>
      </w:tblGrid>
      <w:tr>
        <w:trPr/>
        <w:tc>
          <w:tcPr>
            <w:tcW w:w="1989"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72"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measured as of December 31, 2025</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9"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fair value</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2011"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Quoted prices in active markets</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230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other observable inputs</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217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unobservable inputs</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17" w:name="xdx_980_eus-gaap--ConvertibleDebtFairVal"/>
            <w:bookmarkEnd w:id="417"/>
          </w:p>
        </w:tc>
        <w:tc>
          <w:tcPr>
            <w:tcW w:w="10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3,842,189</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18" w:name="xdx_98C_eus-gaap--ConvertibleDebtFairVal"/>
            <w:bookmarkEnd w:id="418"/>
          </w:p>
        </w:tc>
        <w:tc>
          <w:tcPr>
            <w:tcW w:w="135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19" w:name="xdx_983_eus-gaap--ConvertibleDebtFairVal"/>
            <w:bookmarkEnd w:id="419"/>
          </w:p>
        </w:tc>
        <w:tc>
          <w:tcPr>
            <w:tcW w:w="155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20" w:name="xdx_981_eus-gaap--ConvertibleDebtFairVal"/>
            <w:bookmarkEnd w:id="420"/>
          </w:p>
        </w:tc>
        <w:tc>
          <w:tcPr>
            <w:tcW w:w="18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3,842,189</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1" w:name="xdx_982_ecustom--ConvertibleDebtWarrants"/>
            <w:bookmarkEnd w:id="421"/>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632,876</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2" w:name="xdx_98F_ecustom--ConvertibleDebtWarrants"/>
            <w:bookmarkEnd w:id="422"/>
          </w:p>
        </w:tc>
        <w:tc>
          <w:tcPr>
            <w:tcW w:w="135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3" w:name="xdx_988_ecustom--ConvertibleDebtWarrants"/>
            <w:bookmarkEnd w:id="423"/>
          </w:p>
        </w:tc>
        <w:tc>
          <w:tcPr>
            <w:tcW w:w="155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4" w:name="xdx_981_ecustom--ConvertibleDebtWarrants"/>
            <w:bookmarkEnd w:id="424"/>
          </w:p>
        </w:tc>
        <w:tc>
          <w:tcPr>
            <w:tcW w:w="18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632,876</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line of credit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25" w:name="xdx_980_eus-gaap--LinesOfCreditFairValue"/>
            <w:bookmarkEnd w:id="425"/>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143,675</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26" w:name="xdx_98E_eus-gaap--LinesOfCreditFairValue"/>
            <w:bookmarkEnd w:id="426"/>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27" w:name="xdx_982_eus-gaap--LinesOfCreditFairValue"/>
            <w:bookmarkEnd w:id="427"/>
          </w:p>
        </w:tc>
        <w:tc>
          <w:tcPr>
            <w:tcW w:w="155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28" w:name="xdx_98B_eus-gaap--LinesOfCreditFairValue"/>
            <w:bookmarkEnd w:id="428"/>
          </w:p>
        </w:tc>
        <w:tc>
          <w:tcPr>
            <w:tcW w:w="18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143,675</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29" w:name="xdx_98E_eus-gaap--FinancialLiabilitiesFa"/>
            <w:bookmarkEnd w:id="429"/>
          </w:p>
        </w:tc>
        <w:tc>
          <w:tcPr>
            <w:tcW w:w="10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4,618,740</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0" w:name="xdx_984_eus-gaap--FinancialLiabilitiesFa"/>
            <w:bookmarkEnd w:id="430"/>
          </w:p>
        </w:tc>
        <w:tc>
          <w:tcPr>
            <w:tcW w:w="1358"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1" w:name="xdx_98E_eus-gaap--FinancialLiabilitiesFa"/>
            <w:bookmarkEnd w:id="431"/>
          </w:p>
        </w:tc>
        <w:tc>
          <w:tcPr>
            <w:tcW w:w="1557"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2" w:name="xdx_981_eus-gaap--FinancialLiabilitiesFa"/>
            <w:bookmarkEnd w:id="432"/>
          </w:p>
        </w:tc>
        <w:tc>
          <w:tcPr>
            <w:tcW w:w="18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4,618,740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bookmarkStart w:id="433" w:name="xdx_8A1_zoHqN6oKVaUk"/>
      <w:bookmarkEnd w:id="433"/>
      <w:r>
        <w:rPr>
          <w:caps w:val="false"/>
          <w:smallCaps w:val="false"/>
        </w:rPr>
        <w:t> </w:t>
      </w:r>
    </w:p>
    <w:p>
      <w:pPr>
        <w:pStyle w:val="TextBody"/>
        <w:bidi w:val="0"/>
        <w:jc w:val="both"/>
        <w:rPr>
          <w:rFonts w:ascii="Times New Roman;Times;Serif" w:hAnsi="Times New Roman;Times;Serif"/>
          <w:b/>
          <w:i/>
          <w:caps w:val="false"/>
          <w:smallCaps w:val="false"/>
          <w:sz w:val="20"/>
        </w:rPr>
      </w:pPr>
      <w:bookmarkStart w:id="434" w:name="xdx_848_eus-gaap--ImpairmentOrDisposalOf"/>
      <w:bookmarkEnd w:id="434"/>
      <w:r>
        <w:rPr>
          <w:rFonts w:ascii="Times New Roman;Times;Serif" w:hAnsi="Times New Roman;Times;Serif"/>
          <w:b/>
          <w:i/>
          <w:caps w:val="false"/>
          <w:smallCaps w:val="false"/>
          <w:sz w:val="20"/>
        </w:rPr>
        <w:t>Amortizable Intangibles and Other Long-lived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and other assets consisting of property and equipment and purchased intangible assets, are reviewed for impairment in accordance with the guidance of FASB Topic ASC 360, Property and Equipment. Intangible assets subject to amortization are carried at cost less accumulated amortization and amortized over the estimated useful life in proportion to the economic benefits received. The Company evaluates the recoverability of definite-lived intangible assets and other long-lived assets in accordance with ASC Subtopic 360-10, which generally requires the assessment of these assets for recoverability when events or circumstances indicate a potential impairment exists. The Company considers certain events and circumstances in determining whether the carrying value of identifiable intangible assets and other long-lived assets, other than indefinite lived intangible assets, may not be recoverable including, but not limited to: significant changes in performance relative to expected operating results; significant changes in the use of the assets; significant negative industry or economic trends; and changes in the Company’s business strategy. If the Company determines that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Fair value is determined through various valuation techniques including discounted cash flow models, quoted market values and third-party independent appraisals, as considered necessary. There can be no assurance, however, that market conditions will not change or demand for the Company’s products under development will continue. Either of these could result in future impairment of long-lived assets. Actual useful lives and cash flows could be different from those estimated by management which could have a material effect on our consolidated reporting results and financial positions.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435" w:name="xdx_84C_eus-gaap--IncomeTaxPolicyTextBlo"/>
      <w:bookmarkEnd w:id="435"/>
      <w:r>
        <w:rPr>
          <w:rFonts w:ascii="Times New Roman;Times;Serif" w:hAnsi="Times New Roman;Times;Serif"/>
          <w:b/>
          <w:i/>
          <w:caps w:val="false"/>
          <w:smallCaps w:val="false"/>
          <w:sz w:val="20"/>
        </w:rPr>
        <w:t>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provided for the tax effects of transactions reported in the condensed consolidated financial statements and consisted of taxes currently due and deferred taxes. Deferred taxes are recognized for the differences between the basis of assets and liabilities for financial statement and income tax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Topic ASC 740, Income Taxes, which requires the recognition of deferred tax assets and liabilities for the expected future tax consequences of events that have been included in the consolidated financial statements or tax returns.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740-10-25 provides criteria for the recognition, measurement, presentation, and disclosure of uncertain tax positions. The Company must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 Company recognizes liabilities for uncertain tax positions pursuant to FASB ASC 740-10-25. At June 30, 2026, the Company has accrued uncertain tax position liability of $</w:t>
      </w:r>
      <w:bookmarkStart w:id="436" w:name="xdx_900_eus-gaap--AccountsPayableAndAccr"/>
      <w:bookmarkEnd w:id="436"/>
      <w:r>
        <w:rPr>
          <w:rFonts w:ascii="Times New Roman;Times;Serif" w:hAnsi="Times New Roman;Times;Serif"/>
          <w:b w:val="false"/>
          <w:i w:val="false"/>
          <w:caps w:val="false"/>
          <w:smallCaps w:val="false"/>
          <w:sz w:val="20"/>
        </w:rPr>
        <w:t>625,354, which is included within accrued expenses on the accompanying condensed consolidated balance sheets. At December 31, 2025, $</w:t>
      </w:r>
      <w:bookmarkStart w:id="437" w:name="xdx_907_eus-gaap--AccruedLiabilitiesAndO"/>
      <w:bookmarkEnd w:id="437"/>
      <w:r>
        <w:rPr>
          <w:rFonts w:ascii="Times New Roman;Times;Serif" w:hAnsi="Times New Roman;Times;Serif"/>
          <w:b w:val="false"/>
          <w:i w:val="false"/>
          <w:caps w:val="false"/>
          <w:smallCaps w:val="false"/>
          <w:sz w:val="20"/>
        </w:rPr>
        <w:t>157,247 is included in accrued expenses and other liabilities, and $</w:t>
      </w:r>
      <w:bookmarkStart w:id="438" w:name="xdx_906_eus-gaap--OtherAccruedLiabilitie"/>
      <w:bookmarkEnd w:id="438"/>
      <w:r>
        <w:rPr>
          <w:rFonts w:ascii="Times New Roman;Times;Serif" w:hAnsi="Times New Roman;Times;Serif"/>
          <w:b w:val="false"/>
          <w:i w:val="false"/>
          <w:caps w:val="false"/>
          <w:smallCaps w:val="false"/>
          <w:sz w:val="20"/>
        </w:rPr>
        <w:t>468,106 is included in the long-term accrued expenses. The Company accrues and recognizes interest and penalties related to unrecognized tax benefits in operating expenses. The Company accrues and recognizes interest and penalties related to unrecognized tax benefits in operating expenses.</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439" w:name="xdx_846_eus-gaap--ConcentrationRiskCredi"/>
      <w:bookmarkEnd w:id="439"/>
      <w:r>
        <w:rPr>
          <w:rFonts w:ascii="Times New Roman;Times;Serif" w:hAnsi="Times New Roman;Times;Serif"/>
          <w:b/>
          <w:i/>
          <w:caps w:val="false"/>
          <w:smallCaps w:val="false"/>
          <w:sz w:val="20"/>
        </w:rPr>
        <w:t>Concentration of Credit Risk, Significant Customers and Vendors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balances at several major financial institutions. While the Company attempts to limit credit exposure with any single institution, balances often exceed insurable amounts. As of June 30, 2026 and December 31, 2025, the Company had deposits of $</w:t>
      </w:r>
      <w:bookmarkStart w:id="440" w:name="xdx_903_eus-gaap--CashUninsuredAmount_iI"/>
      <w:bookmarkEnd w:id="440"/>
      <w:r>
        <w:rPr>
          <w:rFonts w:ascii="Times New Roman;Times;Serif" w:hAnsi="Times New Roman;Times;Serif"/>
          <w:b w:val="false"/>
          <w:i w:val="false"/>
          <w:caps w:val="false"/>
          <w:smallCaps w:val="false"/>
          <w:sz w:val="20"/>
        </w:rPr>
        <w:t>13,135,538 and $</w:t>
      </w:r>
      <w:bookmarkStart w:id="441" w:name="xdx_904_eus-gaap--CashUninsuredAmount_iI"/>
      <w:bookmarkEnd w:id="441"/>
      <w:r>
        <w:rPr>
          <w:rFonts w:ascii="Times New Roman;Times;Serif" w:hAnsi="Times New Roman;Times;Serif"/>
          <w:b w:val="false"/>
          <w:i w:val="false"/>
          <w:caps w:val="false"/>
          <w:smallCaps w:val="false"/>
          <w:sz w:val="20"/>
        </w:rPr>
        <w:t>8,619,889, respectively, that were not insured by the Federal Deposit Insurance Corporation and are included in the cash and cash equivalents, and restricted cash and cash equivalents, in the accompanying condensed consolidated balance sheets.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extends credit to various digital resellers and partners. Collection of trade receivables may be affected by changes in economic or other industry conditions and may, accordingly, impact our overall credit risk. The Company does not require collateral or other security to support financial instruments subject to credit risk. The Company performs ongoing credit evaluations of customers and maintains reserves for potentially uncollectible accounts. The Company has three customers as of June 30, 2026 and two customers as of December 31, 2025, who accounted for approximately </w:t>
      </w:r>
      <w:bookmarkStart w:id="442" w:name="xdx_902_eus-gaap--ConcentrationRiskPerce"/>
      <w:bookmarkEnd w:id="442"/>
      <w:r>
        <w:rPr>
          <w:rFonts w:ascii="Times New Roman;Times;Serif" w:hAnsi="Times New Roman;Times;Serif"/>
          <w:b w:val="false"/>
          <w:i w:val="false"/>
          <w:caps w:val="false"/>
          <w:smallCaps w:val="false"/>
          <w:sz w:val="20"/>
        </w:rPr>
        <w:t xml:space="preserve">79% and </w:t>
      </w:r>
      <w:bookmarkStart w:id="443" w:name="xdx_90F_eus-gaap--ConcentrationRiskPerce"/>
      <w:bookmarkEnd w:id="443"/>
      <w:r>
        <w:rPr>
          <w:rFonts w:ascii="Times New Roman;Times;Serif" w:hAnsi="Times New Roman;Times;Serif"/>
          <w:b w:val="false"/>
          <w:i w:val="false"/>
          <w:caps w:val="false"/>
          <w:smallCaps w:val="false"/>
          <w:sz w:val="20"/>
        </w:rPr>
        <w:t xml:space="preserve">73% of consolidated gross receivables, respectively. As of June 30, 2026, three customers individually accounted for </w:t>
      </w:r>
      <w:bookmarkStart w:id="444" w:name="xdx_902_eus-gaap--ConcentrationRiskPerce"/>
      <w:bookmarkEnd w:id="444"/>
      <w:r>
        <w:rPr>
          <w:rFonts w:ascii="Times New Roman;Times;Serif" w:hAnsi="Times New Roman;Times;Serif"/>
          <w:b w:val="false"/>
          <w:i w:val="false"/>
          <w:caps w:val="false"/>
          <w:smallCaps w:val="false"/>
          <w:sz w:val="20"/>
        </w:rPr>
        <w:t xml:space="preserve">42%, </w:t>
      </w:r>
      <w:bookmarkStart w:id="445" w:name="xdx_90D_eus-gaap--ConcentrationRiskPerce"/>
      <w:bookmarkEnd w:id="445"/>
      <w:r>
        <w:rPr>
          <w:rFonts w:ascii="Times New Roman;Times;Serif" w:hAnsi="Times New Roman;Times;Serif"/>
          <w:b w:val="false"/>
          <w:i w:val="false"/>
          <w:caps w:val="false"/>
          <w:smallCaps w:val="false"/>
          <w:sz w:val="20"/>
        </w:rPr>
        <w:t xml:space="preserve">24%, and </w:t>
      </w:r>
      <w:bookmarkStart w:id="446" w:name="xdx_904_eus-gaap--ConcentrationRiskPerce"/>
      <w:bookmarkEnd w:id="446"/>
      <w:r>
        <w:rPr>
          <w:rFonts w:ascii="Times New Roman;Times;Serif" w:hAnsi="Times New Roman;Times;Serif"/>
          <w:b w:val="false"/>
          <w:i w:val="false"/>
          <w:caps w:val="false"/>
          <w:smallCaps w:val="false"/>
          <w:sz w:val="20"/>
        </w:rPr>
        <w:t xml:space="preserve">13% of consolidated gross receivables. As of December 31, 2025, two customers individually accounted for </w:t>
      </w:r>
      <w:bookmarkStart w:id="447" w:name="xdx_901_eus-gaap--ConcentrationRiskPerce"/>
      <w:bookmarkEnd w:id="447"/>
      <w:r>
        <w:rPr>
          <w:rFonts w:ascii="Times New Roman;Times;Serif" w:hAnsi="Times New Roman;Times;Serif"/>
          <w:b w:val="false"/>
          <w:i w:val="false"/>
          <w:caps w:val="false"/>
          <w:smallCaps w:val="false"/>
          <w:sz w:val="20"/>
        </w:rPr>
        <w:t xml:space="preserve">56% and </w:t>
      </w:r>
      <w:bookmarkStart w:id="448" w:name="xdx_90A_eus-gaap--ConcentrationRiskPerce"/>
      <w:bookmarkEnd w:id="448"/>
      <w:r>
        <w:rPr>
          <w:rFonts w:ascii="Times New Roman;Times;Serif" w:hAnsi="Times New Roman;Times;Serif"/>
          <w:b w:val="false"/>
          <w:i w:val="false"/>
          <w:caps w:val="false"/>
          <w:smallCaps w:val="false"/>
          <w:sz w:val="20"/>
        </w:rPr>
        <w:t xml:space="preserve">17% of consolidated gross receivables outstanding. The Company has three customers in the three months ended June 30, 2026 and June 30, 2025, that accounted for </w:t>
      </w:r>
      <w:bookmarkStart w:id="449" w:name="xdx_903_eus-gaap--ConcentrationRiskPerce"/>
      <w:bookmarkEnd w:id="449"/>
      <w:r>
        <w:rPr>
          <w:rFonts w:ascii="Times New Roman;Times;Serif" w:hAnsi="Times New Roman;Times;Serif"/>
          <w:b w:val="false"/>
          <w:i w:val="false"/>
          <w:caps w:val="false"/>
          <w:smallCaps w:val="false"/>
          <w:sz w:val="20"/>
        </w:rPr>
        <w:t xml:space="preserve">54%, </w:t>
      </w:r>
      <w:bookmarkStart w:id="450" w:name="xdx_904_eus-gaap--ConcentrationRiskPerce"/>
      <w:bookmarkEnd w:id="450"/>
      <w:r>
        <w:rPr>
          <w:rFonts w:ascii="Times New Roman;Times;Serif" w:hAnsi="Times New Roman;Times;Serif"/>
          <w:b w:val="false"/>
          <w:i w:val="false"/>
          <w:caps w:val="false"/>
          <w:smallCaps w:val="false"/>
          <w:sz w:val="20"/>
        </w:rPr>
        <w:t xml:space="preserve">14% and </w:t>
      </w:r>
      <w:bookmarkStart w:id="451" w:name="xdx_907_eus-gaap--ConcentrationRiskPerce"/>
      <w:bookmarkEnd w:id="451"/>
      <w:r>
        <w:rPr>
          <w:rFonts w:ascii="Times New Roman;Times;Serif" w:hAnsi="Times New Roman;Times;Serif"/>
          <w:b w:val="false"/>
          <w:i w:val="false"/>
          <w:caps w:val="false"/>
          <w:smallCaps w:val="false"/>
          <w:sz w:val="20"/>
        </w:rPr>
        <w:t xml:space="preserve">12% and </w:t>
      </w:r>
      <w:bookmarkStart w:id="452" w:name="xdx_909_eus-gaap--ConcentrationRiskPerce"/>
      <w:bookmarkEnd w:id="452"/>
      <w:r>
        <w:rPr>
          <w:rFonts w:ascii="Times New Roman;Times;Serif" w:hAnsi="Times New Roman;Times;Serif"/>
          <w:b w:val="false"/>
          <w:i w:val="false"/>
          <w:caps w:val="false"/>
          <w:smallCaps w:val="false"/>
          <w:sz w:val="20"/>
        </w:rPr>
        <w:t xml:space="preserve">44%, </w:t>
      </w:r>
      <w:bookmarkStart w:id="453" w:name="xdx_908_eus-gaap--ConcentrationRiskPerce"/>
      <w:bookmarkEnd w:id="453"/>
      <w:r>
        <w:rPr>
          <w:rFonts w:ascii="Times New Roman;Times;Serif" w:hAnsi="Times New Roman;Times;Serif"/>
          <w:b w:val="false"/>
          <w:i w:val="false"/>
          <w:caps w:val="false"/>
          <w:smallCaps w:val="false"/>
          <w:sz w:val="20"/>
        </w:rPr>
        <w:t xml:space="preserve">23%, and </w:t>
      </w:r>
      <w:bookmarkStart w:id="454" w:name="xdx_905_eus-gaap--ConcentrationRiskPerce"/>
      <w:bookmarkEnd w:id="454"/>
      <w:r>
        <w:rPr>
          <w:rFonts w:ascii="Times New Roman;Times;Serif" w:hAnsi="Times New Roman;Times;Serif"/>
          <w:b w:val="false"/>
          <w:i w:val="false"/>
          <w:caps w:val="false"/>
          <w:smallCaps w:val="false"/>
          <w:sz w:val="20"/>
        </w:rPr>
        <w:t xml:space="preserve">10% of the Company’s net revenue, respectively. The Company has three customers in the six months ended June 30, 2026 and four customers in the six months ended June 30, 2025, that accounted for </w:t>
      </w:r>
      <w:bookmarkStart w:id="455" w:name="xdx_90B_eus-gaap--ConcentrationRiskPerce"/>
      <w:bookmarkEnd w:id="455"/>
      <w:r>
        <w:rPr>
          <w:rFonts w:ascii="Times New Roman;Times;Serif" w:hAnsi="Times New Roman;Times;Serif"/>
          <w:b w:val="false"/>
          <w:i w:val="false"/>
          <w:caps w:val="false"/>
          <w:smallCaps w:val="false"/>
          <w:sz w:val="20"/>
        </w:rPr>
        <w:t xml:space="preserve">58%, </w:t>
      </w:r>
      <w:bookmarkStart w:id="456" w:name="xdx_90C_eus-gaap--ConcentrationRiskPerce"/>
      <w:bookmarkEnd w:id="456"/>
      <w:r>
        <w:rPr>
          <w:rFonts w:ascii="Times New Roman;Times;Serif" w:hAnsi="Times New Roman;Times;Serif"/>
          <w:b w:val="false"/>
          <w:i w:val="false"/>
          <w:caps w:val="false"/>
          <w:smallCaps w:val="false"/>
          <w:sz w:val="20"/>
        </w:rPr>
        <w:t xml:space="preserve">12% and </w:t>
      </w:r>
      <w:bookmarkStart w:id="457" w:name="xdx_908_eus-gaap--ConcentrationRiskPerce"/>
      <w:bookmarkEnd w:id="457"/>
      <w:r>
        <w:rPr>
          <w:rFonts w:ascii="Times New Roman;Times;Serif" w:hAnsi="Times New Roman;Times;Serif"/>
          <w:b w:val="false"/>
          <w:i w:val="false"/>
          <w:caps w:val="false"/>
          <w:smallCaps w:val="false"/>
          <w:sz w:val="20"/>
        </w:rPr>
        <w:t xml:space="preserve">10% and </w:t>
      </w:r>
      <w:bookmarkStart w:id="458" w:name="xdx_903_eus-gaap--ConcentrationRiskPerce"/>
      <w:bookmarkEnd w:id="458"/>
      <w:r>
        <w:rPr>
          <w:rFonts w:ascii="Times New Roman;Times;Serif" w:hAnsi="Times New Roman;Times;Serif"/>
          <w:b w:val="false"/>
          <w:i w:val="false"/>
          <w:caps w:val="false"/>
          <w:smallCaps w:val="false"/>
          <w:sz w:val="20"/>
        </w:rPr>
        <w:t xml:space="preserve">44%, </w:t>
      </w:r>
      <w:bookmarkStart w:id="459" w:name="xdx_900_eus-gaap--ConcentrationRiskPerce"/>
      <w:bookmarkEnd w:id="459"/>
      <w:r>
        <w:rPr>
          <w:rFonts w:ascii="Times New Roman;Times;Serif" w:hAnsi="Times New Roman;Times;Serif"/>
          <w:b w:val="false"/>
          <w:i w:val="false"/>
          <w:caps w:val="false"/>
          <w:smallCaps w:val="false"/>
          <w:sz w:val="20"/>
        </w:rPr>
        <w:t xml:space="preserve">19%, </w:t>
      </w:r>
      <w:bookmarkStart w:id="460" w:name="xdx_908_eus-gaap--ConcentrationRiskPerce"/>
      <w:bookmarkEnd w:id="460"/>
      <w:r>
        <w:rPr>
          <w:rFonts w:ascii="Times New Roman;Times;Serif" w:hAnsi="Times New Roman;Times;Serif"/>
          <w:b w:val="false"/>
          <w:i w:val="false"/>
          <w:caps w:val="false"/>
          <w:smallCaps w:val="false"/>
          <w:sz w:val="20"/>
        </w:rPr>
        <w:t xml:space="preserve">12%, and </w:t>
      </w:r>
      <w:bookmarkStart w:id="461" w:name="xdx_90E_eus-gaap--ConcentrationRiskPerce"/>
      <w:bookmarkEnd w:id="461"/>
      <w:r>
        <w:rPr>
          <w:rFonts w:ascii="Times New Roman;Times;Serif" w:hAnsi="Times New Roman;Times;Serif"/>
          <w:b w:val="false"/>
          <w:i w:val="false"/>
          <w:caps w:val="false"/>
          <w:smallCaps w:val="false"/>
          <w:sz w:val="20"/>
        </w:rPr>
        <w:t>10% of the Company’s net revenue, respectively. The loss of these customers or declines in the forecasts of their accounts receivable collectability would have a significant impact on the Company’s financial performance.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two vendors represented approximately </w:t>
      </w:r>
      <w:bookmarkStart w:id="462" w:name="xdx_901_eus-gaap--ConcentrationRiskPerce"/>
      <w:bookmarkEnd w:id="462"/>
      <w:r>
        <w:rPr>
          <w:rFonts w:ascii="Times New Roman;Times;Serif" w:hAnsi="Times New Roman;Times;Serif"/>
          <w:b w:val="false"/>
          <w:i w:val="false"/>
          <w:caps w:val="false"/>
          <w:smallCaps w:val="false"/>
          <w:sz w:val="20"/>
        </w:rPr>
        <w:t xml:space="preserve">40% of consolidated gross payables. As of December 31, 2025, one vendor represented approximately </w:t>
      </w:r>
      <w:bookmarkStart w:id="463" w:name="xdx_907_eus-gaap--ConcentrationRiskPerce"/>
      <w:bookmarkEnd w:id="463"/>
      <w:r>
        <w:rPr>
          <w:rFonts w:ascii="Times New Roman;Times;Serif" w:hAnsi="Times New Roman;Times;Serif"/>
          <w:b w:val="false"/>
          <w:i w:val="false"/>
          <w:caps w:val="false"/>
          <w:smallCaps w:val="false"/>
          <w:sz w:val="20"/>
        </w:rPr>
        <w:t>41% of consolidated gross payables. The loss of these vendors could have a significant impact on the Company’s financial performance.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one vendor, SDE, a related party, that accounted for </w:t>
      </w:r>
      <w:bookmarkStart w:id="464" w:name="xdx_90E_eus-gaap--ConcentrationRiskPerce"/>
      <w:bookmarkEnd w:id="464"/>
      <w:r>
        <w:rPr>
          <w:rFonts w:ascii="Times New Roman;Times;Serif" w:hAnsi="Times New Roman;Times;Serif"/>
          <w:b w:val="false"/>
          <w:i w:val="false"/>
          <w:caps w:val="false"/>
          <w:smallCaps w:val="false"/>
          <w:sz w:val="20"/>
        </w:rPr>
        <w:t xml:space="preserve">43% and </w:t>
      </w:r>
      <w:bookmarkStart w:id="465" w:name="xdx_903_eus-gaap--ConcentrationRiskPerce"/>
      <w:bookmarkEnd w:id="465"/>
      <w:r>
        <w:rPr>
          <w:rFonts w:ascii="Times New Roman;Times;Serif" w:hAnsi="Times New Roman;Times;Serif"/>
          <w:b w:val="false"/>
          <w:i w:val="false"/>
          <w:caps w:val="false"/>
          <w:smallCaps w:val="false"/>
          <w:sz w:val="20"/>
        </w:rPr>
        <w:t xml:space="preserve">56% of the Company’s combined cost of revenues and operating expenses during the three months ended June 30, 2026 and 2025, respectively. SDE accounted for </w:t>
      </w:r>
      <w:bookmarkStart w:id="466" w:name="xdx_909_eus-gaap--ConcentrationRiskPerce"/>
      <w:bookmarkEnd w:id="466"/>
      <w:r>
        <w:rPr>
          <w:rFonts w:ascii="Times New Roman;Times;Serif" w:hAnsi="Times New Roman;Times;Serif"/>
          <w:b w:val="false"/>
          <w:i w:val="false"/>
          <w:caps w:val="false"/>
          <w:smallCaps w:val="false"/>
          <w:sz w:val="20"/>
        </w:rPr>
        <w:t xml:space="preserve">46% and </w:t>
      </w:r>
      <w:bookmarkStart w:id="467" w:name="xdx_90C_eus-gaap--ConcentrationRiskPerce"/>
      <w:bookmarkEnd w:id="467"/>
      <w:r>
        <w:rPr>
          <w:rFonts w:ascii="Times New Roman;Times;Serif" w:hAnsi="Times New Roman;Times;Serif"/>
          <w:b w:val="false"/>
          <w:i w:val="false"/>
          <w:caps w:val="false"/>
          <w:smallCaps w:val="false"/>
          <w:sz w:val="20"/>
        </w:rPr>
        <w:t>52% of the Company’s combined cost of revenues and operating expenses during the six months ended June 30, 2026 and 2025, respectively, and the only vendor with a concentration in excess of 10% during the period. Amounts payable to SDE are included in accounts payable – related parties in the condensed consolidated balance sheets as of June 30, 2026 and December 31, 2025, respectively. The loss of SDE as a vendor would significantly and adversely affect the Company’s core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468" w:name="xdx_84D_ecustom--RecentlyIssuedAccountin"/>
      <w:bookmarkEnd w:id="468"/>
      <w:r>
        <w:rPr>
          <w:rFonts w:ascii="Times New Roman;Times;Serif" w:hAnsi="Times New Roman;Times;Serif"/>
          <w:b/>
          <w:i/>
          <w:caps w:val="false"/>
          <w:smallCaps w:val="false"/>
          <w:sz w:val="20"/>
        </w:rPr>
        <w:t>Recently Issued Accounting Pronouncements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 xml:space="preserve">Income Statement – Reporting Comprehensive Income – Expense Disaggregation Disclosures (Subtopic 220-40): Disaggregation of Income Statement Expenses, </w:t>
      </w:r>
      <w:r>
        <w:rPr>
          <w:rFonts w:ascii="Times New Roman;Times;Serif" w:hAnsi="Times New Roman;Times;Serif"/>
          <w:b w:val="false"/>
          <w:i w:val="false"/>
          <w:caps w:val="false"/>
          <w:smallCaps w:val="false"/>
          <w:sz w:val="20"/>
        </w:rPr>
        <w:t>to improve the disclosures about a public business entity’s expenses and address requests from investors for more detailed information about the types of expenses in commonly presented expense captions. The amendments in this update are effective for annual periods beginning after December 15, 2026, and interim reporting periods beginning after December 15, 2027, though early adoption is permitted. The Company is evaluating the impact of adopting the new standard.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2024-04, </w:t>
      </w:r>
      <w:r>
        <w:rPr>
          <w:rFonts w:ascii="Times New Roman;Times;Serif" w:hAnsi="Times New Roman;Times;Serif"/>
          <w:b w:val="false"/>
          <w:i/>
          <w:caps w:val="false"/>
          <w:smallCaps w:val="false"/>
          <w:sz w:val="20"/>
        </w:rPr>
        <w:t xml:space="preserve">Debt – Debt with Conversion and Other Options (Subtopic 470-20): Induced Conversions of Convertible Debt Instruments, </w:t>
      </w:r>
      <w:r>
        <w:rPr>
          <w:rFonts w:ascii="Times New Roman;Times;Serif" w:hAnsi="Times New Roman;Times;Serif"/>
          <w:b w:val="false"/>
          <w:i w:val="false"/>
          <w:caps w:val="false"/>
          <w:smallCaps w:val="false"/>
          <w:sz w:val="20"/>
        </w:rPr>
        <w:t>to clarify the requirements for determining whether certain settlements of convertible debt instruments should be accounted for as an induced conversion. The amendments in this update are effective for annual periods beginning after December 15, 2025, and interim reporting periods within those annual periods. Early adoption is permitted for all entities that have adopted the amendments in update 2020-06. The Company adopted ASU 2024-04 on January 1, 2026. Adoption did not have a material impact on the Company’s financial statements and disclosures.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2025-06, </w:t>
      </w:r>
      <w:r>
        <w:rPr>
          <w:rFonts w:ascii="Times New Roman;Times;Serif" w:hAnsi="Times New Roman;Times;Serif"/>
          <w:b w:val="false"/>
          <w:i/>
          <w:caps w:val="false"/>
          <w:smallCaps w:val="false"/>
          <w:sz w:val="20"/>
        </w:rPr>
        <w:t xml:space="preserve">Intangibles – Goodwill and Other – Internal-Use Software (Subtopic 350-40): </w:t>
      </w:r>
      <w:r>
        <w:rPr>
          <w:rFonts w:ascii="Times New Roman;Times;Serif" w:hAnsi="Times New Roman;Times;Serif"/>
          <w:b w:val="false"/>
          <w:i w:val="false"/>
          <w:caps w:val="false"/>
          <w:smallCaps w:val="false"/>
          <w:sz w:val="20"/>
        </w:rPr>
        <w:t>streamlines guidance for internal-use software costs by removing development stage references, incorporating website development costs, and clarifying when capitalization should begin. The amendments in this update are effective for annual reporting periods beginning after December 15, 2027, and interim reporting periods within those annual reporting periods. The Company is evaluating the impact of adopting the new standard.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2025-11, </w:t>
      </w:r>
      <w:r>
        <w:rPr>
          <w:rFonts w:ascii="Times New Roman;Times;Serif" w:hAnsi="Times New Roman;Times;Serif"/>
          <w:b w:val="false"/>
          <w:i/>
          <w:caps w:val="false"/>
          <w:smallCaps w:val="false"/>
          <w:sz w:val="20"/>
        </w:rPr>
        <w:t xml:space="preserve">Interim Reporting – Narrow-Scope Improvements (Topic 270): </w:t>
      </w:r>
      <w:r>
        <w:rPr>
          <w:rFonts w:ascii="Times New Roman;Times;Serif" w:hAnsi="Times New Roman;Times;Serif"/>
          <w:b w:val="false"/>
          <w:i w:val="false"/>
          <w:caps w:val="false"/>
          <w:smallCaps w:val="false"/>
          <w:sz w:val="20"/>
        </w:rPr>
        <w:t>improves and clarifies existing interim reporting guidance and requires disclosure of material subsequent events in interim periods. The amendments in this update are effective for interim periods with annual reporting periods beginning after December 15, 2027, with early adoption being permitted. The Company is evaluating the impact of adopting the new standard.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2025-12, </w:t>
      </w:r>
      <w:r>
        <w:rPr>
          <w:rFonts w:ascii="Times New Roman;Times;Serif" w:hAnsi="Times New Roman;Times;Serif"/>
          <w:b w:val="false"/>
          <w:i/>
          <w:caps w:val="false"/>
          <w:smallCaps w:val="false"/>
          <w:sz w:val="20"/>
        </w:rPr>
        <w:t xml:space="preserve">Codification Improvements: </w:t>
      </w:r>
      <w:r>
        <w:rPr>
          <w:rFonts w:ascii="Times New Roman;Times;Serif" w:hAnsi="Times New Roman;Times;Serif"/>
          <w:b w:val="false"/>
          <w:i w:val="false"/>
          <w:caps w:val="false"/>
          <w:smallCaps w:val="false"/>
          <w:sz w:val="20"/>
        </w:rPr>
        <w:t>to improve technical corrections and clarifications to various topics in the Accounting Standards Codification. The amendments in this update are effective for annual reporting periods beginning after December 15, 2026, with early adoption being permitted. The Company is evaluating the impact of adopting the new standard.</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469" w:name="xdx_84B_ecustom--EmployeeSavingPlansPoli"/>
      <w:bookmarkEnd w:id="469"/>
      <w:r>
        <w:rPr>
          <w:rFonts w:ascii="Times New Roman;Times;Serif" w:hAnsi="Times New Roman;Times;Serif"/>
          <w:b/>
          <w:i/>
          <w:caps w:val="false"/>
          <w:smallCaps w:val="false"/>
          <w:sz w:val="20"/>
        </w:rPr>
        <w:t>Employee Savings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401(k) for its United States based employees. The plan is offered to all eligible employees to make voluntary contributions. Employer contributions to the plan are reported under general and administrative costs in the amounts of $</w:t>
      </w:r>
      <w:bookmarkStart w:id="470" w:name="xdx_902_eus-gaap--DefinedBenefitPlanCont"/>
      <w:bookmarkEnd w:id="470"/>
      <w:r>
        <w:rPr>
          <w:rFonts w:ascii="Times New Roman;Times;Serif" w:hAnsi="Times New Roman;Times;Serif"/>
          <w:b w:val="false"/>
          <w:i w:val="false"/>
          <w:caps w:val="false"/>
          <w:smallCaps w:val="false"/>
          <w:sz w:val="20"/>
        </w:rPr>
        <w:t>40,920 and $</w:t>
      </w:r>
      <w:bookmarkStart w:id="471" w:name="xdx_903_eus-gaap--DefinedBenefitPlanCont"/>
      <w:bookmarkEnd w:id="471"/>
      <w:r>
        <w:rPr>
          <w:rFonts w:ascii="Times New Roman;Times;Serif" w:hAnsi="Times New Roman;Times;Serif"/>
          <w:b w:val="false"/>
          <w:i w:val="false"/>
          <w:caps w:val="false"/>
          <w:smallCaps w:val="false"/>
          <w:sz w:val="20"/>
        </w:rPr>
        <w:t>33,474 for the three months ended June 30, 2026 and 2025, respectively and $</w:t>
      </w:r>
      <w:bookmarkStart w:id="472" w:name="xdx_90E_eus-gaap--DefinedBenefitPlanCont"/>
      <w:bookmarkEnd w:id="472"/>
      <w:r>
        <w:rPr>
          <w:rFonts w:ascii="Times New Roman;Times;Serif" w:hAnsi="Times New Roman;Times;Serif"/>
          <w:b w:val="false"/>
          <w:i w:val="false"/>
          <w:caps w:val="false"/>
          <w:smallCaps w:val="false"/>
          <w:sz w:val="20"/>
        </w:rPr>
        <w:t>76,174 and $</w:t>
      </w:r>
      <w:bookmarkStart w:id="473" w:name="xdx_90B_eus-gaap--DefinedBenefitPlanCont"/>
      <w:bookmarkEnd w:id="473"/>
      <w:r>
        <w:rPr>
          <w:rFonts w:ascii="Times New Roman;Times;Serif" w:hAnsi="Times New Roman;Times;Serif"/>
          <w:b w:val="false"/>
          <w:i w:val="false"/>
          <w:caps w:val="false"/>
          <w:smallCaps w:val="false"/>
          <w:sz w:val="20"/>
        </w:rPr>
        <w:t>66,236 for the six months ended June 30, 2026 and 2025,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474" w:name="xdx_84C_eus-gaap--CompensationRelatedCos"/>
      <w:bookmarkEnd w:id="474"/>
      <w:r>
        <w:rPr>
          <w:rFonts w:ascii="Times New Roman;Times;Serif" w:hAnsi="Times New Roman;Times;Serif"/>
          <w:b/>
          <w:i/>
          <w:caps w:val="false"/>
          <w:smallCaps w:val="false"/>
          <w:sz w:val="20"/>
        </w:rPr>
        <w:t>Stock-Based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compensation cost for stock-based awards to employees based on the awards’ estimated grant-date fair value using a straight-line approach over the service period for which such awards are expected to vest. The Company accounts for forfeitures as they occur. The Company granted </w:t>
      </w:r>
      <w:bookmarkStart w:id="475" w:name="xdx_908_eus-gaap--ShareBasedCompensation"/>
      <w:bookmarkStart w:id="476" w:name="xdx_905_eus-gaap--ShareBasedCompensation"/>
      <w:bookmarkEnd w:id="475"/>
      <w:bookmarkEnd w:id="476"/>
      <w:r>
        <w:rPr>
          <w:rFonts w:ascii="Times New Roman;Times;Serif" w:hAnsi="Times New Roman;Times;Serif"/>
          <w:b w:val="false"/>
          <w:i w:val="false"/>
          <w:caps w:val="false"/>
          <w:smallCaps w:val="false"/>
          <w:sz w:val="20"/>
        </w:rPr>
        <w:t xml:space="preserve">39,216 restricted stock units (“Restricted Stock Units” or “restricted stock units”) during the three and six months June 30, 2026 to its non-employee directors. The Company granted </w:t>
      </w:r>
      <w:bookmarkStart w:id="477" w:name="xdx_900_eus-gaap--ShareBasedCompensation"/>
      <w:bookmarkStart w:id="478" w:name="xdx_90F_eus-gaap--ShareBasedCompensation"/>
      <w:bookmarkEnd w:id="477"/>
      <w:bookmarkEnd w:id="478"/>
      <w:r>
        <w:rPr>
          <w:rFonts w:ascii="Times New Roman;Times;Serif" w:hAnsi="Times New Roman;Times;Serif"/>
          <w:b w:val="false"/>
          <w:i w:val="false"/>
          <w:caps w:val="false"/>
          <w:smallCaps w:val="false"/>
          <w:sz w:val="20"/>
        </w:rPr>
        <w:t>67,555 restricted stock units (“Restricted Stock Units” or “restricted stock units”) during the three and six months ended June 30, 2025 to its non-employee directors. The fair value of Restricted Stock Units is determined based on the quoted market price of our common stock on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2022 Omnibus Incentive Plan (the “2022 Plan”) became effective upon the consummation of the IPO. The 2022 Omnibus Incentive allows us to grant options to purchase our common stock and to grant stock options, stock appreciation rights, restricted stock, restricted stock units and performance awards and other cash-based awards and other stock-based awards to our employees, officers, and directors, up to a maximum of </w:t>
      </w:r>
      <w:bookmarkStart w:id="479" w:name="xdx_905_eus-gaap--ShareBasedCompensation"/>
      <w:bookmarkEnd w:id="479"/>
      <w:r>
        <w:rPr>
          <w:rFonts w:ascii="Times New Roman;Times;Serif" w:hAnsi="Times New Roman;Times;Serif"/>
          <w:b w:val="false"/>
          <w:i w:val="false"/>
          <w:caps w:val="false"/>
          <w:smallCaps w:val="false"/>
          <w:sz w:val="20"/>
        </w:rPr>
        <w:t xml:space="preserve">1,143,600 shares. Stock options may be granted to employees and officers and non-qualified options may be granted to employees, officers, and directors, at not less than the fair market value on the date of grant. The number of shares of common stock available for issuance under the 2022 Plan will be increased annually on the first day of each fiscal year during the term of the 2022 Plan, beginning with the 2023 fiscal year, by an amount equal to the lesser of (a) </w:t>
      </w:r>
      <w:bookmarkStart w:id="480" w:name="xdx_90B_eus-gaap--CommonStockCapitalShar"/>
      <w:bookmarkEnd w:id="480"/>
      <w:r>
        <w:rPr>
          <w:rFonts w:ascii="Times New Roman;Times;Serif" w:hAnsi="Times New Roman;Times;Serif"/>
          <w:b w:val="false"/>
          <w:i w:val="false"/>
          <w:caps w:val="false"/>
          <w:smallCaps w:val="false"/>
          <w:sz w:val="20"/>
        </w:rPr>
        <w:t xml:space="preserve">1,143,600 shares, (b) </w:t>
      </w:r>
      <w:bookmarkStart w:id="481" w:name="xdx_909_ecustom--ShareBasedCompensationA"/>
      <w:bookmarkStart w:id="482" w:name="xdx_90C_ecustom--ShareBasedCompensationA"/>
      <w:bookmarkEnd w:id="481"/>
      <w:bookmarkEnd w:id="482"/>
      <w:r>
        <w:rPr>
          <w:rFonts w:ascii="Times New Roman;Times;Serif" w:hAnsi="Times New Roman;Times;Serif"/>
          <w:b w:val="false"/>
          <w:i w:val="false"/>
          <w:caps w:val="false"/>
          <w:smallCaps w:val="false"/>
          <w:sz w:val="20"/>
        </w:rPr>
        <w:t xml:space="preserve">1% of the shares of the Company’s Class A common stock and Class B common stock outstanding (on a fully diluted basis) on the final day of the immediately preceding calendar year or (c) such smaller number of shares as determined by the Company’s board of directors. As of June 30, 2026 and December 31, 2025, there were </w:t>
      </w:r>
      <w:bookmarkStart w:id="483" w:name="xdx_90A_eus-gaap--CommonStockCapitalShar"/>
      <w:bookmarkEnd w:id="483"/>
      <w:r>
        <w:rPr>
          <w:rFonts w:ascii="Times New Roman;Times;Serif" w:hAnsi="Times New Roman;Times;Serif"/>
          <w:b w:val="false"/>
          <w:i w:val="false"/>
          <w:caps w:val="false"/>
          <w:smallCaps w:val="false"/>
          <w:sz w:val="20"/>
        </w:rPr>
        <w:t xml:space="preserve">797,862 and </w:t>
      </w:r>
      <w:bookmarkStart w:id="484" w:name="xdx_904_eus-gaap--CommonStockCapitalShar"/>
      <w:bookmarkEnd w:id="484"/>
      <w:r>
        <w:rPr>
          <w:rFonts w:ascii="Times New Roman;Times;Serif" w:hAnsi="Times New Roman;Times;Serif"/>
          <w:b w:val="false"/>
          <w:i w:val="false"/>
          <w:caps w:val="false"/>
          <w:smallCaps w:val="false"/>
          <w:sz w:val="20"/>
        </w:rPr>
        <w:t>837,078 shares reserved for issuance under the 2022 Plan,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485" w:name="xdx_84E_ecustom--RestrictedStockUnitsPol"/>
      <w:bookmarkEnd w:id="485"/>
      <w:r>
        <w:rPr>
          <w:rFonts w:ascii="Times New Roman;Times;Serif" w:hAnsi="Times New Roman;Times;Serif"/>
          <w:b/>
          <w:i/>
          <w:caps w:val="false"/>
          <w:smallCaps w:val="false"/>
          <w:sz w:val="20"/>
        </w:rPr>
        <w:t>Restricted Stock Units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restricted stock units under our 2022 Omnibus Incentive Plan to employees during the initial public offering and grants restricted stock units under the plan to directors over certain periods. Restricted stock units are unfunded, unsecured rights to receive common stock upon the satisfaction of certain vesting criteria. Upon vesting, a number of shares of common stock equivalent to the number of restricted stock units is typically issued net of required tax withholding requirements, if any. Restricted stock units are subject to forfeiture and transfer restrictions.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486" w:name="xdx_845_ecustom--WarrantsPolicyTextBlock"/>
      <w:bookmarkEnd w:id="486"/>
      <w:r>
        <w:rPr>
          <w:rFonts w:ascii="Times New Roman;Times;Serif" w:hAnsi="Times New Roman;Times;Serif"/>
          <w:b/>
          <w:i/>
          <w:caps w:val="false"/>
          <w:smallCaps w:val="false"/>
          <w:sz w:val="20"/>
        </w:rPr>
        <w:t>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Class A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Warrant liabilities are presented within accrued expenses and other liabilities on the condensed consolidated balance sheets. Changes in the estimated fair value of the Warrants are recognized as a non-cash gain or loss on the statements of operations. Each of the outstanding warrants is convertible on a one-for-one basis into the Company’s common stock and are fully exercisable as of June 30,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487" w:name="xdx_89B_ecustom--ScheduleOfOutstandingWa"/>
      <w:bookmarkEnd w:id="487"/>
      <w:r>
        <w:rPr>
          <w:rFonts w:ascii="Times New Roman;Times;Serif" w:hAnsi="Times New Roman;Times;Serif"/>
          <w:b w:val="false"/>
          <w:i w:val="false"/>
          <w:caps w:val="false"/>
          <w:smallCaps w:val="false"/>
          <w:sz w:val="20"/>
        </w:rPr>
        <w:t>A summary of our outstanding warrants as of June 30, 2026 and December 31, 2025 is included below:</w:t>
      </w:r>
    </w:p>
    <w:p>
      <w:pPr>
        <w:pStyle w:val="TextBody"/>
        <w:bidi w:val="0"/>
        <w:jc w:val="both"/>
        <w:rPr>
          <w:rFonts w:ascii="Times New Roman;Times;Serif" w:hAnsi="Times New Roman;Times;Serif"/>
          <w:b w:val="false"/>
          <w:i w:val="false"/>
          <w:caps w:val="false"/>
          <w:smallCaps w:val="false"/>
          <w:sz w:val="20"/>
        </w:rPr>
      </w:pPr>
      <w:bookmarkStart w:id="488" w:name="xdx_8B6_zrgx9GauqGkl"/>
      <w:bookmarkEnd w:id="488"/>
      <w:r>
        <w:rPr>
          <w:rFonts w:ascii="Times New Roman;Times;Serif" w:hAnsi="Times New Roman;Times;Serif"/>
          <w:b w:val="false"/>
          <w:i w:val="false"/>
          <w:caps w:val="false"/>
          <w:smallCaps w:val="false"/>
          <w:sz w:val="20"/>
        </w:rPr>
        <w:t>SUMMARY OF OUTSTANDING WARRANTS </w:t>
      </w:r>
    </w:p>
    <w:tbl>
      <w:tblPr>
        <w:tblW w:w="9653" w:type="dxa"/>
        <w:jc w:val="left"/>
        <w:tblInd w:w="0" w:type="dxa"/>
        <w:tblLayout w:type="fixed"/>
        <w:tblCellMar>
          <w:top w:w="0" w:type="dxa"/>
          <w:left w:w="0" w:type="dxa"/>
          <w:bottom w:w="0" w:type="dxa"/>
          <w:right w:w="0" w:type="dxa"/>
        </w:tblCellMar>
      </w:tblPr>
      <w:tblGrid>
        <w:gridCol w:w="2780"/>
        <w:gridCol w:w="60"/>
        <w:gridCol w:w="181"/>
        <w:gridCol w:w="2073"/>
        <w:gridCol w:w="60"/>
        <w:gridCol w:w="60"/>
        <w:gridCol w:w="352"/>
        <w:gridCol w:w="1107"/>
        <w:gridCol w:w="60"/>
        <w:gridCol w:w="60"/>
        <w:gridCol w:w="60"/>
        <w:gridCol w:w="740"/>
        <w:gridCol w:w="60"/>
        <w:gridCol w:w="60"/>
        <w:gridCol w:w="194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Number Outstanding </w:t>
              <w:br/>
              <w:t>as of 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line of credit warrants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073" w:type="dxa"/>
            <w:tcBorders/>
            <w:shd w:fill="CCEEFF" w:val="clear"/>
            <w:vAlign w:val="center"/>
          </w:tcPr>
          <w:p>
            <w:pPr>
              <w:pStyle w:val="TableContents"/>
              <w:bidi w:val="0"/>
              <w:spacing w:before="0" w:after="283"/>
              <w:jc w:val="right"/>
              <w:rPr>
                <w:rFonts w:ascii="Times New Roman;Times;Serif" w:hAnsi="Times New Roman;Times;Serif"/>
              </w:rPr>
            </w:pPr>
            <w:bookmarkStart w:id="489" w:name="xdx_901_eus-gaap--ClassOfWarrantOrRightO"/>
            <w:bookmarkEnd w:id="489"/>
            <w:r>
              <w:rPr>
                <w:rFonts w:ascii="Times New Roman;Times;Serif" w:hAnsi="Times New Roman;Times;Serif"/>
              </w:rPr>
              <w:t>66,863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bookmarkStart w:id="490" w:name="xdx_90A_eus-gaap--ClassOfWarrantOrRightE"/>
            <w:bookmarkEnd w:id="490"/>
            <w:r>
              <w:rPr>
                <w:rFonts w:ascii="Times New Roman;Times;Serif" w:hAnsi="Times New Roman;Times;Serif"/>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rFonts w:ascii="Times New Roman;Times;Serif" w:hAnsi="Times New Roman;Times;Serif"/>
              </w:rPr>
            </w:pPr>
            <w:bookmarkStart w:id="491" w:name="xdx_908_eus-gaap--WarrantsAndRightsOutst"/>
            <w:bookmarkEnd w:id="491"/>
            <w:r>
              <w:rPr>
                <w:rFonts w:ascii="Times New Roman;Times;Serif" w:hAnsi="Times New Roman;Times;Serif"/>
              </w:rPr>
              <w:t>August 24, 2028</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warrants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73"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92" w:name="xdx_903_eus-gaap--ClassOfWarrantOrRightO"/>
            <w:bookmarkEnd w:id="492"/>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Times;Serif" w:hAnsi="Times New Roman;Times;Serif"/>
              </w:rPr>
            </w:pPr>
            <w:bookmarkStart w:id="493" w:name="xdx_906_eus-gaap--ClassOfWarrantOrRightE"/>
            <w:bookmarkEnd w:id="493"/>
            <w:r>
              <w:rPr>
                <w:rFonts w:ascii="Times New Roman;Times;Serif" w:hAnsi="Times New Roman;Times;Serif"/>
              </w:rPr>
              <w:t>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right"/>
              <w:rPr>
                <w:rFonts w:ascii="Times New Roman;Times;Serif" w:hAnsi="Times New Roman;Times;Serif"/>
              </w:rPr>
            </w:pPr>
            <w:bookmarkStart w:id="494" w:name="xdx_90A_eus-gaap--WarrantsAndRightsOutst"/>
            <w:bookmarkEnd w:id="494"/>
            <w:r>
              <w:rPr>
                <w:rFonts w:ascii="Times New Roman;Times;Serif" w:hAnsi="Times New Roman;Times;Serif"/>
              </w:rPr>
              <w:t>November 24, 2028</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warrants: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495" w:name="xdx_909_eus-gaap--ClassOfWarrantOrRightO"/>
            <w:bookmarkEnd w:id="495"/>
            <w:r>
              <w:rPr>
                <w:rFonts w:ascii="Times New Roman;Times;Serif" w:hAnsi="Times New Roman;Times;Serif"/>
              </w:rPr>
              <w:t>66,863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left"/>
              <w:rPr/>
            </w:pPr>
            <w:r>
              <w:rPr/>
              <w:t> </w:t>
            </w:r>
          </w:p>
        </w:tc>
      </w:tr>
    </w:tbl>
    <w:p>
      <w:pPr>
        <w:pStyle w:val="TextBody"/>
        <w:bidi w:val="0"/>
        <w:ind w:left="400" w:right="0" w:hanging="0"/>
        <w:jc w:val="both"/>
        <w:rPr>
          <w:caps w:val="false"/>
          <w:smallCaps w:val="false"/>
        </w:rPr>
      </w:pPr>
      <w:r>
        <w:rPr>
          <w:caps w:val="false"/>
          <w:smallCaps w:val="false"/>
        </w:rPr>
        <w:t> </w:t>
      </w:r>
    </w:p>
    <w:tbl>
      <w:tblPr>
        <w:tblW w:w="9878" w:type="dxa"/>
        <w:jc w:val="left"/>
        <w:tblInd w:w="0" w:type="dxa"/>
        <w:tblLayout w:type="fixed"/>
        <w:tblCellMar>
          <w:top w:w="0" w:type="dxa"/>
          <w:left w:w="0" w:type="dxa"/>
          <w:bottom w:w="0" w:type="dxa"/>
          <w:right w:w="0" w:type="dxa"/>
        </w:tblCellMar>
      </w:tblPr>
      <w:tblGrid>
        <w:gridCol w:w="2780"/>
        <w:gridCol w:w="60"/>
        <w:gridCol w:w="172"/>
        <w:gridCol w:w="2307"/>
        <w:gridCol w:w="60"/>
        <w:gridCol w:w="60"/>
        <w:gridCol w:w="352"/>
        <w:gridCol w:w="1107"/>
        <w:gridCol w:w="60"/>
        <w:gridCol w:w="60"/>
        <w:gridCol w:w="60"/>
        <w:gridCol w:w="740"/>
        <w:gridCol w:w="60"/>
        <w:gridCol w:w="60"/>
        <w:gridCol w:w="194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Number Outstanding </w:t>
              <w:br/>
              <w:t>as of 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line of credit warrants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2307" w:type="dxa"/>
            <w:tcBorders/>
            <w:shd w:fill="CCEEFF" w:val="clear"/>
            <w:vAlign w:val="center"/>
          </w:tcPr>
          <w:p>
            <w:pPr>
              <w:pStyle w:val="TableContents"/>
              <w:bidi w:val="0"/>
              <w:spacing w:before="0" w:after="283"/>
              <w:jc w:val="right"/>
              <w:rPr>
                <w:rFonts w:ascii="Times New Roman;Times;Serif" w:hAnsi="Times New Roman;Times;Serif"/>
              </w:rPr>
            </w:pPr>
            <w:bookmarkStart w:id="496" w:name="xdx_900_eus-gaap--ClassOfWarrantOrRightO"/>
            <w:bookmarkEnd w:id="496"/>
            <w:r>
              <w:rPr>
                <w:rFonts w:ascii="Times New Roman;Times;Serif" w:hAnsi="Times New Roman;Times;Serif"/>
              </w:rPr>
              <w:t>66,863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bookmarkStart w:id="497" w:name="xdx_905_eus-gaap--ClassOfWarrantOrRightE"/>
            <w:bookmarkEnd w:id="497"/>
            <w:r>
              <w:rPr>
                <w:rFonts w:ascii="Times New Roman;Times;Serif" w:hAnsi="Times New Roman;Times;Serif"/>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rFonts w:ascii="Times New Roman;Times;Serif" w:hAnsi="Times New Roman;Times;Serif"/>
              </w:rPr>
            </w:pPr>
            <w:bookmarkStart w:id="498" w:name="xdx_904_eus-gaap--WarrantsAndRightsOutst"/>
            <w:bookmarkEnd w:id="498"/>
            <w:r>
              <w:rPr>
                <w:rFonts w:ascii="Times New Roman;Times;Serif" w:hAnsi="Times New Roman;Times;Serif"/>
              </w:rPr>
              <w:t>August 24, 2028</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warrants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499" w:name="xdx_906_eus-gaap--ClassOfWarrantOrRightO"/>
            <w:bookmarkEnd w:id="499"/>
            <w:r>
              <w:rPr>
                <w:rFonts w:ascii="Times New Roman;Times;Serif" w:hAnsi="Times New Roman;Times;Serif"/>
              </w:rPr>
              <w:t>243,237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Times;Serif" w:hAnsi="Times New Roman;Times;Serif"/>
              </w:rPr>
            </w:pPr>
            <w:bookmarkStart w:id="500" w:name="xdx_907_eus-gaap--ClassOfWarrantOrRightE"/>
            <w:bookmarkEnd w:id="500"/>
            <w:r>
              <w:rPr>
                <w:rFonts w:ascii="Times New Roman;Times;Serif" w:hAnsi="Times New Roman;Times;Serif"/>
              </w:rPr>
              <w:t>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right"/>
              <w:rPr>
                <w:rFonts w:ascii="Times New Roman;Times;Serif" w:hAnsi="Times New Roman;Times;Serif"/>
              </w:rPr>
            </w:pPr>
            <w:bookmarkStart w:id="501" w:name="xdx_90C_eus-gaap--WarrantsAndRightsOutst"/>
            <w:bookmarkEnd w:id="501"/>
            <w:r>
              <w:rPr>
                <w:rFonts w:ascii="Times New Roman;Times;Serif" w:hAnsi="Times New Roman;Times;Serif"/>
              </w:rPr>
              <w:t>November 24, 2028</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warrants: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3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502" w:name="xdx_906_eus-gaap--ClassOfWarrantOrRightO"/>
            <w:bookmarkEnd w:id="502"/>
            <w:r>
              <w:rPr>
                <w:rFonts w:ascii="Times New Roman;Times;Serif" w:hAnsi="Times New Roman;Times;Serif"/>
              </w:rPr>
              <w:t>310,100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03" w:name="xdx_8AF_zhXjVJ1Q8Ggd"/>
      <w:bookmarkEnd w:id="503"/>
      <w:r>
        <w:rPr>
          <w:caps w:val="false"/>
          <w:smallCaps w:val="false"/>
        </w:rPr>
        <w:t> </w:t>
      </w:r>
    </w:p>
    <w:p>
      <w:pPr>
        <w:pStyle w:val="TextBody"/>
        <w:bidi w:val="0"/>
        <w:jc w:val="both"/>
        <w:rPr>
          <w:rFonts w:ascii="Times New Roman;Times;Serif" w:hAnsi="Times New Roman;Times;Serif"/>
          <w:b/>
          <w:i/>
          <w:caps w:val="false"/>
          <w:smallCaps w:val="false"/>
          <w:sz w:val="20"/>
        </w:rPr>
      </w:pPr>
      <w:bookmarkStart w:id="504" w:name="xdx_849_eus-gaap--RepurchaseAgreementsCo"/>
      <w:bookmarkEnd w:id="504"/>
      <w:r>
        <w:rPr>
          <w:rFonts w:ascii="Times New Roman;Times;Serif" w:hAnsi="Times New Roman;Times;Serif"/>
          <w:b/>
          <w:i/>
          <w:caps w:val="false"/>
          <w:smallCaps w:val="false"/>
          <w:sz w:val="20"/>
        </w:rPr>
        <w:t>Share Repurchase Program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2022, the Company’s board of directors authorized a share repurchase program under which the Company may repurchase up to $</w:t>
      </w:r>
      <w:bookmarkStart w:id="505" w:name="xdx_901_esrt--StockRepurchaseProgramAuth"/>
      <w:bookmarkEnd w:id="505"/>
      <w:r>
        <w:rPr>
          <w:rFonts w:ascii="Times New Roman;Times;Serif" w:hAnsi="Times New Roman;Times;Serif"/>
          <w:b w:val="false"/>
          <w:i w:val="false"/>
          <w:caps w:val="false"/>
          <w:smallCaps w:val="false"/>
          <w:sz w:val="20"/>
        </w:rPr>
        <w:t xml:space="preserve">5 million of outstanding shares of Class A common stock of the Company, subject to ongoing compliance with the Nasdaq listing rules. The program does not have a fixed expiration date. Repurchased shares are accounted for at cost and reported as a reduction of equity in the condensed consolidated balance sheets under treasury stock. </w:t>
      </w:r>
      <w:bookmarkStart w:id="506" w:name="xdx_90F_eus-gaap--StockIssuedDuringPerio"/>
      <w:bookmarkStart w:id="507" w:name="xdx_90D_eus-gaap--StockIssuedDuringPerio"/>
      <w:bookmarkEnd w:id="506"/>
      <w:bookmarkEnd w:id="507"/>
      <w:r>
        <w:rPr>
          <w:rFonts w:ascii="Times New Roman;Times;Serif" w:hAnsi="Times New Roman;Times;Serif"/>
          <w:b w:val="false"/>
          <w:i w:val="false"/>
          <w:caps w:val="false"/>
          <w:smallCaps w:val="false"/>
          <w:sz w:val="20"/>
        </w:rPr>
        <w:t xml:space="preserve">No treasury stock was sold during the three or six months ended June 30, 2026 and 2025. As of June 30, 2026 and December 31, 2025, </w:t>
      </w:r>
      <w:bookmarkStart w:id="508" w:name="xdx_90B_eus-gaap--TreasuryStockSharesAcq"/>
      <w:bookmarkStart w:id="509" w:name="xdx_905_eus-gaap--TreasuryStockSharesAcq"/>
      <w:bookmarkEnd w:id="508"/>
      <w:bookmarkEnd w:id="509"/>
      <w:r>
        <w:rPr>
          <w:rFonts w:ascii="Times New Roman;Times;Serif" w:hAnsi="Times New Roman;Times;Serif"/>
          <w:b w:val="false"/>
          <w:i w:val="false"/>
          <w:caps w:val="false"/>
          <w:smallCaps w:val="false"/>
          <w:sz w:val="20"/>
        </w:rPr>
        <w:t>270,055 shares of Class A common stock were repurchased pursuant to the Share Repurchase Program for an aggregate purchase price of approximately $</w:t>
      </w:r>
      <w:bookmarkStart w:id="510" w:name="xdx_908_eus-gaap--TreasuryStockValueAcqu"/>
      <w:bookmarkEnd w:id="510"/>
      <w:r>
        <w:rPr>
          <w:rFonts w:ascii="Times New Roman;Times;Serif" w:hAnsi="Times New Roman;Times;Serif"/>
          <w:b w:val="false"/>
          <w:i w:val="false"/>
          <w:caps w:val="false"/>
          <w:smallCaps w:val="false"/>
          <w:sz w:val="20"/>
        </w:rPr>
        <w:t>3.7 million. The average price paid per share was $</w:t>
      </w:r>
      <w:bookmarkStart w:id="511" w:name="xdx_90C_eus-gaap--TreasuryStockAcquiredA"/>
      <w:bookmarkEnd w:id="511"/>
      <w:r>
        <w:rPr>
          <w:rFonts w:ascii="Times New Roman;Times;Serif" w:hAnsi="Times New Roman;Times;Serif"/>
          <w:b w:val="false"/>
          <w:i w:val="false"/>
          <w:caps w:val="false"/>
          <w:smallCaps w:val="false"/>
          <w:sz w:val="20"/>
        </w:rPr>
        <w:t>13.60 and approximately $</w:t>
      </w:r>
      <w:bookmarkStart w:id="512" w:name="xdx_906_eus-gaap--StockRepurchaseProgram"/>
      <w:bookmarkStart w:id="513" w:name="xdx_90F_eus-gaap--StockRepurchaseProgram"/>
      <w:bookmarkEnd w:id="512"/>
      <w:bookmarkEnd w:id="513"/>
      <w:r>
        <w:rPr>
          <w:rFonts w:ascii="Times New Roman;Times;Serif" w:hAnsi="Times New Roman;Times;Serif"/>
          <w:b w:val="false"/>
          <w:i w:val="false"/>
          <w:caps w:val="false"/>
          <w:smallCaps w:val="false"/>
          <w:sz w:val="20"/>
        </w:rPr>
        <w:t>1.3 million aggregate amount of shares of Class A common stock remain available for repurchase under the Share Repurchase Program.</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514" w:name="xdx_84D_eus-gaap--EarningsPerSharePolicy"/>
      <w:bookmarkEnd w:id="514"/>
      <w:r>
        <w:rPr>
          <w:rFonts w:ascii="Times New Roman;Times;Serif" w:hAnsi="Times New Roman;Times;Serif"/>
          <w:b/>
          <w:i/>
          <w:caps w:val="false"/>
          <w:smallCaps w:val="false"/>
          <w:sz w:val="20"/>
        </w:rPr>
        <w:t>Earnings (Loss)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Earnings (loss) per share (“EPS”) is calculated by dividing the net income (loss) that is applicable to the common stockholders for the period by the weighted average number of shares of common stock during that period. The computation of diluted EPS for the period assumes the potential dilutive effect of potential common shares, which includes common shares, consisting of (a) unvested restricted stock units and warrants using the treasury stock method, and (b) convertible debt using the if-converted method. The Company issues two classes of common stock with differing voting rights, and as such, reports EPS using the dual class method. The Company effected a 1-for-5 “Reverse Stock Split” of its Class A and Class B common stock, and all share amounts and per share amounts have reflected this split unless otherwise noted. For more information see Note 16 – </w:t>
      </w:r>
      <w:r>
        <w:rPr>
          <w:rFonts w:ascii="Times New Roman;Times;Serif" w:hAnsi="Times New Roman;Times;Serif"/>
          <w:b w:val="false"/>
          <w:i/>
          <w:caps w:val="false"/>
          <w:smallCaps w:val="false"/>
          <w:sz w:val="20"/>
        </w:rPr>
        <w:t>Loss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515" w:name="xdx_84D_eus-gaap--PolicyholdersDividendP"/>
      <w:bookmarkEnd w:id="515"/>
      <w:r>
        <w:rPr>
          <w:rFonts w:ascii="Times New Roman;Times;Serif" w:hAnsi="Times New Roman;Times;Serif"/>
          <w:b/>
          <w:i/>
          <w:caps w:val="false"/>
          <w:smallCaps w:val="false"/>
          <w:sz w:val="20"/>
        </w:rPr>
        <w:t>Dividend Restrictions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pay cash dividends is currently restricted by the terms of our credit facilities.</w:t>
      </w:r>
    </w:p>
    <w:p>
      <w:pPr>
        <w:pStyle w:val="TextBody"/>
        <w:bidi w:val="0"/>
        <w:jc w:val="both"/>
        <w:rPr>
          <w:caps w:val="false"/>
          <w:smallCaps w:val="false"/>
        </w:rPr>
      </w:pPr>
      <w:bookmarkStart w:id="516" w:name="xdx_855_z6znAdUAUs46"/>
      <w:bookmarkEnd w:id="516"/>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17" w:name="xdx_80E_eus-gaap--RevenueFromContractWit"/>
      <w:bookmarkEnd w:id="517"/>
      <w:r>
        <w:rPr>
          <w:rFonts w:ascii="Times New Roman;Times;Serif" w:hAnsi="Times New Roman;Times;Serif"/>
          <w:b/>
          <w:i w:val="false"/>
          <w:caps w:val="false"/>
          <w:smallCaps w:val="false"/>
          <w:sz w:val="20"/>
        </w:rPr>
        <w:t xml:space="preserve">NOTE 3 – </w:t>
      </w:r>
      <w:bookmarkStart w:id="518" w:name="xdx_825_zbX8NtiZ7VU5"/>
      <w:bookmarkEnd w:id="518"/>
      <w:r>
        <w:rPr>
          <w:rFonts w:ascii="Times New Roman;Times;Serif" w:hAnsi="Times New Roman;Times;Serif"/>
          <w:b/>
          <w:i w:val="false"/>
          <w:caps w:val="false"/>
          <w:smallCaps w:val="false"/>
          <w:sz w:val="20"/>
        </w:rPr>
        <w:t>REVENUE FROM CONTRACTS WITH CUSTOMERS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Timing of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at a point in time for performance obligations that are met at the time of sale or at the time of a release. The Company recognizes revenue over a period based on the estimated service period of the product and additional performance obligations met over time for technical support. Net revenue by timing of recognition during the three and six months ended June 30, 2026 and 2025 were as follows:</w:t>
      </w:r>
    </w:p>
    <w:p>
      <w:pPr>
        <w:pStyle w:val="TextBody"/>
        <w:bidi w:val="0"/>
        <w:jc w:val="both"/>
        <w:rPr>
          <w:caps w:val="false"/>
          <w:smallCaps w:val="false"/>
        </w:rPr>
      </w:pPr>
      <w:bookmarkStart w:id="519" w:name="xdx_893_eus-gaap--DisaggregationOfRevenu"/>
      <w:bookmarkEnd w:id="519"/>
      <w:r>
        <w:rPr>
          <w:caps w:val="false"/>
          <w:smallCaps w:val="false"/>
        </w:rPr>
        <w:t> </w:t>
      </w:r>
      <w:bookmarkStart w:id="520" w:name="xdx_8BD_zKbi9aGFPLj"/>
      <w:bookmarkEnd w:id="520"/>
      <w:r>
        <w:rPr>
          <w:rFonts w:ascii="Times New Roman;Times;Serif" w:hAnsi="Times New Roman;Times;Serif"/>
          <w:b w:val="false"/>
          <w:i w:val="false"/>
          <w:caps w:val="false"/>
          <w:smallCaps w:val="false"/>
          <w:sz w:val="20"/>
        </w:rPr>
        <w:t>SCHEDULE OF DISAGGREGATION OF REVENUE </w:t>
      </w:r>
    </w:p>
    <w:tbl>
      <w:tblPr>
        <w:tblW w:w="10205" w:type="dxa"/>
        <w:jc w:val="left"/>
        <w:tblInd w:w="0" w:type="dxa"/>
        <w:tblLayout w:type="fixed"/>
        <w:tblCellMar>
          <w:top w:w="0" w:type="dxa"/>
          <w:left w:w="0" w:type="dxa"/>
          <w:bottom w:w="0" w:type="dxa"/>
          <w:right w:w="0" w:type="dxa"/>
        </w:tblCellMar>
      </w:tblPr>
      <w:tblGrid>
        <w:gridCol w:w="4114"/>
        <w:gridCol w:w="60"/>
        <w:gridCol w:w="163"/>
        <w:gridCol w:w="1288"/>
        <w:gridCol w:w="70"/>
        <w:gridCol w:w="70"/>
        <w:gridCol w:w="163"/>
        <w:gridCol w:w="1288"/>
        <w:gridCol w:w="60"/>
        <w:gridCol w:w="60"/>
        <w:gridCol w:w="150"/>
        <w:gridCol w:w="1180"/>
        <w:gridCol w:w="64"/>
        <w:gridCol w:w="64"/>
        <w:gridCol w:w="150"/>
        <w:gridCol w:w="1180"/>
        <w:gridCol w:w="81"/>
      </w:tblGrid>
      <w:tr>
        <w:trPr/>
        <w:tc>
          <w:tcPr>
            <w:tcW w:w="4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1" w:name="xdx_499_20260401__20260630_zJJr87UOFEC2"/>
            <w:bookmarkEnd w:id="521"/>
          </w:p>
        </w:tc>
        <w:tc>
          <w:tcPr>
            <w:tcW w:w="14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522" w:name="xdx_497_20250401__20250630_ztHSMv7bq4N6"/>
            <w:bookmarkEnd w:id="522"/>
          </w:p>
        </w:tc>
        <w:tc>
          <w:tcPr>
            <w:tcW w:w="14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3" w:name="xdx_496_20260101__20260630_zMSCd2jsSxEl"/>
            <w:bookmarkEnd w:id="523"/>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524" w:name="xdx_493_20250101__20250630_zdczkTkX7kYf"/>
            <w:bookmarkEnd w:id="524"/>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1" w:type="dxa"/>
            <w:tcBorders/>
            <w:vAlign w:val="center"/>
          </w:tcPr>
          <w:p>
            <w:pPr>
              <w:pStyle w:val="TableContents"/>
              <w:bidi w:val="0"/>
              <w:spacing w:before="0" w:after="283"/>
              <w:jc w:val="left"/>
              <w:rPr/>
            </w:pPr>
            <w:r>
              <w:rPr/>
              <w:t> </w:t>
            </w:r>
          </w:p>
        </w:tc>
      </w:tr>
      <w:tr>
        <w:trPr/>
        <w:tc>
          <w:tcPr>
            <w:tcW w:w="4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81" w:type="dxa"/>
            <w:tcBorders/>
            <w:vAlign w:val="center"/>
          </w:tcPr>
          <w:p>
            <w:pPr>
              <w:pStyle w:val="TableContents"/>
              <w:bidi w:val="0"/>
              <w:spacing w:before="0" w:after="283"/>
              <w:jc w:val="left"/>
              <w:rPr/>
            </w:pPr>
            <w:r>
              <w:rPr/>
              <w:t> </w:t>
            </w:r>
          </w:p>
        </w:tc>
      </w:tr>
      <w:tr>
        <w:trPr/>
        <w:tc>
          <w:tcPr>
            <w:tcW w:w="4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1" w:type="dxa"/>
            <w:tcBorders/>
            <w:vAlign w:val="center"/>
          </w:tcPr>
          <w:p>
            <w:pPr>
              <w:pStyle w:val="TableContents"/>
              <w:bidi w:val="0"/>
              <w:spacing w:before="0" w:after="283"/>
              <w:jc w:val="left"/>
              <w:rPr/>
            </w:pPr>
            <w:r>
              <w:rPr/>
              <w:t> </w:t>
            </w:r>
            <w:bookmarkStart w:id="525" w:name="xdx_40B_eus-gaap--RevenueFromContractWit"/>
            <w:bookmarkEnd w:id="525"/>
          </w:p>
        </w:tc>
      </w:tr>
      <w:tr>
        <w:trPr/>
        <w:tc>
          <w:tcPr>
            <w:tcW w:w="4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Over time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1,206,962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1,556,192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2,384,088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3,374,000</w:t>
            </w:r>
          </w:p>
        </w:tc>
        <w:tc>
          <w:tcPr>
            <w:tcW w:w="81" w:type="dxa"/>
            <w:tcBorders/>
            <w:shd w:fill="CCEEFF" w:val="clear"/>
            <w:vAlign w:val="center"/>
          </w:tcPr>
          <w:p>
            <w:pPr>
              <w:pStyle w:val="TableContents"/>
              <w:bidi w:val="0"/>
              <w:spacing w:before="0" w:after="283"/>
              <w:jc w:val="left"/>
              <w:rPr/>
            </w:pPr>
            <w:r>
              <w:rPr/>
              <w:t> </w:t>
            </w:r>
            <w:bookmarkStart w:id="526" w:name="xdx_40D_eus-gaap--RevenueFromContractWit"/>
            <w:bookmarkEnd w:id="526"/>
          </w:p>
        </w:tc>
      </w:tr>
      <w:tr>
        <w:trPr/>
        <w:tc>
          <w:tcPr>
            <w:tcW w:w="4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Point in time</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18,469,486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20,629,558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44,587,014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38,922,622</w:t>
            </w:r>
          </w:p>
        </w:tc>
        <w:tc>
          <w:tcPr>
            <w:tcW w:w="81" w:type="dxa"/>
            <w:tcBorders/>
            <w:shd w:fill="FFFFFF" w:val="clear"/>
            <w:vAlign w:val="center"/>
          </w:tcPr>
          <w:p>
            <w:pPr>
              <w:pStyle w:val="TableContents"/>
              <w:bidi w:val="0"/>
              <w:spacing w:before="0" w:after="283"/>
              <w:jc w:val="left"/>
              <w:rPr/>
            </w:pPr>
            <w:r>
              <w:rPr/>
              <w:t> </w:t>
            </w:r>
            <w:bookmarkStart w:id="527" w:name="xdx_409_eus-gaap--RevenueFromContractWit"/>
            <w:bookmarkEnd w:id="527"/>
          </w:p>
        </w:tc>
      </w:tr>
      <w:tr>
        <w:trPr/>
        <w:tc>
          <w:tcPr>
            <w:tcW w:w="41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19,676,448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22,185,750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46,971,102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42,296,622</w:t>
            </w:r>
          </w:p>
        </w:tc>
        <w:tc>
          <w:tcPr>
            <w:tcW w:w="81"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Geography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attributes net revenue to geographic regions based on customer location. Net revenue by geographic region for the three and six months ended June 30, 2026 and 2025 were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18"/>
        <w:gridCol w:w="60"/>
        <w:gridCol w:w="163"/>
        <w:gridCol w:w="1287"/>
        <w:gridCol w:w="70"/>
        <w:gridCol w:w="70"/>
        <w:gridCol w:w="163"/>
        <w:gridCol w:w="1287"/>
        <w:gridCol w:w="60"/>
        <w:gridCol w:w="60"/>
        <w:gridCol w:w="150"/>
        <w:gridCol w:w="1180"/>
        <w:gridCol w:w="64"/>
        <w:gridCol w:w="64"/>
        <w:gridCol w:w="150"/>
        <w:gridCol w:w="1180"/>
        <w:gridCol w:w="79"/>
      </w:tblGrid>
      <w:tr>
        <w:trPr/>
        <w:tc>
          <w:tcPr>
            <w:tcW w:w="4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8" w:name="xdx_492_20260401__20260630_z71HAocTcKl1"/>
            <w:bookmarkEnd w:id="528"/>
          </w:p>
        </w:tc>
        <w:tc>
          <w:tcPr>
            <w:tcW w:w="14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529" w:name="xdx_498_20250401__20250630_zQqq1BEb9iKh"/>
            <w:bookmarkEnd w:id="529"/>
          </w:p>
        </w:tc>
        <w:tc>
          <w:tcPr>
            <w:tcW w:w="14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0" w:name="xdx_498_20260101__20260630_zIUU5ES6qTH6"/>
            <w:bookmarkEnd w:id="530"/>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531" w:name="xdx_492_20250101__20250630_z6XQlJFGaIyf"/>
            <w:bookmarkEnd w:id="531"/>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9" w:type="dxa"/>
            <w:tcBorders/>
            <w:vAlign w:val="center"/>
          </w:tcPr>
          <w:p>
            <w:pPr>
              <w:pStyle w:val="TableContents"/>
              <w:bidi w:val="0"/>
              <w:spacing w:before="0" w:after="283"/>
              <w:jc w:val="left"/>
              <w:rPr/>
            </w:pPr>
            <w:r>
              <w:rPr/>
              <w:t> </w:t>
            </w:r>
          </w:p>
        </w:tc>
      </w:tr>
      <w:tr>
        <w:trPr/>
        <w:tc>
          <w:tcPr>
            <w:tcW w:w="4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79" w:type="dxa"/>
            <w:tcBorders/>
            <w:vAlign w:val="center"/>
          </w:tcPr>
          <w:p>
            <w:pPr>
              <w:pStyle w:val="TableContents"/>
              <w:bidi w:val="0"/>
              <w:spacing w:before="0" w:after="283"/>
              <w:jc w:val="left"/>
              <w:rPr/>
            </w:pPr>
            <w:r>
              <w:rPr/>
              <w:t> </w:t>
            </w:r>
          </w:p>
        </w:tc>
      </w:tr>
      <w:tr>
        <w:trPr/>
        <w:tc>
          <w:tcPr>
            <w:tcW w:w="4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9" w:type="dxa"/>
            <w:tcBorders/>
            <w:vAlign w:val="center"/>
          </w:tcPr>
          <w:p>
            <w:pPr>
              <w:pStyle w:val="TableContents"/>
              <w:bidi w:val="0"/>
              <w:spacing w:before="0" w:after="283"/>
              <w:jc w:val="left"/>
              <w:rPr/>
            </w:pPr>
            <w:r>
              <w:rPr/>
              <w:t> </w:t>
            </w:r>
            <w:bookmarkStart w:id="532" w:name="xdx_407_eus-gaap--RevenueFromContractWit"/>
            <w:bookmarkEnd w:id="532"/>
          </w:p>
        </w:tc>
      </w:tr>
      <w:tr>
        <w:trPr/>
        <w:tc>
          <w:tcPr>
            <w:tcW w:w="411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17,541,449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19,516,617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41,812,712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36,818,303</w:t>
            </w:r>
          </w:p>
        </w:tc>
        <w:tc>
          <w:tcPr>
            <w:tcW w:w="79" w:type="dxa"/>
            <w:tcBorders/>
            <w:shd w:fill="CCEEFF" w:val="clear"/>
            <w:vAlign w:val="center"/>
          </w:tcPr>
          <w:p>
            <w:pPr>
              <w:pStyle w:val="TableContents"/>
              <w:bidi w:val="0"/>
              <w:spacing w:before="0" w:after="283"/>
              <w:jc w:val="left"/>
              <w:rPr/>
            </w:pPr>
            <w:r>
              <w:rPr/>
              <w:t> </w:t>
            </w:r>
            <w:bookmarkStart w:id="533" w:name="xdx_40A_eus-gaap--RevenueFromContractWit"/>
            <w:bookmarkEnd w:id="533"/>
          </w:p>
        </w:tc>
      </w:tr>
      <w:tr>
        <w:trPr/>
        <w:tc>
          <w:tcPr>
            <w:tcW w:w="411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International</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2,134,999</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2,669,133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5,158,390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5,478,319</w:t>
            </w:r>
          </w:p>
        </w:tc>
        <w:tc>
          <w:tcPr>
            <w:tcW w:w="79" w:type="dxa"/>
            <w:tcBorders/>
            <w:shd w:fill="FFFFFF" w:val="clear"/>
            <w:vAlign w:val="center"/>
          </w:tcPr>
          <w:p>
            <w:pPr>
              <w:pStyle w:val="TableContents"/>
              <w:bidi w:val="0"/>
              <w:spacing w:before="0" w:after="283"/>
              <w:jc w:val="left"/>
              <w:rPr/>
            </w:pPr>
            <w:r>
              <w:rPr/>
              <w:t> </w:t>
            </w:r>
            <w:bookmarkStart w:id="534" w:name="xdx_401_eus-gaap--RevenueFromContractWit"/>
            <w:bookmarkEnd w:id="534"/>
          </w:p>
        </w:tc>
      </w:tr>
      <w:tr>
        <w:trPr/>
        <w:tc>
          <w:tcPr>
            <w:tcW w:w="411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19,676,448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22,185,750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46,971,102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42,296,622</w:t>
            </w:r>
          </w:p>
        </w:tc>
        <w:tc>
          <w:tcPr>
            <w:tcW w:w="79"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individual country accounted for more than 10% of total revenue.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Platform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by platform for the three and six months ended June 30, 2026 and 2025 were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14"/>
        <w:gridCol w:w="60"/>
        <w:gridCol w:w="163"/>
        <w:gridCol w:w="1288"/>
        <w:gridCol w:w="70"/>
        <w:gridCol w:w="70"/>
        <w:gridCol w:w="163"/>
        <w:gridCol w:w="1288"/>
        <w:gridCol w:w="60"/>
        <w:gridCol w:w="60"/>
        <w:gridCol w:w="150"/>
        <w:gridCol w:w="1180"/>
        <w:gridCol w:w="64"/>
        <w:gridCol w:w="64"/>
        <w:gridCol w:w="150"/>
        <w:gridCol w:w="1180"/>
        <w:gridCol w:w="81"/>
      </w:tblGrid>
      <w:tr>
        <w:trPr/>
        <w:tc>
          <w:tcPr>
            <w:tcW w:w="4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5" w:name="xdx_49E_20260401__20260630_z6ImSCi3KzQ"/>
            <w:bookmarkEnd w:id="535"/>
          </w:p>
        </w:tc>
        <w:tc>
          <w:tcPr>
            <w:tcW w:w="14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536" w:name="xdx_492_20250401__20250630_z5gzuGPid0C7"/>
            <w:bookmarkEnd w:id="536"/>
          </w:p>
        </w:tc>
        <w:tc>
          <w:tcPr>
            <w:tcW w:w="14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7" w:name="xdx_49F_20260101__20260630_zfUmhKtVxuUi"/>
            <w:bookmarkEnd w:id="537"/>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538" w:name="xdx_495_20250101__20250630_zVsgBCgbbs9g"/>
            <w:bookmarkEnd w:id="538"/>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1" w:type="dxa"/>
            <w:tcBorders/>
            <w:vAlign w:val="center"/>
          </w:tcPr>
          <w:p>
            <w:pPr>
              <w:pStyle w:val="TableContents"/>
              <w:bidi w:val="0"/>
              <w:spacing w:before="0" w:after="283"/>
              <w:jc w:val="left"/>
              <w:rPr/>
            </w:pPr>
            <w:r>
              <w:rPr/>
              <w:t> </w:t>
            </w:r>
          </w:p>
        </w:tc>
      </w:tr>
      <w:tr>
        <w:trPr/>
        <w:tc>
          <w:tcPr>
            <w:tcW w:w="4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81" w:type="dxa"/>
            <w:tcBorders/>
            <w:vAlign w:val="center"/>
          </w:tcPr>
          <w:p>
            <w:pPr>
              <w:pStyle w:val="TableContents"/>
              <w:bidi w:val="0"/>
              <w:spacing w:before="0" w:after="283"/>
              <w:jc w:val="left"/>
              <w:rPr/>
            </w:pPr>
            <w:r>
              <w:rPr/>
              <w:t> </w:t>
            </w:r>
          </w:p>
        </w:tc>
      </w:tr>
      <w:tr>
        <w:trPr/>
        <w:tc>
          <w:tcPr>
            <w:tcW w:w="4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1" w:type="dxa"/>
            <w:tcBorders/>
            <w:vAlign w:val="center"/>
          </w:tcPr>
          <w:p>
            <w:pPr>
              <w:pStyle w:val="TableContents"/>
              <w:bidi w:val="0"/>
              <w:spacing w:before="0" w:after="283"/>
              <w:jc w:val="left"/>
              <w:rPr/>
            </w:pPr>
            <w:r>
              <w:rPr/>
              <w:t> </w:t>
            </w:r>
            <w:bookmarkStart w:id="539" w:name="xdx_40B_eus-gaap--RevenueFromContractWit"/>
            <w:bookmarkEnd w:id="539"/>
          </w:p>
        </w:tc>
      </w:tr>
      <w:tr>
        <w:trPr/>
        <w:tc>
          <w:tcPr>
            <w:tcW w:w="4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Console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7,074,041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9,491,483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15,341,502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17,797,060</w:t>
            </w:r>
          </w:p>
        </w:tc>
        <w:tc>
          <w:tcPr>
            <w:tcW w:w="81" w:type="dxa"/>
            <w:tcBorders/>
            <w:shd w:fill="CCEEFF" w:val="clear"/>
            <w:vAlign w:val="center"/>
          </w:tcPr>
          <w:p>
            <w:pPr>
              <w:pStyle w:val="TableContents"/>
              <w:bidi w:val="0"/>
              <w:spacing w:before="0" w:after="283"/>
              <w:jc w:val="left"/>
              <w:rPr/>
            </w:pPr>
            <w:r>
              <w:rPr/>
              <w:t> </w:t>
            </w:r>
            <w:bookmarkStart w:id="540" w:name="xdx_40B_eus-gaap--RevenueFromContractWit"/>
            <w:bookmarkEnd w:id="540"/>
          </w:p>
        </w:tc>
      </w:tr>
      <w:tr>
        <w:trPr/>
        <w:tc>
          <w:tcPr>
            <w:tcW w:w="4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PC</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10,850,601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10,030,549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28,014,319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19,038,686</w:t>
            </w:r>
          </w:p>
        </w:tc>
        <w:tc>
          <w:tcPr>
            <w:tcW w:w="81" w:type="dxa"/>
            <w:tcBorders/>
            <w:shd w:fill="FFFFFF" w:val="clear"/>
            <w:vAlign w:val="center"/>
          </w:tcPr>
          <w:p>
            <w:pPr>
              <w:pStyle w:val="TableContents"/>
              <w:bidi w:val="0"/>
              <w:spacing w:before="0" w:after="283"/>
              <w:jc w:val="left"/>
              <w:rPr/>
            </w:pPr>
            <w:r>
              <w:rPr/>
              <w:t> </w:t>
            </w:r>
            <w:bookmarkStart w:id="541" w:name="xdx_40D_eus-gaap--RevenueFromContractWit"/>
            <w:bookmarkEnd w:id="541"/>
          </w:p>
        </w:tc>
      </w:tr>
      <w:tr>
        <w:trPr/>
        <w:tc>
          <w:tcPr>
            <w:tcW w:w="4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Mobile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1,357,932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2,807,974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4,384,328</w:t>
            </w:r>
          </w:p>
        </w:tc>
        <w:tc>
          <w:tcPr>
            <w:tcW w:w="81" w:type="dxa"/>
            <w:tcBorders/>
            <w:shd w:fill="CCEEFF" w:val="clear"/>
            <w:vAlign w:val="center"/>
          </w:tcPr>
          <w:p>
            <w:pPr>
              <w:pStyle w:val="TableContents"/>
              <w:bidi w:val="0"/>
              <w:spacing w:before="0" w:after="283"/>
              <w:jc w:val="left"/>
              <w:rPr/>
            </w:pPr>
            <w:r>
              <w:rPr/>
              <w:t> </w:t>
            </w:r>
            <w:bookmarkStart w:id="542" w:name="xdx_406_eus-gaap--RevenueFromContractWit"/>
            <w:bookmarkEnd w:id="542"/>
          </w:p>
        </w:tc>
      </w:tr>
      <w:tr>
        <w:trPr/>
        <w:tc>
          <w:tcPr>
            <w:tcW w:w="4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393,874</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807,307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1,076,548</w:t>
            </w:r>
          </w:p>
        </w:tc>
        <w:tc>
          <w:tcPr>
            <w:tcW w:w="81" w:type="dxa"/>
            <w:tcBorders/>
            <w:shd w:fill="FFFFFF" w:val="clear"/>
            <w:vAlign w:val="center"/>
          </w:tcPr>
          <w:p>
            <w:pPr>
              <w:pStyle w:val="TableContents"/>
              <w:bidi w:val="0"/>
              <w:spacing w:before="0" w:after="283"/>
              <w:jc w:val="left"/>
              <w:rPr/>
            </w:pPr>
            <w:r>
              <w:rPr/>
              <w:t> </w:t>
            </w:r>
            <w:bookmarkStart w:id="543" w:name="xdx_408_eus-gaap--RevenueFromContractWit"/>
            <w:bookmarkEnd w:id="543"/>
          </w:p>
        </w:tc>
      </w:tr>
      <w:tr>
        <w:trPr/>
        <w:tc>
          <w:tcPr>
            <w:tcW w:w="41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19,676,448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22,185,750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46,971,102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42,296,622</w:t>
            </w:r>
          </w:p>
        </w:tc>
        <w:tc>
          <w:tcPr>
            <w:tcW w:w="81"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revenues through our current period top four platform providers as a proportion of our total net revenue for the three and six months ended June 30, 2026 and 2025 were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14"/>
        <w:gridCol w:w="60"/>
        <w:gridCol w:w="163"/>
        <w:gridCol w:w="1288"/>
        <w:gridCol w:w="70"/>
        <w:gridCol w:w="70"/>
        <w:gridCol w:w="163"/>
        <w:gridCol w:w="1288"/>
        <w:gridCol w:w="60"/>
        <w:gridCol w:w="60"/>
        <w:gridCol w:w="150"/>
        <w:gridCol w:w="1180"/>
        <w:gridCol w:w="64"/>
        <w:gridCol w:w="64"/>
        <w:gridCol w:w="150"/>
        <w:gridCol w:w="1180"/>
        <w:gridCol w:w="81"/>
      </w:tblGrid>
      <w:tr>
        <w:trPr/>
        <w:tc>
          <w:tcPr>
            <w:tcW w:w="4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4" w:name="xdx_49A_20260401__20260630_zfZ9hrk1lnBj"/>
            <w:bookmarkEnd w:id="544"/>
          </w:p>
        </w:tc>
        <w:tc>
          <w:tcPr>
            <w:tcW w:w="14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545" w:name="xdx_491_20250401__20250630_z7cHST5CakMk"/>
            <w:bookmarkEnd w:id="545"/>
          </w:p>
        </w:tc>
        <w:tc>
          <w:tcPr>
            <w:tcW w:w="14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6" w:name="xdx_499_20260101__20260630_z85sy7jx9Mrd"/>
            <w:bookmarkEnd w:id="546"/>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547" w:name="xdx_49C_20250101__20250630_zoK2nUmmsJ5c"/>
            <w:bookmarkEnd w:id="547"/>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1" w:type="dxa"/>
            <w:tcBorders/>
            <w:vAlign w:val="center"/>
          </w:tcPr>
          <w:p>
            <w:pPr>
              <w:pStyle w:val="TableContents"/>
              <w:bidi w:val="0"/>
              <w:spacing w:before="0" w:after="283"/>
              <w:jc w:val="left"/>
              <w:rPr/>
            </w:pPr>
            <w:r>
              <w:rPr/>
              <w:t> </w:t>
            </w:r>
          </w:p>
        </w:tc>
      </w:tr>
      <w:tr>
        <w:trPr/>
        <w:tc>
          <w:tcPr>
            <w:tcW w:w="4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81" w:type="dxa"/>
            <w:tcBorders/>
            <w:vAlign w:val="center"/>
          </w:tcPr>
          <w:p>
            <w:pPr>
              <w:pStyle w:val="TableContents"/>
              <w:bidi w:val="0"/>
              <w:spacing w:before="0" w:after="283"/>
              <w:jc w:val="left"/>
              <w:rPr/>
            </w:pPr>
            <w:r>
              <w:rPr/>
              <w:t> </w:t>
            </w:r>
          </w:p>
        </w:tc>
      </w:tr>
      <w:tr>
        <w:trPr/>
        <w:tc>
          <w:tcPr>
            <w:tcW w:w="4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1" w:type="dxa"/>
            <w:tcBorders/>
            <w:vAlign w:val="center"/>
          </w:tcPr>
          <w:p>
            <w:pPr>
              <w:pStyle w:val="TableContents"/>
              <w:bidi w:val="0"/>
              <w:spacing w:before="0" w:after="283"/>
              <w:jc w:val="left"/>
              <w:rPr/>
            </w:pPr>
            <w:r>
              <w:rPr/>
              <w:t> </w:t>
            </w:r>
            <w:bookmarkStart w:id="548" w:name="xdx_408_eus-gaap--RevenueFromContractWit"/>
            <w:bookmarkEnd w:id="548"/>
          </w:p>
        </w:tc>
      </w:tr>
      <w:tr>
        <w:trPr/>
        <w:tc>
          <w:tcPr>
            <w:tcW w:w="4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Platform 1</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10,617,666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9,716,288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27,475,155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18,479,182</w:t>
            </w:r>
          </w:p>
        </w:tc>
        <w:tc>
          <w:tcPr>
            <w:tcW w:w="81" w:type="dxa"/>
            <w:tcBorders/>
            <w:shd w:fill="CCEEFF" w:val="clear"/>
            <w:vAlign w:val="center"/>
          </w:tcPr>
          <w:p>
            <w:pPr>
              <w:pStyle w:val="TableContents"/>
              <w:bidi w:val="0"/>
              <w:spacing w:before="0" w:after="283"/>
              <w:jc w:val="left"/>
              <w:rPr/>
            </w:pPr>
            <w:r>
              <w:rPr/>
              <w:t> </w:t>
            </w:r>
            <w:bookmarkStart w:id="549" w:name="xdx_408_eus-gaap--RevenueFromContractWit"/>
            <w:bookmarkEnd w:id="549"/>
          </w:p>
        </w:tc>
      </w:tr>
      <w:tr>
        <w:trPr/>
        <w:tc>
          <w:tcPr>
            <w:tcW w:w="4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Platform 2</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2,813,713</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2,268,144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5,723,422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5,003,411</w:t>
            </w:r>
          </w:p>
        </w:tc>
        <w:tc>
          <w:tcPr>
            <w:tcW w:w="81" w:type="dxa"/>
            <w:tcBorders/>
            <w:shd w:fill="FFFFFF" w:val="clear"/>
            <w:vAlign w:val="center"/>
          </w:tcPr>
          <w:p>
            <w:pPr>
              <w:pStyle w:val="TableContents"/>
              <w:bidi w:val="0"/>
              <w:spacing w:before="0" w:after="283"/>
              <w:jc w:val="left"/>
              <w:rPr/>
            </w:pPr>
            <w:r>
              <w:rPr/>
              <w:t> </w:t>
            </w:r>
            <w:bookmarkStart w:id="550" w:name="xdx_407_eus-gaap--RevenueFromContractWit"/>
            <w:bookmarkEnd w:id="550"/>
          </w:p>
        </w:tc>
      </w:tr>
      <w:tr>
        <w:trPr/>
        <w:tc>
          <w:tcPr>
            <w:tcW w:w="4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Platform 3</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4,000,683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6,897,929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9,080,084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12,071,489</w:t>
            </w:r>
          </w:p>
        </w:tc>
        <w:tc>
          <w:tcPr>
            <w:tcW w:w="81" w:type="dxa"/>
            <w:tcBorders/>
            <w:shd w:fill="CCEEFF" w:val="clear"/>
            <w:vAlign w:val="center"/>
          </w:tcPr>
          <w:p>
            <w:pPr>
              <w:pStyle w:val="TableContents"/>
              <w:bidi w:val="0"/>
              <w:spacing w:before="0" w:after="283"/>
              <w:jc w:val="left"/>
              <w:rPr/>
            </w:pPr>
            <w:r>
              <w:rPr/>
              <w:t> </w:t>
            </w:r>
            <w:bookmarkStart w:id="551" w:name="xdx_40E_eus-gaap--RevenueFromContractWit"/>
            <w:bookmarkEnd w:id="551"/>
          </w:p>
        </w:tc>
      </w:tr>
      <w:tr>
        <w:trPr/>
        <w:tc>
          <w:tcPr>
            <w:tcW w:w="4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Platform 4</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231,628</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509,294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720,462</w:t>
            </w:r>
          </w:p>
        </w:tc>
        <w:tc>
          <w:tcPr>
            <w:tcW w:w="81" w:type="dxa"/>
            <w:tcBorders/>
            <w:shd w:fill="FFFFFF" w:val="clear"/>
            <w:vAlign w:val="center"/>
          </w:tcPr>
          <w:p>
            <w:pPr>
              <w:pStyle w:val="TableContents"/>
              <w:bidi w:val="0"/>
              <w:spacing w:before="0" w:after="283"/>
              <w:jc w:val="left"/>
              <w:rPr/>
            </w:pPr>
            <w:r>
              <w:rPr/>
              <w:t> </w:t>
            </w:r>
            <w:bookmarkStart w:id="552" w:name="xdx_40C_eus-gaap--RevenueFromContractWit"/>
            <w:bookmarkEnd w:id="552"/>
          </w:p>
        </w:tc>
      </w:tr>
      <w:tr>
        <w:trPr/>
        <w:tc>
          <w:tcPr>
            <w:tcW w:w="4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other revenue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2,012,758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2,978,523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4,183,147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6,022,078</w:t>
            </w:r>
          </w:p>
        </w:tc>
        <w:tc>
          <w:tcPr>
            <w:tcW w:w="81" w:type="dxa"/>
            <w:tcBorders/>
            <w:shd w:fill="CCEEFF" w:val="clear"/>
            <w:vAlign w:val="center"/>
          </w:tcPr>
          <w:p>
            <w:pPr>
              <w:pStyle w:val="TableContents"/>
              <w:bidi w:val="0"/>
              <w:spacing w:before="0" w:after="283"/>
              <w:jc w:val="left"/>
              <w:rPr/>
            </w:pPr>
            <w:r>
              <w:rPr/>
              <w:t> </w:t>
            </w:r>
            <w:bookmarkStart w:id="553" w:name="xdx_401_eus-gaap--RevenueFromContractWit"/>
            <w:bookmarkEnd w:id="553"/>
          </w:p>
        </w:tc>
      </w:tr>
      <w:tr>
        <w:trPr/>
        <w:tc>
          <w:tcPr>
            <w:tcW w:w="411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 from contracts with customers: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19,676,448</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22,185,750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46,971,102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42,296,622</w:t>
            </w:r>
          </w:p>
        </w:tc>
        <w:tc>
          <w:tcPr>
            <w:tcW w:w="81"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channel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delivered through digital online services (digital download, online platforms, and cloud streaming), mobile, and retail distribution and other. Net revenue by distribution channel for the three and six months ended June 30, 2026 and 2025 was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14"/>
        <w:gridCol w:w="60"/>
        <w:gridCol w:w="163"/>
        <w:gridCol w:w="1288"/>
        <w:gridCol w:w="70"/>
        <w:gridCol w:w="70"/>
        <w:gridCol w:w="163"/>
        <w:gridCol w:w="1288"/>
        <w:gridCol w:w="60"/>
        <w:gridCol w:w="60"/>
        <w:gridCol w:w="150"/>
        <w:gridCol w:w="1180"/>
        <w:gridCol w:w="64"/>
        <w:gridCol w:w="64"/>
        <w:gridCol w:w="150"/>
        <w:gridCol w:w="1180"/>
        <w:gridCol w:w="81"/>
      </w:tblGrid>
      <w:tr>
        <w:trPr/>
        <w:tc>
          <w:tcPr>
            <w:tcW w:w="4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4" w:name="xdx_49C_20260401__20260630_z48NXepTxx98"/>
            <w:bookmarkEnd w:id="554"/>
          </w:p>
        </w:tc>
        <w:tc>
          <w:tcPr>
            <w:tcW w:w="1451" w:type="dxa"/>
            <w:gridSpan w:val="2"/>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555" w:name="xdx_49F_20250401__20250630_zsmABMk8fZbc"/>
            <w:bookmarkEnd w:id="555"/>
          </w:p>
        </w:tc>
        <w:tc>
          <w:tcPr>
            <w:tcW w:w="145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6" w:name="xdx_49C_20260101__20260630_zJO8WKm0ZLch"/>
            <w:bookmarkEnd w:id="556"/>
          </w:p>
        </w:tc>
        <w:tc>
          <w:tcPr>
            <w:tcW w:w="1330" w:type="dxa"/>
            <w:gridSpan w:val="2"/>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557" w:name="xdx_499_20250101__20250630_zH5SWq4LUhs8"/>
            <w:bookmarkEnd w:id="557"/>
          </w:p>
        </w:tc>
        <w:tc>
          <w:tcPr>
            <w:tcW w:w="1330" w:type="dxa"/>
            <w:gridSpan w:val="2"/>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81" w:type="dxa"/>
            <w:tcBorders/>
            <w:vAlign w:val="center"/>
          </w:tcPr>
          <w:p>
            <w:pPr>
              <w:pStyle w:val="TableContents"/>
              <w:bidi w:val="0"/>
              <w:spacing w:before="0" w:after="283"/>
              <w:jc w:val="left"/>
              <w:rPr/>
            </w:pPr>
            <w:r>
              <w:rPr/>
              <w:t> </w:t>
            </w:r>
          </w:p>
        </w:tc>
      </w:tr>
      <w:tr>
        <w:trPr/>
        <w:tc>
          <w:tcPr>
            <w:tcW w:w="4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1" w:type="dxa"/>
            <w:tcBorders/>
            <w:vAlign w:val="center"/>
          </w:tcPr>
          <w:p>
            <w:pPr>
              <w:pStyle w:val="TableContents"/>
              <w:bidi w:val="0"/>
              <w:spacing w:before="0" w:after="283"/>
              <w:jc w:val="left"/>
              <w:rPr/>
            </w:pPr>
            <w:r>
              <w:rPr/>
              <w:t> </w:t>
            </w:r>
            <w:bookmarkStart w:id="558" w:name="xdx_404_eus-gaap--RevenueFromContractWit"/>
            <w:bookmarkEnd w:id="558"/>
          </w:p>
        </w:tc>
      </w:tr>
      <w:tr>
        <w:trPr/>
        <w:tc>
          <w:tcPr>
            <w:tcW w:w="4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17,924,642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19,522,032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43,355,822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36,835,746</w:t>
            </w:r>
          </w:p>
        </w:tc>
        <w:tc>
          <w:tcPr>
            <w:tcW w:w="81" w:type="dxa"/>
            <w:tcBorders/>
            <w:shd w:fill="CCEEFF" w:val="clear"/>
            <w:vAlign w:val="center"/>
          </w:tcPr>
          <w:p>
            <w:pPr>
              <w:pStyle w:val="TableContents"/>
              <w:bidi w:val="0"/>
              <w:spacing w:before="0" w:after="283"/>
              <w:jc w:val="left"/>
              <w:rPr/>
            </w:pPr>
            <w:r>
              <w:rPr/>
              <w:t> </w:t>
            </w:r>
            <w:bookmarkStart w:id="559" w:name="xdx_406_eus-gaap--RevenueFromContractWit"/>
            <w:bookmarkEnd w:id="559"/>
          </w:p>
        </w:tc>
      </w:tr>
      <w:tr>
        <w:trPr/>
        <w:tc>
          <w:tcPr>
            <w:tcW w:w="4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Mobile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1,357,932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2,807,974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4,384,328</w:t>
            </w:r>
          </w:p>
        </w:tc>
        <w:tc>
          <w:tcPr>
            <w:tcW w:w="81" w:type="dxa"/>
            <w:tcBorders/>
            <w:shd w:fill="FFFFFF" w:val="clear"/>
            <w:vAlign w:val="center"/>
          </w:tcPr>
          <w:p>
            <w:pPr>
              <w:pStyle w:val="TableContents"/>
              <w:bidi w:val="0"/>
              <w:spacing w:before="0" w:after="283"/>
              <w:jc w:val="left"/>
              <w:rPr/>
            </w:pPr>
            <w:r>
              <w:rPr/>
              <w:t> </w:t>
            </w:r>
            <w:bookmarkStart w:id="560" w:name="xdx_406_eus-gaap--RevenueFromContractWit"/>
            <w:bookmarkEnd w:id="560"/>
          </w:p>
        </w:tc>
      </w:tr>
      <w:tr>
        <w:trPr/>
        <w:tc>
          <w:tcPr>
            <w:tcW w:w="4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Physical retail and other</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393,874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807,306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1,076,548</w:t>
            </w:r>
          </w:p>
        </w:tc>
        <w:tc>
          <w:tcPr>
            <w:tcW w:w="81" w:type="dxa"/>
            <w:tcBorders/>
            <w:shd w:fill="CCEEFF" w:val="clear"/>
            <w:vAlign w:val="center"/>
          </w:tcPr>
          <w:p>
            <w:pPr>
              <w:pStyle w:val="TableContents"/>
              <w:bidi w:val="0"/>
              <w:spacing w:before="0" w:after="283"/>
              <w:jc w:val="left"/>
              <w:rPr/>
            </w:pPr>
            <w:r>
              <w:rPr/>
              <w:t> </w:t>
            </w:r>
            <w:bookmarkStart w:id="561" w:name="xdx_400_eus-gaap--RevenueFromContractWit"/>
            <w:bookmarkEnd w:id="561"/>
          </w:p>
        </w:tc>
      </w:tr>
      <w:tr>
        <w:trPr/>
        <w:tc>
          <w:tcPr>
            <w:tcW w:w="411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 from contracts with customers: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19,676,448</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22,185,750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46,971,102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42,296,622</w:t>
            </w:r>
          </w:p>
        </w:tc>
        <w:tc>
          <w:tcPr>
            <w:tcW w:w="81"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62" w:name="xdx_8A3_zNsqrn0L1L6b"/>
      <w:bookmarkEnd w:id="562"/>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Revenue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when payments are due or received in advance of the fulfilment of our associated performance obligations; reductions to deferred revenue balance were primarily due to the recognition of revenue upon fulfilment of its performance obligations, which were in the ordinary course of business. As of June 30, 2026, the balance of deferred revenue was $</w:t>
      </w:r>
      <w:bookmarkStart w:id="563" w:name="xdx_90C_eus-gaap--ContractWithCustomerLi"/>
      <w:bookmarkEnd w:id="563"/>
      <w:r>
        <w:rPr>
          <w:rFonts w:ascii="Times New Roman;Times;Serif" w:hAnsi="Times New Roman;Times;Serif"/>
          <w:b w:val="false"/>
          <w:i w:val="false"/>
          <w:caps w:val="false"/>
          <w:smallCaps w:val="false"/>
          <w:sz w:val="20"/>
        </w:rPr>
        <w:t>33.8 million, of which $</w:t>
      </w:r>
      <w:bookmarkStart w:id="564" w:name="xdx_90F_ecustom--RevenueRemainingPerform"/>
      <w:bookmarkEnd w:id="564"/>
      <w:r>
        <w:rPr>
          <w:rFonts w:ascii="Times New Roman;Times;Serif" w:hAnsi="Times New Roman;Times;Serif"/>
          <w:b w:val="false"/>
          <w:i w:val="false"/>
          <w:caps w:val="false"/>
          <w:smallCaps w:val="false"/>
          <w:sz w:val="20"/>
        </w:rPr>
        <w:t>32.7 million is due to non-refundable payments. The Company is expecting to recognize $</w:t>
      </w:r>
      <w:bookmarkStart w:id="565" w:name="xdx_904_ecustom--RevenueRemainingPerform"/>
      <w:bookmarkEnd w:id="565"/>
      <w:r>
        <w:rPr>
          <w:rFonts w:ascii="Times New Roman;Times;Serif" w:hAnsi="Times New Roman;Times;Serif"/>
          <w:b w:val="false"/>
          <w:i w:val="false"/>
          <w:caps w:val="false"/>
          <w:smallCaps w:val="false"/>
          <w:sz w:val="20"/>
        </w:rPr>
        <w:t xml:space="preserve">26.0 million of the non-refundable payments in the next </w:t>
      </w:r>
      <w:bookmarkStart w:id="566" w:name="xdx_909_ecustom--ContractWithCustomerLia"/>
      <w:bookmarkEnd w:id="566"/>
      <w:r>
        <w:rPr>
          <w:rFonts w:ascii="Times New Roman;Times;Serif" w:hAnsi="Times New Roman;Times;Serif"/>
          <w:b w:val="false"/>
          <w:i w:val="false"/>
          <w:caps w:val="false"/>
          <w:smallCaps w:val="false"/>
          <w:sz w:val="20"/>
        </w:rPr>
        <w:t xml:space="preserve">12 to </w:t>
      </w:r>
      <w:bookmarkStart w:id="567" w:name="xdx_90F_ecustom--ContractWithCustomerLia"/>
      <w:bookmarkEnd w:id="567"/>
      <w:r>
        <w:rPr>
          <w:rFonts w:ascii="Times New Roman;Times;Serif" w:hAnsi="Times New Roman;Times;Serif"/>
          <w:b w:val="false"/>
          <w:i w:val="false"/>
          <w:caps w:val="false"/>
          <w:smallCaps w:val="false"/>
          <w:sz w:val="20"/>
        </w:rPr>
        <w:t>60 months through the platform releases of certain DLCs. The remaining $</w:t>
      </w:r>
      <w:bookmarkStart w:id="568" w:name="xdx_90A_ecustom--RevenueRemainingPerform"/>
      <w:bookmarkEnd w:id="568"/>
      <w:r>
        <w:rPr>
          <w:rFonts w:ascii="Times New Roman;Times;Serif" w:hAnsi="Times New Roman;Times;Serif"/>
          <w:b w:val="false"/>
          <w:i w:val="false"/>
          <w:caps w:val="false"/>
          <w:smallCaps w:val="false"/>
          <w:sz w:val="20"/>
        </w:rPr>
        <w:t>3.8 million of current non-refundable deferred revenues and $</w:t>
      </w:r>
      <w:bookmarkStart w:id="569" w:name="xdx_906_ecustom--RevenueRemainingPerform"/>
      <w:bookmarkEnd w:id="569"/>
      <w:r>
        <w:rPr>
          <w:rFonts w:ascii="Times New Roman;Times;Serif" w:hAnsi="Times New Roman;Times;Serif"/>
          <w:b w:val="false"/>
          <w:i w:val="false"/>
          <w:caps w:val="false"/>
          <w:smallCaps w:val="false"/>
          <w:sz w:val="20"/>
        </w:rPr>
        <w:t xml:space="preserve">2.9 million of long term non-refundable deferred revenue will be recognized as revenue primarily on a straight-line basis over the next </w:t>
      </w:r>
      <w:bookmarkStart w:id="570" w:name="xdx_90B_ecustom--ContractWithCustomerLia"/>
      <w:bookmarkEnd w:id="570"/>
      <w:r>
        <w:rPr>
          <w:rFonts w:ascii="Times New Roman;Times;Serif" w:hAnsi="Times New Roman;Times;Serif"/>
          <w:b w:val="false"/>
          <w:i w:val="false"/>
          <w:caps w:val="false"/>
          <w:smallCaps w:val="false"/>
          <w:sz w:val="20"/>
        </w:rPr>
        <w:t xml:space="preserve">12 and </w:t>
      </w:r>
      <w:bookmarkStart w:id="571" w:name="xdx_904_ecustom--ContractWithCustomerLia"/>
      <w:bookmarkEnd w:id="571"/>
      <w:r>
        <w:rPr>
          <w:rFonts w:ascii="Times New Roman;Times;Serif" w:hAnsi="Times New Roman;Times;Serif"/>
          <w:b w:val="false"/>
          <w:i w:val="false"/>
          <w:caps w:val="false"/>
          <w:smallCaps w:val="false"/>
          <w:sz w:val="20"/>
        </w:rPr>
        <w:t>60 months based on our estimates of technical support obligations, the usage of consumable virtual goods and estimated period of time an end user will play the game. The Company’s refundable deferred revenue consists of $</w:t>
      </w:r>
      <w:bookmarkStart w:id="572" w:name="xdx_90C_eus-gaap--DeferredRevenue_iI_pn5"/>
      <w:bookmarkStart w:id="573" w:name="xdx_90D_eus-gaap--DeferredRevenue_iI_pn5"/>
      <w:bookmarkEnd w:id="572"/>
      <w:bookmarkEnd w:id="573"/>
      <w:r>
        <w:rPr>
          <w:rFonts w:ascii="Times New Roman;Times;Serif" w:hAnsi="Times New Roman;Times;Serif"/>
          <w:b w:val="false"/>
          <w:i w:val="false"/>
          <w:caps w:val="false"/>
          <w:smallCaps w:val="false"/>
          <w:sz w:val="20"/>
        </w:rPr>
        <w:t>1.1 million in advance payments received in accordance with the agreement the Company has made with its retail distributor. This amount has been classified within current deferred revenue, as the terms of the agreement allows retail distributor to request an immediate refund given that the Company’s allotted time period to launch the title has passed. Activities in the Company’s deferred revenue as of June 30, 2026 and 2025 were as follows:</w:t>
      </w:r>
    </w:p>
    <w:p>
      <w:pPr>
        <w:pStyle w:val="TextBody"/>
        <w:bidi w:val="0"/>
        <w:jc w:val="center"/>
        <w:rPr>
          <w:caps w:val="false"/>
          <w:smallCaps w:val="false"/>
        </w:rPr>
      </w:pPr>
      <w:bookmarkStart w:id="574" w:name="xdx_894_ecustom--ScheduleOfDeferredReven"/>
      <w:bookmarkEnd w:id="574"/>
      <w:r>
        <w:rPr>
          <w:caps w:val="false"/>
          <w:smallCaps w:val="false"/>
        </w:rPr>
        <w:t> </w:t>
      </w:r>
      <w:bookmarkStart w:id="575" w:name="xdx_8B1_zlOG9EuQqH51"/>
      <w:bookmarkEnd w:id="575"/>
      <w:r>
        <w:rPr>
          <w:rFonts w:ascii="Times New Roman;Times;Serif" w:hAnsi="Times New Roman;Times;Serif"/>
          <w:b w:val="false"/>
          <w:i w:val="false"/>
          <w:caps w:val="false"/>
          <w:smallCaps w:val="false"/>
          <w:sz w:val="20"/>
        </w:rPr>
        <w:t>SCHEDULE OF DEFERRED REVENUE </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beginning balance in advance of revenue recognition billing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6" w:name="xdx_986_eus-gaap--ContractWithCustomerLi"/>
            <w:bookmarkEnd w:id="576"/>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32,082,525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7" w:name="xdx_980_eus-gaap--ContractWithCustomerLi"/>
            <w:bookmarkEnd w:id="577"/>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25,467,447</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78" w:name="xdx_983_eus-gaap--ContractWithCustomerLi"/>
            <w:bookmarkEnd w:id="578"/>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(3,706,858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79" w:name="xdx_981_eus-gaap--ContractWithCustomerLi"/>
            <w:bookmarkEnd w:id="579"/>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(1,472,534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deferred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80" w:name="xdx_981_ecustom--ContractWithCustomerLia"/>
            <w:bookmarkEnd w:id="580"/>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5,439,350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81" w:name="xdx_98B_ecustom--ContractWithCustomerLia"/>
            <w:bookmarkEnd w:id="581"/>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8,547,580</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82" w:name="xdx_98A_eus-gaap--ContractWithCustomerLi"/>
            <w:bookmarkEnd w:id="582"/>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33,815,017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83" w:name="xdx_988_eus-gaap--ContractWithCustomerLi"/>
            <w:bookmarkEnd w:id="583"/>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32,542,493</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84" w:name="xdx_983_eus-gaap--ContractWithCustomerLi"/>
            <w:bookmarkEnd w:id="584"/>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(28,538,494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85" w:name="xdx_98F_eus-gaap--ContractWithCustomerLi"/>
            <w:bookmarkEnd w:id="585"/>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(16,601,595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long term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6" w:name="xdx_980_eus-gaap--ContractWithCustomerLi"/>
            <w:bookmarkEnd w:id="586"/>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5,276,523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7" w:name="xdx_986_eus-gaap--ContractWithCustomerLi"/>
            <w:bookmarkEnd w:id="587"/>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15,940,898</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bookmarkStart w:id="588" w:name="xdx_8A9_zgB04o1rpJLf"/>
      <w:bookmarkEnd w:id="588"/>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89" w:name="xdx_80B_ecustom--CashCashEquivalentsRest"/>
      <w:bookmarkEnd w:id="589"/>
      <w:r>
        <w:rPr>
          <w:rFonts w:ascii="Times New Roman;Times;Serif" w:hAnsi="Times New Roman;Times;Serif"/>
          <w:b/>
          <w:i w:val="false"/>
          <w:caps w:val="false"/>
          <w:smallCaps w:val="false"/>
          <w:sz w:val="20"/>
        </w:rPr>
        <w:t xml:space="preserve">NOTE 4 – </w:t>
      </w:r>
      <w:bookmarkStart w:id="590" w:name="xdx_823_zpxboU8O8Hv8"/>
      <w:bookmarkEnd w:id="590"/>
      <w:r>
        <w:rPr>
          <w:rFonts w:ascii="Times New Roman;Times;Serif" w:hAnsi="Times New Roman;Times;Serif"/>
          <w:b/>
          <w:i w:val="false"/>
          <w:caps w:val="false"/>
          <w:smallCaps w:val="false"/>
          <w:sz w:val="20"/>
        </w:rPr>
        <w:t>CASH AND CASH EQUIVALENTS, AND RESTRICTED CASH AND CASH EQUIVALENTS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valued using quoted market prices or other readily available market information. The Company has restricted cash and cash equivalents of $</w:t>
      </w:r>
      <w:bookmarkStart w:id="591" w:name="xdx_90B_eus-gaap--RestrictedCashAndCashE"/>
      <w:bookmarkEnd w:id="591"/>
      <w:r>
        <w:rPr>
          <w:rFonts w:ascii="Times New Roman;Times;Serif" w:hAnsi="Times New Roman;Times;Serif"/>
          <w:b w:val="false"/>
          <w:i w:val="false"/>
          <w:caps w:val="false"/>
          <w:smallCaps w:val="false"/>
          <w:sz w:val="20"/>
        </w:rPr>
        <w:t>2,310,000 and $</w:t>
      </w:r>
      <w:bookmarkStart w:id="592" w:name="xdx_90D_eus-gaap--RestrictedCashAndCashE"/>
      <w:bookmarkEnd w:id="592"/>
      <w:r>
        <w:rPr>
          <w:rFonts w:ascii="Times New Roman;Times;Serif" w:hAnsi="Times New Roman;Times;Serif"/>
          <w:b w:val="false"/>
          <w:i w:val="false"/>
          <w:caps w:val="false"/>
          <w:smallCaps w:val="false"/>
          <w:sz w:val="20"/>
        </w:rPr>
        <w:t>1,935,000 as of June 30, 2026 and December 31, 2025, respectively. The amounts of restricted cash and cash equivalents held as of June 30, 2026, are to secure the standby letter of credit with landlords and insurers and reflect collateral held in reserve related to the Company’s revolving line of credit. The following table summarizes the components of the Company’s cash and cash equivalents, and restricted cash and cash equivalents as of June 30, 2026 and 2025:</w:t>
      </w:r>
    </w:p>
    <w:p>
      <w:pPr>
        <w:pStyle w:val="TextBody"/>
        <w:bidi w:val="0"/>
        <w:jc w:val="both"/>
        <w:rPr>
          <w:caps w:val="false"/>
          <w:smallCaps w:val="false"/>
        </w:rPr>
      </w:pPr>
      <w:bookmarkStart w:id="593" w:name="xdx_891_ecustom--ScheduleOfCashCashEquiv"/>
      <w:bookmarkEnd w:id="593"/>
      <w:r>
        <w:rPr>
          <w:caps w:val="false"/>
          <w:smallCaps w:val="false"/>
        </w:rPr>
        <w:t> </w:t>
      </w:r>
      <w:bookmarkStart w:id="594" w:name="xdx_8B9_zKGtSi3m8Pl4"/>
      <w:bookmarkEnd w:id="594"/>
      <w:r>
        <w:rPr>
          <w:rFonts w:ascii="Times New Roman;Times;Serif" w:hAnsi="Times New Roman;Times;Serif"/>
          <w:b w:val="false"/>
          <w:i w:val="false"/>
          <w:caps w:val="false"/>
          <w:smallCaps w:val="false"/>
          <w:sz w:val="20"/>
        </w:rPr>
        <w:t>SUMMARY OF COMPONENTS OF CASH AND CASH EQUIVALENTS AND RESTRICTED CASH AND CASH EQUIVALENTS </w:t>
      </w:r>
    </w:p>
    <w:tbl>
      <w:tblPr>
        <w:tblW w:w="9010" w:type="dxa"/>
        <w:jc w:val="left"/>
        <w:tblInd w:w="0" w:type="dxa"/>
        <w:tblLayout w:type="fixed"/>
        <w:tblCellMar>
          <w:top w:w="0" w:type="dxa"/>
          <w:left w:w="0" w:type="dxa"/>
          <w:bottom w:w="0" w:type="dxa"/>
          <w:right w:w="0" w:type="dxa"/>
        </w:tblCellMar>
      </w:tblPr>
      <w:tblGrid>
        <w:gridCol w:w="6395"/>
        <w:gridCol w:w="60"/>
        <w:gridCol w:w="140"/>
        <w:gridCol w:w="1100"/>
        <w:gridCol w:w="60"/>
        <w:gridCol w:w="60"/>
        <w:gridCol w:w="140"/>
        <w:gridCol w:w="980"/>
        <w:gridCol w:w="75"/>
      </w:tblGrid>
      <w:tr>
        <w:trPr/>
        <w:tc>
          <w:tcPr>
            <w:tcW w:w="6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95" w:name="xdx_496_20260630_zTA1WjCcyXs5"/>
            <w:bookmarkEnd w:id="595"/>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6" w:name="xdx_49F_20250630_zeInjkmkw8Uj"/>
            <w:bookmarkEnd w:id="596"/>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597" w:name="xdx_403_eus-gaap--CashAndCashEquivalents"/>
            <w:bookmarkEnd w:id="597"/>
          </w:p>
        </w:tc>
      </w:tr>
      <w:tr>
        <w:trPr/>
        <w:tc>
          <w:tcPr>
            <w:tcW w:w="63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13,293,820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7,905,426</w:t>
            </w:r>
          </w:p>
        </w:tc>
        <w:tc>
          <w:tcPr>
            <w:tcW w:w="75" w:type="dxa"/>
            <w:tcBorders/>
            <w:shd w:fill="CCEEFF" w:val="clear"/>
            <w:vAlign w:val="center"/>
          </w:tcPr>
          <w:p>
            <w:pPr>
              <w:pStyle w:val="TableContents"/>
              <w:bidi w:val="0"/>
              <w:spacing w:before="0" w:after="283"/>
              <w:jc w:val="left"/>
              <w:rPr/>
            </w:pPr>
            <w:r>
              <w:rPr/>
              <w:t> </w:t>
            </w:r>
            <w:bookmarkStart w:id="598" w:name="xdx_404_eus-gaap--RestrictedCashAndCashE"/>
            <w:bookmarkEnd w:id="598"/>
          </w:p>
        </w:tc>
      </w:tr>
      <w:tr>
        <w:trPr/>
        <w:tc>
          <w:tcPr>
            <w:tcW w:w="63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935,000</w:t>
            </w:r>
          </w:p>
        </w:tc>
        <w:tc>
          <w:tcPr>
            <w:tcW w:w="75" w:type="dxa"/>
            <w:tcBorders/>
            <w:shd w:fill="FFFFFF" w:val="clear"/>
            <w:vAlign w:val="center"/>
          </w:tcPr>
          <w:p>
            <w:pPr>
              <w:pStyle w:val="TableContents"/>
              <w:bidi w:val="0"/>
              <w:spacing w:before="0" w:after="283"/>
              <w:jc w:val="left"/>
              <w:rPr/>
            </w:pPr>
            <w:r>
              <w:rPr/>
              <w:t> </w:t>
            </w:r>
            <w:bookmarkStart w:id="599" w:name="xdx_40F_eus-gaap--CashCashEquivalentsRes"/>
            <w:bookmarkEnd w:id="599"/>
          </w:p>
        </w:tc>
      </w:tr>
      <w:tr>
        <w:trPr/>
        <w:tc>
          <w:tcPr>
            <w:tcW w:w="63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and 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15,603,820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8,840,426</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600" w:name="xdx_8A5_zGCnCjQJklHd"/>
      <w:bookmarkEnd w:id="600"/>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01" w:name="xdx_809_ecustom--RelatedPartyTransaction"/>
      <w:bookmarkEnd w:id="601"/>
      <w:r>
        <w:rPr>
          <w:rFonts w:ascii="Times New Roman;Times;Serif" w:hAnsi="Times New Roman;Times;Serif"/>
          <w:b/>
          <w:i w:val="false"/>
          <w:caps w:val="false"/>
          <w:smallCaps w:val="false"/>
          <w:sz w:val="20"/>
        </w:rPr>
        <w:t xml:space="preserve">NOTE 5 – </w:t>
      </w:r>
      <w:bookmarkStart w:id="602" w:name="xdx_82B_zGzZiq8XmUVj"/>
      <w:bookmarkEnd w:id="602"/>
      <w:r>
        <w:rPr>
          <w:rFonts w:ascii="Times New Roman;Times;Serif" w:hAnsi="Times New Roman;Times;Serif"/>
          <w:b/>
          <w:i w:val="false"/>
          <w:caps w:val="false"/>
          <w:smallCaps w:val="false"/>
          <w:sz w:val="20"/>
        </w:rPr>
        <w:t>ACCOUNTS RECEIVABLE (PAYABLE) – RELATED PARTY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 related party represents receivables in the ordinary course of business attributable to certain mobile game revenues that, for administrative reasons, were collected by a related party and that the related party has not yet remitted back to the Company. Accounts receivable – related party is non-interest bearing and due on demand. The related party, SDE Inc. (“SDE”), is </w:t>
      </w:r>
      <w:bookmarkStart w:id="603" w:name="xdx_903_ecustom--RelatedPartyTransaction"/>
      <w:bookmarkEnd w:id="603"/>
      <w:r>
        <w:rPr>
          <w:rFonts w:ascii="Times New Roman;Times;Serif" w:hAnsi="Times New Roman;Times;Serif"/>
          <w:b w:val="false"/>
          <w:i w:val="false"/>
          <w:caps w:val="false"/>
          <w:smallCaps w:val="false"/>
          <w:sz w:val="20"/>
        </w:rPr>
        <w:t>100% owned and controlled by the wife of the Founder, Chief Executive Officer, Chief Strategy Officer and Chairman of the Company. In January 2024, the Company entered into an offset agreement with SDE. The Company has the right to offset payables due to the related party for royalties, internet, server, and datacenter costs (“IDC”) and marketing costs as they are determinable, mutual, and the right is enforceable by law. The Company will offset $</w:t>
      </w:r>
      <w:bookmarkStart w:id="604" w:name="xdx_904_ecustom--AccountsPayableOffsetWi"/>
      <w:bookmarkEnd w:id="604"/>
      <w:r>
        <w:rPr>
          <w:rFonts w:ascii="Times New Roman;Times;Serif" w:hAnsi="Times New Roman;Times;Serif"/>
          <w:b w:val="false"/>
          <w:i w:val="false"/>
          <w:caps w:val="false"/>
          <w:smallCaps w:val="false"/>
          <w:sz w:val="20"/>
        </w:rPr>
        <w:t>0.5 million per month, or $</w:t>
      </w:r>
      <w:bookmarkStart w:id="605" w:name="xdx_90D_ecustom--AccountsPayableOffsetWi"/>
      <w:bookmarkEnd w:id="605"/>
      <w:r>
        <w:rPr>
          <w:rFonts w:ascii="Times New Roman;Times;Serif" w:hAnsi="Times New Roman;Times;Serif"/>
          <w:b w:val="false"/>
          <w:i w:val="false"/>
          <w:caps w:val="false"/>
          <w:smallCaps w:val="false"/>
          <w:sz w:val="20"/>
        </w:rPr>
        <w:t>6.0 million annually, beginning in January 2024, until the receivable has been collected or offset in full. As of June 30, 2026, substantially all amounts had been repaid, with a remaining outstanding balance of $</w:t>
      </w:r>
      <w:bookmarkStart w:id="606" w:name="xdx_906_eus-gaap--AccountsPayableOtherCu"/>
      <w:bookmarkEnd w:id="606"/>
      <w:r>
        <w:rPr>
          <w:rFonts w:ascii="Times New Roman;Times;Serif" w:hAnsi="Times New Roman;Times;Serif"/>
          <w:b w:val="false"/>
          <w:i w:val="false"/>
          <w:caps w:val="false"/>
          <w:smallCaps w:val="false"/>
          <w:sz w:val="20"/>
        </w:rPr>
        <w:t>592. During the six months ended June 30, 2026 and 2025, the Company made cash payments to SDE in the amount of $</w:t>
      </w:r>
      <w:bookmarkStart w:id="607" w:name="xdx_903_ecustom--PaymentsForCash_iI_pn5n"/>
      <w:bookmarkEnd w:id="607"/>
      <w:r>
        <w:rPr>
          <w:rFonts w:ascii="Times New Roman;Times;Serif" w:hAnsi="Times New Roman;Times;Serif"/>
          <w:b w:val="false"/>
          <w:i w:val="false"/>
          <w:caps w:val="false"/>
          <w:smallCaps w:val="false"/>
          <w:sz w:val="20"/>
        </w:rPr>
        <w:t>21.6 million and $</w:t>
      </w:r>
      <w:bookmarkStart w:id="608" w:name="xdx_906_ecustom--PaymentsForCash_iI_pn5n"/>
      <w:bookmarkEnd w:id="608"/>
      <w:r>
        <w:rPr>
          <w:rFonts w:ascii="Times New Roman;Times;Serif" w:hAnsi="Times New Roman;Times;Serif"/>
          <w:b w:val="false"/>
          <w:i w:val="false"/>
          <w:caps w:val="false"/>
          <w:smallCaps w:val="false"/>
          <w:sz w:val="20"/>
        </w:rPr>
        <w:t>19.6 million, respectively, and anticipates continuing to make cash payments to SDE in future years. As of June 30, 2026 and December 31, 2025, the outstanding balance of net accounts (payable) receivable from related party was as follows:</w:t>
      </w:r>
    </w:p>
    <w:p>
      <w:pPr>
        <w:pStyle w:val="TextBody"/>
        <w:bidi w:val="0"/>
        <w:jc w:val="both"/>
        <w:rPr>
          <w:rFonts w:ascii="Times New Roman;Times;Serif" w:hAnsi="Times New Roman;Times;Serif"/>
          <w:b w:val="false"/>
          <w:i w:val="false"/>
          <w:caps w:val="false"/>
          <w:smallCaps w:val="false"/>
          <w:sz w:val="20"/>
        </w:rPr>
      </w:pPr>
      <w:bookmarkStart w:id="609" w:name="xdx_8BA_zRoQlmIUJXbi"/>
      <w:bookmarkStart w:id="610" w:name="xdx_891_ecustom--ScheduleOfRelatedPartyT"/>
      <w:bookmarkEnd w:id="609"/>
      <w:bookmarkEnd w:id="610"/>
      <w:r>
        <w:rPr>
          <w:rFonts w:ascii="Times New Roman;Times;Serif" w:hAnsi="Times New Roman;Times;Serif"/>
          <w:b w:val="false"/>
          <w:i w:val="false"/>
          <w:caps w:val="false"/>
          <w:smallCaps w:val="false"/>
          <w:sz w:val="20"/>
        </w:rPr>
        <w:t>SCHEDULE OF ACCOUNTS RECEIVABLE (PAYABLE) - RELATED PARTY</w:t>
      </w:r>
    </w:p>
    <w:tbl>
      <w:tblPr>
        <w:tblW w:w="6890" w:type="dxa"/>
        <w:jc w:val="left"/>
        <w:tblInd w:w="0" w:type="dxa"/>
        <w:tblLayout w:type="fixed"/>
        <w:tblCellMar>
          <w:top w:w="0" w:type="dxa"/>
          <w:left w:w="0" w:type="dxa"/>
          <w:bottom w:w="0" w:type="dxa"/>
          <w:right w:w="0" w:type="dxa"/>
        </w:tblCellMar>
      </w:tblPr>
      <w:tblGrid>
        <w:gridCol w:w="4175"/>
        <w:gridCol w:w="60"/>
        <w:gridCol w:w="140"/>
        <w:gridCol w:w="1055"/>
        <w:gridCol w:w="95"/>
        <w:gridCol w:w="60"/>
        <w:gridCol w:w="140"/>
        <w:gridCol w:w="1055"/>
        <w:gridCol w:w="110"/>
      </w:tblGrid>
      <w:tr>
        <w:trPr/>
        <w:tc>
          <w:tcPr>
            <w:tcW w:w="4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11" w:name="xdx_490_20260630_zKLjLPfPexba"/>
            <w:bookmarkEnd w:id="611"/>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2" w:name="xdx_498_20250630_zScL4UE3Hme6"/>
            <w:bookmarkEnd w:id="612"/>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613" w:name="xdx_409_eus-gaap--AccountsReceivableGros"/>
            <w:bookmarkEnd w:id="613"/>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1,500,592</w:t>
            </w:r>
          </w:p>
        </w:tc>
        <w:tc>
          <w:tcPr>
            <w:tcW w:w="110" w:type="dxa"/>
            <w:tcBorders/>
            <w:shd w:fill="CCEEFF" w:val="clear"/>
            <w:vAlign w:val="center"/>
          </w:tcPr>
          <w:p>
            <w:pPr>
              <w:pStyle w:val="TableContents"/>
              <w:bidi w:val="0"/>
              <w:spacing w:before="0" w:after="283"/>
              <w:jc w:val="left"/>
              <w:rPr/>
            </w:pPr>
            <w:r>
              <w:rPr/>
              <w:t> </w:t>
            </w:r>
            <w:bookmarkStart w:id="614" w:name="xdx_40B_eus-gaap--AccountsPayableCurrent"/>
            <w:bookmarkEnd w:id="614"/>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accounts payable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(4,280,543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(6,008,842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5" w:name="xdx_40D_ecustom--AccountsReceivablePayab"/>
            <w:bookmarkEnd w:id="615"/>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accounts payable – related party – SDE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(4,279,951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(4,508,250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left"/>
        <w:rPr>
          <w:caps w:val="false"/>
          <w:smallCaps w:val="false"/>
        </w:rPr>
      </w:pPr>
      <w:bookmarkStart w:id="616" w:name="xdx_8AA_zxKCNrOCZL3h"/>
      <w:bookmarkEnd w:id="61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17" w:name="xdx_80A_ecustom--PrepaidExpensesRelatedP"/>
      <w:bookmarkEnd w:id="617"/>
      <w:r>
        <w:rPr>
          <w:rFonts w:ascii="Times New Roman;Times;Serif" w:hAnsi="Times New Roman;Times;Serif"/>
          <w:b/>
          <w:i w:val="false"/>
          <w:caps w:val="false"/>
          <w:smallCaps w:val="false"/>
          <w:sz w:val="20"/>
        </w:rPr>
        <w:t xml:space="preserve">NOTE 6 – </w:t>
      </w:r>
      <w:bookmarkStart w:id="618" w:name="xdx_820_z5aW72nRR0gh"/>
      <w:bookmarkEnd w:id="618"/>
      <w:r>
        <w:rPr>
          <w:rFonts w:ascii="Times New Roman;Times;Serif" w:hAnsi="Times New Roman;Times;Serif"/>
          <w:b/>
          <w:i w:val="false"/>
          <w:caps w:val="false"/>
          <w:smallCaps w:val="false"/>
          <w:sz w:val="20"/>
        </w:rPr>
        <w:t>PREPAID EXPENSES – RELATED PARTY</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10, 2023, the Company amended its exclusive software license agreement with SDE relating to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For DLC’s the Company plans to release during the term of the agreement, the Company has the option to pay the $</w:t>
      </w:r>
      <w:bookmarkStart w:id="619" w:name="xdx_90F_ecustom--AmountPrepaidUnderExclu"/>
      <w:bookmarkEnd w:id="619"/>
      <w:r>
        <w:rPr>
          <w:rFonts w:ascii="Times New Roman;Times;Serif" w:hAnsi="Times New Roman;Times;Serif"/>
          <w:b w:val="false"/>
          <w:i w:val="false"/>
          <w:caps w:val="false"/>
          <w:smallCaps w:val="false"/>
          <w:sz w:val="20"/>
        </w:rPr>
        <w:t>5.0 million DLC payment in whole or in part, when paid in advance; or in full, upon the DLC release. No payment for any DLC under this agreement will exceed $</w:t>
      </w:r>
      <w:bookmarkStart w:id="620" w:name="xdx_90A_ecustom--MaximumAmountPayableUnd"/>
      <w:bookmarkEnd w:id="620"/>
      <w:r>
        <w:rPr>
          <w:rFonts w:ascii="Times New Roman;Times;Serif" w:hAnsi="Times New Roman;Times;Serif"/>
          <w:b w:val="false"/>
          <w:i w:val="false"/>
          <w:caps w:val="false"/>
          <w:smallCaps w:val="false"/>
          <w:sz w:val="20"/>
        </w:rPr>
        <w:t>5.0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the Company made $</w:t>
      </w:r>
      <w:bookmarkStart w:id="621" w:name="xdx_90D_eus-gaap--PrepaidRoyalties_iI_pn"/>
      <w:bookmarkEnd w:id="621"/>
      <w:r>
        <w:rPr>
          <w:rFonts w:ascii="Times New Roman;Times;Serif" w:hAnsi="Times New Roman;Times;Serif"/>
          <w:b w:val="false"/>
          <w:i w:val="false"/>
          <w:caps w:val="false"/>
          <w:smallCaps w:val="false"/>
          <w:sz w:val="20"/>
        </w:rPr>
        <w:t>0.5 million and $</w:t>
      </w:r>
      <w:bookmarkStart w:id="622" w:name="xdx_909_ecustom--PrepaidRoyaltyPayments_"/>
      <w:bookmarkEnd w:id="622"/>
      <w:r>
        <w:rPr>
          <w:rFonts w:ascii="Times New Roman;Times;Serif" w:hAnsi="Times New Roman;Times;Serif"/>
          <w:b w:val="false"/>
          <w:i w:val="false"/>
          <w:caps w:val="false"/>
          <w:smallCaps w:val="false"/>
          <w:sz w:val="20"/>
        </w:rPr>
        <w:t xml:space="preserve">1.0 million in prepaid royalty payments related to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During the year ended December 31, 2025, the Company made $</w:t>
      </w:r>
      <w:bookmarkStart w:id="623" w:name="xdx_904_eus-gaap--PrepaidRoyalties_iI_pn"/>
      <w:bookmarkEnd w:id="623"/>
      <w:r>
        <w:rPr>
          <w:rFonts w:ascii="Times New Roman;Times;Serif" w:hAnsi="Times New Roman;Times;Serif"/>
          <w:b w:val="false"/>
          <w:i w:val="false"/>
          <w:caps w:val="false"/>
          <w:smallCaps w:val="false"/>
          <w:sz w:val="20"/>
        </w:rPr>
        <w:t xml:space="preserve">1.6 million in prepaid royalty payments related to the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Prepaid expenses – related party consisted of the following as of June 30, 2026 and December 31, 2025:</w:t>
      </w:r>
    </w:p>
    <w:p>
      <w:pPr>
        <w:pStyle w:val="TextBody"/>
        <w:bidi w:val="0"/>
        <w:jc w:val="both"/>
        <w:rPr>
          <w:rFonts w:ascii="Times New Roman;Times;Serif" w:hAnsi="Times New Roman;Times;Serif"/>
          <w:b w:val="false"/>
          <w:i w:val="false"/>
          <w:caps w:val="false"/>
          <w:smallCaps w:val="false"/>
          <w:sz w:val="20"/>
        </w:rPr>
      </w:pPr>
      <w:bookmarkStart w:id="624" w:name="xdx_8B1_ziURDaXIJGe6"/>
      <w:bookmarkStart w:id="625" w:name="xdx_892_ecustom--ScheduleOfPrepaidExpens"/>
      <w:bookmarkEnd w:id="624"/>
      <w:bookmarkEnd w:id="625"/>
      <w:r>
        <w:rPr>
          <w:rFonts w:ascii="Times New Roman;Times;Serif" w:hAnsi="Times New Roman;Times;Serif"/>
          <w:b w:val="false"/>
          <w:i w:val="false"/>
          <w:caps w:val="false"/>
          <w:smallCaps w:val="false"/>
          <w:sz w:val="20"/>
        </w:rPr>
        <w:t>SCHEDULE OF PREPAID EXPENSES - RELATED PARTY </w:t>
      </w:r>
    </w:p>
    <w:tbl>
      <w:tblPr>
        <w:tblW w:w="741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26" w:name="xdx_496_20260630__us-gaap--RelatedPartyT"/>
            <w:bookmarkEnd w:id="626"/>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7" w:name="xdx_49E_20251231__us-gaap--RelatedPartyT"/>
            <w:bookmarkEnd w:id="627"/>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628" w:name="xdx_40A_eus-gaap--PrepaidRoyalties_iI_ma"/>
            <w:bookmarkEnd w:id="628"/>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royalties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6,375,960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5,983,448</w:t>
            </w:r>
          </w:p>
        </w:tc>
        <w:tc>
          <w:tcPr>
            <w:tcW w:w="110" w:type="dxa"/>
            <w:tcBorders/>
            <w:shd w:fill="CCEEFF" w:val="clear"/>
            <w:vAlign w:val="center"/>
          </w:tcPr>
          <w:p>
            <w:pPr>
              <w:pStyle w:val="TableContents"/>
              <w:bidi w:val="0"/>
              <w:spacing w:before="0" w:after="283"/>
              <w:jc w:val="left"/>
              <w:rPr/>
            </w:pPr>
            <w:r>
              <w:rPr/>
              <w:t> </w:t>
            </w:r>
            <w:bookmarkStart w:id="629" w:name="xdx_409_ecustom--PrepaidLicenses_iI_maPE"/>
            <w:bookmarkEnd w:id="629"/>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licenses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5,000,000</w:t>
            </w:r>
          </w:p>
        </w:tc>
        <w:tc>
          <w:tcPr>
            <w:tcW w:w="110" w:type="dxa"/>
            <w:tcBorders/>
            <w:shd w:fill="FFFFFF" w:val="clear"/>
            <w:vAlign w:val="center"/>
          </w:tcPr>
          <w:p>
            <w:pPr>
              <w:pStyle w:val="TableContents"/>
              <w:bidi w:val="0"/>
              <w:spacing w:before="0" w:after="283"/>
              <w:jc w:val="left"/>
              <w:rPr/>
            </w:pPr>
            <w:r>
              <w:rPr/>
              <w:t> </w:t>
            </w:r>
            <w:bookmarkStart w:id="630" w:name="xdx_401_eus-gaap--PrepaidExpenseCurrentA"/>
            <w:bookmarkEnd w:id="630"/>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 related party, ending balance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11,375,960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10,983,448</w:t>
            </w:r>
          </w:p>
        </w:tc>
        <w:tc>
          <w:tcPr>
            <w:tcW w:w="110" w:type="dxa"/>
            <w:tcBorders/>
            <w:shd w:fill="CCEEFF" w:val="clear"/>
            <w:vAlign w:val="center"/>
          </w:tcPr>
          <w:p>
            <w:pPr>
              <w:pStyle w:val="TableContents"/>
              <w:bidi w:val="0"/>
              <w:spacing w:before="0" w:after="283"/>
              <w:jc w:val="left"/>
              <w:rPr/>
            </w:pPr>
            <w:r>
              <w:rPr/>
              <w:t> </w:t>
            </w:r>
            <w:bookmarkStart w:id="631" w:name="xdx_407_eus-gaap--PrepaidExpenseCurrent_"/>
            <w:bookmarkEnd w:id="631"/>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short-term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(5,793,460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(2,700,474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32" w:name="xdx_402_eus-gaap--PrepaidExpenseNoncurre"/>
            <w:bookmarkEnd w:id="632"/>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 related party, long-term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8,282,974</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633" w:name="xdx_8A0_zatYBxbKndfl"/>
      <w:bookmarkEnd w:id="63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classified as short-term, as of June 30, 2026 and December 31, 2025, includes prepaid royalties for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and various operational software licenses obtained through SDE.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34" w:name="xdx_80F_ecustom--PrepaidExpensesAndOther"/>
      <w:bookmarkEnd w:id="634"/>
      <w:r>
        <w:rPr>
          <w:rFonts w:ascii="Times New Roman;Times;Serif" w:hAnsi="Times New Roman;Times;Serif"/>
          <w:b/>
          <w:i w:val="false"/>
          <w:caps w:val="false"/>
          <w:smallCaps w:val="false"/>
          <w:sz w:val="20"/>
        </w:rPr>
        <w:t xml:space="preserve">NOTE 7 – </w:t>
      </w:r>
      <w:bookmarkStart w:id="635" w:name="xdx_821_zUql9TInlvmf"/>
      <w:bookmarkEnd w:id="635"/>
      <w:r>
        <w:rPr>
          <w:rFonts w:ascii="Times New Roman;Times;Serif" w:hAnsi="Times New Roman;Times;Serif"/>
          <w:b/>
          <w:i w:val="false"/>
          <w:caps w:val="false"/>
          <w:smallCaps w:val="false"/>
          <w:sz w:val="20"/>
        </w:rPr>
        <w:t>PREPAID EXPENSES AND OTHER CURRENT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as of June 30, 2026 and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6" w:name="xdx_8B0_zQAd6WGzZkbc"/>
      <w:bookmarkStart w:id="637" w:name="xdx_89C_eus-gaap--DeferredCostsCapitaliz"/>
      <w:bookmarkEnd w:id="636"/>
      <w:bookmarkEnd w:id="637"/>
      <w:r>
        <w:rPr>
          <w:rFonts w:ascii="Times New Roman;Times;Serif" w:hAnsi="Times New Roman;Times;Serif"/>
          <w:b w:val="false"/>
          <w:i w:val="false"/>
          <w:caps w:val="false"/>
          <w:smallCaps w:val="false"/>
          <w:sz w:val="20"/>
        </w:rPr>
        <w:t>SCHEDULE OF PREPAID EXPENSES AND OTHER CURRENT ASSETS</w:t>
      </w:r>
    </w:p>
    <w:tbl>
      <w:tblPr>
        <w:tblW w:w="6970" w:type="dxa"/>
        <w:jc w:val="left"/>
        <w:tblInd w:w="0" w:type="dxa"/>
        <w:tblLayout w:type="fixed"/>
        <w:tblCellMar>
          <w:top w:w="0" w:type="dxa"/>
          <w:left w:w="0" w:type="dxa"/>
          <w:bottom w:w="0" w:type="dxa"/>
          <w:right w:w="0" w:type="dxa"/>
        </w:tblCellMar>
      </w:tblPr>
      <w:tblGrid>
        <w:gridCol w:w="4475"/>
        <w:gridCol w:w="60"/>
        <w:gridCol w:w="140"/>
        <w:gridCol w:w="980"/>
        <w:gridCol w:w="60"/>
        <w:gridCol w:w="60"/>
        <w:gridCol w:w="140"/>
        <w:gridCol w:w="980"/>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38" w:name="xdx_49B_20260630_zjGiTMR85JV5"/>
            <w:bookmarkEnd w:id="638"/>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9" w:name="xdx_496_20251231_z4yWxOKenO6f"/>
            <w:bookmarkEnd w:id="639"/>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640" w:name="xdx_40A_ecustom--PrepaidOtherReceivable_"/>
            <w:bookmarkEnd w:id="640"/>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979,137</w:t>
            </w:r>
          </w:p>
        </w:tc>
        <w:tc>
          <w:tcPr>
            <w:tcW w:w="75" w:type="dxa"/>
            <w:tcBorders/>
            <w:shd w:fill="CCEEFF" w:val="clear"/>
            <w:vAlign w:val="center"/>
          </w:tcPr>
          <w:p>
            <w:pPr>
              <w:pStyle w:val="TableContents"/>
              <w:bidi w:val="0"/>
              <w:spacing w:before="0" w:after="283"/>
              <w:jc w:val="left"/>
              <w:rPr/>
            </w:pPr>
            <w:r>
              <w:rPr/>
              <w:t> </w:t>
            </w:r>
            <w:bookmarkStart w:id="641" w:name="xdx_40A_eus-gaap--OtherPrepaidExpenseCur"/>
            <w:bookmarkEnd w:id="641"/>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prepaids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836,879</w:t>
            </w:r>
          </w:p>
        </w:tc>
        <w:tc>
          <w:tcPr>
            <w:tcW w:w="75" w:type="dxa"/>
            <w:tcBorders/>
            <w:shd w:fill="FFFFFF" w:val="clear"/>
            <w:vAlign w:val="center"/>
          </w:tcPr>
          <w:p>
            <w:pPr>
              <w:pStyle w:val="TableContents"/>
              <w:bidi w:val="0"/>
              <w:spacing w:before="0" w:after="283"/>
              <w:jc w:val="left"/>
              <w:rPr/>
            </w:pPr>
            <w:r>
              <w:rPr/>
              <w:t> </w:t>
            </w:r>
            <w:bookmarkStart w:id="642" w:name="xdx_402_eus-gaap--OtherAssetsCurrent_iI_"/>
            <w:bookmarkEnd w:id="642"/>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416,469</w:t>
            </w:r>
          </w:p>
        </w:tc>
        <w:tc>
          <w:tcPr>
            <w:tcW w:w="75" w:type="dxa"/>
            <w:tcBorders/>
            <w:shd w:fill="CCEEFF" w:val="clear"/>
            <w:vAlign w:val="center"/>
          </w:tcPr>
          <w:p>
            <w:pPr>
              <w:pStyle w:val="TableContents"/>
              <w:bidi w:val="0"/>
              <w:spacing w:before="0" w:after="283"/>
              <w:jc w:val="left"/>
              <w:rPr/>
            </w:pPr>
            <w:r>
              <w:rPr/>
              <w:t> </w:t>
            </w:r>
            <w:bookmarkStart w:id="643" w:name="xdx_404_eus-gaap--PrepaidExpenseAndOther"/>
            <w:bookmarkEnd w:id="643"/>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1,621,428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2,232,485</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bookmarkStart w:id="644" w:name="xdx_8A4_zlpvBTkYc4Ei"/>
      <w:bookmarkEnd w:id="64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45" w:name="xdx_802_eus-gaap--PropertyPlantAndEquipm"/>
      <w:bookmarkEnd w:id="645"/>
      <w:r>
        <w:rPr>
          <w:rFonts w:ascii="Times New Roman;Times;Serif" w:hAnsi="Times New Roman;Times;Serif"/>
          <w:b/>
          <w:i w:val="false"/>
          <w:caps w:val="false"/>
          <w:smallCaps w:val="false"/>
          <w:sz w:val="20"/>
        </w:rPr>
        <w:t xml:space="preserve">NOTE 8 – </w:t>
      </w:r>
      <w:bookmarkStart w:id="646" w:name="xdx_822_zM5penyPCiZj"/>
      <w:bookmarkEnd w:id="646"/>
      <w:r>
        <w:rPr>
          <w:rFonts w:ascii="Times New Roman;Times;Serif" w:hAnsi="Times New Roman;Times;Serif"/>
          <w:b/>
          <w:i w:val="false"/>
          <w:caps w:val="false"/>
          <w:smallCaps w:val="false"/>
          <w:sz w:val="20"/>
        </w:rPr>
        <w:t>PROPERTY AND EQUIPMENT, NET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647" w:name="xdx_89C_eus-gaap--PropertyPlantAndEquipm"/>
      <w:bookmarkEnd w:id="647"/>
      <w:r>
        <w:rPr>
          <w:rFonts w:ascii="Times New Roman;Times;Serif" w:hAnsi="Times New Roman;Times;Serif"/>
          <w:b w:val="false"/>
          <w:i w:val="false"/>
          <w:caps w:val="false"/>
          <w:smallCaps w:val="false"/>
          <w:sz w:val="20"/>
        </w:rPr>
        <w:t>Property and equipment, net consisted of the following as of June 30, 2026 and December 31, 2025:</w:t>
      </w:r>
    </w:p>
    <w:p>
      <w:pPr>
        <w:pStyle w:val="TextBody"/>
        <w:bidi w:val="0"/>
        <w:jc w:val="both"/>
        <w:rPr>
          <w:rFonts w:ascii="Times New Roman;Times;Serif" w:hAnsi="Times New Roman;Times;Serif"/>
          <w:b w:val="false"/>
          <w:i w:val="false"/>
          <w:caps w:val="false"/>
          <w:smallCaps w:val="false"/>
          <w:sz w:val="20"/>
        </w:rPr>
      </w:pPr>
      <w:bookmarkStart w:id="648" w:name="xdx_8B2_z6QaMmGwME6h"/>
      <w:bookmarkEnd w:id="648"/>
      <w:r>
        <w:rPr>
          <w:rFonts w:ascii="Times New Roman;Times;Serif" w:hAnsi="Times New Roman;Times;Serif"/>
          <w:b w:val="false"/>
          <w:i w:val="false"/>
          <w:caps w:val="false"/>
          <w:smallCaps w:val="false"/>
          <w:sz w:val="20"/>
        </w:rPr>
        <w:t>SCHEDULE OF PROPERTY, PLANT AND EQUIPMENT, NET </w:t>
      </w:r>
    </w:p>
    <w:tbl>
      <w:tblPr>
        <w:tblW w:w="5420" w:type="dxa"/>
        <w:jc w:val="left"/>
        <w:tblInd w:w="0" w:type="dxa"/>
        <w:tblLayout w:type="fixed"/>
        <w:tblCellMar>
          <w:top w:w="0" w:type="dxa"/>
          <w:left w:w="0" w:type="dxa"/>
          <w:bottom w:w="0" w:type="dxa"/>
          <w:right w:w="0" w:type="dxa"/>
        </w:tblCellMar>
      </w:tblPr>
      <w:tblGrid>
        <w:gridCol w:w="2705"/>
        <w:gridCol w:w="60"/>
        <w:gridCol w:w="140"/>
        <w:gridCol w:w="1055"/>
        <w:gridCol w:w="95"/>
        <w:gridCol w:w="60"/>
        <w:gridCol w:w="140"/>
        <w:gridCol w:w="1055"/>
        <w:gridCol w:w="110"/>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49" w:name="xdx_49B_20260630_zbVIvPRxDRsa"/>
            <w:bookmarkEnd w:id="649"/>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0" w:name="xdx_491_20251231_zZXeOn1A4Td1"/>
            <w:bookmarkEnd w:id="650"/>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651" w:name="xdx_404_eus-gaap--PropertyPlantAndEquipm"/>
            <w:bookmarkEnd w:id="651"/>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Building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1,874,049</w:t>
            </w:r>
          </w:p>
        </w:tc>
        <w:tc>
          <w:tcPr>
            <w:tcW w:w="110" w:type="dxa"/>
            <w:tcBorders/>
            <w:shd w:fill="CCEEFF" w:val="clear"/>
            <w:vAlign w:val="center"/>
          </w:tcPr>
          <w:p>
            <w:pPr>
              <w:pStyle w:val="TableContents"/>
              <w:bidi w:val="0"/>
              <w:spacing w:before="0" w:after="283"/>
              <w:jc w:val="left"/>
              <w:rPr/>
            </w:pPr>
            <w:r>
              <w:rPr/>
              <w:t> </w:t>
            </w:r>
            <w:bookmarkStart w:id="652" w:name="xdx_40B_eus-gaap--PropertyPlantAndEquipm"/>
            <w:bookmarkEnd w:id="652"/>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2,700,000</w:t>
            </w:r>
          </w:p>
        </w:tc>
        <w:tc>
          <w:tcPr>
            <w:tcW w:w="110" w:type="dxa"/>
            <w:tcBorders/>
            <w:shd w:fill="FFFFFF" w:val="clear"/>
            <w:vAlign w:val="center"/>
          </w:tcPr>
          <w:p>
            <w:pPr>
              <w:pStyle w:val="TableContents"/>
              <w:bidi w:val="0"/>
              <w:spacing w:before="0" w:after="283"/>
              <w:jc w:val="left"/>
              <w:rPr/>
            </w:pPr>
            <w:r>
              <w:rPr/>
              <w:t> </w:t>
            </w:r>
            <w:bookmarkStart w:id="653" w:name="xdx_401_eus-gaap--PropertyPlantAndEquipm"/>
            <w:bookmarkEnd w:id="653"/>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Building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1,010,218</w:t>
            </w:r>
          </w:p>
        </w:tc>
        <w:tc>
          <w:tcPr>
            <w:tcW w:w="110" w:type="dxa"/>
            <w:tcBorders/>
            <w:shd w:fill="CCEEFF" w:val="clear"/>
            <w:vAlign w:val="center"/>
          </w:tcPr>
          <w:p>
            <w:pPr>
              <w:pStyle w:val="TableContents"/>
              <w:bidi w:val="0"/>
              <w:spacing w:before="0" w:after="283"/>
              <w:jc w:val="left"/>
              <w:rPr/>
            </w:pPr>
            <w:r>
              <w:rPr/>
              <w:t> </w:t>
            </w:r>
            <w:bookmarkStart w:id="654" w:name="xdx_40D_eus-gaap--PropertyPlantAndEquipm"/>
            <w:bookmarkEnd w:id="654"/>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1,537,775</w:t>
            </w:r>
          </w:p>
        </w:tc>
        <w:tc>
          <w:tcPr>
            <w:tcW w:w="110" w:type="dxa"/>
            <w:tcBorders/>
            <w:shd w:fill="FFFFFF" w:val="clear"/>
            <w:vAlign w:val="center"/>
          </w:tcPr>
          <w:p>
            <w:pPr>
              <w:pStyle w:val="TableContents"/>
              <w:bidi w:val="0"/>
              <w:spacing w:before="0" w:after="283"/>
              <w:jc w:val="left"/>
              <w:rPr/>
            </w:pPr>
            <w:r>
              <w:rPr/>
              <w:t> </w:t>
            </w:r>
            <w:bookmarkStart w:id="655" w:name="xdx_404_eus-gaap--PropertyPlantAndEquipm"/>
            <w:bookmarkEnd w:id="655"/>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Autos and trucks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178,695</w:t>
            </w:r>
          </w:p>
        </w:tc>
        <w:tc>
          <w:tcPr>
            <w:tcW w:w="110" w:type="dxa"/>
            <w:tcBorders/>
            <w:shd w:fill="CCEEFF" w:val="clear"/>
            <w:vAlign w:val="center"/>
          </w:tcPr>
          <w:p>
            <w:pPr>
              <w:pStyle w:val="TableContents"/>
              <w:bidi w:val="0"/>
              <w:spacing w:before="0" w:after="283"/>
              <w:jc w:val="left"/>
              <w:rPr/>
            </w:pPr>
            <w:r>
              <w:rPr/>
              <w:t> </w:t>
            </w:r>
            <w:bookmarkStart w:id="656" w:name="xdx_408_eus-gaap--PropertyPlantAndEquipm"/>
            <w:bookmarkEnd w:id="656"/>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1,367,529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1,367,529</w:t>
            </w:r>
          </w:p>
        </w:tc>
        <w:tc>
          <w:tcPr>
            <w:tcW w:w="110" w:type="dxa"/>
            <w:tcBorders/>
            <w:shd w:fill="FFFFFF" w:val="clear"/>
            <w:vAlign w:val="center"/>
          </w:tcPr>
          <w:p>
            <w:pPr>
              <w:pStyle w:val="TableContents"/>
              <w:bidi w:val="0"/>
              <w:spacing w:before="0" w:after="283"/>
              <w:jc w:val="left"/>
              <w:rPr/>
            </w:pPr>
            <w:r>
              <w:rPr/>
              <w:t> </w:t>
            </w:r>
            <w:bookmarkStart w:id="657" w:name="xdx_40F_eus-gaap--PropertyPlantAndEquipm"/>
            <w:bookmarkEnd w:id="657"/>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Furniture and fixtures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411,801</w:t>
            </w:r>
          </w:p>
        </w:tc>
        <w:tc>
          <w:tcPr>
            <w:tcW w:w="110" w:type="dxa"/>
            <w:tcBorders/>
            <w:shd w:fill="CCEEFF" w:val="clear"/>
            <w:vAlign w:val="center"/>
          </w:tcPr>
          <w:p>
            <w:pPr>
              <w:pStyle w:val="TableContents"/>
              <w:bidi w:val="0"/>
              <w:spacing w:before="0" w:after="283"/>
              <w:jc w:val="left"/>
              <w:rPr/>
            </w:pPr>
            <w:r>
              <w:rPr/>
              <w:t> </w:t>
            </w:r>
            <w:bookmarkStart w:id="658" w:name="xdx_40B_eus-gaap--PropertyPlantAndEquipm"/>
            <w:bookmarkEnd w:id="658"/>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9,080,067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9,080,067</w:t>
            </w:r>
          </w:p>
        </w:tc>
        <w:tc>
          <w:tcPr>
            <w:tcW w:w="110" w:type="dxa"/>
            <w:tcBorders/>
            <w:shd w:fill="FFFFFF" w:val="clear"/>
            <w:vAlign w:val="center"/>
          </w:tcPr>
          <w:p>
            <w:pPr>
              <w:pStyle w:val="TableContents"/>
              <w:bidi w:val="0"/>
              <w:spacing w:before="0" w:after="283"/>
              <w:jc w:val="left"/>
              <w:rPr/>
            </w:pPr>
            <w:r>
              <w:rPr/>
              <w:t> </w:t>
            </w:r>
            <w:bookmarkStart w:id="659" w:name="xdx_40E_eus-gaap--AccumulatedDepreciatio"/>
            <w:bookmarkEnd w:id="659"/>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(4,959,460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(4,933,892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60" w:name="xdx_401_eus-gaap--PropertyPlantAndEquipm"/>
            <w:bookmarkEnd w:id="660"/>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4,120,607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4,146,175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bookmarkStart w:id="661" w:name="xdx_8A3_zy9zKm1IBwVa"/>
      <w:bookmarkEnd w:id="661"/>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w:t>
      </w:r>
      <w:bookmarkStart w:id="662" w:name="xdx_90E_eus-gaap--DepreciationDepletionA"/>
      <w:bookmarkEnd w:id="662"/>
      <w:r>
        <w:rPr>
          <w:rFonts w:ascii="Times New Roman;Times;Serif" w:hAnsi="Times New Roman;Times;Serif"/>
          <w:b w:val="false"/>
          <w:i w:val="false"/>
          <w:caps w:val="false"/>
          <w:smallCaps w:val="false"/>
          <w:sz w:val="20"/>
        </w:rPr>
        <w:t>12,834 and $</w:t>
      </w:r>
      <w:bookmarkStart w:id="663" w:name="xdx_908_eus-gaap--DepreciationDepletionA"/>
      <w:bookmarkEnd w:id="663"/>
      <w:r>
        <w:rPr>
          <w:rFonts w:ascii="Times New Roman;Times;Serif" w:hAnsi="Times New Roman;Times;Serif"/>
          <w:b w:val="false"/>
          <w:i w:val="false"/>
          <w:caps w:val="false"/>
          <w:smallCaps w:val="false"/>
          <w:sz w:val="20"/>
        </w:rPr>
        <w:t>67,761 for the three months ended June 30, 2026, and 2025, respectively. Depreciation expense was $</w:t>
      </w:r>
      <w:bookmarkStart w:id="664" w:name="xdx_900_eus-gaap--DepreciationDepletionA"/>
      <w:bookmarkEnd w:id="664"/>
      <w:r>
        <w:rPr>
          <w:rFonts w:ascii="Times New Roman;Times;Serif" w:hAnsi="Times New Roman;Times;Serif"/>
          <w:b w:val="false"/>
          <w:i w:val="false"/>
          <w:caps w:val="false"/>
          <w:smallCaps w:val="false"/>
          <w:sz w:val="20"/>
        </w:rPr>
        <w:t>25,568 and $</w:t>
      </w:r>
      <w:bookmarkStart w:id="665" w:name="xdx_906_eus-gaap--DepreciationDepletionA"/>
      <w:bookmarkEnd w:id="665"/>
      <w:r>
        <w:rPr>
          <w:rFonts w:ascii="Times New Roman;Times;Serif" w:hAnsi="Times New Roman;Times;Serif"/>
          <w:b w:val="false"/>
          <w:i w:val="false"/>
          <w:caps w:val="false"/>
          <w:smallCaps w:val="false"/>
          <w:sz w:val="20"/>
        </w:rPr>
        <w:t xml:space="preserve">135,665 for the six months ended June 30, 2026, and 2025, respectively. The Company did </w:t>
      </w:r>
      <w:bookmarkStart w:id="666" w:name="xdx_909_eus-gaap--GainLossOnDispositionO"/>
      <w:bookmarkStart w:id="667" w:name="xdx_90B_eus-gaap--GainLossOnDispositionO"/>
      <w:bookmarkEnd w:id="666"/>
      <w:bookmarkEnd w:id="667"/>
      <w:r>
        <w:rPr>
          <w:rFonts w:ascii="Times New Roman;Times;Serif" w:hAnsi="Times New Roman;Times;Serif"/>
          <w:b w:val="false"/>
          <w:i w:val="false"/>
          <w:caps w:val="false"/>
          <w:smallCaps w:val="false"/>
          <w:sz w:val="20"/>
        </w:rPr>
        <w:t>not have any disposals in the three and six months ended June 30, 2026 or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68" w:name="xdx_803_eus-gaap--IntangibleAssetsDisclo"/>
      <w:bookmarkEnd w:id="668"/>
      <w:r>
        <w:rPr>
          <w:rFonts w:ascii="Times New Roman;Times;Serif" w:hAnsi="Times New Roman;Times;Serif"/>
          <w:b/>
          <w:i w:val="false"/>
          <w:caps w:val="false"/>
          <w:smallCaps w:val="false"/>
          <w:sz w:val="20"/>
        </w:rPr>
        <w:t xml:space="preserve">NOTE 9 – </w:t>
      </w:r>
      <w:bookmarkStart w:id="669" w:name="xdx_82B_zjCY0d8LlCL4"/>
      <w:bookmarkEnd w:id="669"/>
      <w:r>
        <w:rPr>
          <w:rFonts w:ascii="Times New Roman;Times;Serif" w:hAnsi="Times New Roman;Times;Serif"/>
          <w:b/>
          <w:i w:val="false"/>
          <w:caps w:val="false"/>
          <w:smallCaps w:val="false"/>
          <w:sz w:val="20"/>
        </w:rPr>
        <w:t>INTANGIBLE ASSETS,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 of game licenses, game software underlying intellectual property rights, internally developed software, game trademarks and other branding items. The Company amortizes the intangible assets over its useful life.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670" w:name="xdx_891_eus-gaap--ScheduleOfFiniteLivedI"/>
      <w:bookmarkEnd w:id="670"/>
      <w:r>
        <w:rPr>
          <w:rFonts w:ascii="Times New Roman;Times;Serif" w:hAnsi="Times New Roman;Times;Serif"/>
          <w:b w:val="false"/>
          <w:i w:val="false"/>
          <w:caps w:val="false"/>
          <w:smallCaps w:val="false"/>
          <w:sz w:val="20"/>
        </w:rPr>
        <w:t>The following tables reflect all the intangible assets presented on the condensed consolidated balance sheets as of June 30, 2026 and December 31, 2025:</w:t>
      </w:r>
    </w:p>
    <w:p>
      <w:pPr>
        <w:pStyle w:val="TextBody"/>
        <w:bidi w:val="0"/>
        <w:jc w:val="both"/>
        <w:rPr>
          <w:rFonts w:ascii="Times New Roman;Times;Serif" w:hAnsi="Times New Roman;Times;Serif"/>
          <w:b w:val="false"/>
          <w:i w:val="false"/>
          <w:caps w:val="false"/>
          <w:smallCaps w:val="false"/>
          <w:sz w:val="20"/>
        </w:rPr>
      </w:pPr>
      <w:bookmarkStart w:id="671" w:name="xdx_8B2_zwJ2DDz6sLd3"/>
      <w:bookmarkEnd w:id="671"/>
      <w:r>
        <w:rPr>
          <w:rFonts w:ascii="Times New Roman;Times;Serif" w:hAnsi="Times New Roman;Times;Serif"/>
          <w:b w:val="false"/>
          <w:i w:val="false"/>
          <w:caps w:val="false"/>
          <w:smallCaps w:val="false"/>
          <w:sz w:val="20"/>
        </w:rPr>
        <w:t>SCHEDULE OF INTANGIBLE ASSETS </w:t>
      </w:r>
    </w:p>
    <w:tbl>
      <w:tblPr>
        <w:tblW w:w="10205" w:type="dxa"/>
        <w:jc w:val="left"/>
        <w:tblInd w:w="0" w:type="dxa"/>
        <w:tblLayout w:type="fixed"/>
        <w:tblCellMar>
          <w:top w:w="0" w:type="dxa"/>
          <w:left w:w="0" w:type="dxa"/>
          <w:bottom w:w="0" w:type="dxa"/>
          <w:right w:w="0" w:type="dxa"/>
        </w:tblCellMar>
      </w:tblPr>
      <w:tblGrid>
        <w:gridCol w:w="3378"/>
        <w:gridCol w:w="60"/>
        <w:gridCol w:w="140"/>
        <w:gridCol w:w="1220"/>
        <w:gridCol w:w="60"/>
        <w:gridCol w:w="60"/>
        <w:gridCol w:w="140"/>
        <w:gridCol w:w="1295"/>
        <w:gridCol w:w="95"/>
        <w:gridCol w:w="60"/>
        <w:gridCol w:w="432"/>
        <w:gridCol w:w="803"/>
        <w:gridCol w:w="60"/>
        <w:gridCol w:w="60"/>
        <w:gridCol w:w="140"/>
        <w:gridCol w:w="980"/>
        <w:gridCol w:w="60"/>
        <w:gridCol w:w="60"/>
        <w:gridCol w:w="1102"/>
      </w:tblGrid>
      <w:tr>
        <w:trPr/>
        <w:tc>
          <w:tcPr>
            <w:tcW w:w="3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4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w:t>
            </w:r>
          </w:p>
        </w:tc>
      </w:tr>
      <w:tr>
        <w:trPr/>
        <w:tc>
          <w:tcPr>
            <w:tcW w:w="3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Impairment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Book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Average</w:t>
            </w:r>
          </w:p>
        </w:tc>
      </w:tr>
      <w:tr>
        <w:trPr/>
        <w:tc>
          <w:tcPr>
            <w:tcW w:w="3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Useful Life</w:t>
            </w:r>
          </w:p>
        </w:tc>
      </w:tr>
      <w:tr>
        <w:trPr/>
        <w:tc>
          <w:tcPr>
            <w:tcW w:w="33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 and license rights from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72" w:name="xdx_98B_eus-gaap--FiniteLivedIntangibleA"/>
            <w:bookmarkEnd w:id="672"/>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141,665,000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73" w:name="xdx_982_eus-gaap--FiniteLivedIntangibleA"/>
            <w:bookmarkEnd w:id="673"/>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(137,248,333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74" w:name="xdx_98D_ecustom--FiniteLivedIntangibleAs"/>
            <w:bookmarkEnd w:id="674"/>
          </w:p>
        </w:tc>
        <w:tc>
          <w:tcPr>
            <w:tcW w:w="8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75" w:name="xdx_984_eus-gaap--FiniteLivedIntangibleA"/>
            <w:bookmarkEnd w:id="675"/>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center"/>
              <w:rPr>
                <w:rFonts w:ascii="Times New Roman;Times;Serif" w:hAnsi="Times New Roman;Times;Serif"/>
              </w:rPr>
            </w:pPr>
            <w:bookmarkStart w:id="676" w:name="xdx_902_eus-gaap--AcquiredFiniteLivedInt"/>
            <w:bookmarkEnd w:id="676"/>
            <w:r>
              <w:rPr>
                <w:rFonts w:ascii="Times New Roman;Times;Serif" w:hAnsi="Times New Roman;Times;Serif"/>
              </w:rPr>
              <w:t>3 - </w:t>
            </w:r>
            <w:bookmarkStart w:id="677" w:name="xdx_90B_eus-gaap--AcquiredFiniteLivedInt"/>
            <w:bookmarkEnd w:id="677"/>
            <w:r>
              <w:rPr>
                <w:rFonts w:ascii="Times New Roman;Times;Serif" w:hAnsi="Times New Roman;Times;Serif"/>
              </w:rPr>
              <w:t>5 years</w:t>
            </w:r>
          </w:p>
        </w:tc>
      </w:tr>
      <w:tr>
        <w:trPr/>
        <w:tc>
          <w:tcPr>
            <w:tcW w:w="33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License rights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78" w:name="xdx_985_eus-gaap--FiniteLivedIntangibleA"/>
            <w:bookmarkEnd w:id="678"/>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6,164,818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79" w:name="xdx_98F_eus-gaap--FiniteLivedIntangibleA"/>
            <w:bookmarkEnd w:id="679"/>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(3,381,659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bookmarkStart w:id="680" w:name="xdx_98F_ecustom--FiniteLivedIntangibleAs"/>
            <w:bookmarkEnd w:id="680"/>
          </w:p>
        </w:tc>
        <w:tc>
          <w:tcPr>
            <w:tcW w:w="8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81" w:name="xdx_982_eus-gaap--FiniteLivedIntangibleA"/>
            <w:bookmarkEnd w:id="681"/>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2,783,159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center"/>
              <w:rPr>
                <w:rFonts w:ascii="Times New Roman;Times;Serif" w:hAnsi="Times New Roman;Times;Serif"/>
              </w:rPr>
            </w:pPr>
            <w:bookmarkStart w:id="682" w:name="xdx_904_eus-gaap--AcquiredFiniteLivedInt"/>
            <w:bookmarkEnd w:id="682"/>
            <w:r>
              <w:rPr>
                <w:rFonts w:ascii="Times New Roman;Times;Serif" w:hAnsi="Times New Roman;Times;Serif"/>
              </w:rPr>
              <w:t>5 years</w:t>
            </w:r>
          </w:p>
        </w:tc>
      </w:tr>
      <w:tr>
        <w:trPr/>
        <w:tc>
          <w:tcPr>
            <w:tcW w:w="33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83" w:name="xdx_982_eus-gaap--FiniteLivedIntangibleA"/>
            <w:bookmarkEnd w:id="683"/>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84" w:name="xdx_986_eus-gaap--FiniteLivedIntangibleA"/>
            <w:bookmarkEnd w:id="684"/>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(315,982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bookmarkStart w:id="685" w:name="xdx_983_ecustom--FiniteLivedIntangibleAs"/>
            <w:bookmarkEnd w:id="685"/>
          </w:p>
        </w:tc>
        <w:tc>
          <w:tcPr>
            <w:tcW w:w="8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86" w:name="xdx_98F_eus-gaap--FiniteLivedIntangibleA"/>
            <w:bookmarkEnd w:id="68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center"/>
              <w:rPr>
                <w:rFonts w:ascii="Times New Roman;Times;Serif" w:hAnsi="Times New Roman;Times;Serif"/>
              </w:rPr>
            </w:pPr>
            <w:bookmarkStart w:id="687" w:name="xdx_908_eus-gaap--AcquiredFiniteLivedInt"/>
            <w:bookmarkEnd w:id="687"/>
            <w:r>
              <w:rPr>
                <w:rFonts w:ascii="Times New Roman;Times;Serif" w:hAnsi="Times New Roman;Times;Serif"/>
              </w:rPr>
              <w:t xml:space="preserve">3 - </w:t>
            </w:r>
            <w:bookmarkStart w:id="688" w:name="xdx_908_eus-gaap--AcquiredFiniteLivedInt"/>
            <w:bookmarkEnd w:id="688"/>
            <w:r>
              <w:rPr>
                <w:rFonts w:ascii="Times New Roman;Times;Serif" w:hAnsi="Times New Roman;Times;Serif"/>
              </w:rPr>
              <w:t>5 years</w:t>
            </w:r>
          </w:p>
        </w:tc>
      </w:tr>
      <w:tr>
        <w:trPr/>
        <w:tc>
          <w:tcPr>
            <w:tcW w:w="33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Trademark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89" w:name="xdx_981_eus-gaap--FiniteLivedIntangibleA"/>
            <w:bookmarkEnd w:id="689"/>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90" w:name="xdx_986_eus-gaap--FiniteLivedIntangibleA"/>
            <w:bookmarkEnd w:id="690"/>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bookmarkStart w:id="691" w:name="xdx_982_ecustom--FiniteLivedIntangibleAs"/>
            <w:bookmarkEnd w:id="691"/>
          </w:p>
        </w:tc>
        <w:tc>
          <w:tcPr>
            <w:tcW w:w="8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92" w:name="xdx_980_eus-gaap--FiniteLivedIntangibleA"/>
            <w:bookmarkEnd w:id="692"/>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center"/>
              <w:rPr>
                <w:rFonts w:ascii="Times New Roman;Times;Serif" w:hAnsi="Times New Roman;Times;Serif"/>
              </w:rPr>
            </w:pPr>
            <w:bookmarkStart w:id="693" w:name="xdx_90B_eus-gaap--AcquiredFiniteLivedInt"/>
            <w:bookmarkEnd w:id="693"/>
            <w:r>
              <w:rPr>
                <w:rFonts w:ascii="Times New Roman;Times;Serif" w:hAnsi="Times New Roman;Times;Serif"/>
              </w:rPr>
              <w:t>12 years</w:t>
            </w:r>
          </w:p>
        </w:tc>
      </w:tr>
      <w:tr>
        <w:trPr/>
        <w:tc>
          <w:tcPr>
            <w:tcW w:w="33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In-progress patent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94" w:name="xdx_984_eus-gaap--FiniteLivedIntangibleA"/>
            <w:bookmarkEnd w:id="694"/>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95" w:name="xdx_981_eus-gaap--FiniteLivedIntangibleA"/>
            <w:bookmarkEnd w:id="695"/>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96" w:name="xdx_98F_ecustom--FiniteLivedIntangibleAs"/>
            <w:bookmarkEnd w:id="696"/>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97" w:name="xdx_980_eus-gaap--FiniteLivedIntangibleA"/>
            <w:bookmarkEnd w:id="697"/>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center"/>
              <w:rPr/>
            </w:pPr>
            <w:r>
              <w:rPr/>
              <w:t> </w:t>
            </w:r>
          </w:p>
        </w:tc>
      </w:tr>
      <w:tr>
        <w:trPr/>
        <w:tc>
          <w:tcPr>
            <w:tcW w:w="33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8" w:name="xdx_98D_eus-gaap--FiniteLivedIntangibleA"/>
            <w:bookmarkEnd w:id="698"/>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149,271,927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9" w:name="xdx_98D_eus-gaap--FiniteLivedIntangibleA"/>
            <w:bookmarkEnd w:id="699"/>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(140,956,719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00" w:name="xdx_987_ecustom--FiniteLivedIntangibleAs"/>
            <w:bookmarkEnd w:id="700"/>
          </w:p>
        </w:tc>
        <w:tc>
          <w:tcPr>
            <w:tcW w:w="8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01" w:name="xdx_982_eus-gaap--FiniteLivedIntangibleA"/>
            <w:bookmarkEnd w:id="70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8,315,208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44"/>
        <w:gridCol w:w="60"/>
        <w:gridCol w:w="140"/>
        <w:gridCol w:w="1220"/>
        <w:gridCol w:w="60"/>
        <w:gridCol w:w="60"/>
        <w:gridCol w:w="140"/>
        <w:gridCol w:w="1295"/>
        <w:gridCol w:w="95"/>
        <w:gridCol w:w="60"/>
        <w:gridCol w:w="170"/>
        <w:gridCol w:w="1065"/>
        <w:gridCol w:w="95"/>
        <w:gridCol w:w="60"/>
        <w:gridCol w:w="140"/>
        <w:gridCol w:w="980"/>
        <w:gridCol w:w="60"/>
        <w:gridCol w:w="60"/>
        <w:gridCol w:w="1101"/>
      </w:tblGrid>
      <w:tr>
        <w:trPr/>
        <w:tc>
          <w:tcPr>
            <w:tcW w:w="33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8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r>
      <w:tr>
        <w:trPr/>
        <w:tc>
          <w:tcPr>
            <w:tcW w:w="33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w:t>
            </w:r>
          </w:p>
        </w:tc>
      </w:tr>
      <w:tr>
        <w:trPr/>
        <w:tc>
          <w:tcPr>
            <w:tcW w:w="33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Impairment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Book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Average</w:t>
            </w:r>
          </w:p>
        </w:tc>
      </w:tr>
      <w:tr>
        <w:trPr/>
        <w:tc>
          <w:tcPr>
            <w:tcW w:w="33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Useful Life</w:t>
            </w:r>
          </w:p>
        </w:tc>
      </w:tr>
      <w:tr>
        <w:trPr/>
        <w:tc>
          <w:tcPr>
            <w:tcW w:w="33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 and license rights from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02" w:name="xdx_989_eus-gaap--FiniteLivedIntangibleA"/>
            <w:bookmarkEnd w:id="702"/>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141,665,000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03" w:name="xdx_98B_eus-gaap--FiniteLivedIntangibleA"/>
            <w:bookmarkEnd w:id="703"/>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(136,748,333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04" w:name="xdx_988_ecustom--FiniteLivedIntangibleAs"/>
            <w:bookmarkEnd w:id="704"/>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05" w:name="xdx_982_eus-gaap--FiniteLivedIntangibleA"/>
            <w:bookmarkEnd w:id="705"/>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rPr>
            </w:pPr>
            <w:bookmarkStart w:id="706" w:name="xdx_90D_eus-gaap--AcquiredFiniteLivedInt"/>
            <w:bookmarkEnd w:id="706"/>
            <w:r>
              <w:rPr>
                <w:rFonts w:ascii="Times New Roman;Times;Serif" w:hAnsi="Times New Roman;Times;Serif"/>
              </w:rPr>
              <w:t>3 - </w:t>
            </w:r>
            <w:bookmarkStart w:id="707" w:name="xdx_90D_eus-gaap--AcquiredFiniteLivedInt"/>
            <w:bookmarkEnd w:id="707"/>
            <w:r>
              <w:rPr>
                <w:rFonts w:ascii="Times New Roman;Times;Serif" w:hAnsi="Times New Roman;Times;Serif"/>
              </w:rPr>
              <w:t>5 years</w:t>
            </w:r>
          </w:p>
        </w:tc>
      </w:tr>
      <w:tr>
        <w:trPr/>
        <w:tc>
          <w:tcPr>
            <w:tcW w:w="33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License rights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08" w:name="xdx_982_eus-gaap--FiniteLivedIntangibleA"/>
            <w:bookmarkEnd w:id="708"/>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6,217,896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09" w:name="xdx_985_eus-gaap--FiniteLivedIntangibleA"/>
            <w:bookmarkEnd w:id="709"/>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(3,162,645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bookmarkStart w:id="710" w:name="xdx_98A_ecustom--FiniteLivedIntangibleAs"/>
            <w:bookmarkEnd w:id="710"/>
          </w:p>
        </w:tc>
        <w:tc>
          <w:tcPr>
            <w:tcW w:w="10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(451,447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11" w:name="xdx_981_eus-gaap--FiniteLivedIntangibleA"/>
            <w:bookmarkEnd w:id="711"/>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center"/>
              <w:rPr>
                <w:rFonts w:ascii="Times New Roman;Times;Serif" w:hAnsi="Times New Roman;Times;Serif"/>
              </w:rPr>
            </w:pPr>
            <w:bookmarkStart w:id="712" w:name="xdx_902_eus-gaap--AcquiredFiniteLivedInt"/>
            <w:bookmarkEnd w:id="712"/>
            <w:r>
              <w:rPr>
                <w:rFonts w:ascii="Times New Roman;Times;Serif" w:hAnsi="Times New Roman;Times;Serif"/>
              </w:rPr>
              <w:t>5 years</w:t>
            </w:r>
          </w:p>
        </w:tc>
      </w:tr>
      <w:tr>
        <w:trPr/>
        <w:tc>
          <w:tcPr>
            <w:tcW w:w="33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13" w:name="xdx_98D_eus-gaap--FiniteLivedIntangibleA"/>
            <w:bookmarkEnd w:id="713"/>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1,376,490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14" w:name="xdx_988_eus-gaap--FiniteLivedIntangibleA"/>
            <w:bookmarkEnd w:id="714"/>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(207,240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bookmarkStart w:id="715" w:name="xdx_98D_ecustom--FiniteLivedIntangibleAs"/>
            <w:bookmarkEnd w:id="715"/>
          </w:p>
        </w:tc>
        <w:tc>
          <w:tcPr>
            <w:tcW w:w="10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(216,013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16" w:name="xdx_981_eus-gaap--FiniteLivedIntangibleA"/>
            <w:bookmarkEnd w:id="71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953,237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center"/>
              <w:rPr>
                <w:rFonts w:ascii="Times New Roman;Times;Serif" w:hAnsi="Times New Roman;Times;Serif"/>
              </w:rPr>
            </w:pPr>
            <w:bookmarkStart w:id="717" w:name="xdx_905_eus-gaap--AcquiredFiniteLivedInt"/>
            <w:bookmarkEnd w:id="717"/>
            <w:r>
              <w:rPr>
                <w:rFonts w:ascii="Times New Roman;Times;Serif" w:hAnsi="Times New Roman;Times;Serif"/>
              </w:rPr>
              <w:t xml:space="preserve">3 - </w:t>
            </w:r>
            <w:bookmarkStart w:id="718" w:name="xdx_902_eus-gaap--AcquiredFiniteLivedInt"/>
            <w:bookmarkEnd w:id="718"/>
            <w:r>
              <w:rPr>
                <w:rFonts w:ascii="Times New Roman;Times;Serif" w:hAnsi="Times New Roman;Times;Serif"/>
              </w:rPr>
              <w:t>5 years</w:t>
            </w:r>
          </w:p>
        </w:tc>
      </w:tr>
      <w:tr>
        <w:trPr/>
        <w:tc>
          <w:tcPr>
            <w:tcW w:w="33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Trademark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19" w:name="xdx_987_eus-gaap--FiniteLivedIntangibleA"/>
            <w:bookmarkEnd w:id="719"/>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20" w:name="xdx_988_eus-gaap--FiniteLivedIntangibleA"/>
            <w:bookmarkEnd w:id="720"/>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bookmarkStart w:id="721" w:name="xdx_984_ecustom--FiniteLivedIntangibleAs"/>
            <w:bookmarkEnd w:id="721"/>
          </w:p>
        </w:tc>
        <w:tc>
          <w:tcPr>
            <w:tcW w:w="10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22" w:name="xdx_98F_eus-gaap--FiniteLivedIntangibleA"/>
            <w:bookmarkEnd w:id="722"/>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center"/>
              <w:rPr>
                <w:rFonts w:ascii="Times New Roman;Times;Serif" w:hAnsi="Times New Roman;Times;Serif"/>
              </w:rPr>
            </w:pPr>
            <w:bookmarkStart w:id="723" w:name="xdx_907_eus-gaap--AcquiredFiniteLivedInt"/>
            <w:bookmarkEnd w:id="723"/>
            <w:r>
              <w:rPr>
                <w:rFonts w:ascii="Times New Roman;Times;Serif" w:hAnsi="Times New Roman;Times;Serif"/>
              </w:rPr>
              <w:t>12 years</w:t>
            </w:r>
          </w:p>
        </w:tc>
      </w:tr>
      <w:tr>
        <w:trPr/>
        <w:tc>
          <w:tcPr>
            <w:tcW w:w="33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In-progress patent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24" w:name="xdx_984_eus-gaap--FiniteLivedIntangibleA"/>
            <w:bookmarkEnd w:id="724"/>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25" w:name="xdx_983_eus-gaap--FiniteLivedIntangibleA"/>
            <w:bookmarkEnd w:id="725"/>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26" w:name="xdx_98E_ecustom--FiniteLivedIntangibleAs"/>
            <w:bookmarkEnd w:id="726"/>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27" w:name="xdx_985_eus-gaap--FiniteLivedIntangibleA"/>
            <w:bookmarkEnd w:id="727"/>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center"/>
              <w:rPr/>
            </w:pPr>
            <w:r>
              <w:rPr/>
              <w:t> </w:t>
            </w:r>
          </w:p>
        </w:tc>
      </w:tr>
      <w:tr>
        <w:trPr/>
        <w:tc>
          <w:tcPr>
            <w:tcW w:w="33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8" w:name="xdx_980_eus-gaap--FiniteLivedIntangibleA"/>
            <w:bookmarkEnd w:id="728"/>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149,541,017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9" w:name="xdx_98D_eus-gaap--FiniteLivedIntangibleA"/>
            <w:bookmarkEnd w:id="729"/>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(140,128,963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30" w:name="xdx_98F_ecustom--FiniteLivedIntangibleAs"/>
            <w:bookmarkEnd w:id="730"/>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(667,460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31" w:name="xdx_98E_eus-gaap--FiniteLivedIntangibleA"/>
            <w:bookmarkEnd w:id="73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8,744,594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center"/>
              <w:rPr/>
            </w:pPr>
            <w:r>
              <w:rPr/>
              <w:t> </w:t>
            </w:r>
          </w:p>
        </w:tc>
      </w:tr>
    </w:tbl>
    <w:p>
      <w:pPr>
        <w:pStyle w:val="TextBody"/>
        <w:bidi w:val="0"/>
        <w:jc w:val="both"/>
        <w:rPr>
          <w:caps w:val="false"/>
          <w:smallCaps w:val="false"/>
        </w:rPr>
      </w:pPr>
      <w:bookmarkStart w:id="732" w:name="xdx_8A1_zuyQjwveOI5a"/>
      <w:bookmarkEnd w:id="73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w:t>
      </w:r>
      <w:bookmarkStart w:id="733" w:name="xdx_90B_eus-gaap--AdjustmentForAmortizat"/>
      <w:bookmarkEnd w:id="733"/>
      <w:r>
        <w:rPr>
          <w:rFonts w:ascii="Times New Roman;Times;Serif" w:hAnsi="Times New Roman;Times;Serif"/>
          <w:b w:val="false"/>
          <w:i w:val="false"/>
          <w:caps w:val="false"/>
          <w:smallCaps w:val="false"/>
          <w:sz w:val="20"/>
        </w:rPr>
        <w:t>427,314 and $</w:t>
      </w:r>
      <w:bookmarkStart w:id="734" w:name="xdx_909_eus-gaap--AdjustmentForAmortizat"/>
      <w:bookmarkEnd w:id="734"/>
      <w:r>
        <w:rPr>
          <w:rFonts w:ascii="Times New Roman;Times;Serif" w:hAnsi="Times New Roman;Times;Serif"/>
          <w:b w:val="false"/>
          <w:i w:val="false"/>
          <w:caps w:val="false"/>
          <w:smallCaps w:val="false"/>
          <w:sz w:val="20"/>
        </w:rPr>
        <w:t>43,908 for the three months ended June 30, 2026 and 2025, respectively. Amortization expense was $</w:t>
      </w:r>
      <w:bookmarkStart w:id="735" w:name="xdx_901_eus-gaap--AdjustmentForAmortizat"/>
      <w:bookmarkEnd w:id="735"/>
      <w:r>
        <w:rPr>
          <w:rFonts w:ascii="Times New Roman;Times;Serif" w:hAnsi="Times New Roman;Times;Serif"/>
          <w:b w:val="false"/>
          <w:i w:val="false"/>
          <w:caps w:val="false"/>
          <w:smallCaps w:val="false"/>
          <w:sz w:val="20"/>
        </w:rPr>
        <w:t>827,756 and $</w:t>
      </w:r>
      <w:bookmarkStart w:id="736" w:name="xdx_90B_eus-gaap--AdjustmentForAmortizat"/>
      <w:bookmarkEnd w:id="736"/>
      <w:r>
        <w:rPr>
          <w:rFonts w:ascii="Times New Roman;Times;Serif" w:hAnsi="Times New Roman;Times;Serif"/>
          <w:b w:val="false"/>
          <w:i w:val="false"/>
          <w:caps w:val="false"/>
          <w:smallCaps w:val="false"/>
          <w:sz w:val="20"/>
        </w:rPr>
        <w:t xml:space="preserve">79,424 for the six months ended June 30, 2026 and 2025, respectively. These amounts are included in cost of revenues in the accompanying condensed consolidated statements of operations and comprehensive loss. The weighted average remaining useful life for which amortization expense will be recognized is </w:t>
      </w:r>
      <w:bookmarkStart w:id="737" w:name="xdx_908_eus-gaap--FiniteLivedIntangibleA"/>
      <w:bookmarkEnd w:id="737"/>
      <w:r>
        <w:rPr>
          <w:rFonts w:ascii="Times New Roman;Times;Serif" w:hAnsi="Times New Roman;Times;Serif"/>
          <w:b w:val="false"/>
          <w:i w:val="false"/>
          <w:caps w:val="false"/>
          <w:smallCaps w:val="false"/>
          <w:sz w:val="20"/>
        </w:rPr>
        <w:t>3.4 years as of June 30, 2026. The Company has capitalized $</w:t>
      </w:r>
      <w:bookmarkStart w:id="738" w:name="xdx_90E_ecustom--CapitalizedDevelopmentC"/>
      <w:bookmarkEnd w:id="738"/>
      <w:r>
        <w:rPr>
          <w:rFonts w:ascii="Times New Roman;Times;Serif" w:hAnsi="Times New Roman;Times;Serif"/>
          <w:b w:val="false"/>
          <w:i w:val="false"/>
          <w:caps w:val="false"/>
          <w:smallCaps w:val="false"/>
          <w:sz w:val="20"/>
        </w:rPr>
        <w:t>0.7 million in development costs for titles that have reached technological feasibility but have not yet launched, and as such, are included in the thereafter amount in the table below. Future amortization expense of intangible assets is as follows:</w:t>
      </w:r>
    </w:p>
    <w:p>
      <w:pPr>
        <w:pStyle w:val="TextBody"/>
        <w:bidi w:val="0"/>
        <w:jc w:val="both"/>
        <w:rPr>
          <w:rFonts w:ascii="Times New Roman;Times;Serif" w:hAnsi="Times New Roman;Times;Serif"/>
          <w:b w:val="false"/>
          <w:i w:val="false"/>
          <w:caps w:val="false"/>
          <w:smallCaps w:val="false"/>
          <w:sz w:val="20"/>
        </w:rPr>
      </w:pPr>
      <w:bookmarkStart w:id="739" w:name="xdx_8B5_zzsbVmnNt79e"/>
      <w:bookmarkStart w:id="740" w:name="xdx_891_eus-gaap--FiniteLivedIntangibleA"/>
      <w:bookmarkEnd w:id="739"/>
      <w:bookmarkEnd w:id="740"/>
      <w:r>
        <w:rPr>
          <w:rFonts w:ascii="Times New Roman;Times;Serif" w:hAnsi="Times New Roman;Times;Serif"/>
          <w:b w:val="false"/>
          <w:i w:val="false"/>
          <w:caps w:val="false"/>
          <w:smallCaps w:val="false"/>
          <w:sz w:val="20"/>
        </w:rPr>
        <w:t>SCHEDULE OF FUTURE AMORTIZATION EXPENSE OF INTANGIBLE ASSETS </w:t>
      </w:r>
    </w:p>
    <w:tbl>
      <w:tblPr>
        <w:tblW w:w="4095" w:type="dxa"/>
        <w:jc w:val="left"/>
        <w:tblInd w:w="0" w:type="dxa"/>
        <w:tblLayout w:type="fixed"/>
        <w:tblCellMar>
          <w:top w:w="0" w:type="dxa"/>
          <w:left w:w="0" w:type="dxa"/>
          <w:bottom w:w="28" w:type="dxa"/>
          <w:right w:w="0" w:type="dxa"/>
        </w:tblCellMar>
      </w:tblPr>
      <w:tblGrid>
        <w:gridCol w:w="2840"/>
        <w:gridCol w:w="60"/>
        <w:gridCol w:w="140"/>
        <w:gridCol w:w="980"/>
        <w:gridCol w:w="75"/>
      </w:tblGrid>
      <w:tr>
        <w:trPr/>
        <w:tc>
          <w:tcPr>
            <w:tcW w:w="2840"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741" w:name="xdx_497_20260630_zylFuDUdiMIc"/>
            <w:bookmarkEnd w:id="741"/>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tcMar>
              <w:bottom w:w="0" w:type="dxa"/>
            </w:tcMar>
            <w:vAlign w:val="center"/>
          </w:tcPr>
          <w:p>
            <w:pPr>
              <w:pStyle w:val="TableContents"/>
              <w:bidi w:val="0"/>
              <w:spacing w:before="0" w:after="283"/>
              <w:jc w:val="left"/>
              <w:rPr/>
            </w:pPr>
            <w:r>
              <w:rPr/>
              <w:t> </w:t>
            </w:r>
            <w:bookmarkStart w:id="742" w:name="xdx_406_eus-gaap--FiniteLivedIntangibleA"/>
            <w:bookmarkEnd w:id="742"/>
          </w:p>
        </w:tc>
      </w:tr>
      <w:tr>
        <w:trPr/>
        <w:tc>
          <w:tcPr>
            <w:tcW w:w="28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Remainder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854,627</w:t>
            </w:r>
          </w:p>
        </w:tc>
        <w:tc>
          <w:tcPr>
            <w:tcW w:w="75" w:type="dxa"/>
            <w:tcBorders/>
            <w:shd w:fill="CCEEFF" w:val="clear"/>
            <w:tcMar>
              <w:bottom w:w="0" w:type="dxa"/>
            </w:tcMar>
            <w:vAlign w:val="center"/>
          </w:tcPr>
          <w:p>
            <w:pPr>
              <w:pStyle w:val="TableContents"/>
              <w:bidi w:val="0"/>
              <w:spacing w:before="0" w:after="283"/>
              <w:jc w:val="left"/>
              <w:rPr/>
            </w:pPr>
            <w:r>
              <w:rPr/>
              <w:t> </w:t>
            </w:r>
            <w:bookmarkStart w:id="743" w:name="xdx_400_eus-gaap--FiniteLivedIntangibleA"/>
            <w:bookmarkEnd w:id="743"/>
          </w:p>
        </w:tc>
      </w:tr>
      <w:tr>
        <w:trPr/>
        <w:tc>
          <w:tcPr>
            <w:tcW w:w="284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1,709,254</w:t>
            </w:r>
          </w:p>
        </w:tc>
        <w:tc>
          <w:tcPr>
            <w:tcW w:w="75" w:type="dxa"/>
            <w:tcBorders/>
            <w:shd w:fill="FFFFFF" w:val="clear"/>
            <w:tcMar>
              <w:bottom w:w="0" w:type="dxa"/>
            </w:tcMar>
            <w:vAlign w:val="center"/>
          </w:tcPr>
          <w:p>
            <w:pPr>
              <w:pStyle w:val="TableContents"/>
              <w:bidi w:val="0"/>
              <w:spacing w:before="0" w:after="283"/>
              <w:jc w:val="left"/>
              <w:rPr/>
            </w:pPr>
            <w:r>
              <w:rPr/>
              <w:t> </w:t>
            </w:r>
            <w:bookmarkStart w:id="744" w:name="xdx_40A_eus-gaap--FiniteLivedIntangibleA"/>
            <w:bookmarkEnd w:id="744"/>
          </w:p>
        </w:tc>
      </w:tr>
      <w:tr>
        <w:trPr/>
        <w:tc>
          <w:tcPr>
            <w:tcW w:w="28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1,709,254</w:t>
            </w:r>
          </w:p>
        </w:tc>
        <w:tc>
          <w:tcPr>
            <w:tcW w:w="75" w:type="dxa"/>
            <w:tcBorders/>
            <w:shd w:fill="CCEEFF" w:val="clear"/>
            <w:tcMar>
              <w:bottom w:w="0" w:type="dxa"/>
            </w:tcMar>
            <w:vAlign w:val="center"/>
          </w:tcPr>
          <w:p>
            <w:pPr>
              <w:pStyle w:val="TableContents"/>
              <w:bidi w:val="0"/>
              <w:spacing w:before="0" w:after="283"/>
              <w:jc w:val="left"/>
              <w:rPr/>
            </w:pPr>
            <w:r>
              <w:rPr/>
              <w:t> </w:t>
            </w:r>
            <w:bookmarkStart w:id="745" w:name="xdx_400_eus-gaap--FiniteLivedIntangibleA"/>
            <w:bookmarkEnd w:id="745"/>
          </w:p>
        </w:tc>
      </w:tr>
      <w:tr>
        <w:trPr/>
        <w:tc>
          <w:tcPr>
            <w:tcW w:w="284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1,702,254</w:t>
            </w:r>
          </w:p>
        </w:tc>
        <w:tc>
          <w:tcPr>
            <w:tcW w:w="75" w:type="dxa"/>
            <w:tcBorders/>
            <w:shd w:fill="FFFFFF" w:val="clear"/>
            <w:tcMar>
              <w:bottom w:w="0" w:type="dxa"/>
            </w:tcMar>
            <w:vAlign w:val="center"/>
          </w:tcPr>
          <w:p>
            <w:pPr>
              <w:pStyle w:val="TableContents"/>
              <w:bidi w:val="0"/>
              <w:spacing w:before="0" w:after="283"/>
              <w:jc w:val="left"/>
              <w:rPr/>
            </w:pPr>
            <w:r>
              <w:rPr/>
              <w:t> </w:t>
            </w:r>
            <w:bookmarkStart w:id="746" w:name="xdx_403_eus-gaap--FiniteLivedIntangibleA"/>
            <w:bookmarkEnd w:id="746"/>
          </w:p>
        </w:tc>
      </w:tr>
      <w:tr>
        <w:trPr/>
        <w:tc>
          <w:tcPr>
            <w:tcW w:w="28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1,391,461</w:t>
            </w:r>
          </w:p>
        </w:tc>
        <w:tc>
          <w:tcPr>
            <w:tcW w:w="75" w:type="dxa"/>
            <w:tcBorders/>
            <w:shd w:fill="CCEEFF" w:val="clear"/>
            <w:tcMar>
              <w:bottom w:w="0" w:type="dxa"/>
            </w:tcMar>
            <w:vAlign w:val="center"/>
          </w:tcPr>
          <w:p>
            <w:pPr>
              <w:pStyle w:val="TableContents"/>
              <w:bidi w:val="0"/>
              <w:spacing w:before="0" w:after="283"/>
              <w:jc w:val="left"/>
              <w:rPr/>
            </w:pPr>
            <w:r>
              <w:rPr/>
              <w:t> </w:t>
            </w:r>
            <w:bookmarkStart w:id="747" w:name="xdx_40B_ecustom--FiniteLivedIntangibleAs"/>
            <w:bookmarkEnd w:id="747"/>
          </w:p>
        </w:tc>
      </w:tr>
      <w:tr>
        <w:trPr/>
        <w:tc>
          <w:tcPr>
            <w:tcW w:w="284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948,358</w:t>
            </w:r>
          </w:p>
        </w:tc>
        <w:tc>
          <w:tcPr>
            <w:tcW w:w="75" w:type="dxa"/>
            <w:tcBorders/>
            <w:shd w:fill="FFFFFF" w:val="clear"/>
            <w:tcMar>
              <w:bottom w:w="0" w:type="dxa"/>
            </w:tcMar>
            <w:vAlign w:val="center"/>
          </w:tcPr>
          <w:p>
            <w:pPr>
              <w:pStyle w:val="TableContents"/>
              <w:bidi w:val="0"/>
              <w:spacing w:before="0" w:after="283"/>
              <w:jc w:val="left"/>
              <w:rPr/>
            </w:pPr>
            <w:r>
              <w:rPr/>
              <w:t> </w:t>
            </w:r>
            <w:bookmarkStart w:id="748" w:name="xdx_40E_eus-gaap--FiniteLivedIntangibleA"/>
            <w:bookmarkEnd w:id="748"/>
          </w:p>
        </w:tc>
      </w:tr>
      <w:tr>
        <w:trPr/>
        <w:tc>
          <w:tcPr>
            <w:tcW w:w="284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8,315,208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49" w:name="xdx_8AC_z7Jf6Uq23yfa"/>
      <w:bookmarkEnd w:id="74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50" w:name="xdx_803_ecustom--AccountsPayableToRelate"/>
      <w:bookmarkEnd w:id="750"/>
      <w:r>
        <w:rPr>
          <w:rFonts w:ascii="Times New Roman;Times;Serif" w:hAnsi="Times New Roman;Times;Serif"/>
          <w:b/>
          <w:i w:val="false"/>
          <w:caps w:val="false"/>
          <w:smallCaps w:val="false"/>
          <w:sz w:val="20"/>
        </w:rPr>
        <w:t xml:space="preserve">NOTE 10 – </w:t>
      </w:r>
      <w:bookmarkStart w:id="751" w:name="xdx_82D_zYlo9FmMRwji"/>
      <w:bookmarkEnd w:id="751"/>
      <w:r>
        <w:rPr>
          <w:rFonts w:ascii="Times New Roman;Times;Serif" w:hAnsi="Times New Roman;Times;Serif"/>
          <w:b/>
          <w:i w:val="false"/>
          <w:caps w:val="false"/>
          <w:smallCaps w:val="false"/>
          <w:sz w:val="20"/>
        </w:rPr>
        <w:t>ACCOUNTS PAYABLE — RELATED PARTIES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due to related parties represents payables in the ordinary course of business primarily for purchases of game distribution licenses, research and development costs and also the royalties due to Suzhou Snail. In July 2024, the Company entered into another software development, publishing and distribution agreement with Suzhou Snail. Under the terms of the agreements Suzhou Snail will develop a game for distribution by the Company and the Company will make $</w:t>
      </w:r>
      <w:bookmarkStart w:id="752" w:name="xdx_904_ecustom--PaymentsForProceedsFrom"/>
      <w:bookmarkEnd w:id="752"/>
      <w:r>
        <w:rPr>
          <w:rFonts w:ascii="Times New Roman;Times;Serif" w:hAnsi="Times New Roman;Times;Serif"/>
          <w:b w:val="false"/>
          <w:i w:val="false"/>
          <w:caps w:val="false"/>
          <w:smallCaps w:val="false"/>
          <w:sz w:val="20"/>
        </w:rPr>
        <w:t>4.5 million in milestone payments during the development of the game and an ongoing royalty on sales of the game. As of June 30, 2026, the Company paid $</w:t>
      </w:r>
      <w:bookmarkStart w:id="753" w:name="xdx_904_ecustom--PaymentsForProceedsFrom"/>
      <w:bookmarkEnd w:id="753"/>
      <w:r>
        <w:rPr>
          <w:rFonts w:ascii="Times New Roman;Times;Serif" w:hAnsi="Times New Roman;Times;Serif"/>
          <w:b w:val="false"/>
          <w:i w:val="false"/>
          <w:caps w:val="false"/>
          <w:smallCaps w:val="false"/>
          <w:sz w:val="20"/>
        </w:rPr>
        <w:t>4.5 million in milestone payments, of which $</w:t>
      </w:r>
      <w:bookmarkStart w:id="754" w:name="xdx_90A_ecustom--PaymentsForProceedsFrom"/>
      <w:bookmarkEnd w:id="754"/>
      <w:r>
        <w:rPr>
          <w:rFonts w:ascii="Times New Roman;Times;Serif" w:hAnsi="Times New Roman;Times;Serif"/>
          <w:b w:val="false"/>
          <w:i w:val="false"/>
          <w:caps w:val="false"/>
          <w:smallCaps w:val="false"/>
          <w:sz w:val="20"/>
        </w:rPr>
        <w:t>0.5 million was paid during the first half of 2026. In December 2024, the Company entered into an agreement with Suzhou Snail for the development of an application to deliver short film content to end users. In accordance with the agreement, Suzhou Snail developed the app for release and received $</w:t>
      </w:r>
      <w:bookmarkStart w:id="755" w:name="xdx_900_ecustom--DevelopmentFee_c2026010"/>
      <w:bookmarkEnd w:id="755"/>
      <w:r>
        <w:rPr>
          <w:rFonts w:ascii="Times New Roman;Times;Serif" w:hAnsi="Times New Roman;Times;Serif"/>
          <w:b w:val="false"/>
          <w:i w:val="false"/>
          <w:caps w:val="false"/>
          <w:smallCaps w:val="false"/>
          <w:sz w:val="20"/>
        </w:rPr>
        <w:t>290,000 as a development fee. As of June 30, 2026 and 2025, the development fee has been capitalized in software under intangible assets, net in the Company’s condensed consolidated balance sheets.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an accounts payable – related party balance for payments made on behalf of Suzhou Snail for licensing, legal and marketing costs prior to the Company’s IPO. The Company also has accounts receivable – related party balance due from Suzhou Snail for royalties collected on behalf of the Company prior to its IPO. The accounts receivable – Suzhou are due on demand. The Company has the legal right to offset amounts payable to the related party, including royalties and research and development fees, against the related party accounts receivable. The offset right is determinable, mutual and enforceable under applicable law. The Company intends to exercise this right to offset in future periods. In addition, Suzhou Snail has committed not to collect more than 20% of the net outstanding payable from the Company within the next twelve months. Furthermore, no repayment will be demanded if such payment would cause Snail to be in default of its lending requirements or impair its ability to meet working capital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2025, the Company extended its outsource agreement with Suzhou Snail for the research and development of </w:t>
      </w:r>
      <w:r>
        <w:rPr>
          <w:rFonts w:ascii="Times New Roman;Times;Serif" w:hAnsi="Times New Roman;Times;Serif"/>
          <w:b w:val="false"/>
          <w:i/>
          <w:caps w:val="false"/>
          <w:smallCaps w:val="false"/>
          <w:sz w:val="20"/>
        </w:rPr>
        <w:t>For the Stars</w:t>
      </w:r>
      <w:r>
        <w:rPr>
          <w:rFonts w:ascii="Times New Roman;Times;Serif" w:hAnsi="Times New Roman;Times;Serif"/>
          <w:b w:val="false"/>
          <w:i w:val="false"/>
          <w:caps w:val="false"/>
          <w:smallCaps w:val="false"/>
          <w:sz w:val="20"/>
        </w:rPr>
        <w:t>. In consideration, the Company will pay Suzhou Snail twelve equal monthly payments of $</w:t>
      </w:r>
      <w:bookmarkStart w:id="756" w:name="xdx_905_eus-gaap--ReplacementReserveEscr"/>
      <w:bookmarkEnd w:id="756"/>
      <w:r>
        <w:rPr>
          <w:rFonts w:ascii="Times New Roman;Times;Serif" w:hAnsi="Times New Roman;Times;Serif"/>
          <w:b w:val="false"/>
          <w:i w:val="false"/>
          <w:caps w:val="false"/>
          <w:smallCaps w:val="false"/>
          <w:sz w:val="20"/>
        </w:rPr>
        <w:t>340,600, beginning on January 1, 2025. In August 2025, the Company entered into a Game Testing Service agreement with Suzhou Snail for the research and development testing for cross-platform game testing services. In consideration, the Company will pay $</w:t>
      </w:r>
      <w:bookmarkStart w:id="757" w:name="xdx_908_eus-gaap--ReplacementReserveEscr"/>
      <w:bookmarkEnd w:id="757"/>
      <w:r>
        <w:rPr>
          <w:rFonts w:ascii="Times New Roman;Times;Serif" w:hAnsi="Times New Roman;Times;Serif"/>
          <w:b w:val="false"/>
          <w:i w:val="false"/>
          <w:caps w:val="false"/>
          <w:smallCaps w:val="false"/>
          <w:sz w:val="20"/>
        </w:rPr>
        <w:t>240,000 in four quarterly installments of $</w:t>
      </w:r>
      <w:bookmarkStart w:id="758" w:name="xdx_90A_ecustom--ReplacementReserveEscro"/>
      <w:bookmarkEnd w:id="758"/>
      <w:r>
        <w:rPr>
          <w:rFonts w:ascii="Times New Roman;Times;Serif" w:hAnsi="Times New Roman;Times;Serif"/>
          <w:b w:val="false"/>
          <w:i w:val="false"/>
          <w:caps w:val="false"/>
          <w:smallCaps w:val="false"/>
          <w:sz w:val="20"/>
        </w:rPr>
        <w:t xml:space="preserve">60,000 through June 2026. Additionally, in August 2025, the Company entered into a Short Drama Production agreement with Suzhou Snail in providing technical development, marketing and operational services related to the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platform. In consideration, the Company paid $</w:t>
      </w:r>
      <w:bookmarkStart w:id="759" w:name="xdx_906_eus-gaap--ReplacementReserveEscr"/>
      <w:bookmarkEnd w:id="759"/>
      <w:r>
        <w:rPr>
          <w:rFonts w:ascii="Times New Roman;Times;Serif" w:hAnsi="Times New Roman;Times;Serif"/>
          <w:b w:val="false"/>
          <w:i w:val="false"/>
          <w:caps w:val="false"/>
          <w:smallCaps w:val="false"/>
          <w:sz w:val="20"/>
        </w:rPr>
        <w:t>720,000, in quarterly installments of $</w:t>
      </w:r>
      <w:bookmarkStart w:id="760" w:name="xdx_904_ecustom--ReplacementReserveEscro"/>
      <w:bookmarkEnd w:id="760"/>
      <w:r>
        <w:rPr>
          <w:rFonts w:ascii="Times New Roman;Times;Serif" w:hAnsi="Times New Roman;Times;Serif"/>
          <w:b w:val="false"/>
          <w:i w:val="false"/>
          <w:caps w:val="false"/>
          <w:smallCaps w:val="false"/>
          <w:sz w:val="20"/>
        </w:rPr>
        <w:t>180,000 through June 2026. During the three and six months ended June 30, 2026, respectively, the Company incurred $</w:t>
      </w:r>
      <w:bookmarkStart w:id="761" w:name="xdx_90E_eus-gaap--RelatedPartyTransactio"/>
      <w:bookmarkEnd w:id="761"/>
      <w:r>
        <w:rPr>
          <w:rFonts w:ascii="Times New Roman;Times;Serif" w:hAnsi="Times New Roman;Times;Serif"/>
          <w:b w:val="false"/>
          <w:i w:val="false"/>
          <w:caps w:val="false"/>
          <w:smallCaps w:val="false"/>
          <w:sz w:val="20"/>
        </w:rPr>
        <w:t>1,746,000 and $</w:t>
      </w:r>
      <w:bookmarkStart w:id="762" w:name="xdx_908_eus-gaap--RelatedPartyTransactio"/>
      <w:bookmarkEnd w:id="762"/>
      <w:r>
        <w:rPr>
          <w:rFonts w:ascii="Times New Roman;Times;Serif" w:hAnsi="Times New Roman;Times;Serif"/>
          <w:b w:val="false"/>
          <w:i w:val="false"/>
          <w:caps w:val="false"/>
          <w:smallCaps w:val="false"/>
          <w:sz w:val="20"/>
        </w:rPr>
        <w:t>2,969,000 of research and development costs from Suzhou Snail; and made $</w:t>
      </w:r>
      <w:bookmarkStart w:id="763" w:name="xdx_90D_eus-gaap--RelatedPartyTransactio"/>
      <w:bookmarkEnd w:id="763"/>
      <w:r>
        <w:rPr>
          <w:rFonts w:ascii="Times New Roman;Times;Serif" w:hAnsi="Times New Roman;Times;Serif"/>
          <w:b w:val="false"/>
          <w:i w:val="false"/>
          <w:caps w:val="false"/>
          <w:smallCaps w:val="false"/>
          <w:sz w:val="20"/>
        </w:rPr>
        <w:t>2,906,000 and $</w:t>
      </w:r>
      <w:bookmarkStart w:id="764" w:name="xdx_90F_eus-gaap--RelatedPartyTransactio"/>
      <w:bookmarkEnd w:id="764"/>
      <w:r>
        <w:rPr>
          <w:rFonts w:ascii="Times New Roman;Times;Serif" w:hAnsi="Times New Roman;Times;Serif"/>
          <w:b w:val="false"/>
          <w:i w:val="false"/>
          <w:caps w:val="false"/>
          <w:smallCaps w:val="false"/>
          <w:sz w:val="20"/>
        </w:rPr>
        <w:t>4,348,100 in payments to Suzhou Snail for royalties and research and development costs. During the three and six months ended June 30, 2026, the Company incurred $</w:t>
      </w:r>
      <w:bookmarkStart w:id="765" w:name="xdx_909_eus-gaap--CostsAndExpensesRelate"/>
      <w:bookmarkEnd w:id="765"/>
      <w:r>
        <w:rPr>
          <w:rFonts w:ascii="Times New Roman;Times;Serif" w:hAnsi="Times New Roman;Times;Serif"/>
          <w:b w:val="false"/>
          <w:i w:val="false"/>
          <w:caps w:val="false"/>
          <w:smallCaps w:val="false"/>
          <w:sz w:val="20"/>
        </w:rPr>
        <w:t>26,749 and $</w:t>
      </w:r>
      <w:bookmarkStart w:id="766" w:name="xdx_900_eus-gaap--CostsAndExpensesRelate"/>
      <w:bookmarkEnd w:id="766"/>
      <w:r>
        <w:rPr>
          <w:rFonts w:ascii="Times New Roman;Times;Serif" w:hAnsi="Times New Roman;Times;Serif"/>
          <w:b w:val="false"/>
          <w:i w:val="false"/>
          <w:caps w:val="false"/>
          <w:smallCaps w:val="false"/>
          <w:sz w:val="20"/>
        </w:rPr>
        <w:t>46,591, respectively as license costs due to Suzhou Snail that are included in cost of revenues. During the three and six months ended June 30, 2025, the Company incurred $</w:t>
      </w:r>
      <w:bookmarkStart w:id="767" w:name="xdx_908_eus-gaap--CostsAndExpensesRelate"/>
      <w:bookmarkEnd w:id="767"/>
      <w:r>
        <w:rPr>
          <w:rFonts w:ascii="Times New Roman;Times;Serif" w:hAnsi="Times New Roman;Times;Serif"/>
          <w:b w:val="false"/>
          <w:i w:val="false"/>
          <w:caps w:val="false"/>
          <w:smallCaps w:val="false"/>
          <w:sz w:val="20"/>
        </w:rPr>
        <w:t>30,557 and $</w:t>
      </w:r>
      <w:bookmarkStart w:id="768" w:name="xdx_90D_eus-gaap--CostsAndExpensesRelate"/>
      <w:bookmarkEnd w:id="768"/>
      <w:r>
        <w:rPr>
          <w:rFonts w:ascii="Times New Roman;Times;Serif" w:hAnsi="Times New Roman;Times;Serif"/>
          <w:b w:val="false"/>
          <w:i w:val="false"/>
          <w:caps w:val="false"/>
          <w:smallCaps w:val="false"/>
          <w:sz w:val="20"/>
        </w:rPr>
        <w:t>66,386, respectively as license costs due to Suzhou Snail that are included in cost of revenues. The royalty payments are included in cost of revenues and research and development costs are included in operating expenses in the condensed consolidated statements of operations and comprehensive loss or capitalized as intangible assets, net in the condensed consolidated balance sheets. Accounts payable – related parties consisted of the following as of June 30, 2026 and December 31, 2025:</w:t>
      </w:r>
    </w:p>
    <w:p>
      <w:pPr>
        <w:pStyle w:val="TextBody"/>
        <w:bidi w:val="0"/>
        <w:jc w:val="both"/>
        <w:rPr>
          <w:rFonts w:ascii="Times New Roman;Times;Serif" w:hAnsi="Times New Roman;Times;Serif"/>
          <w:b w:val="false"/>
          <w:i w:val="false"/>
          <w:caps w:val="false"/>
          <w:smallCaps w:val="false"/>
          <w:sz w:val="20"/>
        </w:rPr>
      </w:pPr>
      <w:bookmarkStart w:id="769" w:name="xdx_8BD_zbYcaPXzW6Xb"/>
      <w:bookmarkStart w:id="770" w:name="xdx_893_eus-gaap--ScheduleOfAccountsPaya"/>
      <w:bookmarkEnd w:id="769"/>
      <w:bookmarkEnd w:id="770"/>
      <w:r>
        <w:rPr>
          <w:rFonts w:ascii="Times New Roman;Times;Serif" w:hAnsi="Times New Roman;Times;Serif"/>
          <w:b w:val="false"/>
          <w:i w:val="false"/>
          <w:caps w:val="false"/>
          <w:smallCaps w:val="false"/>
          <w:sz w:val="20"/>
        </w:rPr>
        <w:t>SCHEDULE OF ACCOUNTS PAYABLE- RELATED PARTIES </w:t>
      </w:r>
    </w:p>
    <w:tbl>
      <w:tblPr>
        <w:tblW w:w="6710" w:type="dxa"/>
        <w:jc w:val="left"/>
        <w:tblInd w:w="0" w:type="dxa"/>
        <w:tblLayout w:type="fixed"/>
        <w:tblCellMar>
          <w:top w:w="0" w:type="dxa"/>
          <w:left w:w="0" w:type="dxa"/>
          <w:bottom w:w="0" w:type="dxa"/>
          <w:right w:w="0" w:type="dxa"/>
        </w:tblCellMar>
      </w:tblPr>
      <w:tblGrid>
        <w:gridCol w:w="3755"/>
        <w:gridCol w:w="60"/>
        <w:gridCol w:w="140"/>
        <w:gridCol w:w="1175"/>
        <w:gridCol w:w="95"/>
        <w:gridCol w:w="60"/>
        <w:gridCol w:w="140"/>
        <w:gridCol w:w="1175"/>
        <w:gridCol w:w="11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71" w:name="xdx_497_20260630_zdadmBQR5ggc"/>
            <w:bookmarkEnd w:id="771"/>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2" w:name="xdx_493_20251231_zB7DW5mO6vWd"/>
            <w:bookmarkEnd w:id="772"/>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773" w:name="xdx_408_eus-gaap--AccountsPayableCurrent"/>
            <w:bookmarkEnd w:id="773"/>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 Suzhou</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51,761,182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53,173,676</w:t>
            </w:r>
          </w:p>
        </w:tc>
        <w:tc>
          <w:tcPr>
            <w:tcW w:w="110" w:type="dxa"/>
            <w:tcBorders/>
            <w:shd w:fill="CCEEFF" w:val="clear"/>
            <w:vAlign w:val="center"/>
          </w:tcPr>
          <w:p>
            <w:pPr>
              <w:pStyle w:val="TableContents"/>
              <w:bidi w:val="0"/>
              <w:spacing w:before="0" w:after="283"/>
              <w:jc w:val="left"/>
              <w:rPr/>
            </w:pPr>
            <w:r>
              <w:rPr/>
              <w:t> </w:t>
            </w:r>
            <w:bookmarkStart w:id="774" w:name="xdx_400_eus-gaap--AccountsReceivableGros"/>
            <w:bookmarkEnd w:id="774"/>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accounts receivable – Suzhou</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(37,614,913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(37,614,913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75" w:name="xdx_401_eus-gaap--AccountsPayableCurrent"/>
            <w:bookmarkEnd w:id="775"/>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Accounts payable – SDE </w:t>
            </w:r>
            <w:r>
              <w:rPr>
                <w:rFonts w:ascii="Times New Roman;Times;Serif" w:hAnsi="Times New Roman;Times;Serif"/>
                <w:i/>
                <w:sz w:val="20"/>
              </w:rPr>
              <w:t>(see Note 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4,279,951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4,508,250</w:t>
            </w:r>
          </w:p>
        </w:tc>
        <w:tc>
          <w:tcPr>
            <w:tcW w:w="110" w:type="dxa"/>
            <w:tcBorders/>
            <w:shd w:fill="CCEEFF" w:val="clear"/>
            <w:vAlign w:val="center"/>
          </w:tcPr>
          <w:p>
            <w:pPr>
              <w:pStyle w:val="TableContents"/>
              <w:bidi w:val="0"/>
              <w:spacing w:before="0" w:after="283"/>
              <w:jc w:val="left"/>
              <w:rPr/>
            </w:pPr>
            <w:r>
              <w:rPr/>
              <w:t> </w:t>
            </w:r>
            <w:bookmarkStart w:id="776" w:name="xdx_40F_eus-gaap--AccountsPayableCurrent"/>
            <w:bookmarkEnd w:id="776"/>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accounts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18,426,220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20,067,013</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777" w:name="xdx_8A3_zrSRtpLhvQBb"/>
      <w:bookmarkEnd w:id="777"/>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8" w:name="xdx_803_ecustom--LoanPayableAndInterestP"/>
      <w:bookmarkEnd w:id="778"/>
      <w:r>
        <w:rPr>
          <w:rFonts w:ascii="Times New Roman;Times;Serif" w:hAnsi="Times New Roman;Times;Serif"/>
          <w:b/>
          <w:i w:val="false"/>
          <w:caps w:val="false"/>
          <w:smallCaps w:val="false"/>
          <w:sz w:val="20"/>
        </w:rPr>
        <w:t xml:space="preserve">NOTE 11 – </w:t>
      </w:r>
      <w:bookmarkStart w:id="779" w:name="xdx_82C_zwlrswgmdvQc"/>
      <w:bookmarkEnd w:id="779"/>
      <w:r>
        <w:rPr>
          <w:rFonts w:ascii="Times New Roman;Times;Serif" w:hAnsi="Times New Roman;Times;Serif"/>
          <w:b/>
          <w:i w:val="false"/>
          <w:caps w:val="false"/>
          <w:smallCaps w:val="false"/>
          <w:sz w:val="20"/>
        </w:rPr>
        <w:t>LOAN AND INTEREST RECEIVABLE — RELATED PARTY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Company loaned $</w:t>
      </w:r>
      <w:bookmarkStart w:id="780" w:name="xdx_90A_eus-gaap--PaymentsToFundLongterm"/>
      <w:bookmarkEnd w:id="780"/>
      <w:r>
        <w:rPr>
          <w:rFonts w:ascii="Times New Roman;Times;Serif" w:hAnsi="Times New Roman;Times;Serif"/>
          <w:b w:val="false"/>
          <w:i w:val="false"/>
          <w:caps w:val="false"/>
          <w:smallCaps w:val="false"/>
          <w:sz w:val="20"/>
        </w:rPr>
        <w:t xml:space="preserve">200,000 to a wholly owned subsidiary of Suzhou Snail. The loan bears </w:t>
      </w:r>
      <w:bookmarkStart w:id="781" w:name="xdx_901_eus-gaap--RelatedPartyTransactio"/>
      <w:bookmarkEnd w:id="781"/>
      <w:r>
        <w:rPr>
          <w:rFonts w:ascii="Times New Roman;Times;Serif" w:hAnsi="Times New Roman;Times;Serif"/>
          <w:b w:val="false"/>
          <w:i w:val="false"/>
          <w:caps w:val="false"/>
          <w:smallCaps w:val="false"/>
          <w:sz w:val="20"/>
        </w:rPr>
        <w:t>2.0% per annum interest, interest and principal were due in February 2022. In February 2022, Suzhou Snail signed an agreement with this subsidiary and assumed the loan and related interest for a total of $</w:t>
      </w:r>
      <w:bookmarkStart w:id="782" w:name="xdx_907_ecustom--RelatedPartyLoanAmountA"/>
      <w:bookmarkEnd w:id="782"/>
      <w:r>
        <w:rPr>
          <w:rFonts w:ascii="Times New Roman;Times;Serif" w:hAnsi="Times New Roman;Times;Serif"/>
          <w:b w:val="false"/>
          <w:i w:val="false"/>
          <w:caps w:val="false"/>
          <w:smallCaps w:val="false"/>
          <w:sz w:val="20"/>
        </w:rPr>
        <w:t>203,890. Subsequently, $</w:t>
      </w:r>
      <w:bookmarkStart w:id="783" w:name="xdx_900_ecustom--AmountOfLoanAndInterest"/>
      <w:bookmarkEnd w:id="783"/>
      <w:r>
        <w:rPr>
          <w:rFonts w:ascii="Times New Roman;Times;Serif" w:hAnsi="Times New Roman;Times;Serif"/>
          <w:b w:val="false"/>
          <w:i w:val="false"/>
          <w:caps w:val="false"/>
          <w:smallCaps w:val="false"/>
          <w:sz w:val="20"/>
        </w:rPr>
        <w:t>103,890 was offset against the loan and interest payable owed to Suzhou Snail on a separate note. The total amount of loan and interest receivable — related party was $</w:t>
      </w:r>
      <w:bookmarkStart w:id="784" w:name="xdx_901_eus-gaap--OtherReceivablesNetCur"/>
      <w:bookmarkEnd w:id="784"/>
      <w:r>
        <w:rPr>
          <w:rFonts w:ascii="Times New Roman;Times;Serif" w:hAnsi="Times New Roman;Times;Serif"/>
          <w:b w:val="false"/>
          <w:i w:val="false"/>
          <w:caps w:val="false"/>
          <w:smallCaps w:val="false"/>
          <w:sz w:val="20"/>
        </w:rPr>
        <w:t>108,751 and $</w:t>
      </w:r>
      <w:bookmarkStart w:id="785" w:name="xdx_90F_eus-gaap--OtherReceivablesNetCur"/>
      <w:bookmarkEnd w:id="785"/>
      <w:r>
        <w:rPr>
          <w:rFonts w:ascii="Times New Roman;Times;Serif" w:hAnsi="Times New Roman;Times;Serif"/>
          <w:b w:val="false"/>
          <w:i w:val="false"/>
          <w:caps w:val="false"/>
          <w:smallCaps w:val="false"/>
          <w:sz w:val="20"/>
        </w:rPr>
        <w:t>107,759, as of June 30, 2026 and December 31, 2025, respectively. The Company earned $</w:t>
      </w:r>
      <w:bookmarkStart w:id="786" w:name="xdx_902_eus-gaap--InterestIncomeOperatin"/>
      <w:bookmarkEnd w:id="786"/>
      <w:r>
        <w:rPr>
          <w:rFonts w:ascii="Times New Roman;Times;Serif" w:hAnsi="Times New Roman;Times;Serif"/>
          <w:b w:val="false"/>
          <w:i w:val="false"/>
          <w:caps w:val="false"/>
          <w:smallCaps w:val="false"/>
          <w:sz w:val="20"/>
        </w:rPr>
        <w:t>499 in interest on the related party loans receivable during the three months ended June 30, 2026 and 2025. The Company earned $</w:t>
      </w:r>
      <w:bookmarkStart w:id="787" w:name="xdx_903_eus-gaap--InterestIncomeOperatin"/>
      <w:bookmarkEnd w:id="787"/>
      <w:r>
        <w:rPr>
          <w:rFonts w:ascii="Times New Roman;Times;Serif" w:hAnsi="Times New Roman;Times;Serif"/>
          <w:b w:val="false"/>
          <w:i w:val="false"/>
          <w:caps w:val="false"/>
          <w:smallCaps w:val="false"/>
          <w:sz w:val="20"/>
        </w:rPr>
        <w:t>992 in interest on the related party loans receivable during the six months ended June 30, 2026 and 2025.</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8" w:name="xdx_80A_eus-gaap--DebtDisclosureTextBloc"/>
      <w:bookmarkEnd w:id="788"/>
      <w:r>
        <w:rPr>
          <w:rFonts w:ascii="Times New Roman;Times;Serif" w:hAnsi="Times New Roman;Times;Serif"/>
          <w:b/>
          <w:i w:val="false"/>
          <w:caps w:val="false"/>
          <w:smallCaps w:val="false"/>
          <w:sz w:val="20"/>
        </w:rPr>
        <w:t xml:space="preserve">NOTE 12 – </w:t>
      </w:r>
      <w:bookmarkStart w:id="789" w:name="xdx_82F_zJNomtdzKwwb"/>
      <w:bookmarkEnd w:id="789"/>
      <w:r>
        <w:rPr>
          <w:rFonts w:ascii="Times New Roman;Times;Serif" w:hAnsi="Times New Roman;Times;Serif"/>
          <w:b/>
          <w:i w:val="false"/>
          <w:caps w:val="false"/>
          <w:smallCaps w:val="false"/>
          <w:sz w:val="20"/>
        </w:rPr>
        <w:t>REVOLVING LOAN, SHORT TERM NOTES AND LONG - TERM DEBT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90" w:name="xdx_8BD_zEGXQVCAgSX1"/>
      <w:bookmarkStart w:id="791" w:name="xdx_893_eus-gaap--ScheduleOfDebtInstrume"/>
      <w:bookmarkEnd w:id="790"/>
      <w:bookmarkEnd w:id="791"/>
      <w:r>
        <w:rPr>
          <w:rFonts w:ascii="Times New Roman;Times;Serif" w:hAnsi="Times New Roman;Times;Serif"/>
          <w:b w:val="false"/>
          <w:i w:val="false"/>
          <w:caps w:val="false"/>
          <w:smallCaps w:val="false"/>
          <w:sz w:val="20"/>
        </w:rPr>
        <w:t>SCHEDULE OF LONG TERM DEBT </w:t>
      </w:r>
    </w:p>
    <w:tbl>
      <w:tblPr>
        <w:tblW w:w="10205" w:type="dxa"/>
        <w:jc w:val="left"/>
        <w:tblInd w:w="0" w:type="dxa"/>
        <w:tblLayout w:type="fixed"/>
        <w:tblCellMar>
          <w:top w:w="0" w:type="dxa"/>
          <w:left w:w="0" w:type="dxa"/>
          <w:bottom w:w="0" w:type="dxa"/>
          <w:right w:w="0" w:type="dxa"/>
        </w:tblCellMar>
      </w:tblPr>
      <w:tblGrid>
        <w:gridCol w:w="7846"/>
        <w:gridCol w:w="60"/>
        <w:gridCol w:w="127"/>
        <w:gridCol w:w="859"/>
        <w:gridCol w:w="60"/>
        <w:gridCol w:w="60"/>
        <w:gridCol w:w="129"/>
        <w:gridCol w:w="987"/>
        <w:gridCol w:w="77"/>
      </w:tblGrid>
      <w:tr>
        <w:trPr/>
        <w:tc>
          <w:tcPr>
            <w:tcW w:w="78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92" w:name="xdx_499_20260630_zj646dFOt0H1"/>
            <w:bookmarkEnd w:id="792"/>
          </w:p>
        </w:tc>
        <w:tc>
          <w:tcPr>
            <w:tcW w:w="9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93" w:name="xdx_491_20251231_zOF4Bc3rU27a"/>
            <w:bookmarkEnd w:id="793"/>
          </w:p>
        </w:tc>
        <w:tc>
          <w:tcPr>
            <w:tcW w:w="11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7" w:type="dxa"/>
            <w:tcBorders/>
            <w:vAlign w:val="center"/>
          </w:tcPr>
          <w:p>
            <w:pPr>
              <w:pStyle w:val="TableContents"/>
              <w:bidi w:val="0"/>
              <w:spacing w:before="0" w:after="283"/>
              <w:jc w:val="left"/>
              <w:rPr>
                <w:caps w:val="false"/>
                <w:smallCaps w:val="false"/>
              </w:rPr>
            </w:pPr>
            <w:r>
              <w:rPr>
                <w:caps w:val="false"/>
                <w:smallCaps w:val="false"/>
              </w:rPr>
              <w:t> </w:t>
            </w:r>
            <w:bookmarkStart w:id="794" w:name="xdx_403_eus-gaap--DebtLongtermAndShortte"/>
            <w:bookmarkEnd w:id="794"/>
          </w:p>
        </w:tc>
      </w:tr>
      <w:tr>
        <w:trPr/>
        <w:tc>
          <w:tcPr>
            <w:tcW w:w="7846"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Revolving Loan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4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Revolving Loan</w:t>
            </w:r>
            <w:r>
              <w:rPr>
                <w:rFonts w:ascii="Times New Roman;Times;Serif" w:hAnsi="Times New Roman;Times;Serif"/>
                <w:b w:val="false"/>
                <w:i w:val="false"/>
                <w:caps w:val="false"/>
                <w:smallCaps w:val="false"/>
                <w:sz w:val="20"/>
              </w:rPr>
              <w:t xml:space="preserve"> – On January 2, 2026, the Company amended its revolving loan agreement and decreased the maximum balance from $</w:t>
            </w:r>
            <w:bookmarkStart w:id="795" w:name="xdx_90C_eus-gaap--LineOfCreditFacilityMa"/>
            <w:bookmarkEnd w:id="795"/>
            <w:r>
              <w:rPr>
                <w:rFonts w:ascii="Times New Roman;Times;Serif" w:hAnsi="Times New Roman;Times;Serif"/>
                <w:b w:val="false"/>
                <w:i w:val="false"/>
                <w:caps w:val="false"/>
                <w:smallCaps w:val="false"/>
                <w:sz w:val="20"/>
              </w:rPr>
              <w:t>6,000,000 to $</w:t>
            </w:r>
            <w:bookmarkStart w:id="796" w:name="xdx_90E_eus-gaap--LineOfCreditFacilityMa"/>
            <w:bookmarkEnd w:id="796"/>
            <w:r>
              <w:rPr>
                <w:rFonts w:ascii="Times New Roman;Times;Serif" w:hAnsi="Times New Roman;Times;Serif"/>
                <w:b w:val="false"/>
                <w:i w:val="false"/>
                <w:caps w:val="false"/>
                <w:smallCaps w:val="false"/>
                <w:sz w:val="20"/>
              </w:rPr>
              <w:t xml:space="preserve">5,000,000. The maturity date of the revolving loan is extended to </w:t>
            </w:r>
            <w:bookmarkStart w:id="797" w:name="xdx_906_eus-gaap--LineOfCreditFacilityEx"/>
            <w:bookmarkEnd w:id="797"/>
            <w:r>
              <w:rPr>
                <w:rFonts w:ascii="Times New Roman;Times;Serif" w:hAnsi="Times New Roman;Times;Serif"/>
                <w:b w:val="false"/>
                <w:i w:val="false"/>
                <w:caps w:val="false"/>
                <w:smallCaps w:val="false"/>
                <w:sz w:val="20"/>
              </w:rPr>
              <w:t xml:space="preserve">March 31, 2027, and has an annual interest rate equal to the prime rate less </w:t>
            </w:r>
            <w:bookmarkStart w:id="798" w:name="xdx_90A_ecustom--DebtInstrumentBasisSpre"/>
            <w:bookmarkEnd w:id="798"/>
            <w:r>
              <w:rPr>
                <w:rFonts w:ascii="Times New Roman;Times;Serif" w:hAnsi="Times New Roman;Times;Serif"/>
                <w:b w:val="false"/>
                <w:i w:val="false"/>
                <w:caps w:val="false"/>
                <w:smallCaps w:val="false"/>
                <w:sz w:val="20"/>
              </w:rPr>
              <w:t xml:space="preserve">0.25% and a floor of </w:t>
            </w:r>
            <w:bookmarkStart w:id="799" w:name="xdx_90F_ecustom--DebtInstrumentInterestR"/>
            <w:bookmarkEnd w:id="799"/>
            <w:r>
              <w:rPr>
                <w:rFonts w:ascii="Times New Roman;Times;Serif" w:hAnsi="Times New Roman;Times;Serif"/>
                <w:b w:val="false"/>
                <w:i w:val="false"/>
                <w:caps w:val="false"/>
                <w:smallCaps w:val="false"/>
                <w:sz w:val="20"/>
              </w:rPr>
              <w:t xml:space="preserve">6.50%. In March 2026, the Company received a subsequent extension of the revolving loan maturity date to </w:t>
            </w:r>
            <w:bookmarkStart w:id="800" w:name="xdx_90D_eus-gaap--DebtInstrumentMaturity"/>
            <w:bookmarkEnd w:id="800"/>
            <w:r>
              <w:rPr>
                <w:rFonts w:ascii="Times New Roman;Times;Serif" w:hAnsi="Times New Roman;Times;Serif"/>
                <w:b w:val="false"/>
                <w:i w:val="false"/>
                <w:caps w:val="false"/>
                <w:smallCaps w:val="false"/>
                <w:sz w:val="20"/>
              </w:rPr>
              <w:t xml:space="preserve">March 31, 2027, at which time the Revolving Loan shall convert to a Term Loan and extend to March 31, 2030. Debt covenants of this loan require the Company to maintain a minimum debt service coverage ratio of at least </w:t>
            </w:r>
            <w:bookmarkStart w:id="801" w:name="xdx_90B_ecustom--MinimumRequirementOfDeb"/>
            <w:bookmarkEnd w:id="801"/>
            <w:r>
              <w:rPr>
                <w:rFonts w:ascii="Times New Roman;Times;Serif" w:hAnsi="Times New Roman;Times;Serif"/>
                <w:b w:val="false"/>
                <w:i w:val="false"/>
                <w:caps w:val="false"/>
                <w:smallCaps w:val="false"/>
                <w:sz w:val="20"/>
              </w:rPr>
              <w:t>1.5 to 1 and is required to maintain a $</w:t>
            </w:r>
            <w:bookmarkStart w:id="802" w:name="xdx_905_eus-gaap--Deposits_iI_c20260102_"/>
            <w:bookmarkEnd w:id="802"/>
            <w:r>
              <w:rPr>
                <w:rFonts w:ascii="Times New Roman;Times;Serif" w:hAnsi="Times New Roman;Times;Serif"/>
                <w:b w:val="false"/>
                <w:i w:val="false"/>
                <w:caps w:val="false"/>
                <w:smallCaps w:val="false"/>
                <w:sz w:val="20"/>
              </w:rPr>
              <w:t xml:space="preserve">1,000,000 pledge deposit. At June 30, 2026, the interest rate on this loan was </w:t>
            </w:r>
            <w:bookmarkStart w:id="803" w:name="xdx_90E_eus-gaap--DebtInstrumentInterest"/>
            <w:bookmarkEnd w:id="803"/>
            <w:r>
              <w:rPr>
                <w:rFonts w:ascii="Times New Roman;Times;Serif" w:hAnsi="Times New Roman;Times;Serif"/>
                <w:b w:val="false"/>
                <w:i w:val="false"/>
                <w:caps w:val="false"/>
                <w:smallCaps w:val="false"/>
                <w:sz w:val="20"/>
              </w:rPr>
              <w:t>6.5%. The Company was in compliance with the debt covenants of this loan for the trailing twelve month period ended June 30, 2026, and it is reasonably possible it will remain in compliance for the twelve months thereafter.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04" w:name="xdx_400_eus-gaap--DebtLongtermAndShortte"/>
            <w:bookmarkEnd w:id="804"/>
          </w:p>
        </w:tc>
      </w:tr>
      <w:tr>
        <w:trPr/>
        <w:tc>
          <w:tcPr>
            <w:tcW w:w="784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2021 Promissory Note</w:t>
            </w:r>
            <w:r>
              <w:rPr>
                <w:rFonts w:ascii="Times New Roman;Times;Serif" w:hAnsi="Times New Roman;Times;Serif"/>
                <w:b w:val="false"/>
                <w:i w:val="false"/>
                <w:caps w:val="false"/>
                <w:smallCaps w:val="false"/>
                <w:sz w:val="20"/>
              </w:rPr>
              <w:t xml:space="preserve"> – On June 17, 2021, the Company amended its loan agreement to reduce the principal amount with a financial institution for 10 years, annual interest rate of </w:t>
            </w:r>
            <w:bookmarkStart w:id="805" w:name="xdx_909_eus-gaap--DebtInstrumentInterest"/>
            <w:bookmarkEnd w:id="805"/>
            <w:r>
              <w:rPr>
                <w:rFonts w:ascii="Times New Roman;Times;Serif" w:hAnsi="Times New Roman;Times;Serif"/>
                <w:b w:val="false"/>
                <w:i w:val="false"/>
                <w:caps w:val="false"/>
                <w:smallCaps w:val="false"/>
                <w:sz w:val="20"/>
              </w:rPr>
              <w:t xml:space="preserve">3.5% for the first </w:t>
            </w:r>
            <w:bookmarkStart w:id="806" w:name="xdx_903_ecustom--DebtInstrumentPrincipal"/>
            <w:bookmarkEnd w:id="806"/>
            <w:r>
              <w:rPr>
                <w:rFonts w:ascii="Times New Roman;Times;Serif" w:hAnsi="Times New Roman;Times;Serif"/>
                <w:b w:val="false"/>
                <w:i w:val="false"/>
                <w:caps w:val="false"/>
                <w:smallCaps w:val="false"/>
                <w:sz w:val="20"/>
              </w:rPr>
              <w:t xml:space="preserve">5 years, and then floating at Wall Street Journal rate from </w:t>
            </w:r>
            <w:bookmarkStart w:id="807" w:name="xdx_907_eus-gaap--DebtInstrumentDescript"/>
            <w:bookmarkEnd w:id="807"/>
            <w:r>
              <w:rPr>
                <w:rFonts w:ascii="Times New Roman;Times;Serif" w:hAnsi="Times New Roman;Times;Serif"/>
                <w:b w:val="false"/>
                <w:i w:val="false"/>
                <w:caps w:val="false"/>
                <w:smallCaps w:val="false"/>
                <w:sz w:val="20"/>
              </w:rPr>
              <w:t>years 6 to 10. The loan is secured by the Company’s building, with a carrying value of $</w:t>
            </w:r>
            <w:bookmarkStart w:id="808" w:name="xdx_90A_eus-gaap--SecuredDebt_iI_pn5n6_c"/>
            <w:bookmarkEnd w:id="808"/>
            <w:r>
              <w:rPr>
                <w:rFonts w:ascii="Times New Roman;Times;Serif" w:hAnsi="Times New Roman;Times;Serif"/>
                <w:b w:val="false"/>
                <w:i w:val="false"/>
                <w:caps w:val="false"/>
                <w:smallCaps w:val="false"/>
                <w:sz w:val="20"/>
              </w:rPr>
              <w:t xml:space="preserve">4.1 million, and matures on </w:t>
            </w:r>
            <w:bookmarkStart w:id="809" w:name="xdx_908_eus-gaap--DebtInstrumentMaturity"/>
            <w:bookmarkEnd w:id="809"/>
            <w:r>
              <w:rPr>
                <w:rFonts w:ascii="Times New Roman;Times;Serif" w:hAnsi="Times New Roman;Times;Serif"/>
                <w:b w:val="false"/>
                <w:i w:val="false"/>
                <w:caps w:val="false"/>
                <w:smallCaps w:val="false"/>
                <w:sz w:val="20"/>
              </w:rPr>
              <w:t xml:space="preserve">June 30, 2031. The note is subject to a prepayment penalty. Debt covenants of this loan require the Company to maintain a minimum debt service coverage ratio of at least </w:t>
            </w:r>
            <w:bookmarkStart w:id="810" w:name="xdx_90D_ecustom--MinimumRequirementOfDeb"/>
            <w:bookmarkEnd w:id="810"/>
            <w:r>
              <w:rPr>
                <w:rFonts w:ascii="Times New Roman;Times;Serif" w:hAnsi="Times New Roman;Times;Serif"/>
                <w:b w:val="false"/>
                <w:i w:val="false"/>
                <w:caps w:val="false"/>
                <w:smallCaps w:val="false"/>
                <w:sz w:val="20"/>
              </w:rPr>
              <w:t>1.5 to 1. The Company was in compliance with the debt covenants of this loan for the trailing twelve month period ended June 30, 2026, and it is reasonably possible it will remain in compliance for the twelve months thereafter.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2,591,993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2,636,536</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11" w:name="xdx_407_eus-gaap--DebtLongtermAndShortte"/>
            <w:bookmarkEnd w:id="811"/>
          </w:p>
        </w:tc>
      </w:tr>
      <w:tr>
        <w:trPr/>
        <w:tc>
          <w:tcPr>
            <w:tcW w:w="784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February 2025 Convertible Notes</w:t>
            </w:r>
            <w:r>
              <w:rPr>
                <w:rFonts w:ascii="Times New Roman;Times;Serif" w:hAnsi="Times New Roman;Times;Serif"/>
                <w:b w:val="false"/>
                <w:i w:val="false"/>
                <w:caps w:val="false"/>
                <w:smallCaps w:val="false"/>
                <w:sz w:val="20"/>
              </w:rPr>
              <w:t xml:space="preserve"> – On February 21, 2025, the Company issued convertible notes at a </w:t>
            </w:r>
            <w:bookmarkStart w:id="812" w:name="xdx_90C_ecustom--ConvertibleNoteDiscount"/>
            <w:bookmarkEnd w:id="812"/>
            <w:r>
              <w:rPr>
                <w:rFonts w:ascii="Times New Roman;Times;Serif" w:hAnsi="Times New Roman;Times;Serif"/>
                <w:b w:val="false"/>
                <w:i w:val="false"/>
                <w:caps w:val="false"/>
                <w:smallCaps w:val="false"/>
                <w:sz w:val="20"/>
              </w:rPr>
              <w:t>10.0% discount and a principal balance of $</w:t>
            </w:r>
            <w:bookmarkStart w:id="813" w:name="xdx_903_eus-gaap--DebtInstrumentFaceAmou"/>
            <w:bookmarkEnd w:id="813"/>
            <w:r>
              <w:rPr>
                <w:rFonts w:ascii="Times New Roman;Times;Serif" w:hAnsi="Times New Roman;Times;Serif"/>
                <w:b w:val="false"/>
                <w:i w:val="false"/>
                <w:caps w:val="false"/>
                <w:smallCaps w:val="false"/>
                <w:sz w:val="20"/>
              </w:rPr>
              <w:t xml:space="preserve">3,300,000. The notes had an interest rate of </w:t>
            </w:r>
            <w:bookmarkStart w:id="814" w:name="xdx_900_eus-gaap--DebtInstrumentInterest"/>
            <w:bookmarkEnd w:id="814"/>
            <w:r>
              <w:rPr>
                <w:rFonts w:ascii="Times New Roman;Times;Serif" w:hAnsi="Times New Roman;Times;Serif"/>
                <w:b w:val="false"/>
                <w:i w:val="false"/>
                <w:caps w:val="false"/>
                <w:smallCaps w:val="false"/>
                <w:sz w:val="20"/>
              </w:rPr>
              <w:t xml:space="preserve">5.0%, were paid in consecutive monthly installments beginning </w:t>
            </w:r>
            <w:bookmarkStart w:id="815" w:name="xdx_903_eus-gaap--DebtInstrumentDateOfFi"/>
            <w:bookmarkEnd w:id="815"/>
            <w:r>
              <w:rPr>
                <w:rFonts w:ascii="Times New Roman;Times;Serif" w:hAnsi="Times New Roman;Times;Serif"/>
                <w:b w:val="false"/>
                <w:i w:val="false"/>
                <w:caps w:val="false"/>
                <w:smallCaps w:val="false"/>
                <w:sz w:val="20"/>
              </w:rPr>
              <w:t xml:space="preserve">May 21, 2025 and matured on </w:t>
            </w:r>
            <w:bookmarkStart w:id="816" w:name="xdx_903_eus-gaap--DebtInstrumentMaturity"/>
            <w:bookmarkEnd w:id="816"/>
            <w:r>
              <w:rPr>
                <w:rFonts w:ascii="Times New Roman;Times;Serif" w:hAnsi="Times New Roman;Times;Serif"/>
                <w:b w:val="false"/>
                <w:i w:val="false"/>
                <w:caps w:val="false"/>
                <w:smallCaps w:val="false"/>
                <w:sz w:val="20"/>
              </w:rPr>
              <w:t xml:space="preserve">February 21, 2026. </w:t>
            </w:r>
            <w:bookmarkStart w:id="817" w:name="xdx_90F_eus-gaap--DefaultLongtermDebtDes"/>
            <w:bookmarkEnd w:id="817"/>
            <w:r>
              <w:rPr>
                <w:rFonts w:ascii="Times New Roman;Times;Serif" w:hAnsi="Times New Roman;Times;Serif"/>
                <w:b w:val="false"/>
                <w:i w:val="false"/>
                <w:caps w:val="false"/>
                <w:smallCaps w:val="false"/>
                <w:sz w:val="20"/>
              </w:rPr>
              <w:t>In the event of a default the Company could have been required to pay to the holders an amount equal to the principal outstanding, plus any accrued interest through the date of payments, multiplied by 120%. The Company had the option to prepay the notes at any time and the note holders have the option to convert the notes, in whole or in part, at any time. The Company elected the fair value option to account for the convertible notes. This note was fully paid in February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691,010</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18" w:name="xdx_407_eus-gaap--DebtLongtermAndShortte"/>
            <w:bookmarkEnd w:id="818"/>
          </w:p>
        </w:tc>
      </w:tr>
      <w:tr>
        <w:trPr/>
        <w:tc>
          <w:tcPr>
            <w:tcW w:w="784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2025 Term Loan</w:t>
            </w:r>
            <w:r>
              <w:rPr>
                <w:rFonts w:ascii="Times New Roman;Times;Serif" w:hAnsi="Times New Roman;Times;Serif"/>
                <w:b w:val="false"/>
                <w:i w:val="false"/>
                <w:caps w:val="false"/>
                <w:smallCaps w:val="false"/>
                <w:sz w:val="20"/>
              </w:rPr>
              <w:t xml:space="preserve"> – On June 10, 2025, the Company entered into a term loan agreement with a principal balance of $</w:t>
            </w:r>
            <w:bookmarkStart w:id="819" w:name="xdx_90B_eus-gaap--DebtInstrumentFaceAmou"/>
            <w:bookmarkEnd w:id="819"/>
            <w:r>
              <w:rPr>
                <w:rFonts w:ascii="Times New Roman;Times;Serif" w:hAnsi="Times New Roman;Times;Serif"/>
                <w:b w:val="false"/>
                <w:i w:val="false"/>
                <w:caps w:val="false"/>
                <w:smallCaps w:val="false"/>
                <w:sz w:val="20"/>
              </w:rPr>
              <w:t xml:space="preserve">3,500,000. The note has a floating rate of </w:t>
            </w:r>
            <w:bookmarkStart w:id="820" w:name="xdx_902_eus-gaap--DebtInstrumentInterest"/>
            <w:bookmarkEnd w:id="820"/>
            <w:r>
              <w:rPr>
                <w:rFonts w:ascii="Times New Roman;Times;Serif" w:hAnsi="Times New Roman;Times;Serif"/>
                <w:b w:val="false"/>
                <w:i w:val="false"/>
                <w:caps w:val="false"/>
                <w:smallCaps w:val="false"/>
                <w:sz w:val="20"/>
              </w:rPr>
              <w:t xml:space="preserve">0.50% in excess of the Wall Street Journal Prime Rate and a floor of </w:t>
            </w:r>
            <w:bookmarkStart w:id="821" w:name="xdx_907_ecustom--DebtInstrumentInterestR"/>
            <w:bookmarkEnd w:id="821"/>
            <w:r>
              <w:rPr>
                <w:rFonts w:ascii="Times New Roman;Times;Serif" w:hAnsi="Times New Roman;Times;Serif"/>
                <w:b w:val="false"/>
                <w:i w:val="false"/>
                <w:caps w:val="false"/>
                <w:smallCaps w:val="false"/>
                <w:sz w:val="20"/>
              </w:rPr>
              <w:t xml:space="preserve">6.50%, and is paid in monthly installments starting </w:t>
            </w:r>
            <w:bookmarkStart w:id="822" w:name="xdx_90A_eus-gaap--DebtInstrumentDateOfFi"/>
            <w:bookmarkEnd w:id="822"/>
            <w:r>
              <w:rPr>
                <w:rFonts w:ascii="Times New Roman;Times;Serif" w:hAnsi="Times New Roman;Times;Serif"/>
                <w:b w:val="false"/>
                <w:i w:val="false"/>
                <w:caps w:val="false"/>
                <w:smallCaps w:val="false"/>
                <w:sz w:val="20"/>
              </w:rPr>
              <w:t xml:space="preserve">July 1, 2025, and maturing </w:t>
            </w:r>
            <w:bookmarkStart w:id="823" w:name="xdx_900_eus-gaap--DebtInstrumentMaturity"/>
            <w:bookmarkEnd w:id="823"/>
            <w:r>
              <w:rPr>
                <w:rFonts w:ascii="Times New Roman;Times;Serif" w:hAnsi="Times New Roman;Times;Serif"/>
                <w:b w:val="false"/>
                <w:i w:val="false"/>
                <w:caps w:val="false"/>
                <w:smallCaps w:val="false"/>
                <w:sz w:val="20"/>
              </w:rPr>
              <w:t xml:space="preserve">June 30, 2028. As of June 30, 2026, the interest on this loan is </w:t>
            </w:r>
            <w:bookmarkStart w:id="824" w:name="xdx_908_eus-gaap--DebtInstrumentInterest"/>
            <w:bookmarkEnd w:id="824"/>
            <w:r>
              <w:rPr>
                <w:rFonts w:ascii="Times New Roman;Times;Serif" w:hAnsi="Times New Roman;Times;Serif"/>
                <w:b w:val="false"/>
                <w:i w:val="false"/>
                <w:caps w:val="false"/>
                <w:smallCaps w:val="false"/>
                <w:sz w:val="20"/>
              </w:rPr>
              <w:t xml:space="preserve">7.25%. In the event of a default, the Company could be required to pay the lender the entire principal balance, plus any accrued and unpaid interest immediately due and payable, without notice or demand. The note is secured by a lien on collateral. Collateral includes all of the borrower’s rights, title, and interest in all assets, including but not limited to accounts, equipment, deposits, intellectual property and books and records. Debt covenants of this loan requires the Company to maintain a minimum debt service coverage ratio of at least </w:t>
            </w:r>
            <w:bookmarkStart w:id="825" w:name="xdx_90A_ecustom--MinimumRequirementOfDeb"/>
            <w:bookmarkEnd w:id="825"/>
            <w:r>
              <w:rPr>
                <w:rFonts w:ascii="Times New Roman;Times;Serif" w:hAnsi="Times New Roman;Times;Serif"/>
                <w:b w:val="false"/>
                <w:i w:val="false"/>
                <w:caps w:val="false"/>
                <w:smallCaps w:val="false"/>
                <w:sz w:val="20"/>
              </w:rPr>
              <w:t>1.5 to 1. The Company was in compliance with debt covenants of this loan for the trailing twelve month period ended June 30, 2026, and it is reasonably possible it will remain in compliance for the twelve months thereafter.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2,412,048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2,961,882</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26" w:name="xdx_408_eus-gaap--DebtLongtermAndShortte"/>
            <w:bookmarkEnd w:id="826"/>
          </w:p>
        </w:tc>
      </w:tr>
      <w:tr>
        <w:trPr/>
        <w:tc>
          <w:tcPr>
            <w:tcW w:w="784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October 2025 Convertible Notes</w:t>
            </w:r>
            <w:r>
              <w:rPr>
                <w:rFonts w:ascii="Times New Roman;Times;Serif" w:hAnsi="Times New Roman;Times;Serif"/>
                <w:b w:val="false"/>
                <w:i w:val="false"/>
                <w:caps w:val="false"/>
                <w:smallCaps w:val="false"/>
                <w:sz w:val="20"/>
              </w:rPr>
              <w:t xml:space="preserve"> – On October 24, 2025, the Company issued a convertible note at a </w:t>
            </w:r>
            <w:bookmarkStart w:id="827" w:name="xdx_90C_ecustom--ConvertibleNoteDiscount"/>
            <w:bookmarkEnd w:id="827"/>
            <w:r>
              <w:rPr>
                <w:rFonts w:ascii="Times New Roman;Times;Serif" w:hAnsi="Times New Roman;Times;Serif"/>
                <w:b w:val="false"/>
                <w:i w:val="false"/>
                <w:caps w:val="false"/>
                <w:smallCaps w:val="false"/>
                <w:sz w:val="20"/>
              </w:rPr>
              <w:t>10.0% discount and a principal balance of $</w:t>
            </w:r>
            <w:bookmarkStart w:id="828" w:name="xdx_90A_eus-gaap--DebtInstrumentFaceAmou"/>
            <w:bookmarkEnd w:id="828"/>
            <w:r>
              <w:rPr>
                <w:rFonts w:ascii="Times New Roman;Times;Serif" w:hAnsi="Times New Roman;Times;Serif"/>
                <w:b w:val="false"/>
                <w:i w:val="false"/>
                <w:caps w:val="false"/>
                <w:smallCaps w:val="false"/>
                <w:sz w:val="20"/>
              </w:rPr>
              <w:t xml:space="preserve">2,200,000. The notes has an interest rate of </w:t>
            </w:r>
            <w:bookmarkStart w:id="829" w:name="xdx_909_eus-gaap--DebtInstrumentInterest"/>
            <w:bookmarkEnd w:id="829"/>
            <w:r>
              <w:rPr>
                <w:rFonts w:ascii="Times New Roman;Times;Serif" w:hAnsi="Times New Roman;Times;Serif"/>
                <w:b w:val="false"/>
                <w:i w:val="false"/>
                <w:caps w:val="false"/>
                <w:smallCaps w:val="false"/>
                <w:sz w:val="20"/>
              </w:rPr>
              <w:t xml:space="preserve">5.0% is payable in consecutive monthly installments beginning </w:t>
            </w:r>
            <w:bookmarkStart w:id="830" w:name="xdx_90E_eus-gaap--DebtInstrumentDateOfFi"/>
            <w:bookmarkEnd w:id="830"/>
            <w:r>
              <w:rPr>
                <w:rFonts w:ascii="Times New Roman;Times;Serif" w:hAnsi="Times New Roman;Times;Serif"/>
                <w:b w:val="false"/>
                <w:i w:val="false"/>
                <w:caps w:val="false"/>
                <w:smallCaps w:val="false"/>
                <w:sz w:val="20"/>
              </w:rPr>
              <w:t xml:space="preserve">January 24, 2026 and will mature on </w:t>
            </w:r>
            <w:bookmarkStart w:id="831" w:name="xdx_909_eus-gaap--DebtInstrumentMaturity"/>
            <w:bookmarkEnd w:id="831"/>
            <w:r>
              <w:rPr>
                <w:rFonts w:ascii="Times New Roman;Times;Serif" w:hAnsi="Times New Roman;Times;Serif"/>
                <w:b w:val="false"/>
                <w:i w:val="false"/>
                <w:caps w:val="false"/>
                <w:smallCaps w:val="false"/>
                <w:sz w:val="20"/>
              </w:rPr>
              <w:t xml:space="preserve">October 24, 2026. </w:t>
            </w:r>
            <w:bookmarkStart w:id="832" w:name="xdx_902_eus-gaap--DefaultLongtermDebtDes"/>
            <w:bookmarkEnd w:id="832"/>
            <w:r>
              <w:rPr>
                <w:rFonts w:ascii="Times New Roman;Times;Serif" w:hAnsi="Times New Roman;Times;Serif"/>
                <w:b w:val="false"/>
                <w:i w:val="false"/>
                <w:caps w:val="false"/>
                <w:smallCaps w:val="false"/>
                <w:sz w:val="20"/>
              </w:rPr>
              <w:t>In the event of a default the Company could be required to pay to the holders an amount equal to the principal outstanding, plus any accrued interest through the date of payments, multiplied by 120%. The Company has the option to prepay the notes at any time and the note holders have the option to convert the notes, in whole or in part, at any time into shares of the Company’s Class A common stock. During the three months ended June 30, 2026, holders elected to convert $</w:t>
            </w:r>
            <w:bookmarkStart w:id="833" w:name="xdx_908_eus-gaap--InducedConversionOfCon"/>
            <w:bookmarkEnd w:id="833"/>
            <w:r>
              <w:rPr>
                <w:rFonts w:ascii="Times New Roman;Times;Serif" w:hAnsi="Times New Roman;Times;Serif"/>
                <w:b w:val="false"/>
                <w:i w:val="false"/>
                <w:caps w:val="false"/>
                <w:smallCaps w:val="false"/>
                <w:sz w:val="20"/>
              </w:rPr>
              <w:t>577,500 of outstanding principal balance of the convertible note into shares of the Company’s Class A common stock. The Company elected the fair value option to account for the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307,782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2,115,856</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34" w:name="xdx_402_eus-gaap--DebtLongtermAndShortte"/>
            <w:bookmarkEnd w:id="834"/>
          </w:p>
        </w:tc>
      </w:tr>
      <w:tr>
        <w:trPr/>
        <w:tc>
          <w:tcPr>
            <w:tcW w:w="784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November 2025 Convertible Notes</w:t>
            </w:r>
            <w:r>
              <w:rPr>
                <w:rFonts w:ascii="Times New Roman;Times;Serif" w:hAnsi="Times New Roman;Times;Serif"/>
                <w:b w:val="false"/>
                <w:i w:val="false"/>
                <w:caps w:val="false"/>
                <w:smallCaps w:val="false"/>
                <w:sz w:val="20"/>
              </w:rPr>
              <w:t xml:space="preserve"> – On November 26, 2025, the Company issued a convertible note at a </w:t>
            </w:r>
            <w:bookmarkStart w:id="835" w:name="xdx_909_ecustom--ConvertibleNoteDiscount"/>
            <w:bookmarkEnd w:id="835"/>
            <w:r>
              <w:rPr>
                <w:rFonts w:ascii="Times New Roman;Times;Serif" w:hAnsi="Times New Roman;Times;Serif"/>
                <w:b w:val="false"/>
                <w:i w:val="false"/>
                <w:caps w:val="false"/>
                <w:smallCaps w:val="false"/>
                <w:sz w:val="20"/>
              </w:rPr>
              <w:t>10.0% discount and a principal balance of $</w:t>
            </w:r>
            <w:bookmarkStart w:id="836" w:name="xdx_903_eus-gaap--DebtInstrumentFaceAmou"/>
            <w:bookmarkEnd w:id="836"/>
            <w:r>
              <w:rPr>
                <w:rFonts w:ascii="Times New Roman;Times;Serif" w:hAnsi="Times New Roman;Times;Serif"/>
                <w:b w:val="false"/>
                <w:i w:val="false"/>
                <w:caps w:val="false"/>
                <w:smallCaps w:val="false"/>
                <w:sz w:val="20"/>
              </w:rPr>
              <w:t xml:space="preserve">1,100,000. The notes has an interest rate of </w:t>
            </w:r>
            <w:bookmarkStart w:id="837" w:name="xdx_90F_eus-gaap--DebtInstrumentInterest"/>
            <w:bookmarkEnd w:id="837"/>
            <w:r>
              <w:rPr>
                <w:rFonts w:ascii="Times New Roman;Times;Serif" w:hAnsi="Times New Roman;Times;Serif"/>
                <w:b w:val="false"/>
                <w:i w:val="false"/>
                <w:caps w:val="false"/>
                <w:smallCaps w:val="false"/>
                <w:sz w:val="20"/>
              </w:rPr>
              <w:t xml:space="preserve">5.0%, is payable in consecutive monthly installments beginning </w:t>
            </w:r>
            <w:bookmarkStart w:id="838" w:name="xdx_90B_eus-gaap--DebtInstrumentDateOfFi"/>
            <w:bookmarkEnd w:id="838"/>
            <w:r>
              <w:rPr>
                <w:rFonts w:ascii="Times New Roman;Times;Serif" w:hAnsi="Times New Roman;Times;Serif"/>
                <w:b w:val="false"/>
                <w:i w:val="false"/>
                <w:caps w:val="false"/>
                <w:smallCaps w:val="false"/>
                <w:sz w:val="20"/>
              </w:rPr>
              <w:t xml:space="preserve">February 26, 2026 and will mature on </w:t>
            </w:r>
            <w:bookmarkStart w:id="839" w:name="xdx_900_eus-gaap--DebtInstrumentMaturity"/>
            <w:bookmarkEnd w:id="839"/>
            <w:r>
              <w:rPr>
                <w:rFonts w:ascii="Times New Roman;Times;Serif" w:hAnsi="Times New Roman;Times;Serif"/>
                <w:b w:val="false"/>
                <w:i w:val="false"/>
                <w:caps w:val="false"/>
                <w:smallCaps w:val="false"/>
                <w:sz w:val="20"/>
              </w:rPr>
              <w:t xml:space="preserve">November 26, 2026. </w:t>
            </w:r>
            <w:bookmarkStart w:id="840" w:name="xdx_903_eus-gaap--DefaultLongtermDebtDes"/>
            <w:bookmarkEnd w:id="840"/>
            <w:r>
              <w:rPr>
                <w:rFonts w:ascii="Times New Roman;Times;Serif" w:hAnsi="Times New Roman;Times;Serif"/>
                <w:b w:val="false"/>
                <w:i w:val="false"/>
                <w:caps w:val="false"/>
                <w:smallCaps w:val="false"/>
                <w:sz w:val="20"/>
              </w:rPr>
              <w:t>In the event of a default the Company could be required to pay to the holders an amount equal to the principal outstanding, plus any accrued interest through the date of payments, multiplied by 120%. The Company has the option to prepay the notes at any time and the note holders has the option to convert the notes, in whole or in part, at any time into shares of the Company’s Class A common stock. During the three months ended June 30, 2026, holders elected to convert $</w:t>
            </w:r>
            <w:bookmarkStart w:id="841" w:name="xdx_90E_eus-gaap--InducedConversionOfCon"/>
            <w:bookmarkEnd w:id="841"/>
            <w:r>
              <w:rPr>
                <w:rFonts w:ascii="Times New Roman;Times;Serif" w:hAnsi="Times New Roman;Times;Serif"/>
                <w:b w:val="false"/>
                <w:i w:val="false"/>
                <w:caps w:val="false"/>
                <w:smallCaps w:val="false"/>
                <w:sz w:val="20"/>
              </w:rPr>
              <w:t>288,750 of outstanding principal balance of the convertible note into shares of the Company’s Class A common stock. The Company elected the fair value option to account for the 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260,717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1,035,323</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42" w:name="xdx_405_eus-gaap--DebtLongtermAndShortte"/>
            <w:bookmarkEnd w:id="842"/>
          </w:p>
        </w:tc>
      </w:tr>
      <w:tr>
        <w:trPr/>
        <w:tc>
          <w:tcPr>
            <w:tcW w:w="784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8,072,540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14,440,607</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43" w:name="xdx_40E_eus-gaap--LongTermDebtCurrent_iI"/>
            <w:bookmarkEnd w:id="843"/>
          </w:p>
        </w:tc>
      </w:tr>
      <w:tr>
        <w:trPr/>
        <w:tc>
          <w:tcPr>
            <w:tcW w:w="784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current portion of 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1,353,296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1,305,880</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44" w:name="xdx_40D_eus-gaap--ConvertibleNotesPayabl"/>
            <w:bookmarkEnd w:id="844"/>
          </w:p>
        </w:tc>
      </w:tr>
      <w:tr>
        <w:trPr/>
        <w:tc>
          <w:tcPr>
            <w:tcW w:w="784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convertible notes at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568,499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3,842,189</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45" w:name="xdx_40A_ecustom--RevolvingLoanShortTermN"/>
            <w:bookmarkEnd w:id="845"/>
          </w:p>
        </w:tc>
      </w:tr>
      <w:tr>
        <w:trPr/>
        <w:tc>
          <w:tcPr>
            <w:tcW w:w="784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6,150,745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9,292,538</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846" w:name="xdx_8A8_z9owYnMZAnVc"/>
      <w:bookmarkEnd w:id="84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for the above debt and revolver loan amounted to $</w:t>
      </w:r>
      <w:bookmarkStart w:id="847" w:name="xdx_90D_eus-gaap--InterestExpenseDebt_pp"/>
      <w:bookmarkEnd w:id="847"/>
      <w:r>
        <w:rPr>
          <w:rFonts w:ascii="Times New Roman;Times;Serif" w:hAnsi="Times New Roman;Times;Serif"/>
          <w:b w:val="false"/>
          <w:i w:val="false"/>
          <w:caps w:val="false"/>
          <w:smallCaps w:val="false"/>
          <w:sz w:val="20"/>
        </w:rPr>
        <w:t>151,965 and $</w:t>
      </w:r>
      <w:bookmarkStart w:id="848" w:name="xdx_90C_eus-gaap--InterestExpenseDebt_pp"/>
      <w:bookmarkEnd w:id="848"/>
      <w:r>
        <w:rPr>
          <w:rFonts w:ascii="Times New Roman;Times;Serif" w:hAnsi="Times New Roman;Times;Serif"/>
          <w:b w:val="false"/>
          <w:i w:val="false"/>
          <w:caps w:val="false"/>
          <w:smallCaps w:val="false"/>
          <w:sz w:val="20"/>
        </w:rPr>
        <w:t>148,360 for the three months ended June 30, 2026 and 2025, respectively. Total interest expense for the above debt and revolver loan amounted to $</w:t>
      </w:r>
      <w:bookmarkStart w:id="849" w:name="xdx_901_eus-gaap--InterestExpenseDebt_pp"/>
      <w:bookmarkEnd w:id="849"/>
      <w:r>
        <w:rPr>
          <w:rFonts w:ascii="Times New Roman;Times;Serif" w:hAnsi="Times New Roman;Times;Serif"/>
          <w:b w:val="false"/>
          <w:i w:val="false"/>
          <w:caps w:val="false"/>
          <w:smallCaps w:val="false"/>
          <w:sz w:val="20"/>
        </w:rPr>
        <w:t>353,274 and $</w:t>
      </w:r>
      <w:bookmarkStart w:id="850" w:name="xdx_90D_eus-gaap--InterestExpenseDebt_pp"/>
      <w:bookmarkEnd w:id="850"/>
      <w:r>
        <w:rPr>
          <w:rFonts w:ascii="Times New Roman;Times;Serif" w:hAnsi="Times New Roman;Times;Serif"/>
          <w:b w:val="false"/>
          <w:i w:val="false"/>
          <w:caps w:val="false"/>
          <w:smallCaps w:val="false"/>
          <w:sz w:val="20"/>
        </w:rPr>
        <w:t>229,106 for the six months ended June 30, 2026 and 2025, respectively. Amortization of loan origination expenses and loan discounts of $</w:t>
      </w:r>
      <w:bookmarkStart w:id="851" w:name="xdx_90A_eus-gaap--AmortizationOfDeferred"/>
      <w:bookmarkEnd w:id="851"/>
      <w:r>
        <w:rPr>
          <w:rFonts w:ascii="Times New Roman;Times;Serif" w:hAnsi="Times New Roman;Times;Serif"/>
          <w:b w:val="false"/>
          <w:i w:val="false"/>
          <w:caps w:val="false"/>
          <w:smallCaps w:val="false"/>
          <w:sz w:val="20"/>
        </w:rPr>
        <w:t>1,983 and $</w:t>
      </w:r>
      <w:bookmarkStart w:id="852" w:name="xdx_903_eus-gaap--AmortizationOfDeferred"/>
      <w:bookmarkEnd w:id="852"/>
      <w:r>
        <w:rPr>
          <w:rFonts w:ascii="Times New Roman;Times;Serif" w:hAnsi="Times New Roman;Times;Serif"/>
          <w:b w:val="false"/>
          <w:i w:val="false"/>
          <w:caps w:val="false"/>
          <w:smallCaps w:val="false"/>
          <w:sz w:val="20"/>
        </w:rPr>
        <w:t>3,635 are included as part of interest expense for the three months ended June 30, 2026 and 2025, respectively. Amortization of loan origination expenses and loan discounts of $</w:t>
      </w:r>
      <w:bookmarkStart w:id="853" w:name="xdx_90A_eus-gaap--AmortizationOfDeferred"/>
      <w:bookmarkEnd w:id="853"/>
      <w:r>
        <w:rPr>
          <w:rFonts w:ascii="Times New Roman;Times;Serif" w:hAnsi="Times New Roman;Times;Serif"/>
          <w:b w:val="false"/>
          <w:i w:val="false"/>
          <w:caps w:val="false"/>
          <w:smallCaps w:val="false"/>
          <w:sz w:val="20"/>
        </w:rPr>
        <w:t>4,932 and $</w:t>
      </w:r>
      <w:bookmarkStart w:id="854" w:name="xdx_905_eus-gaap--AmortizationOfDeferred"/>
      <w:bookmarkEnd w:id="854"/>
      <w:r>
        <w:rPr>
          <w:rFonts w:ascii="Times New Roman;Times;Serif" w:hAnsi="Times New Roman;Times;Serif"/>
          <w:b w:val="false"/>
          <w:i w:val="false"/>
          <w:caps w:val="false"/>
          <w:smallCaps w:val="false"/>
          <w:sz w:val="20"/>
        </w:rPr>
        <w:t xml:space="preserve">6,246 are included as part of interest expense for the six months ended June 30, 2026 and 2025, respectively. The Company has a weighted average interest rate of </w:t>
      </w:r>
      <w:bookmarkStart w:id="855" w:name="xdx_90C_eus-gaap--DebtWeightedAverageInt"/>
      <w:bookmarkEnd w:id="855"/>
      <w:r>
        <w:rPr>
          <w:rFonts w:ascii="Times New Roman;Times;Serif" w:hAnsi="Times New Roman;Times;Serif"/>
          <w:b w:val="false"/>
          <w:i w:val="false"/>
          <w:caps w:val="false"/>
          <w:smallCaps w:val="false"/>
          <w:sz w:val="20"/>
        </w:rPr>
        <w:t xml:space="preserve">6.4% and </w:t>
      </w:r>
      <w:bookmarkStart w:id="856" w:name="xdx_902_eus-gaap--DebtWeightedAverageInt"/>
      <w:bookmarkEnd w:id="856"/>
      <w:r>
        <w:rPr>
          <w:rFonts w:ascii="Times New Roman;Times;Serif" w:hAnsi="Times New Roman;Times;Serif"/>
          <w:b w:val="false"/>
          <w:i w:val="false"/>
          <w:caps w:val="false"/>
          <w:smallCaps w:val="false"/>
          <w:sz w:val="20"/>
        </w:rPr>
        <w:t>5.7% on its short-term obligations as of June 30, 2026 and December 31, 2025, respectively. The Company was in compliance with its financial covenants related to the 2021 Revolving Loan, 2021 Promissory Note and 2025 Term Loan for the trailing twelve months ended June 30, 2026, and it is reasonably possible it will remain in compliance for the twelve months thereafter.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57" w:name="xdx_893_eus-gaap--ScheduleOfMaturitiesOf"/>
      <w:bookmarkEnd w:id="857"/>
      <w:r>
        <w:rPr>
          <w:rFonts w:ascii="Times New Roman;Times;Serif" w:hAnsi="Times New Roman;Times;Serif"/>
          <w:b w:val="false"/>
          <w:i w:val="false"/>
          <w:caps w:val="false"/>
          <w:smallCaps w:val="false"/>
          <w:sz w:val="20"/>
        </w:rPr>
        <w:t>The following table provides future minimum payments of its long-term debt based on contractual payments, as of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58" w:name="xdx_8B0_zvDD5uaRbHmk"/>
      <w:bookmarkEnd w:id="858"/>
      <w:r>
        <w:rPr>
          <w:rFonts w:ascii="Times New Roman;Times;Serif" w:hAnsi="Times New Roman;Times;Serif"/>
          <w:b w:val="false"/>
          <w:i w:val="false"/>
          <w:caps w:val="false"/>
          <w:smallCaps w:val="false"/>
          <w:sz w:val="20"/>
        </w:rPr>
        <w:t>SCHEDULE OF FUTURE MINIMUM PAYMENTS OF LONG TERM DEBT</w:t>
      </w:r>
    </w:p>
    <w:tbl>
      <w:tblPr>
        <w:tblW w:w="3450" w:type="dxa"/>
        <w:jc w:val="left"/>
        <w:tblInd w:w="0" w:type="dxa"/>
        <w:tblLayout w:type="fixed"/>
        <w:tblCellMar>
          <w:top w:w="0" w:type="dxa"/>
          <w:left w:w="0" w:type="dxa"/>
          <w:bottom w:w="28" w:type="dxa"/>
          <w:right w:w="0" w:type="dxa"/>
        </w:tblCellMar>
      </w:tblPr>
      <w:tblGrid>
        <w:gridCol w:w="2345"/>
        <w:gridCol w:w="60"/>
        <w:gridCol w:w="125"/>
        <w:gridCol w:w="845"/>
        <w:gridCol w:w="75"/>
      </w:tblGrid>
      <w:tr>
        <w:trPr/>
        <w:tc>
          <w:tcPr>
            <w:tcW w:w="234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ending December 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859" w:name="xdx_495_20260630_zYWN3OdY41rf"/>
            <w:bookmarkEnd w:id="859"/>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860" w:name="xdx_40C_eus-gaap--LongTermDebtMaturities"/>
            <w:bookmarkEnd w:id="860"/>
          </w:p>
        </w:tc>
      </w:tr>
      <w:tr>
        <w:trPr/>
        <w:tc>
          <w:tcPr>
            <w:tcW w:w="234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1,286,932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61" w:name="xdx_40A_eus-gaap--LongTermDebtMaturities"/>
            <w:bookmarkEnd w:id="861"/>
          </w:p>
        </w:tc>
      </w:tr>
      <w:tr>
        <w:trPr/>
        <w:tc>
          <w:tcPr>
            <w:tcW w:w="23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1,305,111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62" w:name="xdx_40B_eus-gaap--LongTermDebtMaturities"/>
            <w:bookmarkEnd w:id="862"/>
          </w:p>
        </w:tc>
      </w:tr>
      <w:tr>
        <w:trPr/>
        <w:tc>
          <w:tcPr>
            <w:tcW w:w="234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627,750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63" w:name="xdx_40E_eus-gaap--LongTermDebtMaturities"/>
            <w:bookmarkEnd w:id="863"/>
          </w:p>
        </w:tc>
      </w:tr>
      <w:tr>
        <w:trPr/>
        <w:tc>
          <w:tcPr>
            <w:tcW w:w="23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99,101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64" w:name="xdx_406_eus-gaap--LongTermDebtMaturities"/>
            <w:bookmarkEnd w:id="864"/>
          </w:p>
        </w:tc>
      </w:tr>
      <w:tr>
        <w:trPr/>
        <w:tc>
          <w:tcPr>
            <w:tcW w:w="234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2,602,675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65" w:name="xdx_40C_ecustom--LongTermDebtMaturitiesR"/>
            <w:bookmarkEnd w:id="865"/>
          </w:p>
        </w:tc>
      </w:tr>
      <w:tr>
        <w:trPr/>
        <w:tc>
          <w:tcPr>
            <w:tcW w:w="23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2,157,901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66" w:name="xdx_409_eus-gaap--LongTermDebt_iTI_mtLTD"/>
            <w:bookmarkEnd w:id="866"/>
          </w:p>
        </w:tc>
      </w:tr>
      <w:tr>
        <w:trPr/>
        <w:tc>
          <w:tcPr>
            <w:tcW w:w="234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debt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8,079,470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bookmarkStart w:id="867" w:name="xdx_8AC_zPUvmk3zxKUf"/>
      <w:bookmarkEnd w:id="867"/>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because the Company elected the fair value option for the February 2025 Convertible Notes, October 2025 Convertible Notes and November 2025 Convertible Notes, there were no separately recognized unamortized premium, debt discount, or deferred issuance cost balances associated with these instruments. Accordingly, the net carrying amount of each such instrument equaled its fair value as of June 30, 2026. The February 2025 Convertible Notes, October 2025 Convertible Notes and November 2025 Convertible notes had net carrying amounts, or fair values, of $</w:t>
      </w:r>
      <w:bookmarkStart w:id="868" w:name="xdx_90E_eus-gaap--ConvertibleDebtFairVal"/>
      <w:bookmarkEnd w:id="868"/>
      <w:r>
        <w:rPr>
          <w:rFonts w:ascii="Times New Roman;Times;Serif" w:hAnsi="Times New Roman;Times;Serif"/>
          <w:b w:val="false"/>
          <w:i w:val="false"/>
          <w:caps w:val="false"/>
          <w:smallCaps w:val="false"/>
          <w:sz w:val="20"/>
        </w:rPr>
        <w:t>0, $</w:t>
      </w:r>
      <w:bookmarkStart w:id="869" w:name="xdx_90A_eus-gaap--ConvertibleDebtFairVal"/>
      <w:bookmarkEnd w:id="869"/>
      <w:r>
        <w:rPr>
          <w:rFonts w:ascii="Times New Roman;Times;Serif" w:hAnsi="Times New Roman;Times;Serif"/>
          <w:b w:val="false"/>
          <w:i w:val="false"/>
          <w:caps w:val="false"/>
          <w:smallCaps w:val="false"/>
          <w:sz w:val="20"/>
        </w:rPr>
        <w:t>307,782 and $</w:t>
      </w:r>
      <w:bookmarkStart w:id="870" w:name="xdx_909_eus-gaap--ConvertibleDebtFairVal"/>
      <w:bookmarkEnd w:id="870"/>
      <w:r>
        <w:rPr>
          <w:rFonts w:ascii="Times New Roman;Times;Serif" w:hAnsi="Times New Roman;Times;Serif"/>
          <w:b w:val="false"/>
          <w:i w:val="false"/>
          <w:caps w:val="false"/>
          <w:smallCaps w:val="false"/>
          <w:sz w:val="20"/>
        </w:rPr>
        <w:t>260,717 as of June 30, 2026, respectively, and were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February 2025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pursuant to a securities purchase agreement (the “SPA”), the Company issued to two accredited investors (the “Investors”) convertible notes with an aggregate principal amount of $</w:t>
      </w:r>
      <w:bookmarkStart w:id="871" w:name="xdx_909_eus-gaap--DebtInstrumentFaceAmou"/>
      <w:bookmarkEnd w:id="871"/>
      <w:r>
        <w:rPr>
          <w:rFonts w:ascii="Times New Roman;Times;Serif" w:hAnsi="Times New Roman;Times;Serif"/>
          <w:b w:val="false"/>
          <w:i w:val="false"/>
          <w:caps w:val="false"/>
          <w:smallCaps w:val="false"/>
          <w:sz w:val="20"/>
        </w:rPr>
        <w:t>3,300,000 (the “February 2025 Convertible Notes”) for gross proceeds of $</w:t>
      </w:r>
      <w:bookmarkStart w:id="872" w:name="xdx_907_eus-gaap--ProceedsFromConvertibl"/>
      <w:bookmarkEnd w:id="872"/>
      <w:r>
        <w:rPr>
          <w:rFonts w:ascii="Times New Roman;Times;Serif" w:hAnsi="Times New Roman;Times;Serif"/>
          <w:b w:val="false"/>
          <w:i w:val="false"/>
          <w:caps w:val="false"/>
          <w:smallCaps w:val="false"/>
          <w:sz w:val="20"/>
        </w:rPr>
        <w:t xml:space="preserve">3,000,000. The February 2025 Convertible Notes, which mature on February 21, 2026, carry an original issue discount of </w:t>
      </w:r>
      <w:bookmarkStart w:id="873" w:name="xdx_902_ecustom--DebtInstrumentOriginalI"/>
      <w:bookmarkEnd w:id="873"/>
      <w:r>
        <w:rPr>
          <w:rFonts w:ascii="Times New Roman;Times;Serif" w:hAnsi="Times New Roman;Times;Serif"/>
          <w:b w:val="false"/>
          <w:i w:val="false"/>
          <w:caps w:val="false"/>
          <w:smallCaps w:val="false"/>
          <w:sz w:val="20"/>
        </w:rPr>
        <w:t xml:space="preserve">10%, and were subject to a guaranteed interest equal to </w:t>
      </w:r>
      <w:bookmarkStart w:id="874" w:name="xdx_900_eus-gaap--DebtConversionOriginal"/>
      <w:bookmarkEnd w:id="874"/>
      <w:r>
        <w:rPr>
          <w:rFonts w:ascii="Times New Roman;Times;Serif" w:hAnsi="Times New Roman;Times;Serif"/>
          <w:b w:val="false"/>
          <w:i w:val="false"/>
          <w:caps w:val="false"/>
          <w:smallCaps w:val="false"/>
          <w:sz w:val="20"/>
        </w:rPr>
        <w:t>5% of the principal amount. The principal and interest charges were payable in 10 equal monthly payments starting May 21, 2025. The notes were fully paid in February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all or a portion of the then outstanding and unpaid principal and interest (the “conversion amount”) of the February 2025 Convertible Notes could be converted at the option of the holder at any time into shares of the Company’s Class A common, at a conversion price of $</w:t>
      </w:r>
      <w:bookmarkStart w:id="875" w:name="xdx_909_eus-gaap--SharePrice_iI_pid_c202"/>
      <w:bookmarkEnd w:id="875"/>
      <w:r>
        <w:rPr>
          <w:rFonts w:ascii="Times New Roman;Times;Serif" w:hAnsi="Times New Roman;Times;Serif"/>
          <w:b w:val="false"/>
          <w:i w:val="false"/>
          <w:caps w:val="false"/>
          <w:smallCaps w:val="false"/>
          <w:sz w:val="20"/>
        </w:rPr>
        <w:t>25.00 per share, except that, for an aggregate of $</w:t>
      </w:r>
      <w:bookmarkStart w:id="876" w:name="xdx_901_eus-gaap--DebtConversionConverte"/>
      <w:bookmarkEnd w:id="876"/>
      <w:r>
        <w:rPr>
          <w:rFonts w:ascii="Times New Roman;Times;Serif" w:hAnsi="Times New Roman;Times;Serif"/>
          <w:b w:val="false"/>
          <w:i w:val="false"/>
          <w:caps w:val="false"/>
          <w:smallCaps w:val="false"/>
          <w:sz w:val="20"/>
        </w:rPr>
        <w:t xml:space="preserve">866,250 of </w:t>
      </w:r>
      <w:bookmarkStart w:id="877" w:name="xdx_90F_eus-gaap--DebtConversionDescript"/>
      <w:bookmarkEnd w:id="877"/>
      <w:r>
        <w:rPr>
          <w:rFonts w:ascii="Times New Roman;Times;Serif" w:hAnsi="Times New Roman;Times;Serif"/>
          <w:b w:val="false"/>
          <w:i w:val="false"/>
          <w:caps w:val="false"/>
          <w:smallCaps w:val="false"/>
          <w:sz w:val="20"/>
        </w:rPr>
        <w:t>the conversion amount, the conversion price was equal to the lesser of $25.00 per share or 92% of the lowest daily volume weighted average price (“VWAP”) of the Class A common stock during the 5 trading days period prior the receipt of the notice of conversion (the “Market Price”). The conversion price could be adjusted for certain customary dilutive events. Accordingly, the number of shares issuable upon conversion of the February 2025 Convertible Notes was not fixed as of June 30, 2026 and depended on (i) the amount of principal and interest outstanding at the conversion date and (ii) for the portion of the conversion amount subject to a Market Price-based conversion feature, the market price of the Company’s Class A common stock on the applicable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February 2025 Convertible Notes could be prepaid by the Company upon giving the Investors a ten-calendar day notice by paying an amount equal to the outstanding balance. </w:t>
      </w:r>
      <w:bookmarkStart w:id="878" w:name="xdx_908_eus-gaap--DebtInstrumentDescript"/>
      <w:bookmarkEnd w:id="878"/>
      <w:r>
        <w:rPr>
          <w:rFonts w:ascii="Times New Roman;Times;Serif" w:hAnsi="Times New Roman;Times;Serif"/>
          <w:b w:val="false"/>
          <w:i w:val="false"/>
          <w:caps w:val="false"/>
          <w:smallCaps w:val="false"/>
          <w:sz w:val="20"/>
        </w:rPr>
        <w:t>In event of default the Investors could require the Company to prepay the February 2025 Convertible Notes at a 120% premium and have the option to convert any amount then outstanding into shares of Common Stock at the lesser of the then applicable conversion price or the Market Price. If the Company fails to make the monthly payment, the Noteholders had the right to convert the amount of the monthly payment into shares of Common Stock at the lesser of the then applicable Conversion Price or the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2025 Convertible Notes include multiple features that would require bifurcation, analysis and to be revalued at each reporting date. Accordingly, the Company has elected to apply the fair value option to the February 2025 Convertible Notes to simplify the reporting. The February 2025 Convertible Notes were initially measured at fair value and are being re-measured at fair value at each subsequent reporting date. For the six months ended June 30, 2026, the change in fair value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79" w:name="xdx_8BE_zKYMRd1EbaAd"/>
      <w:bookmarkStart w:id="880" w:name="xdx_891_eus-gaap--ScheduleOfFairValueAss"/>
      <w:bookmarkEnd w:id="879"/>
      <w:bookmarkEnd w:id="880"/>
      <w:r>
        <w:rPr>
          <w:rFonts w:ascii="Times New Roman;Times;Serif" w:hAnsi="Times New Roman;Times;Serif"/>
          <w:b w:val="false"/>
          <w:i w:val="false"/>
          <w:caps w:val="false"/>
          <w:smallCaps w:val="false"/>
          <w:sz w:val="20"/>
        </w:rPr>
        <w:t>SCHEDULE OF CHANGE IN FAIR VALUE  </w:t>
      </w:r>
    </w:p>
    <w:tbl>
      <w:tblPr>
        <w:tblW w:w="4709" w:type="dxa"/>
        <w:jc w:val="left"/>
        <w:tblInd w:w="0" w:type="dxa"/>
        <w:tblLayout w:type="fixed"/>
        <w:tblCellMar>
          <w:top w:w="0" w:type="dxa"/>
          <w:left w:w="0" w:type="dxa"/>
          <w:bottom w:w="0" w:type="dxa"/>
          <w:right w:w="0" w:type="dxa"/>
        </w:tblCellMar>
      </w:tblPr>
      <w:tblGrid>
        <w:gridCol w:w="3185"/>
        <w:gridCol w:w="60"/>
        <w:gridCol w:w="186"/>
        <w:gridCol w:w="1168"/>
        <w:gridCol w:w="11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11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Fair value, at beginning of period</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bookmarkStart w:id="881" w:name="xdx_98E_eus-gaap--ConvertibleDebtFairVal"/>
            <w:bookmarkEnd w:id="881"/>
          </w:p>
        </w:tc>
        <w:tc>
          <w:tcPr>
            <w:tcW w:w="1168" w:type="dxa"/>
            <w:tcBorders/>
            <w:shd w:fill="CCEEFF" w:val="clear"/>
            <w:vAlign w:val="center"/>
          </w:tcPr>
          <w:p>
            <w:pPr>
              <w:pStyle w:val="TableContents"/>
              <w:bidi w:val="0"/>
              <w:spacing w:before="0" w:after="283"/>
              <w:jc w:val="right"/>
              <w:rPr/>
            </w:pPr>
            <w:r>
              <w:rPr/>
              <w:t>691,010</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Principal payments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bookmarkStart w:id="882" w:name="xdx_984_ecustom--RepaymentsOfConvertible"/>
            <w:bookmarkEnd w:id="882"/>
          </w:p>
        </w:tc>
        <w:tc>
          <w:tcPr>
            <w:tcW w:w="1168" w:type="dxa"/>
            <w:tcBorders/>
            <w:shd w:fill="FFFFFF" w:val="clear"/>
            <w:vAlign w:val="center"/>
          </w:tcPr>
          <w:p>
            <w:pPr>
              <w:pStyle w:val="TableContents"/>
              <w:bidi w:val="0"/>
              <w:spacing w:before="0" w:after="283"/>
              <w:jc w:val="right"/>
              <w:rPr/>
            </w:pPr>
            <w:r>
              <w:rPr/>
              <w:t>(664,973</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left"/>
              <w:rPr/>
            </w:pPr>
            <w:r>
              <w:rPr/>
              <w:t>Conversion to common stock</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bookmarkStart w:id="883" w:name="xdx_98C_ecustom--ConversionToCommonStock"/>
            <w:bookmarkEnd w:id="883"/>
          </w:p>
        </w:tc>
        <w:tc>
          <w:tcPr>
            <w:tcW w:w="116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84" w:name="xdx_984_eus-gaap--FairValueOptionChanges"/>
            <w:bookmarkEnd w:id="884"/>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(26,037</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left"/>
              <w:rPr/>
            </w:pPr>
            <w:r>
              <w:rPr/>
              <w:t>Fair value, at end of period</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85" w:name="xdx_980_eus-gaap--ConvertibleDebtFairVal"/>
            <w:bookmarkEnd w:id="885"/>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86" w:name="xdx_8A8_zpXu51XRXyga"/>
      <w:bookmarkEnd w:id="88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October 2025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pursuant to a Securities Purchase Agreement, the Company issued to one accredited investor convertible notes with an aggregate principal amount of $</w:t>
      </w:r>
      <w:bookmarkStart w:id="887" w:name="xdx_90D_eus-gaap--DebtInstrumentFaceAmou"/>
      <w:bookmarkEnd w:id="887"/>
      <w:r>
        <w:rPr>
          <w:rFonts w:ascii="Times New Roman;Times;Serif" w:hAnsi="Times New Roman;Times;Serif"/>
          <w:b w:val="false"/>
          <w:i w:val="false"/>
          <w:caps w:val="false"/>
          <w:smallCaps w:val="false"/>
          <w:sz w:val="20"/>
        </w:rPr>
        <w:t>2,200,000 (the “October 2025 Convertible Notes”) for gross proceeds of $</w:t>
      </w:r>
      <w:bookmarkStart w:id="888" w:name="xdx_902_eus-gaap--ProceedsFromConvertibl"/>
      <w:bookmarkEnd w:id="888"/>
      <w:r>
        <w:rPr>
          <w:rFonts w:ascii="Times New Roman;Times;Serif" w:hAnsi="Times New Roman;Times;Serif"/>
          <w:b w:val="false"/>
          <w:i w:val="false"/>
          <w:caps w:val="false"/>
          <w:smallCaps w:val="false"/>
          <w:sz w:val="20"/>
        </w:rPr>
        <w:t xml:space="preserve">2,000,000. The October 2025 Convertible Notes, which mature on October 24, 2026, carry an original issue discount of </w:t>
      </w:r>
      <w:bookmarkStart w:id="889" w:name="xdx_902_ecustom--DebtInstrumentOriginalI"/>
      <w:bookmarkEnd w:id="889"/>
      <w:r>
        <w:rPr>
          <w:rFonts w:ascii="Times New Roman;Times;Serif" w:hAnsi="Times New Roman;Times;Serif"/>
          <w:b w:val="false"/>
          <w:i w:val="false"/>
          <w:caps w:val="false"/>
          <w:smallCaps w:val="false"/>
          <w:sz w:val="20"/>
        </w:rPr>
        <w:t xml:space="preserve">10%, and are subject to a guaranteed interest equal to </w:t>
      </w:r>
      <w:bookmarkStart w:id="890" w:name="xdx_904_eus-gaap--DebtConversionOriginal"/>
      <w:bookmarkEnd w:id="890"/>
      <w:r>
        <w:rPr>
          <w:rFonts w:ascii="Times New Roman;Times;Serif" w:hAnsi="Times New Roman;Times;Serif"/>
          <w:b w:val="false"/>
          <w:i w:val="false"/>
          <w:caps w:val="false"/>
          <w:smallCaps w:val="false"/>
          <w:sz w:val="20"/>
        </w:rPr>
        <w:t>5% of the principal amount. The principal and interest charges are payable in 10 equal monthly payments starting January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all or portion of the then outstanding and unpaid principal and interest (the “conversion amount”) of the October 2025 Convertible Notes can be converted at the option of the holder at any time into shares of the Company’s Class A common, at a conversion price of $</w:t>
      </w:r>
      <w:bookmarkStart w:id="891" w:name="xdx_902_eus-gaap--SharePrice_iI_pid_c202"/>
      <w:bookmarkEnd w:id="891"/>
      <w:r>
        <w:rPr>
          <w:rFonts w:ascii="Times New Roman;Times;Serif" w:hAnsi="Times New Roman;Times;Serif"/>
          <w:b w:val="false"/>
          <w:i w:val="false"/>
          <w:caps w:val="false"/>
          <w:smallCaps w:val="false"/>
          <w:sz w:val="20"/>
        </w:rPr>
        <w:t>25.00 per share, except that the holder was entitled to convert, an aggregate of $</w:t>
      </w:r>
      <w:bookmarkStart w:id="892" w:name="xdx_900_eus-gaap--DebtConversionConverte"/>
      <w:bookmarkEnd w:id="892"/>
      <w:r>
        <w:rPr>
          <w:rFonts w:ascii="Times New Roman;Times;Serif" w:hAnsi="Times New Roman;Times;Serif"/>
          <w:b w:val="false"/>
          <w:i w:val="false"/>
          <w:caps w:val="false"/>
          <w:smallCaps w:val="false"/>
          <w:sz w:val="20"/>
        </w:rPr>
        <w:t xml:space="preserve">577,500 of </w:t>
      </w:r>
      <w:bookmarkStart w:id="893" w:name="xdx_909_eus-gaap--DebtConversionDescript"/>
      <w:bookmarkEnd w:id="893"/>
      <w:r>
        <w:rPr>
          <w:rFonts w:ascii="Times New Roman;Times;Serif" w:hAnsi="Times New Roman;Times;Serif"/>
          <w:b w:val="false"/>
          <w:i w:val="false"/>
          <w:caps w:val="false"/>
          <w:smallCaps w:val="false"/>
          <w:sz w:val="20"/>
        </w:rPr>
        <w:t>the conversion amount, at a conversion price is equal to the lesser of $25.00 per share or 92% of the lowest daily volume weighted average price (“VWAP”) of the Class A common stock during the 5 trading days period prior the receipt of the notice of conversion (the “Market Price”). The conversion price for such portion of the conversion amount could be adjusted for certain customary dilutive events. Accordingly, the total number of shares issuable upon conversion of the October 2025 Convertible Notes was not fixed as of December 31, 2025, but became fixed as of June 30, 2026 following the investor’s conversion in full of the $</w:t>
      </w:r>
      <w:bookmarkStart w:id="894" w:name="xdx_901_eus-gaap--DebtConversionOriginal"/>
      <w:bookmarkEnd w:id="894"/>
      <w:r>
        <w:rPr>
          <w:rFonts w:ascii="Times New Roman;Times;Serif" w:hAnsi="Times New Roman;Times;Serif"/>
          <w:b w:val="false"/>
          <w:i w:val="false"/>
          <w:caps w:val="false"/>
          <w:smallCaps w:val="false"/>
          <w:sz w:val="20"/>
        </w:rPr>
        <w:t xml:space="preserve">577,500 portion of the conversion amount. Following such conversion, the total number of shares issuable upon conversion of the October 2025 Notes as of June 30, 2026 was </w:t>
      </w:r>
      <w:bookmarkStart w:id="895" w:name="xdx_907_eus-gaap--DebtConversionConverte"/>
      <w:bookmarkEnd w:id="895"/>
      <w:r>
        <w:rPr>
          <w:rFonts w:ascii="Times New Roman;Times;Serif" w:hAnsi="Times New Roman;Times;Serif"/>
          <w:b w:val="false"/>
          <w:i w:val="false"/>
          <w:caps w:val="false"/>
          <w:smallCaps w:val="false"/>
          <w:sz w:val="20"/>
        </w:rPr>
        <w:t xml:space="preserve">13,860, which number does not include </w:t>
      </w:r>
      <w:bookmarkStart w:id="896" w:name="xdx_900_eus-gaap--DebtConversionConverte"/>
      <w:bookmarkEnd w:id="896"/>
      <w:r>
        <w:rPr>
          <w:rFonts w:ascii="Times New Roman;Times;Serif" w:hAnsi="Times New Roman;Times;Serif"/>
          <w:b w:val="false"/>
          <w:i w:val="false"/>
          <w:caps w:val="false"/>
          <w:smallCaps w:val="false"/>
          <w:sz w:val="20"/>
        </w:rPr>
        <w:t>309,419 shares issued upon conversions effected on or prior to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October 2025 Convertible Notes may be prepaid by the Company upon giving the Investors a ten-calendar day notice by paying an amount equal to the outstanding balance. </w:t>
      </w:r>
      <w:bookmarkStart w:id="897" w:name="xdx_904_eus-gaap--DebtInstrumentDescript"/>
      <w:bookmarkEnd w:id="897"/>
      <w:r>
        <w:rPr>
          <w:rFonts w:ascii="Times New Roman;Times;Serif" w:hAnsi="Times New Roman;Times;Serif"/>
          <w:b w:val="false"/>
          <w:i w:val="false"/>
          <w:caps w:val="false"/>
          <w:smallCaps w:val="false"/>
          <w:sz w:val="20"/>
        </w:rPr>
        <w:t>In event of default, the Investors may require the Company to prepay the October 2025 Convertible Notes at a 120% premium and have the option to convert any amount then outstanding into shares of Common Stock at the lesser of the then applicable conversion price or the Market Price. If the Company fails to make the monthly payment, the Noteholders have the right to convert the amount of the monthly payment into shares of Common Stock at the lesser of the then applicable Conversion Price or the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include multiple features that would require bifurcation, analysis and to be revalued at each reporting date. Accordingly, the Company has elected to apply the fair value option to the October 2025 Convertible Notes to simplify the reporting. The October 2025 Convertible Notes were initially measured at fair value and are being re-measured at fair value at each subsequent reporting date. For the six months ended June 30, 2026, the change in fair value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98" w:name="xdx_8BB_ztOnx0QWlVA7"/>
      <w:bookmarkEnd w:id="898"/>
      <w:r>
        <w:rPr>
          <w:rFonts w:ascii="Times New Roman;Times;Serif" w:hAnsi="Times New Roman;Times;Serif"/>
          <w:b w:val="false"/>
          <w:i w:val="false"/>
          <w:caps w:val="false"/>
          <w:smallCaps w:val="false"/>
          <w:sz w:val="20"/>
        </w:rPr>
        <w:t>SCHEDULE OF CHANGE IN FAIR VALUE </w:t>
      </w:r>
    </w:p>
    <w:tbl>
      <w:tblPr>
        <w:tblW w:w="4709" w:type="dxa"/>
        <w:jc w:val="left"/>
        <w:tblInd w:w="0" w:type="dxa"/>
        <w:tblLayout w:type="fixed"/>
        <w:tblCellMar>
          <w:top w:w="0" w:type="dxa"/>
          <w:left w:w="0" w:type="dxa"/>
          <w:bottom w:w="0" w:type="dxa"/>
          <w:right w:w="0" w:type="dxa"/>
        </w:tblCellMar>
      </w:tblPr>
      <w:tblGrid>
        <w:gridCol w:w="3185"/>
        <w:gridCol w:w="60"/>
        <w:gridCol w:w="158"/>
        <w:gridCol w:w="1196"/>
        <w:gridCol w:w="110"/>
      </w:tblGrid>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11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Fair value, at beginning of period</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bookmarkStart w:id="899" w:name="xdx_981_eus-gaap--ConvertibleDebtFairVal"/>
            <w:bookmarkEnd w:id="899"/>
          </w:p>
        </w:tc>
        <w:tc>
          <w:tcPr>
            <w:tcW w:w="1196" w:type="dxa"/>
            <w:tcBorders/>
            <w:shd w:fill="CCEEFF" w:val="clear"/>
            <w:vAlign w:val="center"/>
          </w:tcPr>
          <w:p>
            <w:pPr>
              <w:pStyle w:val="TableContents"/>
              <w:bidi w:val="0"/>
              <w:spacing w:before="0" w:after="283"/>
              <w:jc w:val="right"/>
              <w:rPr/>
            </w:pPr>
            <w:r>
              <w:rPr/>
              <w:t>2,115,856</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Principal payments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900" w:name="xdx_985_ecustom--RepaymentsOfConvertible"/>
            <w:bookmarkEnd w:id="900"/>
          </w:p>
        </w:tc>
        <w:tc>
          <w:tcPr>
            <w:tcW w:w="1196" w:type="dxa"/>
            <w:tcBorders/>
            <w:shd w:fill="FFFFFF" w:val="clear"/>
            <w:vAlign w:val="center"/>
          </w:tcPr>
          <w:p>
            <w:pPr>
              <w:pStyle w:val="TableContents"/>
              <w:bidi w:val="0"/>
              <w:spacing w:before="0" w:after="283"/>
              <w:jc w:val="right"/>
              <w:rPr/>
            </w:pPr>
            <w:r>
              <w:rPr/>
              <w:t>(1,312,767</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left"/>
              <w:rPr/>
            </w:pPr>
            <w:r>
              <w:rPr/>
              <w:t>Conversion to common stock</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bookmarkStart w:id="901" w:name="xdx_98D_ecustom--ConversionToCommonStock"/>
            <w:bookmarkEnd w:id="901"/>
          </w:p>
        </w:tc>
        <w:tc>
          <w:tcPr>
            <w:tcW w:w="1196" w:type="dxa"/>
            <w:tcBorders/>
            <w:shd w:fill="CCEEFF" w:val="clear"/>
            <w:vAlign w:val="center"/>
          </w:tcPr>
          <w:p>
            <w:pPr>
              <w:pStyle w:val="TableContents"/>
              <w:bidi w:val="0"/>
              <w:spacing w:before="0" w:after="283"/>
              <w:jc w:val="right"/>
              <w:rPr/>
            </w:pPr>
            <w:r>
              <w:rPr/>
              <w:t>(577,500</w:t>
            </w:r>
          </w:p>
        </w:tc>
        <w:tc>
          <w:tcPr>
            <w:tcW w:w="11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02" w:name="xdx_98A_eus-gaap--FairValueOptionChanges"/>
            <w:bookmarkEnd w:id="902"/>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82,193</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Fair value, at end of period</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03" w:name="xdx_985_eus-gaap--ConvertibleDebtFairVal"/>
            <w:bookmarkEnd w:id="903"/>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307,782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04" w:name="xdx_8AC_zqZV0JM9EmIl"/>
      <w:bookmarkEnd w:id="90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holders converted an aggregate principal amount of $</w:t>
      </w:r>
      <w:bookmarkStart w:id="905" w:name="xdx_90A_eus-gaap--InducedConversionOfCon"/>
      <w:bookmarkEnd w:id="905"/>
      <w:r>
        <w:rPr>
          <w:rFonts w:ascii="Times New Roman;Times;Serif" w:hAnsi="Times New Roman;Times;Serif"/>
          <w:b w:val="false"/>
          <w:i w:val="false"/>
          <w:caps w:val="false"/>
          <w:smallCaps w:val="false"/>
          <w:sz w:val="20"/>
        </w:rPr>
        <w:t>577,500 of the October 2025 Convertible Notes into shares of the Company’s Class A common stock. The loss in change in fair value of $</w:t>
      </w:r>
      <w:bookmarkStart w:id="906" w:name="xdx_901_eus-gaap--OtherIncome_c20260101_"/>
      <w:bookmarkEnd w:id="906"/>
      <w:r>
        <w:rPr>
          <w:rFonts w:ascii="Times New Roman;Times;Serif" w:hAnsi="Times New Roman;Times;Serif"/>
          <w:b w:val="false"/>
          <w:i w:val="false"/>
          <w:caps w:val="false"/>
          <w:smallCaps w:val="false"/>
          <w:sz w:val="20"/>
        </w:rPr>
        <w:t>85,418 is reported in other income in our condensed consolidated statement of operations and comprehensive loss and ($</w:t>
      </w:r>
      <w:bookmarkStart w:id="907" w:name="xdx_904_eus-gaap--PriorPeriodReclassific"/>
      <w:bookmarkEnd w:id="907"/>
      <w:r>
        <w:rPr>
          <w:rFonts w:ascii="Times New Roman;Times;Serif" w:hAnsi="Times New Roman;Times;Serif"/>
          <w:b w:val="false"/>
          <w:i w:val="false"/>
          <w:caps w:val="false"/>
          <w:smallCaps w:val="false"/>
          <w:sz w:val="20"/>
        </w:rPr>
        <w:t xml:space="preserve">3,225) is recorded in other comprehensive loss due to the change in credit spread from issuance to June 30, 2026. The portion of the total change in the fair value of the October 2025 Convertible Notes that is attributable to changes in the Company’s own credit risk (the “credit component”) is estimated each reporting date using a </w:t>
      </w:r>
      <w:r>
        <w:rPr>
          <w:rFonts w:ascii="Times New Roman;Times;Serif" w:hAnsi="Times New Roman;Times;Serif"/>
          <w:b w:val="false"/>
          <w:i/>
          <w:caps w:val="false"/>
          <w:smallCaps w:val="false"/>
          <w:sz w:val="20"/>
        </w:rPr>
        <w:t>with-and-without</w:t>
      </w:r>
      <w:r>
        <w:rPr>
          <w:rFonts w:ascii="Times New Roman;Times;Serif" w:hAnsi="Times New Roman;Times;Serif"/>
          <w:b w:val="false"/>
          <w:i w:val="false"/>
          <w:caps w:val="false"/>
          <w:smallCaps w:val="false"/>
          <w:sz w:val="20"/>
        </w:rPr>
        <w:t xml:space="preserve"> approach. </w:t>
      </w:r>
      <w:bookmarkStart w:id="908" w:name="xdx_90E_ecustom--FairValueMeasurementDes"/>
      <w:bookmarkEnd w:id="908"/>
      <w:r>
        <w:rPr>
          <w:rFonts w:ascii="Times New Roman;Times;Serif" w:hAnsi="Times New Roman;Times;Serif"/>
          <w:b w:val="false"/>
          <w:i w:val="false"/>
          <w:caps w:val="false"/>
          <w:smallCaps w:val="false"/>
          <w:sz w:val="20"/>
        </w:rPr>
        <w:t>Management first measures fair value using all updated valuation inputs, including the credit spread implied by current market data (34.0%) then management re-measures fair value holding every assumption constant except for the credit spread, which is reset to the spread calibrated on the issuance date (33.0%). The difference between the two fair-value estimates isolates the effect of instrument-specific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the binomial lattice framework to determine the fair value of each maturity payout. Accordingly, the valuation uses a range of level 3 inputs to evaluate each maturity payout individually. The range of level 3 inputs used as of June 30, 2026 and December 31, 2025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09" w:name="xdx_8B9_zjKrCHZ6AWUl"/>
      <w:bookmarkStart w:id="910" w:name="xdx_894_eus-gaap--FairValueAssetsAndLiab"/>
      <w:bookmarkEnd w:id="909"/>
      <w:bookmarkEnd w:id="910"/>
      <w:r>
        <w:rPr>
          <w:rFonts w:ascii="Times New Roman;Times;Serif" w:hAnsi="Times New Roman;Times;Serif"/>
          <w:b w:val="false"/>
          <w:i w:val="false"/>
          <w:caps w:val="false"/>
          <w:smallCaps w:val="false"/>
          <w:sz w:val="20"/>
        </w:rPr>
        <w:t>SCHEDULE OF FAIR VALUE THE RANGE OF LEVEL 3 INPUTS  </w:t>
      </w:r>
    </w:p>
    <w:tbl>
      <w:tblPr>
        <w:tblW w:w="6395" w:type="dxa"/>
        <w:jc w:val="left"/>
        <w:tblInd w:w="0" w:type="dxa"/>
        <w:tblLayout w:type="fixed"/>
        <w:tblCellMar>
          <w:top w:w="0" w:type="dxa"/>
          <w:left w:w="0" w:type="dxa"/>
          <w:bottom w:w="0" w:type="dxa"/>
          <w:right w:w="0" w:type="dxa"/>
        </w:tblCellMar>
      </w:tblPr>
      <w:tblGrid>
        <w:gridCol w:w="1910"/>
        <w:gridCol w:w="60"/>
        <w:gridCol w:w="125"/>
        <w:gridCol w:w="1865"/>
        <w:gridCol w:w="185"/>
        <w:gridCol w:w="60"/>
        <w:gridCol w:w="125"/>
        <w:gridCol w:w="1865"/>
        <w:gridCol w:w="200"/>
      </w:tblGrid>
      <w:tr>
        <w:trPr/>
        <w:tc>
          <w:tcPr>
            <w:tcW w:w="19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11" w:name="xdx_909_eus-gaap--SharePrice_iI_pid_c202"/>
            <w:bookmarkEnd w:id="911"/>
            <w:r>
              <w:rPr>
                <w:rFonts w:ascii="Times New Roman;Times;Serif" w:hAnsi="Times New Roman;Times;Serif"/>
                <w:b w:val="false"/>
                <w:i w:val="false"/>
                <w:caps w:val="false"/>
                <w:smallCaps w:val="false"/>
                <w:sz w:val="20"/>
              </w:rPr>
              <w:t>3.10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12" w:name="xdx_906_eus-gaap--SharePrice_iI_pid_c202"/>
            <w:bookmarkEnd w:id="912"/>
            <w:r>
              <w:rPr>
                <w:rFonts w:ascii="Times New Roman;Times;Serif" w:hAnsi="Times New Roman;Times;Serif"/>
                <w:b w:val="false"/>
                <w:i w:val="false"/>
                <w:caps w:val="false"/>
                <w:smallCaps w:val="false"/>
                <w:sz w:val="20"/>
              </w:rPr>
              <w:t>4.45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13" w:name="xdx_908_ecustom--VolumeWeightedAveragePr"/>
            <w:bookmarkEnd w:id="913"/>
            <w:r>
              <w:rPr>
                <w:rFonts w:ascii="Times New Roman;Times;Serif" w:hAnsi="Times New Roman;Times;Serif"/>
                <w:b w:val="false"/>
                <w:i w:val="false"/>
                <w:caps w:val="false"/>
                <w:smallCaps w:val="false"/>
                <w:sz w:val="20"/>
              </w:rPr>
              <w:t>92% VWAP or $</w:t>
            </w:r>
            <w:bookmarkStart w:id="914" w:name="xdx_902_eus-gaap--ShareBasedCompensation"/>
            <w:bookmarkEnd w:id="914"/>
            <w:r>
              <w:rPr>
                <w:rFonts w:ascii="Times New Roman;Times;Serif" w:hAnsi="Times New Roman;Times;Serif"/>
                <w:b w:val="false"/>
                <w:i w:val="false"/>
                <w:caps w:val="false"/>
                <w:smallCaps w:val="false"/>
                <w:sz w:val="20"/>
              </w:rPr>
              <w:t xml:space="preserve">25.00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15" w:name="xdx_900_ecustom--VolumeWeightedAveragePr"/>
            <w:bookmarkEnd w:id="915"/>
            <w:r>
              <w:rPr>
                <w:rFonts w:ascii="Times New Roman;Times;Serif" w:hAnsi="Times New Roman;Times;Serif"/>
                <w:b w:val="false"/>
                <w:i w:val="false"/>
                <w:caps w:val="false"/>
                <w:smallCaps w:val="false"/>
                <w:sz w:val="20"/>
              </w:rPr>
              <w:t>92% VWAP or $</w:t>
            </w:r>
            <w:bookmarkStart w:id="916" w:name="xdx_908_eus-gaap--ShareBasedCompensation"/>
            <w:bookmarkEnd w:id="916"/>
            <w:r>
              <w:rPr>
                <w:rFonts w:ascii="Times New Roman;Times;Serif" w:hAnsi="Times New Roman;Times;Serif"/>
                <w:b w:val="false"/>
                <w:i w:val="false"/>
                <w:caps w:val="false"/>
                <w:smallCaps w:val="false"/>
                <w:sz w:val="20"/>
              </w:rPr>
              <w:t xml:space="preserve">25.00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term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17" w:name="xdx_90D_eus-gaap--SharebasedCompensation"/>
            <w:bookmarkEnd w:id="917"/>
            <w:r>
              <w:rPr>
                <w:rFonts w:ascii="Times New Roman;Times;Serif" w:hAnsi="Times New Roman;Times;Serif"/>
                <w:b w:val="false"/>
                <w:i w:val="false"/>
                <w:caps w:val="false"/>
                <w:smallCaps w:val="false"/>
                <w:sz w:val="20"/>
              </w:rPr>
              <w:t>0.07-</w:t>
            </w:r>
            <w:bookmarkStart w:id="918" w:name="xdx_90C_eus-gaap--SharebasedCompensation"/>
            <w:bookmarkEnd w:id="918"/>
            <w:r>
              <w:rPr>
                <w:rFonts w:ascii="Times New Roman;Times;Serif" w:hAnsi="Times New Roman;Times;Serif"/>
                <w:b w:val="false"/>
                <w:i w:val="false"/>
                <w:caps w:val="false"/>
                <w:smallCaps w:val="false"/>
                <w:sz w:val="20"/>
              </w:rPr>
              <w:t xml:space="preserve">0.15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19" w:name="xdx_908_eus-gaap--SharebasedCompensation"/>
            <w:bookmarkEnd w:id="919"/>
            <w:r>
              <w:rPr>
                <w:rFonts w:ascii="Times New Roman;Times;Serif" w:hAnsi="Times New Roman;Times;Serif"/>
                <w:b w:val="false"/>
                <w:i w:val="false"/>
                <w:caps w:val="false"/>
                <w:smallCaps w:val="false"/>
                <w:sz w:val="20"/>
              </w:rPr>
              <w:t>0.07-</w:t>
            </w:r>
            <w:bookmarkStart w:id="920" w:name="xdx_907_eus-gaap--SharebasedCompensation"/>
            <w:bookmarkEnd w:id="920"/>
            <w:r>
              <w:rPr>
                <w:rFonts w:ascii="Times New Roman;Times;Serif" w:hAnsi="Times New Roman;Times;Serif"/>
                <w:b w:val="false"/>
                <w:i w:val="false"/>
                <w:caps w:val="false"/>
                <w:smallCaps w:val="false"/>
                <w:sz w:val="20"/>
              </w:rPr>
              <w:t xml:space="preserve">0.81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21" w:name="xdx_90E_eus-gaap--ShareBasedCompensation"/>
            <w:bookmarkEnd w:id="921"/>
            <w:r>
              <w:rPr>
                <w:rFonts w:ascii="Times New Roman;Times;Serif" w:hAnsi="Times New Roman;Times;Serif"/>
                <w:b w:val="false"/>
                <w:i w:val="false"/>
                <w:caps w:val="false"/>
                <w:smallCaps w:val="false"/>
                <w:sz w:val="20"/>
              </w:rPr>
              <w:t xml:space="preserve">75.7% - </w:t>
            </w:r>
            <w:bookmarkStart w:id="922" w:name="xdx_900_eus-gaap--ShareBasedCompensation"/>
            <w:bookmarkEnd w:id="922"/>
            <w:r>
              <w:rPr>
                <w:rFonts w:ascii="Times New Roman;Times;Serif" w:hAnsi="Times New Roman;Times;Serif"/>
                <w:b w:val="false"/>
                <w:i w:val="false"/>
                <w:caps w:val="false"/>
                <w:smallCaps w:val="false"/>
                <w:sz w:val="20"/>
              </w:rPr>
              <w:t>220.7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23" w:name="xdx_903_eus-gaap--ShareBasedCompensation"/>
            <w:bookmarkEnd w:id="923"/>
            <w:r>
              <w:rPr>
                <w:rFonts w:ascii="Times New Roman;Times;Serif" w:hAnsi="Times New Roman;Times;Serif"/>
                <w:b w:val="false"/>
                <w:i w:val="false"/>
                <w:caps w:val="false"/>
                <w:smallCaps w:val="false"/>
                <w:sz w:val="20"/>
              </w:rPr>
              <w:t xml:space="preserve">59.0% - </w:t>
            </w:r>
            <w:bookmarkStart w:id="924" w:name="xdx_90C_eus-gaap--ShareBasedCompensation"/>
            <w:bookmarkEnd w:id="924"/>
            <w:r>
              <w:rPr>
                <w:rFonts w:ascii="Times New Roman;Times;Serif" w:hAnsi="Times New Roman;Times;Serif"/>
                <w:b w:val="false"/>
                <w:i w:val="false"/>
                <w:caps w:val="false"/>
                <w:smallCaps w:val="false"/>
                <w:sz w:val="20"/>
              </w:rPr>
              <w:t>94.2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25" w:name="xdx_90A_eus-gaap--ShareBasedCompensation"/>
            <w:bookmarkEnd w:id="925"/>
            <w:r>
              <w:rPr>
                <w:rFonts w:ascii="Times New Roman;Times;Serif" w:hAnsi="Times New Roman;Times;Serif"/>
                <w:b w:val="false"/>
                <w:i w:val="false"/>
                <w:caps w:val="false"/>
                <w:smallCaps w:val="false"/>
                <w:sz w:val="20"/>
              </w:rPr>
              <w:t xml:space="preserve">3.67% - </w:t>
            </w:r>
            <w:bookmarkStart w:id="926" w:name="xdx_903_eus-gaap--ShareBasedCompensation"/>
            <w:bookmarkEnd w:id="926"/>
            <w:r>
              <w:rPr>
                <w:rFonts w:ascii="Times New Roman;Times;Serif" w:hAnsi="Times New Roman;Times;Serif"/>
                <w:b w:val="false"/>
                <w:i w:val="false"/>
                <w:caps w:val="false"/>
                <w:smallCaps w:val="false"/>
                <w:sz w:val="20"/>
              </w:rPr>
              <w:t>3.72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27" w:name="xdx_905_eus-gaap--ShareBasedCompensation"/>
            <w:bookmarkEnd w:id="927"/>
            <w:r>
              <w:rPr>
                <w:rFonts w:ascii="Times New Roman;Times;Serif" w:hAnsi="Times New Roman;Times;Serif"/>
                <w:b w:val="false"/>
                <w:i w:val="false"/>
                <w:caps w:val="false"/>
                <w:smallCaps w:val="false"/>
                <w:sz w:val="20"/>
              </w:rPr>
              <w:t xml:space="preserve">3.49% - </w:t>
            </w:r>
            <w:bookmarkStart w:id="928" w:name="xdx_90F_eus-gaap--ShareBasedCompensation"/>
            <w:bookmarkEnd w:id="928"/>
            <w:r>
              <w:rPr>
                <w:rFonts w:ascii="Times New Roman;Times;Serif" w:hAnsi="Times New Roman;Times;Serif"/>
                <w:b w:val="false"/>
                <w:i w:val="false"/>
                <w:caps w:val="false"/>
                <w:smallCaps w:val="false"/>
                <w:sz w:val="20"/>
              </w:rPr>
              <w:t>3.71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bookmarkStart w:id="929" w:name="xdx_8A2_zq30jX7ZpTdd"/>
      <w:bookmarkEnd w:id="92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November 2025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pursuant to a Securities Purchase Agreement, the Company issued to one accredited investor convertible notes with an aggregate principal amount of $</w:t>
      </w:r>
      <w:bookmarkStart w:id="930" w:name="xdx_90A_eus-gaap--DebtInstrumentFaceAmou"/>
      <w:bookmarkEnd w:id="930"/>
      <w:r>
        <w:rPr>
          <w:rFonts w:ascii="Times New Roman;Times;Serif" w:hAnsi="Times New Roman;Times;Serif"/>
          <w:b w:val="false"/>
          <w:i w:val="false"/>
          <w:caps w:val="false"/>
          <w:smallCaps w:val="false"/>
          <w:sz w:val="20"/>
        </w:rPr>
        <w:t>1,100,000 (the “November 2025 Convertible Notes”) for gross proceeds of $</w:t>
      </w:r>
      <w:bookmarkStart w:id="931" w:name="xdx_90C_eus-gaap--ProceedsFromConvertibl"/>
      <w:bookmarkEnd w:id="931"/>
      <w:r>
        <w:rPr>
          <w:rFonts w:ascii="Times New Roman;Times;Serif" w:hAnsi="Times New Roman;Times;Serif"/>
          <w:b w:val="false"/>
          <w:i w:val="false"/>
          <w:caps w:val="false"/>
          <w:smallCaps w:val="false"/>
          <w:sz w:val="20"/>
        </w:rPr>
        <w:t xml:space="preserve">1,000,000. The November 2025 Convertible Notes, which mature on November 26, 2026, carry an original issue discount of </w:t>
      </w:r>
      <w:bookmarkStart w:id="932" w:name="xdx_906_ecustom--DebtInstrumentOriginalI"/>
      <w:bookmarkEnd w:id="932"/>
      <w:r>
        <w:rPr>
          <w:rFonts w:ascii="Times New Roman;Times;Serif" w:hAnsi="Times New Roman;Times;Serif"/>
          <w:b w:val="false"/>
          <w:i w:val="false"/>
          <w:caps w:val="false"/>
          <w:smallCaps w:val="false"/>
          <w:sz w:val="20"/>
        </w:rPr>
        <w:t xml:space="preserve">10%, and are subject to a guaranteed interest equal to </w:t>
      </w:r>
      <w:bookmarkStart w:id="933" w:name="xdx_90C_eus-gaap--DebtConversionOriginal"/>
      <w:bookmarkEnd w:id="933"/>
      <w:r>
        <w:rPr>
          <w:rFonts w:ascii="Times New Roman;Times;Serif" w:hAnsi="Times New Roman;Times;Serif"/>
          <w:b w:val="false"/>
          <w:i w:val="false"/>
          <w:caps w:val="false"/>
          <w:smallCaps w:val="false"/>
          <w:sz w:val="20"/>
        </w:rPr>
        <w:t>5% of the principal amount. The principal and interest charges are payable in 10 equal monthly payments starting February 26,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all or portion of the then outstanding and unpaid principal and interest (the “conversion amount”) of the November 2025 Convertible Notes can be converted at the option of the holder at any time into shares of the Company’s Class A common, at a conversion price of $</w:t>
      </w:r>
      <w:bookmarkStart w:id="934" w:name="xdx_906_eus-gaap--SharePrice_iI_pid_c202"/>
      <w:bookmarkEnd w:id="934"/>
      <w:r>
        <w:rPr>
          <w:rFonts w:ascii="Times New Roman;Times;Serif" w:hAnsi="Times New Roman;Times;Serif"/>
          <w:b w:val="false"/>
          <w:i w:val="false"/>
          <w:caps w:val="false"/>
          <w:smallCaps w:val="false"/>
          <w:sz w:val="20"/>
        </w:rPr>
        <w:t>25.00 per share, except that the holder was entitled to convert, an aggregate of $</w:t>
      </w:r>
      <w:bookmarkStart w:id="935" w:name="xdx_90C_eus-gaap--DebtConversionConverte"/>
      <w:bookmarkEnd w:id="935"/>
      <w:r>
        <w:rPr>
          <w:rFonts w:ascii="Times New Roman;Times;Serif" w:hAnsi="Times New Roman;Times;Serif"/>
          <w:b w:val="false"/>
          <w:i w:val="false"/>
          <w:caps w:val="false"/>
          <w:smallCaps w:val="false"/>
          <w:sz w:val="20"/>
        </w:rPr>
        <w:t xml:space="preserve">288,750 of </w:t>
      </w:r>
      <w:bookmarkStart w:id="936" w:name="xdx_902_eus-gaap--DebtConversionDescript"/>
      <w:bookmarkEnd w:id="936"/>
      <w:r>
        <w:rPr>
          <w:rFonts w:ascii="Times New Roman;Times;Serif" w:hAnsi="Times New Roman;Times;Serif"/>
          <w:b w:val="false"/>
          <w:i w:val="false"/>
          <w:caps w:val="false"/>
          <w:smallCaps w:val="false"/>
          <w:sz w:val="20"/>
        </w:rPr>
        <w:t>the conversion amount at a conversion price is equal to the lesser of $25.00 per share or 92% of the lowest daily volume weighted average price (“VWAP”) of the Class A common stock during the 5 trading days period prior the receipt of the notice of conversion (the “Market Price”). The conversion price for such portion of the conversion amount could be adjusted for certain customary dilutive events. Accordingly, the total number of shares issuable upon conversion of the November 2025 Convertible Notes was not fixed as of December 31, 2025, but became fixed as of June 30, 2026 following the investor’s conversion in full of the $</w:t>
      </w:r>
      <w:bookmarkStart w:id="937" w:name="xdx_900_eus-gaap--DebtConversionOriginal"/>
      <w:bookmarkEnd w:id="937"/>
      <w:r>
        <w:rPr>
          <w:rFonts w:ascii="Times New Roman;Times;Serif" w:hAnsi="Times New Roman;Times;Serif"/>
          <w:b w:val="false"/>
          <w:i w:val="false"/>
          <w:caps w:val="false"/>
          <w:smallCaps w:val="false"/>
          <w:sz w:val="20"/>
        </w:rPr>
        <w:t xml:space="preserve">288,750 portion of the conversion amount. Following such conversion, the total number of shares issuable upon conversion of the November 2025 Convertible Notes as of June 30, 2026, was </w:t>
      </w:r>
      <w:bookmarkStart w:id="938" w:name="xdx_900_eus-gaap--DebtConversionConverte"/>
      <w:bookmarkEnd w:id="938"/>
      <w:r>
        <w:rPr>
          <w:rFonts w:ascii="Times New Roman;Times;Serif" w:hAnsi="Times New Roman;Times;Serif"/>
          <w:b w:val="false"/>
          <w:i w:val="false"/>
          <w:caps w:val="false"/>
          <w:smallCaps w:val="false"/>
          <w:sz w:val="20"/>
        </w:rPr>
        <w:t xml:space="preserve">11,550, which number does not include </w:t>
      </w:r>
      <w:bookmarkStart w:id="939" w:name="xdx_901_eus-gaap--DebtConversionConverte"/>
      <w:bookmarkEnd w:id="939"/>
      <w:r>
        <w:rPr>
          <w:rFonts w:ascii="Times New Roman;Times;Serif" w:hAnsi="Times New Roman;Times;Serif"/>
          <w:b w:val="false"/>
          <w:i w:val="false"/>
          <w:caps w:val="false"/>
          <w:smallCaps w:val="false"/>
          <w:sz w:val="20"/>
        </w:rPr>
        <w:t>156,572 shares issued upon conversions effected on or prior to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November 2025 Convertible Notes may be prepaid by the Company upon giving the Investors a ten-calendar day notice by paying an amount equal to the outstanding balance. </w:t>
      </w:r>
      <w:bookmarkStart w:id="940" w:name="xdx_904_eus-gaap--DebtInstrumentDescript"/>
      <w:bookmarkEnd w:id="940"/>
      <w:r>
        <w:rPr>
          <w:rFonts w:ascii="Times New Roman;Times;Serif" w:hAnsi="Times New Roman;Times;Serif"/>
          <w:b w:val="false"/>
          <w:i w:val="false"/>
          <w:caps w:val="false"/>
          <w:smallCaps w:val="false"/>
          <w:sz w:val="20"/>
        </w:rPr>
        <w:t>In event of default the Investors may require the Company to prepay the November 2025 Convertible Notes at a 120% premium and have the option to convert any amount then outstanding into shares of Common Stock at the lesser of the then applicable conversion price or the Market Price. If the Company fails to make the monthly payment, the Noteholders have the right to convert the amount of the monthly payment into shares of Common Stock at the lesser of the then applicable Conversion Price or the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include multiple features that would require bifurcation, analysis and to be revalued at each reporting date. Accordingly, the Company has elected to apply the fair value option to the November 2025 Convertible Notes to simplify the reporting. The November 2025 Convertible Notes were initially measured at fair value and are being re-measured at fair value at each subsequent reporting date. For the six months ended June 30, 2026, the change in fair value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41" w:name="xdx_8BF_zcsdORGxfCMk"/>
      <w:bookmarkStart w:id="942" w:name="xdx_89E_eus-gaap--ScheduleOfFairValueAss"/>
      <w:bookmarkEnd w:id="941"/>
      <w:bookmarkEnd w:id="942"/>
      <w:r>
        <w:rPr>
          <w:rFonts w:ascii="Times New Roman;Times;Serif" w:hAnsi="Times New Roman;Times;Serif"/>
          <w:b w:val="false"/>
          <w:i w:val="false"/>
          <w:caps w:val="false"/>
          <w:smallCaps w:val="false"/>
          <w:sz w:val="20"/>
        </w:rPr>
        <w:t>SCHEDULE OF CHANGE IN FAIR VALUE </w:t>
      </w:r>
    </w:p>
    <w:tbl>
      <w:tblPr>
        <w:tblW w:w="4709" w:type="dxa"/>
        <w:jc w:val="left"/>
        <w:tblInd w:w="0" w:type="dxa"/>
        <w:tblLayout w:type="fixed"/>
        <w:tblCellMar>
          <w:top w:w="0" w:type="dxa"/>
          <w:left w:w="0" w:type="dxa"/>
          <w:bottom w:w="0" w:type="dxa"/>
          <w:right w:w="0" w:type="dxa"/>
        </w:tblCellMar>
      </w:tblPr>
      <w:tblGrid>
        <w:gridCol w:w="3185"/>
        <w:gridCol w:w="60"/>
        <w:gridCol w:w="169"/>
        <w:gridCol w:w="1185"/>
        <w:gridCol w:w="110"/>
      </w:tblGrid>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11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Fair value, at beginning of period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bookmarkStart w:id="943" w:name="xdx_989_eus-gaap--ConvertibleDebtFairVal"/>
            <w:bookmarkEnd w:id="943"/>
          </w:p>
        </w:tc>
        <w:tc>
          <w:tcPr>
            <w:tcW w:w="1185" w:type="dxa"/>
            <w:tcBorders/>
            <w:shd w:fill="CCEEFF" w:val="clear"/>
            <w:vAlign w:val="center"/>
          </w:tcPr>
          <w:p>
            <w:pPr>
              <w:pStyle w:val="TableContents"/>
              <w:bidi w:val="0"/>
              <w:spacing w:before="0" w:after="283"/>
              <w:jc w:val="right"/>
              <w:rPr/>
            </w:pPr>
            <w:r>
              <w:rPr/>
              <w:t>1,035,323</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Principal payments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944" w:name="xdx_98B_ecustom--RepaymentsOfConvertible"/>
            <w:bookmarkEnd w:id="944"/>
          </w:p>
        </w:tc>
        <w:tc>
          <w:tcPr>
            <w:tcW w:w="1185" w:type="dxa"/>
            <w:tcBorders/>
            <w:shd w:fill="FFFFFF" w:val="clear"/>
            <w:vAlign w:val="center"/>
          </w:tcPr>
          <w:p>
            <w:pPr>
              <w:pStyle w:val="TableContents"/>
              <w:bidi w:val="0"/>
              <w:spacing w:before="0" w:after="283"/>
              <w:jc w:val="right"/>
              <w:rPr/>
            </w:pPr>
            <w:r>
              <w:rPr/>
              <w:t>(545,555</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left"/>
              <w:rPr/>
            </w:pPr>
            <w:r>
              <w:rPr/>
              <w:t>Conversion to common stock</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945" w:name="xdx_98B_ecustom--ConversionToCommonStock"/>
            <w:bookmarkEnd w:id="945"/>
          </w:p>
        </w:tc>
        <w:tc>
          <w:tcPr>
            <w:tcW w:w="1185" w:type="dxa"/>
            <w:tcBorders/>
            <w:shd w:fill="CCEEFF" w:val="clear"/>
            <w:vAlign w:val="center"/>
          </w:tcPr>
          <w:p>
            <w:pPr>
              <w:pStyle w:val="TableContents"/>
              <w:bidi w:val="0"/>
              <w:spacing w:before="0" w:after="283"/>
              <w:jc w:val="right"/>
              <w:rPr/>
            </w:pPr>
            <w:r>
              <w:rPr/>
              <w:t>(288,750</w:t>
            </w:r>
          </w:p>
        </w:tc>
        <w:tc>
          <w:tcPr>
            <w:tcW w:w="11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46" w:name="xdx_989_eus-gaap--FairValueOptionChanges"/>
            <w:bookmarkEnd w:id="946"/>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59,699</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Fair value, at end of period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47" w:name="xdx_988_eus-gaap--ConvertibleDebtFairVal"/>
            <w:bookmarkEnd w:id="947"/>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pPr>
            <w:r>
              <w:rPr/>
              <w:t>260,717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948" w:name="xdx_8AA_ztNx7RvxjLDf"/>
      <w:bookmarkEnd w:id="94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holders converted an aggregate principal amount of $</w:t>
      </w:r>
      <w:bookmarkStart w:id="949" w:name="xdx_90B_eus-gaap--InducedConversionOfCon"/>
      <w:bookmarkEnd w:id="949"/>
      <w:r>
        <w:rPr>
          <w:rFonts w:ascii="Times New Roman;Times;Serif" w:hAnsi="Times New Roman;Times;Serif"/>
          <w:b w:val="false"/>
          <w:i w:val="false"/>
          <w:caps w:val="false"/>
          <w:smallCaps w:val="false"/>
          <w:sz w:val="20"/>
        </w:rPr>
        <w:t>288,750 of November 2025 Convertible Notes into shares of the Company’s Class A common stock. The loss in change in fair value of $</w:t>
      </w:r>
      <w:bookmarkStart w:id="950" w:name="xdx_905_eus-gaap--OtherIncome_c20260101_"/>
      <w:bookmarkEnd w:id="950"/>
      <w:r>
        <w:rPr>
          <w:rFonts w:ascii="Times New Roman;Times;Serif" w:hAnsi="Times New Roman;Times;Serif"/>
          <w:b w:val="false"/>
          <w:i w:val="false"/>
          <w:caps w:val="false"/>
          <w:smallCaps w:val="false"/>
          <w:sz w:val="20"/>
        </w:rPr>
        <w:t>61,784 is reported in other income in our condensed consolidated statement of operations and comprehensive loss and ($</w:t>
      </w:r>
      <w:bookmarkStart w:id="951" w:name="xdx_902_eus-gaap--PriorPeriodReclassific"/>
      <w:bookmarkEnd w:id="951"/>
      <w:r>
        <w:rPr>
          <w:rFonts w:ascii="Times New Roman;Times;Serif" w:hAnsi="Times New Roman;Times;Serif"/>
          <w:b w:val="false"/>
          <w:i w:val="false"/>
          <w:caps w:val="false"/>
          <w:smallCaps w:val="false"/>
          <w:sz w:val="20"/>
        </w:rPr>
        <w:t xml:space="preserve">2,085) is recorded in other comprehensive loss due to the change in credit spread from issuance to June 30, 2026. The portion of the total change in the fair value of the November 2025 Convertible Notes that is attributable to changes in the Company’s own credit risk (the “credit component”) is estimated each reporting date using a </w:t>
      </w:r>
      <w:r>
        <w:rPr>
          <w:rFonts w:ascii="Times New Roman;Times;Serif" w:hAnsi="Times New Roman;Times;Serif"/>
          <w:b w:val="false"/>
          <w:i/>
          <w:caps w:val="false"/>
          <w:smallCaps w:val="false"/>
          <w:sz w:val="20"/>
        </w:rPr>
        <w:t>with-and-without</w:t>
      </w:r>
      <w:r>
        <w:rPr>
          <w:rFonts w:ascii="Times New Roman;Times;Serif" w:hAnsi="Times New Roman;Times;Serif"/>
          <w:b w:val="false"/>
          <w:i w:val="false"/>
          <w:caps w:val="false"/>
          <w:smallCaps w:val="false"/>
          <w:sz w:val="20"/>
        </w:rPr>
        <w:t xml:space="preserve"> approach. </w:t>
      </w:r>
      <w:bookmarkStart w:id="952" w:name="xdx_905_ecustom--FairValueMeasurementDes"/>
      <w:bookmarkEnd w:id="952"/>
      <w:r>
        <w:rPr>
          <w:rFonts w:ascii="Times New Roman;Times;Serif" w:hAnsi="Times New Roman;Times;Serif"/>
          <w:b w:val="false"/>
          <w:i w:val="false"/>
          <w:caps w:val="false"/>
          <w:smallCaps w:val="false"/>
          <w:sz w:val="20"/>
        </w:rPr>
        <w:t>Management first measures fair value using all updated valuation inputs, including the credit spread implied by current market data (34.0%) then management re-measures fair value holding every assumption constant except for the credit spread, which is reset to the spread calibrated on the issuance date (33.0%). The difference between the two fair-value estimates isolates the effect of instrument-specific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the binomial lattice framework to determine the fair value of each maturity payout. Accordingly, the valuation uses a range of level 3 inputs to evaluate each maturity payout individually. The range of level 3 inputs used as of June 30, 2026 and December 31, 2025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53" w:name="xdx_8B5_zPdWLc0rLHVg"/>
      <w:bookmarkStart w:id="954" w:name="xdx_893_eus-gaap--FairValueAssetsAndLiab"/>
      <w:bookmarkEnd w:id="953"/>
      <w:bookmarkEnd w:id="954"/>
      <w:r>
        <w:rPr>
          <w:rFonts w:ascii="Times New Roman;Times;Serif" w:hAnsi="Times New Roman;Times;Serif"/>
          <w:b w:val="false"/>
          <w:i w:val="false"/>
          <w:caps w:val="false"/>
          <w:smallCaps w:val="false"/>
          <w:sz w:val="20"/>
        </w:rPr>
        <w:t>SCHEDULE OF FAIR VALUE THE RANGE OF LEVEL 3 INPUTS  </w:t>
      </w:r>
    </w:p>
    <w:tbl>
      <w:tblPr>
        <w:tblW w:w="6305" w:type="dxa"/>
        <w:jc w:val="left"/>
        <w:tblInd w:w="0" w:type="dxa"/>
        <w:tblLayout w:type="fixed"/>
        <w:tblCellMar>
          <w:top w:w="0" w:type="dxa"/>
          <w:left w:w="0" w:type="dxa"/>
          <w:bottom w:w="0" w:type="dxa"/>
          <w:right w:w="0" w:type="dxa"/>
        </w:tblCellMar>
      </w:tblPr>
      <w:tblGrid>
        <w:gridCol w:w="1910"/>
        <w:gridCol w:w="60"/>
        <w:gridCol w:w="125"/>
        <w:gridCol w:w="1820"/>
        <w:gridCol w:w="185"/>
        <w:gridCol w:w="60"/>
        <w:gridCol w:w="125"/>
        <w:gridCol w:w="1820"/>
        <w:gridCol w:w="200"/>
      </w:tblGrid>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55" w:name="xdx_900_eus-gaap--SharePrice_iI_pid_c202"/>
            <w:bookmarkEnd w:id="955"/>
            <w:r>
              <w:rPr>
                <w:rFonts w:ascii="Times New Roman;Times;Serif" w:hAnsi="Times New Roman;Times;Serif"/>
                <w:b w:val="false"/>
                <w:i w:val="false"/>
                <w:caps w:val="false"/>
                <w:smallCaps w:val="false"/>
                <w:sz w:val="20"/>
              </w:rPr>
              <w:t>3.10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56" w:name="xdx_90D_eus-gaap--SharePrice_iI_pid_c202"/>
            <w:bookmarkEnd w:id="956"/>
            <w:r>
              <w:rPr>
                <w:rFonts w:ascii="Times New Roman;Times;Serif" w:hAnsi="Times New Roman;Times;Serif"/>
                <w:b w:val="false"/>
                <w:i w:val="false"/>
                <w:caps w:val="false"/>
                <w:smallCaps w:val="false"/>
                <w:sz w:val="20"/>
              </w:rPr>
              <w:t>4.45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57" w:name="xdx_902_ecustom--VolumeWeightedAveragePr"/>
            <w:bookmarkEnd w:id="957"/>
            <w:r>
              <w:rPr>
                <w:rFonts w:ascii="Times New Roman;Times;Serif" w:hAnsi="Times New Roman;Times;Serif"/>
                <w:b w:val="false"/>
                <w:i w:val="false"/>
                <w:caps w:val="false"/>
                <w:smallCaps w:val="false"/>
                <w:sz w:val="20"/>
              </w:rPr>
              <w:t>92% VWAP or $2</w:t>
            </w:r>
            <w:bookmarkStart w:id="958" w:name="xdx_90E_eus-gaap--ShareBasedCompensation"/>
            <w:bookmarkEnd w:id="958"/>
            <w:r>
              <w:rPr>
                <w:rFonts w:ascii="Times New Roman;Times;Serif" w:hAnsi="Times New Roman;Times;Serif"/>
                <w:b w:val="false"/>
                <w:i w:val="false"/>
                <w:caps w:val="false"/>
                <w:smallCaps w:val="false"/>
                <w:sz w:val="20"/>
              </w:rPr>
              <w:t>5.00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59" w:name="xdx_903_ecustom--VolumeWeightedAveragePr"/>
            <w:bookmarkEnd w:id="959"/>
            <w:r>
              <w:rPr>
                <w:rFonts w:ascii="Times New Roman;Times;Serif" w:hAnsi="Times New Roman;Times;Serif"/>
                <w:b w:val="false"/>
                <w:i w:val="false"/>
                <w:caps w:val="false"/>
                <w:smallCaps w:val="false"/>
                <w:sz w:val="20"/>
              </w:rPr>
              <w:t>92% VWAP or $2</w:t>
            </w:r>
            <w:bookmarkStart w:id="960" w:name="xdx_906_eus-gaap--ShareBasedCompensation"/>
            <w:bookmarkEnd w:id="960"/>
            <w:r>
              <w:rPr>
                <w:rFonts w:ascii="Times New Roman;Times;Serif" w:hAnsi="Times New Roman;Times;Serif"/>
                <w:b w:val="false"/>
                <w:i w:val="false"/>
                <w:caps w:val="false"/>
                <w:smallCaps w:val="false"/>
                <w:sz w:val="20"/>
              </w:rPr>
              <w:t>5.00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term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61" w:name="xdx_906_eus-gaap--SharebasedCompensation"/>
            <w:bookmarkEnd w:id="961"/>
            <w:r>
              <w:rPr>
                <w:rFonts w:ascii="Times New Roman;Times;Serif" w:hAnsi="Times New Roman;Times;Serif"/>
                <w:b w:val="false"/>
                <w:i w:val="false"/>
                <w:caps w:val="false"/>
                <w:smallCaps w:val="false"/>
                <w:sz w:val="20"/>
              </w:rPr>
              <w:t>0.07-</w:t>
            </w:r>
            <w:bookmarkStart w:id="962" w:name="xdx_90B_eus-gaap--SharebasedCompensation"/>
            <w:bookmarkEnd w:id="962"/>
            <w:r>
              <w:rPr>
                <w:rFonts w:ascii="Times New Roman;Times;Serif" w:hAnsi="Times New Roman;Times;Serif"/>
                <w:b w:val="false"/>
                <w:i w:val="false"/>
                <w:caps w:val="false"/>
                <w:smallCaps w:val="false"/>
                <w:sz w:val="20"/>
              </w:rPr>
              <w:t>0.24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63" w:name="xdx_90B_eus-gaap--SharebasedCompensation"/>
            <w:bookmarkEnd w:id="963"/>
            <w:r>
              <w:rPr>
                <w:rFonts w:ascii="Times New Roman;Times;Serif" w:hAnsi="Times New Roman;Times;Serif"/>
                <w:b w:val="false"/>
                <w:i w:val="false"/>
                <w:caps w:val="false"/>
                <w:smallCaps w:val="false"/>
                <w:sz w:val="20"/>
              </w:rPr>
              <w:t>0.16-</w:t>
            </w:r>
            <w:bookmarkStart w:id="964" w:name="xdx_901_eus-gaap--SharebasedCompensation"/>
            <w:bookmarkEnd w:id="964"/>
            <w:r>
              <w:rPr>
                <w:rFonts w:ascii="Times New Roman;Times;Serif" w:hAnsi="Times New Roman;Times;Serif"/>
                <w:b w:val="false"/>
                <w:i w:val="false"/>
                <w:caps w:val="false"/>
                <w:smallCaps w:val="false"/>
                <w:sz w:val="20"/>
              </w:rPr>
              <w:t>0.90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65" w:name="xdx_90E_eus-gaap--ShareBasedCompensation"/>
            <w:bookmarkEnd w:id="965"/>
            <w:r>
              <w:rPr>
                <w:rFonts w:ascii="Times New Roman;Times;Serif" w:hAnsi="Times New Roman;Times;Serif"/>
                <w:b w:val="false"/>
                <w:i w:val="false"/>
                <w:caps w:val="false"/>
                <w:smallCaps w:val="false"/>
                <w:sz w:val="20"/>
              </w:rPr>
              <w:t xml:space="preserve">75.7% - </w:t>
            </w:r>
            <w:bookmarkStart w:id="966" w:name="xdx_907_eus-gaap--ShareBasedCompensation"/>
            <w:bookmarkEnd w:id="966"/>
            <w:r>
              <w:rPr>
                <w:rFonts w:ascii="Times New Roman;Times;Serif" w:hAnsi="Times New Roman;Times;Serif"/>
                <w:b w:val="false"/>
                <w:i w:val="false"/>
                <w:caps w:val="false"/>
                <w:smallCaps w:val="false"/>
                <w:sz w:val="20"/>
              </w:rPr>
              <w:t>380.8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67" w:name="xdx_909_eus-gaap--ShareBasedCompensation"/>
            <w:bookmarkEnd w:id="967"/>
            <w:r>
              <w:rPr>
                <w:rFonts w:ascii="Times New Roman;Times;Serif" w:hAnsi="Times New Roman;Times;Serif"/>
                <w:b w:val="false"/>
                <w:i w:val="false"/>
                <w:caps w:val="false"/>
                <w:smallCaps w:val="false"/>
                <w:sz w:val="20"/>
              </w:rPr>
              <w:t xml:space="preserve">58.1% - </w:t>
            </w:r>
            <w:bookmarkStart w:id="968" w:name="xdx_90D_eus-gaap--ShareBasedCompensation"/>
            <w:bookmarkEnd w:id="968"/>
            <w:r>
              <w:rPr>
                <w:rFonts w:ascii="Times New Roman;Times;Serif" w:hAnsi="Times New Roman;Times;Serif"/>
                <w:b w:val="false"/>
                <w:i w:val="false"/>
                <w:caps w:val="false"/>
                <w:smallCaps w:val="false"/>
                <w:sz w:val="20"/>
              </w:rPr>
              <w:t>97.3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69" w:name="xdx_90B_eus-gaap--ShareBasedCompensation"/>
            <w:bookmarkEnd w:id="969"/>
            <w:r>
              <w:rPr>
                <w:rFonts w:ascii="Times New Roman;Times;Serif" w:hAnsi="Times New Roman;Times;Serif"/>
                <w:b w:val="false"/>
                <w:i w:val="false"/>
                <w:caps w:val="false"/>
                <w:smallCaps w:val="false"/>
                <w:sz w:val="20"/>
              </w:rPr>
              <w:t xml:space="preserve">3.67% - </w:t>
            </w:r>
            <w:bookmarkStart w:id="970" w:name="xdx_90E_eus-gaap--ShareBasedCompensation"/>
            <w:bookmarkEnd w:id="970"/>
            <w:r>
              <w:rPr>
                <w:rFonts w:ascii="Times New Roman;Times;Serif" w:hAnsi="Times New Roman;Times;Serif"/>
                <w:b w:val="false"/>
                <w:i w:val="false"/>
                <w:caps w:val="false"/>
                <w:smallCaps w:val="false"/>
                <w:sz w:val="20"/>
              </w:rPr>
              <w:t>3.82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71" w:name="xdx_90B_eus-gaap--ShareBasedCompensation"/>
            <w:bookmarkEnd w:id="971"/>
            <w:r>
              <w:rPr>
                <w:rFonts w:ascii="Times New Roman;Times;Serif" w:hAnsi="Times New Roman;Times;Serif"/>
                <w:b w:val="false"/>
                <w:i w:val="false"/>
                <w:caps w:val="false"/>
                <w:smallCaps w:val="false"/>
                <w:sz w:val="20"/>
              </w:rPr>
              <w:t xml:space="preserve">3.47% - </w:t>
            </w:r>
            <w:bookmarkStart w:id="972" w:name="xdx_904_eus-gaap--ShareBasedCompensation"/>
            <w:bookmarkEnd w:id="972"/>
            <w:r>
              <w:rPr>
                <w:rFonts w:ascii="Times New Roman;Times;Serif" w:hAnsi="Times New Roman;Times;Serif"/>
                <w:b w:val="false"/>
                <w:i w:val="false"/>
                <w:caps w:val="false"/>
                <w:smallCaps w:val="false"/>
                <w:sz w:val="20"/>
              </w:rPr>
              <w:t>3.66</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bookmarkStart w:id="973" w:name="xdx_8A8_zPwOAyg2ya8k"/>
      <w:bookmarkEnd w:id="97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4" w:name="xdx_80F_eus-gaap--IncomeTaxDisclosureTex"/>
      <w:bookmarkEnd w:id="974"/>
      <w:r>
        <w:rPr>
          <w:rFonts w:ascii="Times New Roman;Times;Serif" w:hAnsi="Times New Roman;Times;Serif"/>
          <w:b/>
          <w:i w:val="false"/>
          <w:caps w:val="false"/>
          <w:smallCaps w:val="false"/>
          <w:sz w:val="20"/>
        </w:rPr>
        <w:t xml:space="preserve">NOTE 13 – </w:t>
      </w:r>
      <w:bookmarkStart w:id="975" w:name="xdx_825_zxnUiMZrVOi6"/>
      <w:bookmarkEnd w:id="975"/>
      <w:r>
        <w:rPr>
          <w:rFonts w:ascii="Times New Roman;Times;Serif" w:hAnsi="Times New Roman;Times;Serif"/>
          <w:b/>
          <w:i w:val="false"/>
          <w:caps w:val="false"/>
          <w:smallCaps w:val="false"/>
          <w:sz w:val="20"/>
        </w:rPr>
        <w:t>INCOME TAXES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calculate its interim income tax provision using the estimated annual effective tax rate (“AETR”) method which involves the use of forecasted information, adjusted for the effect of discrete items arising in that quarter. Under the AETR method, the income tax provision is calculated by applying the estimated AETR for the full fiscal year to “ordinary” income or loss (pretax income or loss excluding discrete items) for the reporting period. This could result in a higher or lower effective tax rate during a particular quarter, based upon the mix and timing of actual earnings or losses versus forecasted earnings for the full fiscal year. In each quarter, the Company updates its estimate of the annual effective tax rate, and if the estimated annual tax rate changes, a cumulative adjustment is made in that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income tax benefit of $</w:t>
      </w:r>
      <w:bookmarkStart w:id="976" w:name="xdx_90F_eus-gaap--IncomeTaxExpenseBenefi"/>
      <w:bookmarkEnd w:id="976"/>
      <w:r>
        <w:rPr>
          <w:rFonts w:ascii="Times New Roman;Times;Serif" w:hAnsi="Times New Roman;Times;Serif"/>
          <w:b w:val="false"/>
          <w:i w:val="false"/>
          <w:caps w:val="false"/>
          <w:smallCaps w:val="false"/>
          <w:sz w:val="20"/>
        </w:rPr>
        <w:t>133,629 and an income tax expense $</w:t>
      </w:r>
      <w:bookmarkStart w:id="977" w:name="xdx_902_eus-gaap--IncomeTaxExpenseBenefi"/>
      <w:bookmarkEnd w:id="977"/>
      <w:r>
        <w:rPr>
          <w:rFonts w:ascii="Times New Roman;Times;Serif" w:hAnsi="Times New Roman;Times;Serif"/>
          <w:b w:val="false"/>
          <w:i w:val="false"/>
          <w:caps w:val="false"/>
          <w:smallCaps w:val="false"/>
          <w:sz w:val="20"/>
        </w:rPr>
        <w:t>13,868,598 for the three months ended June 30, 2026 and 2025, respectively. The Company recognized an income tax benefit of $</w:t>
      </w:r>
      <w:bookmarkStart w:id="978" w:name="xdx_908_eus-gaap--IncomeTaxExpenseBenefi"/>
      <w:bookmarkEnd w:id="978"/>
      <w:r>
        <w:rPr>
          <w:rFonts w:ascii="Times New Roman;Times;Serif" w:hAnsi="Times New Roman;Times;Serif"/>
          <w:b w:val="false"/>
          <w:i w:val="false"/>
          <w:caps w:val="false"/>
          <w:smallCaps w:val="false"/>
          <w:sz w:val="20"/>
        </w:rPr>
        <w:t>26,805 and an income tax expense of $</w:t>
      </w:r>
      <w:bookmarkStart w:id="979" w:name="xdx_90B_eus-gaap--IncomeTaxExpenseBenefi"/>
      <w:bookmarkEnd w:id="979"/>
      <w:r>
        <w:rPr>
          <w:rFonts w:ascii="Times New Roman;Times;Serif" w:hAnsi="Times New Roman;Times;Serif"/>
          <w:b w:val="false"/>
          <w:i w:val="false"/>
          <w:caps w:val="false"/>
          <w:smallCaps w:val="false"/>
          <w:sz w:val="20"/>
        </w:rPr>
        <w:t xml:space="preserve">12,397,768 for the six months ended June 30, 2026 and 2025, respectively. For the six months ended June 30, 2026 and 2025, the Company’s effective tax rate was </w:t>
      </w:r>
      <w:bookmarkStart w:id="980" w:name="xdx_901_eus-gaap--EffectiveIncomeTaxRate"/>
      <w:bookmarkEnd w:id="980"/>
      <w:r>
        <w:rPr>
          <w:rFonts w:ascii="Times New Roman;Times;Serif" w:hAnsi="Times New Roman;Times;Serif"/>
          <w:b w:val="false"/>
          <w:i w:val="false"/>
          <w:caps w:val="false"/>
          <w:smallCaps w:val="false"/>
          <w:sz w:val="20"/>
        </w:rPr>
        <w:t>3.7% and (</w:t>
      </w:r>
      <w:bookmarkStart w:id="981" w:name="xdx_902_eus-gaap--EffectiveIncomeTaxRate"/>
      <w:bookmarkEnd w:id="981"/>
      <w:r>
        <w:rPr>
          <w:rFonts w:ascii="Times New Roman;Times;Serif" w:hAnsi="Times New Roman;Times;Serif"/>
          <w:b w:val="false"/>
          <w:i w:val="false"/>
          <w:caps w:val="false"/>
          <w:smallCaps w:val="false"/>
          <w:sz w:val="20"/>
        </w:rPr>
        <w:t xml:space="preserve">200.1)%, respectively. For the six months ended June 30, 2026, the Company’s effective tax rate differed from the federal statutory rate of </w:t>
      </w:r>
      <w:bookmarkStart w:id="982" w:name="xdx_906_eus-gaap--EffectiveIncomeTaxRate"/>
      <w:bookmarkEnd w:id="982"/>
      <w:r>
        <w:rPr>
          <w:rFonts w:ascii="Times New Roman;Times;Serif" w:hAnsi="Times New Roman;Times;Serif"/>
          <w:b w:val="false"/>
          <w:i w:val="false"/>
          <w:caps w:val="false"/>
          <w:smallCaps w:val="false"/>
          <w:sz w:val="20"/>
        </w:rPr>
        <w:t xml:space="preserve">21% primarily due to the permanent differences, state taxes, and change in valuation allowance. For the six months ended June 30, 2025, the Company’s effective tax rate differed from the federal statutory rate of </w:t>
      </w:r>
      <w:bookmarkStart w:id="983" w:name="xdx_904_eus-gaap--EffectiveIncomeTaxRate"/>
      <w:bookmarkEnd w:id="983"/>
      <w:r>
        <w:rPr>
          <w:rFonts w:ascii="Times New Roman;Times;Serif" w:hAnsi="Times New Roman;Times;Serif"/>
          <w:b w:val="false"/>
          <w:i w:val="false"/>
          <w:caps w:val="false"/>
          <w:smallCaps w:val="false"/>
          <w:sz w:val="20"/>
        </w:rPr>
        <w:t>21% primarily due to permanent differences, state taxes, global intangible low-taxed income related to the Company’s foreign subsidiary, and the ratio of forecasted permanent book-tax differences compared to forecasted pre-tax income used in the AETR method is higher than it is expected to be at year-end, elevating the interim effective tax-rate.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reassessed the realizability of its net deferred tax assets as of June 30, 2026. After considering all available positive and negative evidence, including cumulative losses in recent periods and updated projections of future taxable income, the Company concluded that it remains more likely than not that its net deferred tax assets will not be realized. Accordingly, a full valuation allowance recorded continues to be maintained.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84" w:name="xdx_809_eus-gaap--LesseeOperatingLeasesT"/>
      <w:bookmarkEnd w:id="984"/>
      <w:r>
        <w:rPr>
          <w:rFonts w:ascii="Times New Roman;Times;Serif" w:hAnsi="Times New Roman;Times;Serif"/>
          <w:b/>
          <w:i w:val="false"/>
          <w:caps w:val="false"/>
          <w:smallCaps w:val="false"/>
          <w:sz w:val="20"/>
        </w:rPr>
        <w:t xml:space="preserve">NOTE 14 – </w:t>
      </w:r>
      <w:bookmarkStart w:id="985" w:name="xdx_821_zLFNdaI6r46f"/>
      <w:bookmarkEnd w:id="985"/>
      <w:r>
        <w:rPr>
          <w:rFonts w:ascii="Times New Roman;Times;Serif" w:hAnsi="Times New Roman;Times;Serif"/>
          <w:b/>
          <w:i w:val="false"/>
          <w:caps w:val="false"/>
          <w:smallCaps w:val="false"/>
          <w:sz w:val="20"/>
        </w:rPr>
        <w:t>OPERATING LEASE RIGHT-OF-USE ASSETS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w:t>
      </w:r>
      <w:bookmarkStart w:id="986" w:name="xdx_906_eus-gaap--LineOfCreditFacilityMa"/>
      <w:bookmarkEnd w:id="986"/>
      <w:r>
        <w:rPr>
          <w:rFonts w:ascii="Times New Roman;Times;Serif" w:hAnsi="Times New Roman;Times;Serif"/>
          <w:b w:val="false"/>
          <w:i w:val="false"/>
          <w:caps w:val="false"/>
          <w:smallCaps w:val="false"/>
          <w:sz w:val="20"/>
        </w:rPr>
        <w:t xml:space="preserve">1,075,000 to lease office space. The standby letter of credit is valid for a seven-year term and was amended in December 2025 to extend to March 31, 2033. The Company leases office space in Beverly Hills, California pursuant to a lease agreement, as amended, with an original commencement date of April 5, 2018, which was extended for an additional 86-month term commencing December 1, 2025 and expiring January 31, 2033, with one five-year renewal option but the Company is not reasonably certain to exercise the option at lease commencement. For purposes of measuring the right-of-use asset and lease liability under ASC 842, the Company applied an incremental borrowing rate of </w:t>
      </w:r>
      <w:bookmarkStart w:id="987" w:name="xdx_90A_ecustom--IncrementalBorrowingRat"/>
      <w:bookmarkEnd w:id="987"/>
      <w:r>
        <w:rPr>
          <w:rFonts w:ascii="Times New Roman;Times;Serif" w:hAnsi="Times New Roman;Times;Serif"/>
          <w:b w:val="false"/>
          <w:i w:val="false"/>
          <w:caps w:val="false"/>
          <w:smallCaps w:val="false"/>
          <w:sz w:val="20"/>
        </w:rPr>
        <w:t>8.50%. The incremental borrowing rate is the rate of interest we would have to pay to borrow on a collateralized basis over a similar term an amount equal to the lease payments in a similar economic environment. In determining that rate, the company considers prevailing economic conditions at the commencement date, as well as factors such as company-specific credit risk, term of the lease and options, and the effect of collateralization based on the nature and quality of the underlying asset. As of June 30, 2026 and December 31, 2025, the Company’s net operating lease right-of-use assets amounted to $</w:t>
      </w:r>
      <w:bookmarkStart w:id="988" w:name="xdx_902_eus-gaap--OperatingLeaseRightOfU"/>
      <w:bookmarkEnd w:id="988"/>
      <w:r>
        <w:rPr>
          <w:rFonts w:ascii="Times New Roman;Times;Serif" w:hAnsi="Times New Roman;Times;Serif"/>
          <w:b w:val="false"/>
          <w:i w:val="false"/>
          <w:caps w:val="false"/>
          <w:smallCaps w:val="false"/>
          <w:sz w:val="20"/>
        </w:rPr>
        <w:t>4,687,027 and $</w:t>
      </w:r>
      <w:bookmarkStart w:id="989" w:name="xdx_905_eus-gaap--OperatingLeaseRightOfU"/>
      <w:bookmarkEnd w:id="989"/>
      <w:r>
        <w:rPr>
          <w:rFonts w:ascii="Times New Roman;Times;Serif" w:hAnsi="Times New Roman;Times;Serif"/>
          <w:b w:val="false"/>
          <w:i w:val="false"/>
          <w:caps w:val="false"/>
          <w:smallCaps w:val="false"/>
          <w:sz w:val="20"/>
        </w:rPr>
        <w:t>4,722,366, respectively. The Company had variable lease payments of approximately $</w:t>
      </w:r>
      <w:bookmarkStart w:id="990" w:name="xdx_902_eus-gaap--VariableLeasePayment_p"/>
      <w:bookmarkEnd w:id="990"/>
      <w:r>
        <w:rPr>
          <w:rFonts w:ascii="Times New Roman;Times;Serif" w:hAnsi="Times New Roman;Times;Serif"/>
          <w:b w:val="false"/>
          <w:i w:val="false"/>
          <w:caps w:val="false"/>
          <w:smallCaps w:val="false"/>
          <w:sz w:val="20"/>
        </w:rPr>
        <w:t>4,326 and $</w:t>
      </w:r>
      <w:bookmarkStart w:id="991" w:name="xdx_906_eus-gaap--VariableLeasePayment_p"/>
      <w:bookmarkEnd w:id="991"/>
      <w:r>
        <w:rPr>
          <w:rFonts w:ascii="Times New Roman;Times;Serif" w:hAnsi="Times New Roman;Times;Serif"/>
          <w:b w:val="false"/>
          <w:i w:val="false"/>
          <w:caps w:val="false"/>
          <w:smallCaps w:val="false"/>
          <w:sz w:val="20"/>
        </w:rPr>
        <w:t>37,865 during the three months ended June 30, 2026 and 2025, respectively, which consisted primarily of common area maintenance charges and administrative fees. The Company had variable lease payments of approximately $</w:t>
      </w:r>
      <w:bookmarkStart w:id="992" w:name="xdx_903_eus-gaap--VariableLeasePayment_p"/>
      <w:bookmarkEnd w:id="992"/>
      <w:r>
        <w:rPr>
          <w:rFonts w:ascii="Times New Roman;Times;Serif" w:hAnsi="Times New Roman;Times;Serif"/>
          <w:b w:val="false"/>
          <w:i w:val="false"/>
          <w:caps w:val="false"/>
          <w:smallCaps w:val="false"/>
          <w:sz w:val="20"/>
        </w:rPr>
        <w:t>6,950 and $</w:t>
      </w:r>
      <w:bookmarkStart w:id="993" w:name="xdx_907_eus-gaap--VariableLeasePayment_p"/>
      <w:bookmarkEnd w:id="993"/>
      <w:r>
        <w:rPr>
          <w:rFonts w:ascii="Times New Roman;Times;Serif" w:hAnsi="Times New Roman;Times;Serif"/>
          <w:b w:val="false"/>
          <w:i w:val="false"/>
          <w:caps w:val="false"/>
          <w:smallCaps w:val="false"/>
          <w:sz w:val="20"/>
        </w:rPr>
        <w:t>76,142 during the six months ended June 30, 2026 and 2025, respectively, which consisted primarily of common area maintenance charges and administrative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94" w:name="xdx_898_eus-gaap--LeaseCostTableTextBloc"/>
      <w:bookmarkEnd w:id="994"/>
      <w:r>
        <w:rPr>
          <w:rFonts w:ascii="Times New Roman;Times;Serif" w:hAnsi="Times New Roman;Times;Serif"/>
          <w:b w:val="false"/>
          <w:i w:val="false"/>
          <w:caps w:val="false"/>
          <w:smallCaps w:val="false"/>
          <w:sz w:val="20"/>
        </w:rPr>
        <w:t>Operating lease costs included in the general and administrative expenses in our condensed consolidated statements of operations and comprehensive loss for the three and six months ended June 30, 2026 and 2025,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95" w:name="xdx_8B9_zghsZrU1oo23"/>
      <w:bookmarkEnd w:id="995"/>
      <w:r>
        <w:rPr>
          <w:rFonts w:ascii="Times New Roman;Times;Serif" w:hAnsi="Times New Roman;Times;Serif"/>
          <w:b w:val="false"/>
          <w:i w:val="false"/>
          <w:caps w:val="false"/>
          <w:smallCaps w:val="false"/>
          <w:sz w:val="20"/>
        </w:rPr>
        <w:t>SCHEDULE OF OPERATING LEASE COSTS  </w:t>
      </w:r>
    </w:p>
    <w:tbl>
      <w:tblPr>
        <w:tblW w:w="8229" w:type="dxa"/>
        <w:jc w:val="left"/>
        <w:tblInd w:w="0" w:type="dxa"/>
        <w:tblLayout w:type="fixed"/>
        <w:tblCellMar>
          <w:top w:w="0" w:type="dxa"/>
          <w:left w:w="0" w:type="dxa"/>
          <w:bottom w:w="0" w:type="dxa"/>
          <w:right w:w="0" w:type="dxa"/>
        </w:tblCellMar>
      </w:tblPr>
      <w:tblGrid>
        <w:gridCol w:w="2030"/>
        <w:gridCol w:w="60"/>
        <w:gridCol w:w="218"/>
        <w:gridCol w:w="1250"/>
        <w:gridCol w:w="93"/>
        <w:gridCol w:w="93"/>
        <w:gridCol w:w="218"/>
        <w:gridCol w:w="1250"/>
        <w:gridCol w:w="60"/>
        <w:gridCol w:w="60"/>
        <w:gridCol w:w="197"/>
        <w:gridCol w:w="1130"/>
        <w:gridCol w:w="84"/>
        <w:gridCol w:w="84"/>
        <w:gridCol w:w="197"/>
        <w:gridCol w:w="1130"/>
        <w:gridCol w:w="75"/>
      </w:tblGrid>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96" w:name="xdx_49B_20260401__20260630_z0vSCiNgUGPj"/>
            <w:bookmarkEnd w:id="996"/>
          </w:p>
        </w:tc>
        <w:tc>
          <w:tcPr>
            <w:tcW w:w="14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bookmarkStart w:id="997" w:name="xdx_49A_20250401__20250630_z48LyEZ8yrDi"/>
            <w:bookmarkEnd w:id="997"/>
          </w:p>
        </w:tc>
        <w:tc>
          <w:tcPr>
            <w:tcW w:w="14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8" w:name="xdx_499_20260101__20260630_z5Z10N7tzBnk"/>
            <w:bookmarkEnd w:id="998"/>
          </w:p>
        </w:tc>
        <w:tc>
          <w:tcPr>
            <w:tcW w:w="13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bookmarkStart w:id="999" w:name="xdx_49B_20250101__20250630_zJ6QgOCL24Lc"/>
            <w:bookmarkEnd w:id="999"/>
          </w:p>
        </w:tc>
        <w:tc>
          <w:tcPr>
            <w:tcW w:w="13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4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000" w:name="xdx_404_eus-gaap--OperatingLeaseCost_ziW"/>
            <w:bookmarkEnd w:id="1000"/>
          </w:p>
        </w:tc>
      </w:tr>
      <w:tr>
        <w:trPr/>
        <w:tc>
          <w:tcPr>
            <w:tcW w:w="2030" w:type="dxa"/>
            <w:tcBorders/>
            <w:shd w:fill="CCEEFF" w:val="clear"/>
            <w:vAlign w:val="center"/>
          </w:tcPr>
          <w:p>
            <w:pPr>
              <w:pStyle w:val="TableContents"/>
              <w:bidi w:val="0"/>
              <w:spacing w:before="0" w:after="283"/>
              <w:jc w:val="left"/>
              <w:rPr/>
            </w:pPr>
            <w:r>
              <w:rPr/>
              <w:t>Operating lease costs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289,522</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425,743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565,979</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848,780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01" w:name="xdx_8A4_zZI9gDhUKDTh"/>
      <w:bookmarkEnd w:id="100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02" w:name="xdx_89B_ecustom--LesseeOperatingLeaseSup"/>
      <w:bookmarkEnd w:id="1002"/>
      <w:r>
        <w:rPr>
          <w:rFonts w:ascii="Times New Roman;Times;Serif" w:hAnsi="Times New Roman;Times;Serif"/>
          <w:b w:val="false"/>
          <w:i w:val="false"/>
          <w:caps w:val="false"/>
          <w:smallCaps w:val="false"/>
          <w:sz w:val="20"/>
        </w:rPr>
        <w:t>Supplemental information related to operating leases for lease liabilities as of June 30, 2026 and 2025,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03" w:name="xdx_8BE_zE7JP9RGVzu5"/>
      <w:bookmarkEnd w:id="1003"/>
      <w:r>
        <w:rPr>
          <w:rFonts w:ascii="Times New Roman;Times;Serif" w:hAnsi="Times New Roman;Times;Serif"/>
          <w:b w:val="false"/>
          <w:i w:val="false"/>
          <w:caps w:val="false"/>
          <w:smallCaps w:val="false"/>
          <w:sz w:val="20"/>
        </w:rPr>
        <w:t>SCHEDULE OF SUPPLEMENTAL INFORMATION RELATED TO OPERATING LEASES  </w:t>
      </w:r>
    </w:p>
    <w:tbl>
      <w:tblPr>
        <w:tblW w:w="9050" w:type="dxa"/>
        <w:jc w:val="left"/>
        <w:tblInd w:w="0" w:type="dxa"/>
        <w:tblLayout w:type="fixed"/>
        <w:tblCellMar>
          <w:top w:w="0" w:type="dxa"/>
          <w:left w:w="0" w:type="dxa"/>
          <w:bottom w:w="0" w:type="dxa"/>
          <w:right w:w="0" w:type="dxa"/>
        </w:tblCellMar>
      </w:tblPr>
      <w:tblGrid>
        <w:gridCol w:w="6605"/>
        <w:gridCol w:w="60"/>
        <w:gridCol w:w="140"/>
        <w:gridCol w:w="800"/>
        <w:gridCol w:w="215"/>
        <w:gridCol w:w="60"/>
        <w:gridCol w:w="140"/>
        <w:gridCol w:w="800"/>
        <w:gridCol w:w="230"/>
      </w:tblGrid>
      <w:tr>
        <w:trPr/>
        <w:tc>
          <w:tcPr>
            <w:tcW w:w="6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004" w:name="xdx_98D_eus-gaap--OperatingLeasePayments"/>
            <w:bookmarkEnd w:id="1004"/>
          </w:p>
        </w:tc>
        <w:tc>
          <w:tcPr>
            <w:tcW w:w="800" w:type="dxa"/>
            <w:tcBorders/>
            <w:shd w:fill="CCEEFF" w:val="clear"/>
            <w:vAlign w:val="center"/>
          </w:tcPr>
          <w:p>
            <w:pPr>
              <w:pStyle w:val="TableContents"/>
              <w:bidi w:val="0"/>
              <w:spacing w:before="0" w:after="283"/>
              <w:jc w:val="right"/>
              <w:rPr/>
            </w:pPr>
            <w:r>
              <w:rPr/>
              <w:t>373,866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005" w:name="xdx_98A_eus-gaap--OperatingLeasePayments"/>
            <w:bookmarkEnd w:id="1005"/>
          </w:p>
        </w:tc>
        <w:tc>
          <w:tcPr>
            <w:tcW w:w="800" w:type="dxa"/>
            <w:tcBorders/>
            <w:shd w:fill="CCEEFF" w:val="clear"/>
            <w:vAlign w:val="center"/>
          </w:tcPr>
          <w:p>
            <w:pPr>
              <w:pStyle w:val="TableContents"/>
              <w:bidi w:val="0"/>
              <w:spacing w:before="0" w:after="283"/>
              <w:jc w:val="right"/>
              <w:rPr/>
            </w:pPr>
            <w:r>
              <w:rPr/>
              <w:t>848,273</w:t>
            </w:r>
          </w:p>
        </w:tc>
        <w:tc>
          <w:tcPr>
            <w:tcW w:w="230"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pPr>
            <w:r>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1006" w:name="xdx_907_eus-gaap--LesseeOperatingLeaseRe"/>
            <w:bookmarkEnd w:id="1006"/>
            <w:r>
              <w:rPr>
                <w:rFonts w:ascii="Times New Roman;Times;Serif" w:hAnsi="Times New Roman;Times;Serif"/>
                <w:sz w:val="20"/>
              </w:rPr>
              <w:t>6.4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1007" w:name="xdx_905_eus-gaap--LesseeOperatingLeaseRe"/>
            <w:bookmarkEnd w:id="1007"/>
            <w:r>
              <w:rPr>
                <w:rFonts w:ascii="Times New Roman;Times;Serif" w:hAnsi="Times New Roman;Times;Serif"/>
                <w:sz w:val="20"/>
              </w:rPr>
              <w:t>0.8 years</w:t>
            </w:r>
          </w:p>
        </w:tc>
        <w:tc>
          <w:tcPr>
            <w:tcW w:w="230" w:type="dxa"/>
            <w:tcBorders/>
            <w:shd w:fill="FFFFFF" w:val="cle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1008" w:name="xdx_905_eus-gaap--OperatingLeaseWeighted"/>
            <w:bookmarkEnd w:id="1008"/>
            <w:r>
              <w:rPr/>
              <w:t>8.41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1009" w:name="xdx_90B_eus-gaap--OperatingLeaseWeighted"/>
            <w:bookmarkEnd w:id="1009"/>
            <w:r>
              <w:rPr/>
              <w:t>5.01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10" w:name="xdx_8AE_zLpEUlRKc71k"/>
      <w:bookmarkEnd w:id="101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11" w:name="xdx_896_eus-gaap--LesseeOperatingLeaseLi"/>
      <w:bookmarkEnd w:id="1011"/>
      <w:r>
        <w:rPr>
          <w:rFonts w:ascii="Times New Roman;Times;Serif" w:hAnsi="Times New Roman;Times;Serif"/>
          <w:b w:val="false"/>
          <w:i w:val="false"/>
          <w:caps w:val="false"/>
          <w:smallCaps w:val="false"/>
          <w:sz w:val="20"/>
        </w:rPr>
        <w:t>Future undiscounted lease payments for operating leases and a reconciliation of these payments to our operating lease liabilities as of June 30, 2026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12" w:name="xdx_8B9_zFdYfryImzPj"/>
      <w:bookmarkEnd w:id="1012"/>
      <w:r>
        <w:rPr>
          <w:rFonts w:ascii="Times New Roman;Times;Serif" w:hAnsi="Times New Roman;Times;Serif"/>
          <w:b w:val="false"/>
          <w:i w:val="false"/>
          <w:caps w:val="false"/>
          <w:smallCaps w:val="false"/>
          <w:sz w:val="20"/>
        </w:rPr>
        <w:t>SCHEDULE OF FUTURE UNDISCOUNTED LEASE PAYMENTS FOR OPERATING LEASES AND RECONCILIATION OF THESE PAYMENTS TO OPERATING LEASE LIABILITIES </w:t>
      </w:r>
    </w:p>
    <w:tbl>
      <w:tblPr>
        <w:tblW w:w="5714" w:type="dxa"/>
        <w:jc w:val="left"/>
        <w:tblInd w:w="0" w:type="dxa"/>
        <w:tblLayout w:type="fixed"/>
        <w:tblCellMar>
          <w:top w:w="0" w:type="dxa"/>
          <w:left w:w="0" w:type="dxa"/>
          <w:bottom w:w="28" w:type="dxa"/>
          <w:right w:w="0" w:type="dxa"/>
        </w:tblCellMar>
      </w:tblPr>
      <w:tblGrid>
        <w:gridCol w:w="2345"/>
        <w:gridCol w:w="60"/>
        <w:gridCol w:w="135"/>
        <w:gridCol w:w="919"/>
        <w:gridCol w:w="60"/>
        <w:gridCol w:w="60"/>
        <w:gridCol w:w="125"/>
        <w:gridCol w:w="845"/>
        <w:gridCol w:w="60"/>
        <w:gridCol w:w="60"/>
        <w:gridCol w:w="125"/>
        <w:gridCol w:w="845"/>
        <w:gridCol w:w="75"/>
      </w:tblGrid>
      <w:tr>
        <w:trPr/>
        <w:tc>
          <w:tcPr>
            <w:tcW w:w="234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ending December 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lease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Imputed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13" w:name="xdx_98B_eus-gaap--LesseeOperatingLeaseLi"/>
            <w:bookmarkEnd w:id="1013"/>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419,747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14" w:name="xdx_987_ecustom--LesseeOperatingLeaseLia"/>
            <w:bookmarkEnd w:id="1014"/>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194,343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15" w:name="xdx_982_ecustom--LesseeOperatingLeaseLia"/>
            <w:bookmarkEnd w:id="1015"/>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225,404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016" w:name="xdx_983_eus-gaap--LesseeOperatingLeaseLi"/>
            <w:bookmarkEnd w:id="1016"/>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888,835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017" w:name="xdx_980_ecustom--LesseeOperatingLeaseLia"/>
            <w:bookmarkEnd w:id="1017"/>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360,650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018" w:name="xdx_98A_ecustom--LesseeOperatingLeaseLia"/>
            <w:bookmarkEnd w:id="1018"/>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528,185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019" w:name="xdx_981_eus-gaap--LesseeOperatingLeaseLi"/>
            <w:bookmarkEnd w:id="1019"/>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918,283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020" w:name="xdx_985_ecustom--LesseeOperatingLeaseLia"/>
            <w:bookmarkEnd w:id="1020"/>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312,728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021" w:name="xdx_98A_ecustom--LesseeOperatingLeaseLia"/>
            <w:bookmarkEnd w:id="1021"/>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605,555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022" w:name="xdx_98E_eus-gaap--LesseeOperatingLeaseLi"/>
            <w:bookmarkEnd w:id="1022"/>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947,755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023" w:name="xdx_98B_ecustom--LesseeOperatingLeaseLia"/>
            <w:bookmarkEnd w:id="1023"/>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258,389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024" w:name="xdx_987_ecustom--LesseeOperatingLeaseLia"/>
            <w:bookmarkEnd w:id="1024"/>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689,366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025" w:name="xdx_989_eus-gaap--LesseeOperatingLeaseLi"/>
            <w:bookmarkEnd w:id="1025"/>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985,042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026" w:name="xdx_988_ecustom--LesseeOperatingLeaseLia"/>
            <w:bookmarkEnd w:id="1026"/>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196,076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027" w:name="xdx_98C_ecustom--LesseeOperatingLeaseLia"/>
            <w:bookmarkEnd w:id="1027"/>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788,966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28" w:name="xdx_981_ecustom--LesseeOperatingLeaseLia"/>
            <w:bookmarkEnd w:id="1028"/>
          </w:p>
        </w:tc>
        <w:tc>
          <w:tcPr>
            <w:tcW w:w="91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2,133,776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29" w:name="xdx_980_ecustom--LesseeOperatingLeaseLia"/>
            <w:bookmarkEnd w:id="1029"/>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30" w:name="xdx_98B_ecustom--LesseeOperatingLeaseLia"/>
            <w:bookmarkEnd w:id="1030"/>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1,963,733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future lease payments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31" w:name="xdx_984_eus-gaap--LesseeOperatingLeaseLi"/>
            <w:bookmarkEnd w:id="1031"/>
          </w:p>
        </w:tc>
        <w:tc>
          <w:tcPr>
            <w:tcW w:w="91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6,293,438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32" w:name="xdx_980_eus-gaap--LesseeOperatingLeaseLi"/>
            <w:bookmarkEnd w:id="1032"/>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1,492,229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33" w:name="xdx_98E_eus-gaap--OperatingLeaseLiabilit"/>
            <w:bookmarkEnd w:id="1033"/>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4,801,209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1034" w:name="xdx_8AF_zdTYLej1Gyc8"/>
      <w:bookmarkEnd w:id="103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35" w:name="xdx_80A_eus-gaap--CommitmentsAndContinge"/>
      <w:bookmarkEnd w:id="1035"/>
      <w:r>
        <w:rPr>
          <w:rFonts w:ascii="Times New Roman;Times;Serif" w:hAnsi="Times New Roman;Times;Serif"/>
          <w:b/>
          <w:i w:val="false"/>
          <w:caps w:val="false"/>
          <w:smallCaps w:val="false"/>
          <w:sz w:val="20"/>
        </w:rPr>
        <w:t xml:space="preserve">NOTE 15 – </w:t>
      </w:r>
      <w:bookmarkStart w:id="1036" w:name="xdx_824_zOKuCel7SJI8"/>
      <w:bookmarkEnd w:id="103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claims and contingencies related to lawsuits and other matters arising out of the normal course of business. In addition, the Company may receive notifications alleging infringement of patent or other intellectual property rights. The Company has elected to expense legal costs associated with legal contingencies as incurred.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2023, Bel Air Soto, LLC (“Plaintiff”) filed suit in the Superior Court of California, County of Los Angeles, against Snail Games USA Inc. and INDIEV, an affiliate company that is owned by Mr. Hai Shi, the Company’s Founder, Chief Executive Officer, Chief Strategy Officer, and Chairman, for breach of contract and related claims arising out of a commercial lease for premises located in Los Angeles County. Plaintiff alleges that the defendants exercised an option to extend the lease and was harmed when defendants instead terminated the lease and vacated the premises. The complaint seeks damages in excess of $</w:t>
      </w:r>
      <w:bookmarkStart w:id="1037" w:name="xdx_906_eus-gaap--LossContingencyDamages"/>
      <w:bookmarkEnd w:id="1037"/>
      <w:r>
        <w:rPr>
          <w:rFonts w:ascii="Times New Roman;Times;Serif" w:hAnsi="Times New Roman;Times;Serif"/>
          <w:b w:val="false"/>
          <w:i w:val="false"/>
          <w:caps w:val="false"/>
          <w:smallCaps w:val="false"/>
          <w:sz w:val="20"/>
        </w:rPr>
        <w:t>3 million. The Company disputes the allegations and the amount of damages. The Company has responded to the complaint with an answer and cross-complaint. The cross-complaint seeks return for the $</w:t>
      </w:r>
      <w:bookmarkStart w:id="1038" w:name="xdx_90D_eus-gaap--SecurityDeposit_iI_c20"/>
      <w:bookmarkEnd w:id="1038"/>
      <w:r>
        <w:rPr>
          <w:rFonts w:ascii="Times New Roman;Times;Serif" w:hAnsi="Times New Roman;Times;Serif"/>
          <w:b w:val="false"/>
          <w:i w:val="false"/>
          <w:caps w:val="false"/>
          <w:smallCaps w:val="false"/>
          <w:sz w:val="20"/>
        </w:rPr>
        <w:t>130,000 security deposit. The landlord has answered and denied the allegations of the cross-complaint. Snail Games USA Inc. denies exercising the option to extend and has vigorously defended against the claims asserted. The Plaintiff amended its complaint to expand its claims in the ongoing litigation by adding Mr. Hai Shi and the Company as additional defendants. The landlord alleges that the Company is exclusively controlled by Mr. Shi and they act as the alter egos of Snail Games USA, Inc. and INDIEV and therefore should be liable for the underlying liability. Once again, the Company denies these allegations and will vigorously defend against these new claims. The present trial date is December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2023, Snail Games USA Inc. entered into an indemnity and reimbursement agreement with INDIEV, dated as of April 1, 2023, pursuant to which INDIEV agrees to assume all obligations and liabilities pursuant to the lease and indemnify and reimburse Snail Games USA Inc. for any amounts, damages, expenses, costs or other liability incurred by Snail Games USA Inc. arising under or pursuant to the lease or relating to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INDIEV filed for bankruptcy and the Company does not expect to recover its costs from INDIEV. At this time, the Company is unable to quantify the magnitude of the potential loss should the plaintiffs’ lawsuit succeed and accordingly no accrual for loss has been recorded in the accompanying financial statements. However, the Company does not believe that the outcome of this litigation will have a material adverse effect on its consolidated financial position, results of operations, or cash flows and believes the likelihood of a loss to the Company to be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routinely enters contracts with related party developers for the development of new games. These agreements ordinarily include contractual payments to the developers for several milestones that occur at various times through 2026. The aggregate amount of development commitments to related party developers is $</w:t>
      </w:r>
      <w:bookmarkStart w:id="1039" w:name="xdx_904_eus-gaap--CommitmentsFairValueDi"/>
      <w:bookmarkEnd w:id="1039"/>
      <w:r>
        <w:rPr>
          <w:rFonts w:ascii="Times New Roman;Times;Serif" w:hAnsi="Times New Roman;Times;Serif"/>
          <w:b w:val="false"/>
          <w:i w:val="false"/>
          <w:caps w:val="false"/>
          <w:smallCaps w:val="false"/>
          <w:sz w:val="20"/>
        </w:rPr>
        <w:t xml:space="preserve">2.2 million as of June 30, 2026. The Company also has a license agreement with its related party SDE for the exclusive publishing rights of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In consideration of the publishing rights the Company will pay SDE a fixed monthly license fee of $</w:t>
      </w:r>
      <w:bookmarkStart w:id="1040" w:name="xdx_907_eus-gaap--PaymentsForFees_pn5n6_"/>
      <w:bookmarkEnd w:id="1040"/>
      <w:r>
        <w:rPr>
          <w:rFonts w:ascii="Times New Roman;Times;Serif" w:hAnsi="Times New Roman;Times;Serif"/>
          <w:b w:val="false"/>
          <w:i w:val="false"/>
          <w:caps w:val="false"/>
          <w:smallCaps w:val="false"/>
          <w:sz w:val="20"/>
        </w:rPr>
        <w:t xml:space="preserve">1.5 million until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 xml:space="preserve">releases. Our commitments assume satisfactory performance by our related party software developer. See Note 10 – </w:t>
      </w:r>
      <w:r>
        <w:rPr>
          <w:rFonts w:ascii="Times New Roman;Times;Serif" w:hAnsi="Times New Roman;Times;Serif"/>
          <w:b w:val="false"/>
          <w:i/>
          <w:caps w:val="false"/>
          <w:smallCaps w:val="false"/>
          <w:sz w:val="20"/>
        </w:rPr>
        <w:t>Accounts Payable – Related Party</w:t>
      </w:r>
      <w:r>
        <w:rPr>
          <w:rFonts w:ascii="Times New Roman;Times;Serif" w:hAnsi="Times New Roman;Times;Serif"/>
          <w:b w:val="false"/>
          <w:i w:val="false"/>
          <w:caps w:val="false"/>
          <w:smallCaps w:val="false"/>
          <w:sz w:val="20"/>
        </w:rPr>
        <w:t xml:space="preserve"> and Note 19 – </w:t>
      </w:r>
      <w:r>
        <w:rPr>
          <w:rFonts w:ascii="Times New Roman;Times;Serif" w:hAnsi="Times New Roman;Times;Serif"/>
          <w:b w:val="false"/>
          <w:i/>
          <w:caps w:val="false"/>
          <w:smallCaps w:val="false"/>
          <w:sz w:val="20"/>
        </w:rPr>
        <w:t xml:space="preserve">Subsequent Events </w:t>
      </w:r>
      <w:r>
        <w:rPr>
          <w:rFonts w:ascii="Times New Roman;Times;Serif" w:hAnsi="Times New Roman;Times;Serif"/>
          <w:b w:val="false"/>
          <w:i w:val="false"/>
          <w:caps w:val="false"/>
          <w:smallCaps w:val="false"/>
          <w:sz w:val="20"/>
        </w:rPr>
        <w:t>for more information.</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41" w:name="xdx_806_eus-gaap--EarningsPerShareTextBl"/>
      <w:bookmarkEnd w:id="1041"/>
      <w:r>
        <w:rPr>
          <w:rFonts w:ascii="Times New Roman;Times;Serif" w:hAnsi="Times New Roman;Times;Serif"/>
          <w:b/>
          <w:i w:val="false"/>
          <w:caps w:val="false"/>
          <w:smallCaps w:val="false"/>
          <w:sz w:val="20"/>
        </w:rPr>
        <w:t xml:space="preserve">NOTE 16 – </w:t>
      </w:r>
      <w:bookmarkStart w:id="1042" w:name="xdx_828_zxffCpEbNLg8"/>
      <w:bookmarkEnd w:id="1042"/>
      <w:r>
        <w:rPr>
          <w:rFonts w:ascii="Times New Roman;Times;Serif" w:hAnsi="Times New Roman;Times;Serif"/>
          <w:b/>
          <w:i w:val="false"/>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 class method to compute its basic loss per share (“Basic EPS”) and diluted loss per share (“Diluted EPS”). The following table summarizes the computations of basic EPS and diluted EPS. The allocation of earnings between Class A and Class B shares is based on their respective economic rights to the undistributed earnings of the Company. Basic EPS is computed as net loss divided by the weighted-average number of common shares outstanding for the period. Diluted EPS reflects the potential dilution that could occur using the treasury stock and if-converted methods, as applicable. The following table provides a reconciliation of the weighted average number of shares used in the calculation of Basic and Diluted EPS.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43" w:name="xdx_8B3_zB5LQt6Pdx55"/>
      <w:bookmarkStart w:id="1044" w:name="xdx_896_eus-gaap--ScheduleOfEarningsPerS"/>
      <w:bookmarkEnd w:id="1043"/>
      <w:bookmarkEnd w:id="1044"/>
      <w:r>
        <w:rPr>
          <w:rFonts w:ascii="Times New Roman;Times;Serif" w:hAnsi="Times New Roman;Times;Serif"/>
          <w:b w:val="false"/>
          <w:i w:val="false"/>
          <w:caps w:val="false"/>
          <w:smallCaps w:val="false"/>
          <w:sz w:val="20"/>
        </w:rPr>
        <w:t>SCHEDULE OF EARNINGS PER SHARE </w:t>
      </w:r>
    </w:p>
    <w:tbl>
      <w:tblPr>
        <w:tblW w:w="10205" w:type="dxa"/>
        <w:jc w:val="left"/>
        <w:tblInd w:w="0" w:type="dxa"/>
        <w:tblLayout w:type="fixed"/>
        <w:tblCellMar>
          <w:top w:w="0" w:type="dxa"/>
          <w:left w:w="0" w:type="dxa"/>
          <w:bottom w:w="0" w:type="dxa"/>
          <w:right w:w="0" w:type="dxa"/>
        </w:tblCellMar>
      </w:tblPr>
      <w:tblGrid>
        <w:gridCol w:w="4536"/>
        <w:gridCol w:w="60"/>
        <w:gridCol w:w="140"/>
        <w:gridCol w:w="1055"/>
        <w:gridCol w:w="95"/>
        <w:gridCol w:w="60"/>
        <w:gridCol w:w="140"/>
        <w:gridCol w:w="1175"/>
        <w:gridCol w:w="95"/>
        <w:gridCol w:w="60"/>
        <w:gridCol w:w="144"/>
        <w:gridCol w:w="1013"/>
        <w:gridCol w:w="97"/>
        <w:gridCol w:w="62"/>
        <w:gridCol w:w="144"/>
        <w:gridCol w:w="1214"/>
        <w:gridCol w:w="115"/>
      </w:tblGrid>
      <w:tr>
        <w:trPr/>
        <w:tc>
          <w:tcPr>
            <w:tcW w:w="45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045" w:name="xdx_494_20260401__20260630_zQps9PC4aVmj"/>
            <w:bookmarkEnd w:id="1045"/>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46" w:name="xdx_49B_20250401__20250630_z0zUGJ81SpHj"/>
            <w:bookmarkEnd w:id="1046"/>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47" w:name="xdx_493_20260101__20260630_ziziPyuN4tp2"/>
            <w:bookmarkEnd w:id="1047"/>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bookmarkStart w:id="1048" w:name="xdx_498_20250101__20250630_zi8frkSgTIg8"/>
            <w:bookmarkEnd w:id="1048"/>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45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4" w:type="dxa"/>
            <w:gridSpan w:val="6"/>
            <w:tcBorders>
              <w:bottom w:val="single" w:sz="8" w:space="0" w:color="000000"/>
            </w:tcBorders>
            <w:tcMar>
              <w:bottom w:w="28" w:type="dxa"/>
            </w:tcMar>
            <w:vAlign w:val="center"/>
          </w:tcPr>
          <w:p>
            <w:pPr>
              <w:pStyle w:val="TableContents"/>
              <w:bidi w:val="0"/>
              <w:jc w:val="center"/>
              <w:rPr>
                <w:b/>
              </w:rPr>
            </w:pPr>
            <w:r>
              <w:rPr>
                <w:b/>
              </w:rPr>
              <w:t>For the Six Months Ended</w:t>
            </w:r>
          </w:p>
          <w:p>
            <w:pPr>
              <w:pStyle w:val="TableContents"/>
              <w:bidi w:val="0"/>
              <w:spacing w:before="0" w:after="283"/>
              <w:jc w:val="center"/>
              <w:rPr>
                <w:b/>
              </w:rPr>
            </w:pPr>
            <w:r>
              <w:rPr>
                <w:b/>
              </w:rPr>
              <w:t>June 30,</w:t>
            </w:r>
          </w:p>
        </w:tc>
        <w:tc>
          <w:tcPr>
            <w:tcW w:w="115" w:type="dxa"/>
            <w:tcBorders/>
            <w:vAlign w:val="center"/>
          </w:tcPr>
          <w:p>
            <w:pPr>
              <w:pStyle w:val="TableContents"/>
              <w:bidi w:val="0"/>
              <w:spacing w:before="0" w:after="283"/>
              <w:jc w:val="left"/>
              <w:rPr/>
            </w:pPr>
            <w:r>
              <w:rPr/>
              <w:t> </w:t>
            </w:r>
          </w:p>
        </w:tc>
      </w:tr>
      <w:tr>
        <w:trPr/>
        <w:tc>
          <w:tcPr>
            <w:tcW w:w="45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bookmarkStart w:id="1049" w:name="xdx_40F_eus-gaap--EarningsPerShareBasicA"/>
            <w:bookmarkEnd w:id="1049"/>
          </w:p>
        </w:tc>
      </w:tr>
      <w:tr>
        <w:trPr/>
        <w:tc>
          <w:tcPr>
            <w:tcW w:w="4536" w:type="dxa"/>
            <w:tcBorders/>
            <w:shd w:fill="CCEEFF" w:val="clear"/>
            <w:vAlign w:val="center"/>
          </w:tcPr>
          <w:p>
            <w:pPr>
              <w:pStyle w:val="TableContents"/>
              <w:bidi w:val="0"/>
              <w:spacing w:before="0" w:after="283"/>
              <w:jc w:val="left"/>
              <w:rPr>
                <w:b/>
              </w:rPr>
            </w:pPr>
            <w:r>
              <w:rPr>
                <w:b/>
              </w:rPr>
              <w:t>Basic Loss Per Share:</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7" w:type="dxa"/>
            <w:gridSpan w:val="2"/>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8" w:type="dxa"/>
            <w:gridSpan w:val="2"/>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050" w:name="xdx_409_eus-gaap--NetIncomeLossAvailable"/>
            <w:bookmarkEnd w:id="1050"/>
          </w:p>
        </w:tc>
      </w:tr>
      <w:tr>
        <w:trPr/>
        <w:tc>
          <w:tcPr>
            <w:tcW w:w="4536" w:type="dxa"/>
            <w:tcBorders/>
            <w:shd w:fill="FFFFFF" w:val="clear"/>
            <w:vAlign w:val="center"/>
          </w:tcPr>
          <w:p>
            <w:pPr>
              <w:pStyle w:val="TableContents"/>
              <w:bidi w:val="0"/>
              <w:spacing w:before="0" w:after="283"/>
              <w:jc w:val="left"/>
              <w:rPr/>
            </w:pPr>
            <w:r>
              <w:rPr/>
              <w:t>Net loss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(989,812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(3,775,300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013" w:type="dxa"/>
            <w:tcBorders/>
            <w:shd w:fill="FFFFFF" w:val="clear"/>
            <w:vAlign w:val="center"/>
          </w:tcPr>
          <w:p>
            <w:pPr>
              <w:pStyle w:val="TableContents"/>
              <w:bidi w:val="0"/>
              <w:spacing w:before="0" w:after="283"/>
              <w:jc w:val="right"/>
              <w:rPr/>
            </w:pPr>
            <w:r>
              <w:rPr/>
              <w:t>(258,255</w:t>
            </w:r>
          </w:p>
        </w:tc>
        <w:tc>
          <w:tcPr>
            <w:tcW w:w="97"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214" w:type="dxa"/>
            <w:tcBorders/>
            <w:shd w:fill="FFFFFF" w:val="clear"/>
            <w:vAlign w:val="center"/>
          </w:tcPr>
          <w:p>
            <w:pPr>
              <w:pStyle w:val="TableContents"/>
              <w:bidi w:val="0"/>
              <w:spacing w:before="0" w:after="283"/>
              <w:jc w:val="right"/>
              <w:rPr/>
            </w:pPr>
            <w:r>
              <w:rPr/>
              <w:t>(4,210,496</w:t>
            </w:r>
          </w:p>
        </w:tc>
        <w:tc>
          <w:tcPr>
            <w:tcW w:w="115" w:type="dxa"/>
            <w:tcBorders/>
            <w:shd w:fill="FFFFFF" w:val="clear"/>
            <w:vAlign w:val="center"/>
          </w:tcPr>
          <w:p>
            <w:pPr>
              <w:pStyle w:val="TableContents"/>
              <w:bidi w:val="0"/>
              <w:spacing w:before="0" w:after="283"/>
              <w:jc w:val="left"/>
              <w:rPr/>
            </w:pPr>
            <w:r>
              <w:rPr/>
              <w:t>)</w:t>
            </w:r>
            <w:bookmarkStart w:id="1051" w:name="xdx_404_eus-gaap--NetIncomeLossAvailable"/>
            <w:bookmarkEnd w:id="1051"/>
          </w:p>
        </w:tc>
      </w:tr>
      <w:tr>
        <w:trPr/>
        <w:tc>
          <w:tcPr>
            <w:tcW w:w="4536" w:type="dxa"/>
            <w:tcBorders/>
            <w:shd w:fill="CCEEFF" w:val="clear"/>
            <w:vAlign w:val="center"/>
          </w:tcPr>
          <w:p>
            <w:pPr>
              <w:pStyle w:val="TableContents"/>
              <w:bidi w:val="0"/>
              <w:spacing w:before="0" w:after="283"/>
              <w:jc w:val="left"/>
              <w:rPr/>
            </w:pPr>
            <w:r>
              <w:rPr/>
              <w:t>Net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(2,050,937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(12,787,124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(647,788</w:t>
            </w:r>
          </w:p>
        </w:tc>
        <w:tc>
          <w:tcPr>
            <w:tcW w:w="97"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(14,297,937</w:t>
            </w:r>
          </w:p>
        </w:tc>
        <w:tc>
          <w:tcPr>
            <w:tcW w:w="115" w:type="dxa"/>
            <w:tcBorders/>
            <w:shd w:fill="CCEEFF" w:val="clear"/>
            <w:vAlign w:val="center"/>
          </w:tcPr>
          <w:p>
            <w:pPr>
              <w:pStyle w:val="TableContents"/>
              <w:bidi w:val="0"/>
              <w:spacing w:before="0" w:after="283"/>
              <w:jc w:val="left"/>
              <w:rPr/>
            </w:pPr>
            <w:r>
              <w:rPr/>
              <w:t>)</w:t>
            </w:r>
            <w:bookmarkStart w:id="1052" w:name="xdx_400_eus-gaap--NetIncomeLossAvailable"/>
            <w:bookmarkEnd w:id="1052"/>
          </w:p>
        </w:tc>
      </w:tr>
      <w:tr>
        <w:trPr/>
        <w:tc>
          <w:tcPr>
            <w:tcW w:w="4536" w:type="dxa"/>
            <w:tcBorders/>
            <w:shd w:fill="CCEEFF" w:val="clear"/>
            <w:vAlign w:val="center"/>
          </w:tcPr>
          <w:p>
            <w:pPr>
              <w:pStyle w:val="TableContents"/>
              <w:bidi w:val="0"/>
              <w:spacing w:before="0" w:after="283"/>
              <w:jc w:val="left"/>
              <w:rPr/>
            </w:pPr>
            <w:r>
              <w:rPr/>
              <w:t>Net income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(2,050,937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(12,787,124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(647,788</w:t>
            </w:r>
          </w:p>
        </w:tc>
        <w:tc>
          <w:tcPr>
            <w:tcW w:w="97"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(14,297,937</w:t>
            </w:r>
          </w:p>
        </w:tc>
        <w:tc>
          <w:tcPr>
            <w:tcW w:w="115" w:type="dxa"/>
            <w:tcBorders/>
            <w:shd w:fill="CCEEFF" w:val="clear"/>
            <w:vAlign w:val="center"/>
          </w:tcPr>
          <w:p>
            <w:pPr>
              <w:pStyle w:val="TableContents"/>
              <w:bidi w:val="0"/>
              <w:spacing w:before="0" w:after="283"/>
              <w:jc w:val="left"/>
              <w:rPr/>
            </w:pPr>
            <w:r>
              <w:rPr/>
              <w:t>)</w:t>
            </w:r>
          </w:p>
        </w:tc>
      </w:tr>
      <w:tr>
        <w:trPr/>
        <w:tc>
          <w:tcPr>
            <w:tcW w:w="45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053" w:name="xdx_402_eus-gaap--NetIncomeLoss_zkTMRMjD"/>
            <w:bookmarkEnd w:id="1053"/>
          </w:p>
        </w:tc>
      </w:tr>
      <w:tr>
        <w:trPr/>
        <w:tc>
          <w:tcPr>
            <w:tcW w:w="4536" w:type="dxa"/>
            <w:tcBorders/>
            <w:shd w:fill="CCEEFF" w:val="clear"/>
            <w:vAlign w:val="center"/>
          </w:tcPr>
          <w:p>
            <w:pPr>
              <w:pStyle w:val="TableContents"/>
              <w:bidi w:val="0"/>
              <w:spacing w:before="0" w:after="283"/>
              <w:jc w:val="left"/>
              <w:rPr/>
            </w:pPr>
            <w:r>
              <w:rPr/>
              <w:t>Total net loss attributable to Snail Inc.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(3,040,749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(16,562,424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CCEEFF" w:val="clear"/>
            <w:tcMar>
              <w:bottom w:w="28" w:type="dxa"/>
            </w:tcMar>
            <w:vAlign w:val="center"/>
          </w:tcPr>
          <w:p>
            <w:pPr>
              <w:pStyle w:val="TableContents"/>
              <w:bidi w:val="0"/>
              <w:spacing w:before="0" w:after="283"/>
              <w:jc w:val="right"/>
              <w:rPr/>
            </w:pPr>
            <w:r>
              <w:rPr/>
              <w:t>(906,043</w:t>
            </w:r>
          </w:p>
        </w:tc>
        <w:tc>
          <w:tcPr>
            <w:tcW w:w="97"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jc w:val="right"/>
              <w:rPr/>
            </w:pPr>
            <w:r>
              <w:rPr/>
              <w:t>(18,508,433</w:t>
            </w:r>
          </w:p>
        </w:tc>
        <w:tc>
          <w:tcPr>
            <w:tcW w:w="115" w:type="dxa"/>
            <w:tcBorders/>
            <w:shd w:fill="CCEEFF" w:val="clear"/>
            <w:vAlign w:val="center"/>
          </w:tcPr>
          <w:p>
            <w:pPr>
              <w:pStyle w:val="TableContents"/>
              <w:bidi w:val="0"/>
              <w:spacing w:before="0" w:after="283"/>
              <w:jc w:val="left"/>
              <w:rPr/>
            </w:pPr>
            <w:r>
              <w:rPr/>
              <w:t>)</w:t>
            </w:r>
            <w:bookmarkStart w:id="1054" w:name="xdx_40D_eus-gaap--WeightedAverageNumberO"/>
            <w:bookmarkEnd w:id="1054"/>
          </w:p>
        </w:tc>
      </w:tr>
      <w:tr>
        <w:trPr/>
        <w:tc>
          <w:tcPr>
            <w:tcW w:w="4536" w:type="dxa"/>
            <w:tcBorders/>
            <w:shd w:fill="FFFFFF" w:val="clear"/>
            <w:vAlign w:val="center"/>
          </w:tcPr>
          <w:p>
            <w:pPr>
              <w:pStyle w:val="TableContents"/>
              <w:bidi w:val="0"/>
              <w:spacing w:before="0" w:after="283"/>
              <w:jc w:val="left"/>
              <w:rPr/>
            </w:pPr>
            <w:r>
              <w:rPr/>
              <w:t>Class A 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2,774,897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1,697,559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2,292,247</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1,693,192</w:t>
            </w:r>
          </w:p>
        </w:tc>
        <w:tc>
          <w:tcPr>
            <w:tcW w:w="115" w:type="dxa"/>
            <w:tcBorders/>
            <w:shd w:fill="FFFFFF" w:val="clear"/>
            <w:vAlign w:val="center"/>
          </w:tcPr>
          <w:p>
            <w:pPr>
              <w:pStyle w:val="TableContents"/>
              <w:bidi w:val="0"/>
              <w:spacing w:before="0" w:after="283"/>
              <w:jc w:val="left"/>
              <w:rPr/>
            </w:pPr>
            <w:r>
              <w:rPr/>
              <w:t> </w:t>
            </w:r>
            <w:bookmarkStart w:id="1055" w:name="xdx_40E_eus-gaap--WeightedAverageNumberO"/>
            <w:bookmarkEnd w:id="1055"/>
          </w:p>
        </w:tc>
      </w:tr>
      <w:tr>
        <w:trPr/>
        <w:tc>
          <w:tcPr>
            <w:tcW w:w="4536" w:type="dxa"/>
            <w:tcBorders/>
            <w:shd w:fill="CCEEFF" w:val="clear"/>
            <w:vAlign w:val="center"/>
          </w:tcPr>
          <w:p>
            <w:pPr>
              <w:pStyle w:val="TableContents"/>
              <w:bidi w:val="0"/>
              <w:spacing w:before="0" w:after="283"/>
              <w:jc w:val="left"/>
              <w:rPr/>
            </w:pPr>
            <w:r>
              <w:rPr/>
              <w:t>Class B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5,749,716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5,749,716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5,749,716</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5,749,716</w:t>
            </w:r>
          </w:p>
        </w:tc>
        <w:tc>
          <w:tcPr>
            <w:tcW w:w="115" w:type="dxa"/>
            <w:tcBorders/>
            <w:shd w:fill="CCEEFF"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pPr>
            <w:r>
              <w:rPr/>
              <w:t>Class A and B basic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56" w:name="xdx_90B_eus-gaap--EarningsPerShareBasic_"/>
            <w:bookmarkStart w:id="1057" w:name="xdx_90B_eus-gaap--EarningsPerShareBasic_"/>
            <w:bookmarkEnd w:id="1056"/>
            <w:bookmarkEnd w:id="1057"/>
            <w:r>
              <w:rPr/>
              <w:t>(0.36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58" w:name="xdx_90B_eus-gaap--EarningsPerShareBasic_"/>
            <w:bookmarkStart w:id="1059" w:name="xdx_901_eus-gaap--EarningsPerShareBasic_"/>
            <w:bookmarkEnd w:id="1058"/>
            <w:bookmarkEnd w:id="1059"/>
            <w:r>
              <w:rPr/>
              <w:t>(2.22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60" w:name="xdx_907_eus-gaap--EarningsPerShareBasic_"/>
            <w:bookmarkStart w:id="1061" w:name="xdx_90A_eus-gaap--EarningsPerShareBasic_"/>
            <w:bookmarkEnd w:id="1060"/>
            <w:bookmarkEnd w:id="1061"/>
            <w:r>
              <w:rPr/>
              <w:t>(0.11</w:t>
            </w:r>
          </w:p>
        </w:tc>
        <w:tc>
          <w:tcPr>
            <w:tcW w:w="97"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62" w:name="xdx_90C_eus-gaap--EarningsPerShareBasic_"/>
            <w:bookmarkStart w:id="1063" w:name="xdx_90F_eus-gaap--EarningsPerShareBasic_"/>
            <w:bookmarkEnd w:id="1062"/>
            <w:bookmarkEnd w:id="1063"/>
            <w:r>
              <w:rPr/>
              <w:t>(2.49</w:t>
            </w:r>
          </w:p>
        </w:tc>
        <w:tc>
          <w:tcPr>
            <w:tcW w:w="115" w:type="dxa"/>
            <w:tcBorders/>
            <w:shd w:fill="FFFFFF" w:val="clear"/>
            <w:vAlign w:val="center"/>
          </w:tcPr>
          <w:p>
            <w:pPr>
              <w:pStyle w:val="TableContents"/>
              <w:bidi w:val="0"/>
              <w:spacing w:before="0" w:after="283"/>
              <w:jc w:val="left"/>
              <w:rPr/>
            </w:pPr>
            <w:r>
              <w:rPr/>
              <w:t>)</w:t>
            </w:r>
          </w:p>
        </w:tc>
      </w:tr>
      <w:tr>
        <w:trPr/>
        <w:tc>
          <w:tcPr>
            <w:tcW w:w="45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064" w:name="xdx_40E_eus-gaap--EarningsPerShareDilute"/>
            <w:bookmarkEnd w:id="1064"/>
          </w:p>
        </w:tc>
      </w:tr>
      <w:tr>
        <w:trPr/>
        <w:tc>
          <w:tcPr>
            <w:tcW w:w="4536" w:type="dxa"/>
            <w:tcBorders/>
            <w:shd w:fill="FFFFFF" w:val="clear"/>
            <w:vAlign w:val="center"/>
          </w:tcPr>
          <w:p>
            <w:pPr>
              <w:pStyle w:val="TableContents"/>
              <w:bidi w:val="0"/>
              <w:spacing w:before="0" w:after="283"/>
              <w:jc w:val="left"/>
              <w:rPr>
                <w:b/>
              </w:rPr>
            </w:pPr>
            <w:r>
              <w:rPr>
                <w:b/>
              </w:rPr>
              <w:t>Diluted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065" w:name="xdx_40D_eus-gaap--NetIncomeLossAttributa"/>
            <w:bookmarkEnd w:id="1065"/>
          </w:p>
        </w:tc>
      </w:tr>
      <w:tr>
        <w:trPr/>
        <w:tc>
          <w:tcPr>
            <w:tcW w:w="4536" w:type="dxa"/>
            <w:tcBorders/>
            <w:shd w:fill="CCEEFF" w:val="clear"/>
            <w:vAlign w:val="center"/>
          </w:tcPr>
          <w:p>
            <w:pPr>
              <w:pStyle w:val="TableContents"/>
              <w:bidi w:val="0"/>
              <w:spacing w:before="0" w:after="283"/>
              <w:jc w:val="left"/>
              <w:rPr/>
            </w:pPr>
            <w:r>
              <w:rPr/>
              <w:t>Net loss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(989,812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(3,775,300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(258,255</w:t>
            </w:r>
          </w:p>
        </w:tc>
        <w:tc>
          <w:tcPr>
            <w:tcW w:w="97"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(4,210,496</w:t>
            </w:r>
          </w:p>
        </w:tc>
        <w:tc>
          <w:tcPr>
            <w:tcW w:w="115" w:type="dxa"/>
            <w:tcBorders/>
            <w:shd w:fill="CCEEFF" w:val="clear"/>
            <w:vAlign w:val="center"/>
          </w:tcPr>
          <w:p>
            <w:pPr>
              <w:pStyle w:val="TableContents"/>
              <w:bidi w:val="0"/>
              <w:spacing w:before="0" w:after="283"/>
              <w:jc w:val="left"/>
              <w:rPr/>
            </w:pPr>
            <w:r>
              <w:rPr/>
              <w:t>)</w:t>
            </w:r>
            <w:bookmarkStart w:id="1066" w:name="xdx_40F_eus-gaap--DilutiveSecurities_iN_"/>
            <w:bookmarkEnd w:id="1066"/>
          </w:p>
        </w:tc>
      </w:tr>
      <w:tr>
        <w:trPr/>
        <w:tc>
          <w:tcPr>
            <w:tcW w:w="4536" w:type="dxa"/>
            <w:tcBorders/>
            <w:shd w:fill="FFFFFF" w:val="clear"/>
            <w:vAlign w:val="center"/>
          </w:tcPr>
          <w:p>
            <w:pPr>
              <w:pStyle w:val="TableContents"/>
              <w:bidi w:val="0"/>
              <w:spacing w:before="0" w:after="283"/>
              <w:jc w:val="left"/>
              <w:rPr/>
            </w:pPr>
            <w:r>
              <w:rPr/>
              <w:t>Dilutive effects of convertible note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067" w:name="xdx_409_ecustom--DilutiveEffectsOfEquity"/>
            <w:bookmarkEnd w:id="1067"/>
          </w:p>
        </w:tc>
      </w:tr>
      <w:tr>
        <w:trPr/>
        <w:tc>
          <w:tcPr>
            <w:tcW w:w="4536" w:type="dxa"/>
            <w:tcBorders/>
            <w:shd w:fill="CCEEFF" w:val="clear"/>
            <w:vAlign w:val="center"/>
          </w:tcPr>
          <w:p>
            <w:pPr>
              <w:pStyle w:val="TableContents"/>
              <w:bidi w:val="0"/>
              <w:spacing w:before="0" w:after="283"/>
              <w:jc w:val="left"/>
              <w:rPr/>
            </w:pPr>
            <w:r>
              <w:rPr/>
              <w:t>Dilutive effect of equity line of credit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(5,918</w:t>
            </w:r>
          </w:p>
        </w:tc>
        <w:tc>
          <w:tcPr>
            <w:tcW w:w="115" w:type="dxa"/>
            <w:tcBorders/>
            <w:shd w:fill="CCEEFF" w:val="clear"/>
            <w:vAlign w:val="center"/>
          </w:tcPr>
          <w:p>
            <w:pPr>
              <w:pStyle w:val="TableContents"/>
              <w:bidi w:val="0"/>
              <w:spacing w:before="0" w:after="283"/>
              <w:jc w:val="left"/>
              <w:rPr/>
            </w:pPr>
            <w:r>
              <w:rPr/>
              <w:t>)</w:t>
            </w:r>
            <w:bookmarkStart w:id="1068" w:name="xdx_40B_ecustom--NetIncomeLossAvailableT"/>
            <w:bookmarkEnd w:id="1068"/>
          </w:p>
        </w:tc>
      </w:tr>
      <w:tr>
        <w:trPr/>
        <w:tc>
          <w:tcPr>
            <w:tcW w:w="4536" w:type="dxa"/>
            <w:tcBorders/>
            <w:shd w:fill="FFFFFF" w:val="clear"/>
            <w:vAlign w:val="center"/>
          </w:tcPr>
          <w:p>
            <w:pPr>
              <w:pStyle w:val="TableContents"/>
              <w:bidi w:val="0"/>
              <w:spacing w:before="0" w:after="283"/>
              <w:jc w:val="left"/>
              <w:rPr/>
            </w:pPr>
            <w:r>
              <w:rPr/>
              <w:t>Net loss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(989,812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(3,775,300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pPr>
            <w:r>
              <w:rPr/>
              <w:t>(258,255</w:t>
            </w:r>
          </w:p>
        </w:tc>
        <w:tc>
          <w:tcPr>
            <w:tcW w:w="97"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shd w:fill="FFFFFF" w:val="clear"/>
            <w:tcMar>
              <w:bottom w:w="28" w:type="dxa"/>
            </w:tcMar>
            <w:vAlign w:val="center"/>
          </w:tcPr>
          <w:p>
            <w:pPr>
              <w:pStyle w:val="TableContents"/>
              <w:bidi w:val="0"/>
              <w:spacing w:before="0" w:after="283"/>
              <w:jc w:val="right"/>
              <w:rPr/>
            </w:pPr>
            <w:r>
              <w:rPr/>
              <w:t>(4,216,414</w:t>
            </w:r>
          </w:p>
        </w:tc>
        <w:tc>
          <w:tcPr>
            <w:tcW w:w="115" w:type="dxa"/>
            <w:tcBorders/>
            <w:shd w:fill="FFFFFF" w:val="clear"/>
            <w:vAlign w:val="center"/>
          </w:tcPr>
          <w:p>
            <w:pPr>
              <w:pStyle w:val="TableContents"/>
              <w:bidi w:val="0"/>
              <w:spacing w:before="0" w:after="283"/>
              <w:jc w:val="left"/>
              <w:rPr/>
            </w:pPr>
            <w:r>
              <w:rPr/>
              <w:t>)</w:t>
            </w:r>
            <w:bookmarkStart w:id="1069" w:name="xdx_40D_eus-gaap--NetIncomeLossAttributa"/>
            <w:bookmarkEnd w:id="1069"/>
          </w:p>
        </w:tc>
      </w:tr>
      <w:tr>
        <w:trPr/>
        <w:tc>
          <w:tcPr>
            <w:tcW w:w="4536" w:type="dxa"/>
            <w:tcBorders/>
            <w:shd w:fill="CCEEFF" w:val="clear"/>
            <w:vAlign w:val="center"/>
          </w:tcPr>
          <w:p>
            <w:pPr>
              <w:pStyle w:val="TableContents"/>
              <w:bidi w:val="0"/>
              <w:spacing w:before="0" w:after="283"/>
              <w:jc w:val="left"/>
              <w:rPr/>
            </w:pPr>
            <w:r>
              <w:rPr/>
              <w:t>Net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(2,050,937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(12,787,124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(647,788</w:t>
            </w:r>
          </w:p>
        </w:tc>
        <w:tc>
          <w:tcPr>
            <w:tcW w:w="97"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(14,297,937</w:t>
            </w:r>
          </w:p>
        </w:tc>
        <w:tc>
          <w:tcPr>
            <w:tcW w:w="115" w:type="dxa"/>
            <w:tcBorders/>
            <w:shd w:fill="CCEEFF" w:val="clear"/>
            <w:vAlign w:val="center"/>
          </w:tcPr>
          <w:p>
            <w:pPr>
              <w:pStyle w:val="TableContents"/>
              <w:bidi w:val="0"/>
              <w:spacing w:before="0" w:after="283"/>
              <w:jc w:val="left"/>
              <w:rPr/>
            </w:pPr>
            <w:r>
              <w:rPr/>
              <w:t>)</w:t>
            </w:r>
            <w:bookmarkStart w:id="1070" w:name="xdx_401_eus-gaap--NetIncomeLossAttributa"/>
            <w:bookmarkEnd w:id="1070"/>
          </w:p>
        </w:tc>
      </w:tr>
      <w:tr>
        <w:trPr/>
        <w:tc>
          <w:tcPr>
            <w:tcW w:w="4536" w:type="dxa"/>
            <w:tcBorders/>
            <w:shd w:fill="CCEEFF" w:val="clear"/>
            <w:vAlign w:val="center"/>
          </w:tcPr>
          <w:p>
            <w:pPr>
              <w:pStyle w:val="TableContents"/>
              <w:bidi w:val="0"/>
              <w:spacing w:before="0" w:after="283"/>
              <w:jc w:val="left"/>
              <w:rPr/>
            </w:pPr>
            <w:r>
              <w:rPr/>
              <w:t>Net income (loss) attributable to common stockholders, 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(2,050,937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(12,787,124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(647,788</w:t>
            </w:r>
          </w:p>
        </w:tc>
        <w:tc>
          <w:tcPr>
            <w:tcW w:w="97"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(14,297,937</w:t>
            </w:r>
          </w:p>
        </w:tc>
        <w:tc>
          <w:tcPr>
            <w:tcW w:w="115" w:type="dxa"/>
            <w:tcBorders/>
            <w:shd w:fill="CCEEFF" w:val="clear"/>
            <w:vAlign w:val="center"/>
          </w:tcPr>
          <w:p>
            <w:pPr>
              <w:pStyle w:val="TableContents"/>
              <w:bidi w:val="0"/>
              <w:spacing w:before="0" w:after="283"/>
              <w:jc w:val="left"/>
              <w:rPr/>
            </w:pPr>
            <w:r>
              <w:rPr/>
              <w:t>)</w:t>
            </w:r>
            <w:bookmarkStart w:id="1071" w:name="xdx_40F_eus-gaap--DilutiveSecurities_iN_"/>
            <w:bookmarkEnd w:id="1071"/>
          </w:p>
        </w:tc>
      </w:tr>
      <w:tr>
        <w:trPr/>
        <w:tc>
          <w:tcPr>
            <w:tcW w:w="4536" w:type="dxa"/>
            <w:tcBorders/>
            <w:shd w:fill="FFFFFF" w:val="clear"/>
            <w:vAlign w:val="center"/>
          </w:tcPr>
          <w:p>
            <w:pPr>
              <w:pStyle w:val="TableContents"/>
              <w:bidi w:val="0"/>
              <w:spacing w:before="0" w:after="283"/>
              <w:jc w:val="left"/>
              <w:rPr/>
            </w:pPr>
            <w:r>
              <w:rPr/>
              <w:t>Dilutive effects of convertible note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072" w:name="xdx_404_ecustom--DilutiveEffectsOfEquity"/>
            <w:bookmarkEnd w:id="1072"/>
          </w:p>
        </w:tc>
      </w:tr>
      <w:tr>
        <w:trPr/>
        <w:tc>
          <w:tcPr>
            <w:tcW w:w="4536" w:type="dxa"/>
            <w:tcBorders/>
            <w:shd w:fill="CCEEFF" w:val="clear"/>
            <w:vAlign w:val="center"/>
          </w:tcPr>
          <w:p>
            <w:pPr>
              <w:pStyle w:val="TableContents"/>
              <w:bidi w:val="0"/>
              <w:spacing w:before="0" w:after="283"/>
              <w:jc w:val="left"/>
              <w:rPr/>
            </w:pPr>
            <w:r>
              <w:rPr/>
              <w:t>Dilutive effect of equity line of credit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(20,096</w:t>
            </w:r>
          </w:p>
        </w:tc>
        <w:tc>
          <w:tcPr>
            <w:tcW w:w="115" w:type="dxa"/>
            <w:tcBorders/>
            <w:shd w:fill="CCEEFF" w:val="clear"/>
            <w:vAlign w:val="center"/>
          </w:tcPr>
          <w:p>
            <w:pPr>
              <w:pStyle w:val="TableContents"/>
              <w:bidi w:val="0"/>
              <w:spacing w:before="0" w:after="283"/>
              <w:jc w:val="left"/>
              <w:rPr/>
            </w:pPr>
            <w:r>
              <w:rPr/>
              <w:t>)</w:t>
            </w:r>
            <w:bookmarkStart w:id="1073" w:name="xdx_405_ecustom--NetIncomeLossAvailableT"/>
            <w:bookmarkEnd w:id="1073"/>
          </w:p>
        </w:tc>
      </w:tr>
      <w:tr>
        <w:trPr/>
        <w:tc>
          <w:tcPr>
            <w:tcW w:w="4536" w:type="dxa"/>
            <w:tcBorders/>
            <w:shd w:fill="FFFFFF" w:val="clear"/>
            <w:vAlign w:val="center"/>
          </w:tcPr>
          <w:p>
            <w:pPr>
              <w:pStyle w:val="TableContents"/>
              <w:bidi w:val="0"/>
              <w:spacing w:before="0" w:after="283"/>
              <w:jc w:val="left"/>
              <w:rPr/>
            </w:pPr>
            <w:r>
              <w:rPr/>
              <w:t>Net loss attributable to Class B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(2,050,937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(12,787,124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pPr>
            <w:r>
              <w:rPr/>
              <w:t>(647,788</w:t>
            </w:r>
          </w:p>
        </w:tc>
        <w:tc>
          <w:tcPr>
            <w:tcW w:w="97"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shd w:fill="FFFFFF" w:val="clear"/>
            <w:tcMar>
              <w:bottom w:w="28" w:type="dxa"/>
            </w:tcMar>
            <w:vAlign w:val="center"/>
          </w:tcPr>
          <w:p>
            <w:pPr>
              <w:pStyle w:val="TableContents"/>
              <w:bidi w:val="0"/>
              <w:spacing w:before="0" w:after="283"/>
              <w:jc w:val="right"/>
              <w:rPr/>
            </w:pPr>
            <w:r>
              <w:rPr/>
              <w:t>(14,318,033</w:t>
            </w:r>
          </w:p>
        </w:tc>
        <w:tc>
          <w:tcPr>
            <w:tcW w:w="115" w:type="dxa"/>
            <w:tcBorders/>
            <w:shd w:fill="FFFFFF" w:val="clear"/>
            <w:vAlign w:val="center"/>
          </w:tcPr>
          <w:p>
            <w:pPr>
              <w:pStyle w:val="TableContents"/>
              <w:bidi w:val="0"/>
              <w:spacing w:before="0" w:after="283"/>
              <w:jc w:val="left"/>
              <w:rPr/>
            </w:pPr>
            <w:r>
              <w:rPr/>
              <w:t>)</w:t>
            </w:r>
            <w:bookmarkStart w:id="1074" w:name="xdx_40F_ecustom--NetIncomeLossAvailableT"/>
            <w:bookmarkEnd w:id="1074"/>
          </w:p>
        </w:tc>
      </w:tr>
      <w:tr>
        <w:trPr/>
        <w:tc>
          <w:tcPr>
            <w:tcW w:w="4536" w:type="dxa"/>
            <w:tcBorders/>
            <w:shd w:fill="FFFFFF" w:val="clear"/>
            <w:vAlign w:val="center"/>
          </w:tcPr>
          <w:p>
            <w:pPr>
              <w:pStyle w:val="TableContents"/>
              <w:bidi w:val="0"/>
              <w:spacing w:before="0" w:after="283"/>
              <w:jc w:val="left"/>
              <w:rPr/>
            </w:pPr>
            <w:r>
              <w:rPr/>
              <w:t>Net income (loss) attributable to common stockholders,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(2,050,937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(12,787,124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pPr>
            <w:r>
              <w:rPr/>
              <w:t>(647,788</w:t>
            </w:r>
          </w:p>
        </w:tc>
        <w:tc>
          <w:tcPr>
            <w:tcW w:w="97"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shd w:fill="FFFFFF" w:val="clear"/>
            <w:tcMar>
              <w:bottom w:w="28" w:type="dxa"/>
            </w:tcMar>
            <w:vAlign w:val="center"/>
          </w:tcPr>
          <w:p>
            <w:pPr>
              <w:pStyle w:val="TableContents"/>
              <w:bidi w:val="0"/>
              <w:spacing w:before="0" w:after="283"/>
              <w:jc w:val="right"/>
              <w:rPr/>
            </w:pPr>
            <w:r>
              <w:rPr/>
              <w:t>(14,318,033</w:t>
            </w:r>
          </w:p>
        </w:tc>
        <w:tc>
          <w:tcPr>
            <w:tcW w:w="115" w:type="dxa"/>
            <w:tcBorders/>
            <w:shd w:fill="FFFFFF" w:val="clear"/>
            <w:vAlign w:val="center"/>
          </w:tcPr>
          <w:p>
            <w:pPr>
              <w:pStyle w:val="TableContents"/>
              <w:bidi w:val="0"/>
              <w:spacing w:before="0" w:after="283"/>
              <w:jc w:val="left"/>
              <w:rPr/>
            </w:pPr>
            <w:r>
              <w:rPr/>
              <w:t>)</w:t>
            </w:r>
            <w:bookmarkStart w:id="1075" w:name="xdx_409_eus-gaap--WeightedAverageNumberO"/>
            <w:bookmarkEnd w:id="1075"/>
          </w:p>
        </w:tc>
      </w:tr>
      <w:tr>
        <w:trPr/>
        <w:tc>
          <w:tcPr>
            <w:tcW w:w="4536" w:type="dxa"/>
            <w:tcBorders/>
            <w:shd w:fill="CCEEFF" w:val="clear"/>
            <w:vAlign w:val="center"/>
          </w:tcPr>
          <w:p>
            <w:pPr>
              <w:pStyle w:val="TableContents"/>
              <w:bidi w:val="0"/>
              <w:spacing w:before="0" w:after="283"/>
              <w:jc w:val="left"/>
              <w:rPr/>
            </w:pPr>
            <w:r>
              <w:rPr/>
              <w:t>Class A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2,774,897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1,697,559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2,292,247</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1,693,192</w:t>
            </w:r>
          </w:p>
        </w:tc>
        <w:tc>
          <w:tcPr>
            <w:tcW w:w="115" w:type="dxa"/>
            <w:tcBorders/>
            <w:shd w:fill="CCEEFF" w:val="clear"/>
            <w:vAlign w:val="center"/>
          </w:tcPr>
          <w:p>
            <w:pPr>
              <w:pStyle w:val="TableContents"/>
              <w:bidi w:val="0"/>
              <w:spacing w:before="0" w:after="283"/>
              <w:jc w:val="left"/>
              <w:rPr/>
            </w:pPr>
            <w:r>
              <w:rPr/>
              <w:t> </w:t>
            </w:r>
            <w:bookmarkStart w:id="1076" w:name="xdx_405_eus-gaap--IncrementalCommonShare"/>
            <w:bookmarkEnd w:id="1076"/>
          </w:p>
        </w:tc>
      </w:tr>
      <w:tr>
        <w:trPr/>
        <w:tc>
          <w:tcPr>
            <w:tcW w:w="4536" w:type="dxa"/>
            <w:tcBorders/>
            <w:shd w:fill="FFFFFF" w:val="clear"/>
            <w:vAlign w:val="center"/>
          </w:tcPr>
          <w:p>
            <w:pPr>
              <w:pStyle w:val="TableContents"/>
              <w:bidi w:val="0"/>
              <w:spacing w:before="0" w:after="283"/>
              <w:jc w:val="left"/>
              <w:rPr/>
            </w:pPr>
            <w:r>
              <w:rPr/>
              <w:t>Dilutive effects of convertible note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077" w:name="xdx_409_ecustom--IncrementalCommonShares"/>
            <w:bookmarkEnd w:id="1077"/>
          </w:p>
        </w:tc>
      </w:tr>
      <w:tr>
        <w:trPr/>
        <w:tc>
          <w:tcPr>
            <w:tcW w:w="4536" w:type="dxa"/>
            <w:tcBorders/>
            <w:shd w:fill="CCEEFF" w:val="clear"/>
            <w:vAlign w:val="center"/>
          </w:tcPr>
          <w:p>
            <w:pPr>
              <w:pStyle w:val="TableContents"/>
              <w:bidi w:val="0"/>
              <w:spacing w:before="0" w:after="283"/>
              <w:jc w:val="left"/>
              <w:rPr/>
            </w:pPr>
            <w:r>
              <w:rPr/>
              <w:t>Dilutive effect of equity line of credit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315</w:t>
            </w:r>
          </w:p>
        </w:tc>
        <w:tc>
          <w:tcPr>
            <w:tcW w:w="115" w:type="dxa"/>
            <w:tcBorders/>
            <w:shd w:fill="CCEEFF" w:val="clear"/>
            <w:vAlign w:val="center"/>
          </w:tcPr>
          <w:p>
            <w:pPr>
              <w:pStyle w:val="TableContents"/>
              <w:bidi w:val="0"/>
              <w:spacing w:before="0" w:after="283"/>
              <w:jc w:val="left"/>
              <w:rPr/>
            </w:pPr>
            <w:r>
              <w:rPr/>
              <w:t> </w:t>
            </w:r>
            <w:bookmarkStart w:id="1078" w:name="xdx_401_eus-gaap--WeightedAverageNumberO"/>
            <w:bookmarkEnd w:id="1078"/>
          </w:p>
        </w:tc>
      </w:tr>
      <w:tr>
        <w:trPr/>
        <w:tc>
          <w:tcPr>
            <w:tcW w:w="4536" w:type="dxa"/>
            <w:tcBorders/>
            <w:shd w:fill="FFFFFF" w:val="clear"/>
            <w:vAlign w:val="center"/>
          </w:tcPr>
          <w:p>
            <w:pPr>
              <w:pStyle w:val="TableContents"/>
              <w:bidi w:val="0"/>
              <w:spacing w:before="0" w:after="283"/>
              <w:jc w:val="left"/>
              <w:rPr/>
            </w:pPr>
            <w:r>
              <w:rPr/>
              <w:t>Class A 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2,774,897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1,697,559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pPr>
            <w:r>
              <w:rPr/>
              <w:t>2,292,247</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14" w:type="dxa"/>
            <w:tcBorders>
              <w:bottom w:val="single" w:sz="8" w:space="0" w:color="000000"/>
            </w:tcBorders>
            <w:shd w:fill="FFFFFF" w:val="clear"/>
            <w:tcMar>
              <w:bottom w:w="28" w:type="dxa"/>
            </w:tcMar>
            <w:vAlign w:val="center"/>
          </w:tcPr>
          <w:p>
            <w:pPr>
              <w:pStyle w:val="TableContents"/>
              <w:bidi w:val="0"/>
              <w:spacing w:before="0" w:after="283"/>
              <w:jc w:val="right"/>
              <w:rPr/>
            </w:pPr>
            <w:r>
              <w:rPr/>
              <w:t>1,693,507</w:t>
            </w:r>
          </w:p>
        </w:tc>
        <w:tc>
          <w:tcPr>
            <w:tcW w:w="115" w:type="dxa"/>
            <w:tcBorders/>
            <w:shd w:fill="FFFFFF" w:val="clear"/>
            <w:vAlign w:val="center"/>
          </w:tcPr>
          <w:p>
            <w:pPr>
              <w:pStyle w:val="TableContents"/>
              <w:bidi w:val="0"/>
              <w:spacing w:before="0" w:after="283"/>
              <w:jc w:val="left"/>
              <w:rPr/>
            </w:pPr>
            <w:r>
              <w:rPr/>
              <w:t> </w:t>
            </w:r>
            <w:bookmarkStart w:id="1079" w:name="xdx_409_eus-gaap--WeightedAverageNumberO"/>
            <w:bookmarkEnd w:id="1079"/>
          </w:p>
        </w:tc>
      </w:tr>
      <w:tr>
        <w:trPr/>
        <w:tc>
          <w:tcPr>
            <w:tcW w:w="4536" w:type="dxa"/>
            <w:tcBorders/>
            <w:shd w:fill="CCEEFF" w:val="clear"/>
            <w:vAlign w:val="center"/>
          </w:tcPr>
          <w:p>
            <w:pPr>
              <w:pStyle w:val="TableContents"/>
              <w:bidi w:val="0"/>
              <w:spacing w:before="0" w:after="283"/>
              <w:jc w:val="left"/>
              <w:rPr/>
            </w:pPr>
            <w:r>
              <w:rPr/>
              <w:t>Class B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5,749,716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5,749,716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5,749,716</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5,749,716</w:t>
            </w:r>
          </w:p>
        </w:tc>
        <w:tc>
          <w:tcPr>
            <w:tcW w:w="115" w:type="dxa"/>
            <w:tcBorders/>
            <w:shd w:fill="CCEEFF" w:val="clear"/>
            <w:vAlign w:val="center"/>
          </w:tcPr>
          <w:p>
            <w:pPr>
              <w:pStyle w:val="TableContents"/>
              <w:bidi w:val="0"/>
              <w:spacing w:before="0" w:after="283"/>
              <w:jc w:val="left"/>
              <w:rPr/>
            </w:pPr>
            <w:r>
              <w:rPr/>
              <w:t> </w:t>
            </w:r>
            <w:bookmarkStart w:id="1080" w:name="xdx_402_eus-gaap--WeightedAverageNumberO"/>
            <w:bookmarkEnd w:id="1080"/>
          </w:p>
        </w:tc>
      </w:tr>
      <w:tr>
        <w:trPr/>
        <w:tc>
          <w:tcPr>
            <w:tcW w:w="4536" w:type="dxa"/>
            <w:tcBorders/>
            <w:shd w:fill="CCEEFF" w:val="clear"/>
            <w:vAlign w:val="center"/>
          </w:tcPr>
          <w:p>
            <w:pPr>
              <w:pStyle w:val="TableContents"/>
              <w:bidi w:val="0"/>
              <w:spacing w:before="0" w:after="283"/>
              <w:jc w:val="left"/>
              <w:rPr/>
            </w:pPr>
            <w:r>
              <w:rPr/>
              <w:t>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5,749,716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5,749,716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5,749,716</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5,749,716</w:t>
            </w:r>
          </w:p>
        </w:tc>
        <w:tc>
          <w:tcPr>
            <w:tcW w:w="115" w:type="dxa"/>
            <w:tcBorders/>
            <w:shd w:fill="CCEEFF" w:val="clear"/>
            <w:vAlign w:val="center"/>
          </w:tcPr>
          <w:p>
            <w:pPr>
              <w:pStyle w:val="TableContents"/>
              <w:bidi w:val="0"/>
              <w:spacing w:before="0" w:after="283"/>
              <w:jc w:val="left"/>
              <w:rPr/>
            </w:pPr>
            <w:r>
              <w:rPr/>
              <w:t> </w:t>
            </w:r>
            <w:bookmarkStart w:id="1081" w:name="xdx_404_ecustom--DilutiveEffectsOfCommon"/>
            <w:bookmarkEnd w:id="1081"/>
          </w:p>
        </w:tc>
      </w:tr>
      <w:tr>
        <w:trPr/>
        <w:tc>
          <w:tcPr>
            <w:tcW w:w="4536" w:type="dxa"/>
            <w:tcBorders/>
            <w:shd w:fill="FFFFFF" w:val="clear"/>
            <w:vAlign w:val="center"/>
          </w:tcPr>
          <w:p>
            <w:pPr>
              <w:pStyle w:val="TableContents"/>
              <w:bidi w:val="0"/>
              <w:spacing w:before="0" w:after="283"/>
              <w:jc w:val="left"/>
              <w:rPr/>
            </w:pPr>
            <w:r>
              <w:rPr/>
              <w:t>Dilutive effects of common stock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082" w:name="xdx_403_ecustom--DilutiveEffectsOfCommon"/>
            <w:bookmarkEnd w:id="1082"/>
          </w:p>
        </w:tc>
      </w:tr>
      <w:tr>
        <w:trPr/>
        <w:tc>
          <w:tcPr>
            <w:tcW w:w="4536" w:type="dxa"/>
            <w:tcBorders/>
            <w:shd w:fill="FFFFFF" w:val="clear"/>
            <w:vAlign w:val="center"/>
          </w:tcPr>
          <w:p>
            <w:pPr>
              <w:pStyle w:val="TableContents"/>
              <w:bidi w:val="0"/>
              <w:spacing w:before="0" w:after="283"/>
              <w:jc w:val="left"/>
              <w:rPr/>
            </w:pPr>
            <w:r>
              <w:rPr/>
              <w:t>Dilutive effects of common stock equivalents,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083" w:name="xdx_40D_eus-gaap--WeightedAverageNumberO"/>
            <w:bookmarkEnd w:id="1083"/>
          </w:p>
        </w:tc>
      </w:tr>
      <w:tr>
        <w:trPr/>
        <w:tc>
          <w:tcPr>
            <w:tcW w:w="4536" w:type="dxa"/>
            <w:tcBorders/>
            <w:shd w:fill="CCEEFF" w:val="clear"/>
            <w:vAlign w:val="center"/>
          </w:tcPr>
          <w:p>
            <w:pPr>
              <w:pStyle w:val="TableContents"/>
              <w:bidi w:val="0"/>
              <w:spacing w:before="0" w:after="283"/>
              <w:jc w:val="left"/>
              <w:rPr/>
            </w:pPr>
            <w:r>
              <w:rPr/>
              <w:t>Class B 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5,749,716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5,749,716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5,749,716</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5,749,716</w:t>
            </w:r>
          </w:p>
        </w:tc>
        <w:tc>
          <w:tcPr>
            <w:tcW w:w="115" w:type="dxa"/>
            <w:tcBorders/>
            <w:shd w:fill="CCEEFF" w:val="clear"/>
            <w:vAlign w:val="center"/>
          </w:tcPr>
          <w:p>
            <w:pPr>
              <w:pStyle w:val="TableContents"/>
              <w:bidi w:val="0"/>
              <w:spacing w:before="0" w:after="283"/>
              <w:jc w:val="left"/>
              <w:rPr/>
            </w:pPr>
            <w:r>
              <w:rPr/>
              <w:t> </w:t>
            </w:r>
            <w:bookmarkStart w:id="1084" w:name="xdx_404_eus-gaap--WeightedAverageNumberO"/>
            <w:bookmarkEnd w:id="1084"/>
          </w:p>
        </w:tc>
      </w:tr>
      <w:tr>
        <w:trPr/>
        <w:tc>
          <w:tcPr>
            <w:tcW w:w="4536" w:type="dxa"/>
            <w:tcBorders/>
            <w:shd w:fill="CCEEFF" w:val="clear"/>
            <w:vAlign w:val="center"/>
          </w:tcPr>
          <w:p>
            <w:pPr>
              <w:pStyle w:val="TableContents"/>
              <w:bidi w:val="0"/>
              <w:spacing w:before="0" w:after="283"/>
              <w:jc w:val="left"/>
              <w:rPr/>
            </w:pPr>
            <w:r>
              <w:rPr/>
              <w:t>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5,749,716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5,749,716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5,749,716</w:t>
            </w:r>
          </w:p>
        </w:tc>
        <w:tc>
          <w:tcPr>
            <w:tcW w:w="9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5,749,716</w:t>
            </w:r>
          </w:p>
        </w:tc>
        <w:tc>
          <w:tcPr>
            <w:tcW w:w="115" w:type="dxa"/>
            <w:tcBorders/>
            <w:shd w:fill="CCEEFF" w:val="clear"/>
            <w:vAlign w:val="center"/>
          </w:tcPr>
          <w:p>
            <w:pPr>
              <w:pStyle w:val="TableContents"/>
              <w:bidi w:val="0"/>
              <w:spacing w:before="0" w:after="283"/>
              <w:jc w:val="left"/>
              <w:rPr/>
            </w:pPr>
            <w:r>
              <w:rPr/>
              <w:t> </w:t>
            </w:r>
            <w:bookmarkStart w:id="1085" w:name="xdx_40C_eus-gaap--EarningsPerShareDilute"/>
            <w:bookmarkEnd w:id="1085"/>
          </w:p>
        </w:tc>
      </w:tr>
      <w:tr>
        <w:trPr/>
        <w:tc>
          <w:tcPr>
            <w:tcW w:w="4536" w:type="dxa"/>
            <w:tcBorders/>
            <w:shd w:fill="FFFFFF" w:val="clear"/>
            <w:vAlign w:val="center"/>
          </w:tcPr>
          <w:p>
            <w:pPr>
              <w:pStyle w:val="TableContents"/>
              <w:bidi w:val="0"/>
              <w:spacing w:before="0" w:after="283"/>
              <w:jc w:val="left"/>
              <w:rPr/>
            </w:pPr>
            <w:r>
              <w:rPr/>
              <w:t>Diluted loss per Class A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pPr>
            <w:r>
              <w:rPr/>
              <w:t>(0.11</w:t>
            </w:r>
          </w:p>
        </w:tc>
        <w:tc>
          <w:tcPr>
            <w:tcW w:w="97"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shd w:fill="FFFFFF" w:val="clear"/>
            <w:tcMar>
              <w:bottom w:w="28" w:type="dxa"/>
            </w:tcMar>
            <w:vAlign w:val="center"/>
          </w:tcPr>
          <w:p>
            <w:pPr>
              <w:pStyle w:val="TableContents"/>
              <w:bidi w:val="0"/>
              <w:spacing w:before="0" w:after="283"/>
              <w:jc w:val="right"/>
              <w:rPr/>
            </w:pPr>
            <w:r>
              <w:rPr/>
              <w:t>(2.49</w:t>
            </w:r>
          </w:p>
        </w:tc>
        <w:tc>
          <w:tcPr>
            <w:tcW w:w="115" w:type="dxa"/>
            <w:tcBorders/>
            <w:shd w:fill="FFFFFF" w:val="clear"/>
            <w:vAlign w:val="center"/>
          </w:tcPr>
          <w:p>
            <w:pPr>
              <w:pStyle w:val="TableContents"/>
              <w:bidi w:val="0"/>
              <w:spacing w:before="0" w:after="283"/>
              <w:jc w:val="left"/>
              <w:rPr/>
            </w:pPr>
            <w:r>
              <w:rPr/>
              <w:t>)</w:t>
            </w:r>
            <w:bookmarkStart w:id="1086" w:name="xdx_40A_eus-gaap--EarningsPerShareDilute"/>
            <w:bookmarkEnd w:id="1086"/>
          </w:p>
        </w:tc>
      </w:tr>
      <w:tr>
        <w:trPr/>
        <w:tc>
          <w:tcPr>
            <w:tcW w:w="4536" w:type="dxa"/>
            <w:tcBorders/>
            <w:shd w:fill="CCEEFF" w:val="clear"/>
            <w:vAlign w:val="center"/>
          </w:tcPr>
          <w:p>
            <w:pPr>
              <w:pStyle w:val="TableContents"/>
              <w:bidi w:val="0"/>
              <w:spacing w:before="0" w:after="283"/>
              <w:jc w:val="left"/>
              <w:rPr/>
            </w:pPr>
            <w:r>
              <w:rPr/>
              <w:t>Diluted loss per Class B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(0.36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CCEEFF" w:val="clear"/>
            <w:tcMar>
              <w:bottom w:w="28" w:type="dxa"/>
            </w:tcMar>
            <w:vAlign w:val="center"/>
          </w:tcPr>
          <w:p>
            <w:pPr>
              <w:pStyle w:val="TableContents"/>
              <w:bidi w:val="0"/>
              <w:spacing w:before="0" w:after="283"/>
              <w:jc w:val="right"/>
              <w:rPr/>
            </w:pPr>
            <w:r>
              <w:rPr/>
              <w:t>(0.11</w:t>
            </w:r>
          </w:p>
        </w:tc>
        <w:tc>
          <w:tcPr>
            <w:tcW w:w="97"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jc w:val="right"/>
              <w:rPr/>
            </w:pPr>
            <w:r>
              <w:rPr/>
              <w:t>(2.49</w:t>
            </w:r>
          </w:p>
        </w:tc>
        <w:tc>
          <w:tcPr>
            <w:tcW w:w="115" w:type="dxa"/>
            <w:tcBorders/>
            <w:shd w:fill="CCEEFF" w:val="clear"/>
            <w:vAlign w:val="center"/>
          </w:tcPr>
          <w:p>
            <w:pPr>
              <w:pStyle w:val="TableContents"/>
              <w:bidi w:val="0"/>
              <w:spacing w:before="0" w:after="283"/>
              <w:jc w:val="left"/>
              <w:rPr/>
            </w:pPr>
            <w:r>
              <w:rPr/>
              <w:t>)</w:t>
            </w:r>
            <w:bookmarkStart w:id="1087" w:name="xdx_405_eus-gaap--EarningsPerShareDilute"/>
            <w:bookmarkEnd w:id="1087"/>
          </w:p>
        </w:tc>
      </w:tr>
      <w:tr>
        <w:trPr/>
        <w:tc>
          <w:tcPr>
            <w:tcW w:w="4536" w:type="dxa"/>
            <w:tcBorders/>
            <w:shd w:fill="CCEEFF" w:val="clear"/>
            <w:vAlign w:val="center"/>
          </w:tcPr>
          <w:p>
            <w:pPr>
              <w:pStyle w:val="TableContents"/>
              <w:bidi w:val="0"/>
              <w:spacing w:before="0" w:after="283"/>
              <w:jc w:val="left"/>
              <w:rPr/>
            </w:pPr>
            <w:r>
              <w:rPr/>
              <w:t>Diluted earnings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(0.36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CCEEFF" w:val="clear"/>
            <w:tcMar>
              <w:bottom w:w="28" w:type="dxa"/>
            </w:tcMar>
            <w:vAlign w:val="center"/>
          </w:tcPr>
          <w:p>
            <w:pPr>
              <w:pStyle w:val="TableContents"/>
              <w:bidi w:val="0"/>
              <w:spacing w:before="0" w:after="283"/>
              <w:jc w:val="right"/>
              <w:rPr/>
            </w:pPr>
            <w:r>
              <w:rPr/>
              <w:t>(0.11</w:t>
            </w:r>
          </w:p>
        </w:tc>
        <w:tc>
          <w:tcPr>
            <w:tcW w:w="97"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jc w:val="right"/>
              <w:rPr/>
            </w:pPr>
            <w:r>
              <w:rPr/>
              <w:t>(2.49</w:t>
            </w:r>
          </w:p>
        </w:tc>
        <w:tc>
          <w:tcPr>
            <w:tcW w:w="11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88" w:name="xdx_8A9_zBDBouhPVdj2"/>
      <w:bookmarkEnd w:id="108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89" w:name="xdx_894_eus-gaap--ScheduleOfAntidilutive"/>
      <w:bookmarkEnd w:id="1089"/>
      <w:r>
        <w:rPr>
          <w:rFonts w:ascii="Times New Roman;Times;Serif" w:hAnsi="Times New Roman;Times;Serif"/>
          <w:b w:val="false"/>
          <w:i w:val="false"/>
          <w:caps w:val="false"/>
          <w:smallCaps w:val="false"/>
          <w:sz w:val="20"/>
        </w:rPr>
        <w:t>The following table provides a listing of shares excluded from the calculation of Diluted EPS due to their anti-dilutive effects: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90" w:name="xdx_8BB_zYwikHD7j3o7"/>
      <w:bookmarkEnd w:id="1090"/>
      <w:r>
        <w:rPr>
          <w:rFonts w:ascii="Times New Roman;Times;Serif" w:hAnsi="Times New Roman;Times;Serif"/>
          <w:b w:val="false"/>
          <w:i w:val="false"/>
          <w:caps w:val="false"/>
          <w:smallCaps w:val="false"/>
          <w:sz w:val="20"/>
        </w:rPr>
        <w:t>SCHEDULE OF ANTI-DILUTIVE SHARES AND SECURITIES </w:t>
      </w:r>
    </w:p>
    <w:tbl>
      <w:tblPr>
        <w:tblW w:w="9134" w:type="dxa"/>
        <w:jc w:val="left"/>
        <w:tblInd w:w="0" w:type="dxa"/>
        <w:tblLayout w:type="fixed"/>
        <w:tblCellMar>
          <w:top w:w="0" w:type="dxa"/>
          <w:left w:w="0" w:type="dxa"/>
          <w:bottom w:w="0" w:type="dxa"/>
          <w:right w:w="0" w:type="dxa"/>
        </w:tblCellMar>
      </w:tblPr>
      <w:tblGrid>
        <w:gridCol w:w="3200"/>
        <w:gridCol w:w="60"/>
        <w:gridCol w:w="76"/>
        <w:gridCol w:w="1019"/>
        <w:gridCol w:w="76"/>
        <w:gridCol w:w="76"/>
        <w:gridCol w:w="76"/>
        <w:gridCol w:w="1019"/>
        <w:gridCol w:w="60"/>
        <w:gridCol w:w="60"/>
        <w:gridCol w:w="66"/>
        <w:gridCol w:w="889"/>
        <w:gridCol w:w="66"/>
        <w:gridCol w:w="66"/>
        <w:gridCol w:w="66"/>
        <w:gridCol w:w="889"/>
        <w:gridCol w:w="60"/>
        <w:gridCol w:w="60"/>
        <w:gridCol w:w="60"/>
        <w:gridCol w:w="1115"/>
        <w:gridCol w:w="75"/>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1" w:name="xdx_493_20260401__20260630_z5fyGj557hml"/>
            <w:bookmarkEnd w:id="1091"/>
          </w:p>
        </w:tc>
        <w:tc>
          <w:tcPr>
            <w:tcW w:w="10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bookmarkStart w:id="1092" w:name="xdx_496_20250401__20250630_zjyVa4KeUJg3"/>
            <w:bookmarkEnd w:id="1092"/>
          </w:p>
        </w:tc>
        <w:tc>
          <w:tcPr>
            <w:tcW w:w="10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3" w:name="xdx_491_20260101__20260630_zktlFvJO6E56"/>
            <w:bookmarkEnd w:id="1093"/>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bookmarkStart w:id="1094" w:name="xdx_491_20250101__20250630_z2jmDauVD6ml"/>
            <w:bookmarkEnd w:id="1094"/>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Method</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Three Months </w:t>
              <w:br/>
              <w:t>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Six Months </w:t>
              <w:br/>
              <w:t>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Method</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b/>
              </w:rPr>
            </w:pPr>
            <w:r>
              <w:rPr>
                <w:b/>
              </w:rPr>
              <w:t>Excluded Shares:</w:t>
            </w:r>
          </w:p>
        </w:tc>
        <w:tc>
          <w:tcPr>
            <w:tcW w:w="60" w:type="dxa"/>
            <w:tcBorders/>
            <w:shd w:fill="CCEEFF" w:val="clear"/>
            <w:vAlign w:val="center"/>
          </w:tcPr>
          <w:p>
            <w:pPr>
              <w:pStyle w:val="TableContents"/>
              <w:bidi w:val="0"/>
              <w:spacing w:before="0" w:after="283"/>
              <w:jc w:val="left"/>
              <w:rPr/>
            </w:pPr>
            <w:r>
              <w:rPr/>
              <w:t> </w:t>
            </w:r>
          </w:p>
        </w:tc>
        <w:tc>
          <w:tcPr>
            <w:tcW w:w="1095" w:type="dxa"/>
            <w:gridSpan w:val="2"/>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5"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5" w:type="dxa"/>
            <w:gridSpan w:val="2"/>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55"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gridSpan w:val="2"/>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bookmarkStart w:id="1095" w:name="xdx_402_eus-gaap--AntidilutiveSecurities"/>
            <w:bookmarkEnd w:id="1095"/>
          </w:p>
        </w:tc>
      </w:tr>
      <w:tr>
        <w:trPr/>
        <w:tc>
          <w:tcPr>
            <w:tcW w:w="3200" w:type="dxa"/>
            <w:tcBorders/>
            <w:shd w:fill="FFFFFF" w:val="clear"/>
            <w:vAlign w:val="center"/>
          </w:tcPr>
          <w:p>
            <w:pPr>
              <w:pStyle w:val="TableContents"/>
              <w:bidi w:val="0"/>
              <w:spacing w:before="0" w:after="283"/>
              <w:jc w:val="left"/>
              <w:rPr/>
            </w:pPr>
            <w:r>
              <w:rPr/>
              <w:t>Restricted stock units outstanding</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264,688</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252,138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264,688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252,138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Treasury</w:t>
            </w:r>
          </w:p>
        </w:tc>
        <w:tc>
          <w:tcPr>
            <w:tcW w:w="75" w:type="dxa"/>
            <w:tcBorders/>
            <w:shd w:fill="FFFFFF" w:val="clear"/>
            <w:vAlign w:val="center"/>
          </w:tcPr>
          <w:p>
            <w:pPr>
              <w:pStyle w:val="TableContents"/>
              <w:bidi w:val="0"/>
              <w:spacing w:before="0" w:after="283"/>
              <w:jc w:val="left"/>
              <w:rPr/>
            </w:pPr>
            <w:r>
              <w:rPr/>
              <w:t> </w:t>
            </w:r>
            <w:bookmarkStart w:id="1096" w:name="xdx_40F_eus-gaap--AntidilutiveSecurities"/>
            <w:bookmarkEnd w:id="1096"/>
          </w:p>
        </w:tc>
      </w:tr>
      <w:tr>
        <w:trPr/>
        <w:tc>
          <w:tcPr>
            <w:tcW w:w="3200" w:type="dxa"/>
            <w:tcBorders/>
            <w:shd w:fill="CCEEFF" w:val="clear"/>
            <w:vAlign w:val="center"/>
          </w:tcPr>
          <w:p>
            <w:pPr>
              <w:pStyle w:val="TableContents"/>
              <w:bidi w:val="0"/>
              <w:spacing w:before="0" w:after="283"/>
              <w:jc w:val="left"/>
              <w:rPr/>
            </w:pPr>
            <w:r>
              <w:rPr/>
              <w:t>Equity line of credit warrants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66,863</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66,863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66,863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Treasury</w:t>
            </w:r>
          </w:p>
        </w:tc>
        <w:tc>
          <w:tcPr>
            <w:tcW w:w="75" w:type="dxa"/>
            <w:tcBorders/>
            <w:shd w:fill="CCEEFF" w:val="clear"/>
            <w:vAlign w:val="center"/>
          </w:tcPr>
          <w:p>
            <w:pPr>
              <w:pStyle w:val="TableContents"/>
              <w:bidi w:val="0"/>
              <w:spacing w:before="0" w:after="283"/>
              <w:jc w:val="left"/>
              <w:rPr/>
            </w:pPr>
            <w:r>
              <w:rPr/>
              <w:t> </w:t>
            </w:r>
            <w:bookmarkStart w:id="1097" w:name="xdx_402_eus-gaap--AntidilutiveSecurities"/>
            <w:bookmarkEnd w:id="1097"/>
          </w:p>
        </w:tc>
      </w:tr>
      <w:tr>
        <w:trPr/>
        <w:tc>
          <w:tcPr>
            <w:tcW w:w="3200" w:type="dxa"/>
            <w:tcBorders/>
            <w:shd w:fill="FFFFFF" w:val="clear"/>
            <w:vAlign w:val="center"/>
          </w:tcPr>
          <w:p>
            <w:pPr>
              <w:pStyle w:val="TableContents"/>
              <w:bidi w:val="0"/>
              <w:spacing w:before="0" w:after="283"/>
              <w:jc w:val="left"/>
              <w:rPr/>
            </w:pPr>
            <w:r>
              <w:rPr/>
              <w:t>Underwriters warrants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24,000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Treasury</w:t>
            </w:r>
          </w:p>
        </w:tc>
        <w:tc>
          <w:tcPr>
            <w:tcW w:w="75" w:type="dxa"/>
            <w:tcBorders/>
            <w:shd w:fill="FFFFFF" w:val="clear"/>
            <w:vAlign w:val="center"/>
          </w:tcPr>
          <w:p>
            <w:pPr>
              <w:pStyle w:val="TableContents"/>
              <w:bidi w:val="0"/>
              <w:spacing w:before="0" w:after="283"/>
              <w:jc w:val="left"/>
              <w:rPr/>
            </w:pPr>
            <w:r>
              <w:rPr/>
              <w:t> </w:t>
            </w:r>
            <w:bookmarkStart w:id="1098" w:name="xdx_40F_eus-gaap--AntidilutiveSecurities"/>
            <w:bookmarkEnd w:id="1098"/>
          </w:p>
        </w:tc>
      </w:tr>
      <w:tr>
        <w:trPr/>
        <w:tc>
          <w:tcPr>
            <w:tcW w:w="320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116,996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336,784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396,948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336,784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If-Converted</w:t>
            </w:r>
          </w:p>
        </w:tc>
        <w:tc>
          <w:tcPr>
            <w:tcW w:w="75" w:type="dxa"/>
            <w:tcBorders/>
            <w:shd w:fill="CCEEFF" w:val="clear"/>
            <w:vAlign w:val="center"/>
          </w:tcPr>
          <w:p>
            <w:pPr>
              <w:pStyle w:val="TableContents"/>
              <w:bidi w:val="0"/>
              <w:spacing w:before="0" w:after="283"/>
              <w:jc w:val="left"/>
              <w:rPr/>
            </w:pPr>
            <w:r>
              <w:rPr/>
              <w:t> </w:t>
            </w:r>
            <w:bookmarkStart w:id="1099" w:name="xdx_401_eus-gaap--AntidilutiveSecurities"/>
            <w:bookmarkEnd w:id="1099"/>
          </w:p>
        </w:tc>
      </w:tr>
      <w:tr>
        <w:trPr/>
        <w:tc>
          <w:tcPr>
            <w:tcW w:w="3200" w:type="dxa"/>
            <w:tcBorders/>
            <w:shd w:fill="FFFFFF" w:val="clear"/>
            <w:vAlign w:val="center"/>
          </w:tcPr>
          <w:p>
            <w:pPr>
              <w:pStyle w:val="TableContents"/>
              <w:bidi w:val="0"/>
              <w:spacing w:before="0" w:after="283"/>
              <w:jc w:val="left"/>
              <w:rPr/>
            </w:pPr>
            <w:r>
              <w:rPr/>
              <w:t>Convertible notes warrants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243,237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243,237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Treasury</w:t>
            </w:r>
          </w:p>
        </w:tc>
        <w:tc>
          <w:tcPr>
            <w:tcW w:w="75" w:type="dxa"/>
            <w:tcBorders/>
            <w:shd w:fill="FFFFFF" w:val="clear"/>
            <w:vAlign w:val="center"/>
          </w:tcPr>
          <w:p>
            <w:pPr>
              <w:pStyle w:val="TableContents"/>
              <w:bidi w:val="0"/>
              <w:spacing w:before="0" w:after="283"/>
              <w:jc w:val="left"/>
              <w:rPr/>
            </w:pPr>
            <w:r>
              <w:rPr/>
              <w:t> </w:t>
            </w:r>
            <w:bookmarkStart w:id="1100" w:name="xdx_407_eus-gaap--AntidilutiveSecurities"/>
            <w:bookmarkEnd w:id="1100"/>
          </w:p>
        </w:tc>
      </w:tr>
      <w:tr>
        <w:trPr/>
        <w:tc>
          <w:tcPr>
            <w:tcW w:w="3200" w:type="dxa"/>
            <w:tcBorders/>
            <w:shd w:fill="FFFFFF" w:val="clear"/>
            <w:vAlign w:val="center"/>
          </w:tcPr>
          <w:p>
            <w:pPr>
              <w:pStyle w:val="TableContents"/>
              <w:bidi w:val="0"/>
              <w:spacing w:before="0" w:after="283"/>
              <w:jc w:val="left"/>
              <w:rPr/>
            </w:pPr>
            <w:r>
              <w:rPr/>
              <w:t>Antidilutive securities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243,237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243,237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Treasury</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01" w:name="xdx_8A3_zH4eK7h6qfh7"/>
      <w:bookmarkEnd w:id="110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02" w:name="xdx_807_eus-gaap--StockholdersEquityNote"/>
      <w:bookmarkEnd w:id="1102"/>
      <w:r>
        <w:rPr>
          <w:rFonts w:ascii="Times New Roman;Times;Serif" w:hAnsi="Times New Roman;Times;Serif"/>
          <w:b/>
          <w:i w:val="false"/>
          <w:caps w:val="false"/>
          <w:smallCaps w:val="false"/>
          <w:sz w:val="20"/>
        </w:rPr>
        <w:t xml:space="preserve">NOTE 17 – </w:t>
      </w:r>
      <w:bookmarkStart w:id="1103" w:name="xdx_829_zGFHhPqPsW9g"/>
      <w:bookmarkEnd w:id="1103"/>
      <w:r>
        <w:rPr>
          <w:rFonts w:ascii="Times New Roman;Times;Serif" w:hAnsi="Times New Roman;Times;Serif"/>
          <w:b/>
          <w:i w:val="false"/>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authorized </w:t>
      </w:r>
      <w:bookmarkStart w:id="1104" w:name="xdx_90B_ecustom--NumberOfClassesOfCommon"/>
      <w:bookmarkEnd w:id="1104"/>
      <w:r>
        <w:rPr>
          <w:rFonts w:ascii="Times New Roman;Times;Serif" w:hAnsi="Times New Roman;Times;Serif"/>
          <w:b w:val="false"/>
          <w:i w:val="false"/>
          <w:caps w:val="false"/>
          <w:smallCaps w:val="false"/>
          <w:sz w:val="20"/>
        </w:rPr>
        <w:t xml:space="preserve">two classes of common stock, Class A and Class B. The rights of the holders of both Class A and Class B common stock will be identical, except with respect to voting, conversion and transfer restrictions applicable to the Class B common stock. Each share of Class A common stock will be entitled to </w:t>
      </w:r>
      <w:bookmarkStart w:id="1105" w:name="xdx_90D_ecustom--NumberOfVotesEntitledPe"/>
      <w:bookmarkEnd w:id="1105"/>
      <w:r>
        <w:rPr>
          <w:rFonts w:ascii="Times New Roman;Times;Serif" w:hAnsi="Times New Roman;Times;Serif"/>
          <w:b w:val="false"/>
          <w:i w:val="false"/>
          <w:caps w:val="false"/>
          <w:smallCaps w:val="false"/>
          <w:sz w:val="20"/>
        </w:rPr>
        <w:t xml:space="preserve">one vote. Each share of Class B common stock will be entitled to </w:t>
      </w:r>
      <w:bookmarkStart w:id="1106" w:name="xdx_901_ecustom--NumberOfVotesEntitledPe"/>
      <w:bookmarkEnd w:id="1106"/>
      <w:r>
        <w:rPr>
          <w:rFonts w:ascii="Times New Roman;Times;Serif" w:hAnsi="Times New Roman;Times;Serif"/>
          <w:b w:val="false"/>
          <w:i w:val="false"/>
          <w:caps w:val="false"/>
          <w:smallCaps w:val="false"/>
          <w:sz w:val="20"/>
        </w:rPr>
        <w:t xml:space="preserve">ten votes and will be convertible into </w:t>
      </w:r>
      <w:bookmarkStart w:id="1107" w:name="xdx_905_eus-gaap--ConversionOfStockShare"/>
      <w:bookmarkEnd w:id="1107"/>
      <w:r>
        <w:rPr>
          <w:rFonts w:ascii="Times New Roman;Times;Serif" w:hAnsi="Times New Roman;Times;Serif"/>
          <w:b w:val="false"/>
          <w:i w:val="false"/>
          <w:caps w:val="false"/>
          <w:smallCaps w:val="false"/>
          <w:sz w:val="20"/>
        </w:rPr>
        <w:t>one share of Class A common stock automatically upon transfer, subject to certain exceptions. Holders of Class A common stock and Class B common stock will vote together as a single class on all matters unless otherwise required by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24, 2023, the Company issued warrants in connection with its convertible debt for the purchase of </w:t>
      </w:r>
      <w:bookmarkStart w:id="1108" w:name="xdx_900_eus-gaap--ClassOfWarrantOrRightN"/>
      <w:bookmarkEnd w:id="1108"/>
      <w:r>
        <w:rPr>
          <w:rFonts w:ascii="Times New Roman;Times;Serif" w:hAnsi="Times New Roman;Times;Serif"/>
          <w:b w:val="false"/>
          <w:i w:val="false"/>
          <w:caps w:val="false"/>
          <w:smallCaps w:val="false"/>
          <w:sz w:val="20"/>
        </w:rPr>
        <w:t>142,857 shares (the “Convertible Note Warrants”). The Convertible Note Warrants were accounted for as liabilities and were included in the accrued expenses and other liabilities in the condensed consolidated balance sheets. The Convertible Note Warrants could have required partial cash settlement in the future, included various adjustment provisions, met the definition of a derivative and were classified as a liability, as such the warrants were measured at fair value in accordance with ASC 815 –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 warrants allowed the Investors to purchase an aggregate of </w:t>
      </w:r>
      <w:bookmarkStart w:id="1109" w:name="xdx_90C_eus-gaap--ClassOfWarrantOrRightN"/>
      <w:bookmarkEnd w:id="1109"/>
      <w:r>
        <w:rPr>
          <w:rFonts w:ascii="Times New Roman;Times;Serif" w:hAnsi="Times New Roman;Times;Serif"/>
          <w:b w:val="false"/>
          <w:i w:val="false"/>
          <w:caps w:val="false"/>
          <w:smallCaps w:val="false"/>
          <w:sz w:val="20"/>
        </w:rPr>
        <w:t>142,857 shares of the Company’s Class A common stock at an exercise price of $</w:t>
      </w:r>
      <w:bookmarkStart w:id="1110" w:name="xdx_904_eus-gaap--ClassOfWarrantOrRightE"/>
      <w:bookmarkEnd w:id="1110"/>
      <w:r>
        <w:rPr>
          <w:rFonts w:ascii="Times New Roman;Times;Serif" w:hAnsi="Times New Roman;Times;Serif"/>
          <w:b w:val="false"/>
          <w:i w:val="false"/>
          <w:caps w:val="false"/>
          <w:smallCaps w:val="false"/>
          <w:sz w:val="20"/>
        </w:rPr>
        <w:t>9.45. The warrants could be exercised, subject to certain ownership limitations, in whole or in part during the exercise period commencing on November 24, 2023 and ending on the date that was five years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of the warrants were subject to adjustment for standard anti-dilution provisions and also for subsequent issuance at a price lower than the then exercise price and adjustments to the strike price of other equity-linked instruments to a lower price than the then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their adjustment provisions, the warrants are classified as a liability on the condensed consolidated balance sheet. In January 2024 there was a conversion which triggered anti-dilutive features of the convertible note warrants, decreasing the exercise price and increasing the number of outstanding convertible notes warrants to </w:t>
      </w:r>
      <w:bookmarkStart w:id="1111" w:name="xdx_90C_eus-gaap--ClassOfWarrantOrRightO"/>
      <w:bookmarkEnd w:id="1111"/>
      <w:r>
        <w:rPr>
          <w:rFonts w:ascii="Times New Roman;Times;Serif" w:hAnsi="Times New Roman;Times;Serif"/>
          <w:b w:val="false"/>
          <w:i w:val="false"/>
          <w:caps w:val="false"/>
          <w:smallCaps w:val="false"/>
          <w:sz w:val="20"/>
        </w:rPr>
        <w:t>243,237. The warrants were fully exercised via a cashless exercise. The fair value of the warrants at issuance was estimated using a Black-Scholes pricing model as of December 31, 2025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12" w:name="xdx_8BF_zdPKqFg1oar8"/>
      <w:bookmarkStart w:id="1113" w:name="xdx_89B_eus-gaap--ScheduleOfStockholders"/>
      <w:bookmarkEnd w:id="1112"/>
      <w:bookmarkEnd w:id="1113"/>
      <w:r>
        <w:rPr>
          <w:rFonts w:ascii="Times New Roman;Times;Serif" w:hAnsi="Times New Roman;Times;Serif"/>
          <w:b w:val="false"/>
          <w:i w:val="false"/>
          <w:caps w:val="false"/>
          <w:smallCaps w:val="false"/>
          <w:sz w:val="20"/>
        </w:rPr>
        <w:t>SCHEDULE OF FAIR VALUE OF WARRANTS ESTIMATION USING BLACK-SCHOLES PRICING MODEL </w:t>
      </w:r>
    </w:p>
    <w:tbl>
      <w:tblPr>
        <w:tblW w:w="4559" w:type="dxa"/>
        <w:jc w:val="left"/>
        <w:tblInd w:w="0" w:type="dxa"/>
        <w:tblLayout w:type="fixed"/>
        <w:tblCellMar>
          <w:top w:w="0" w:type="dxa"/>
          <w:left w:w="0" w:type="dxa"/>
          <w:bottom w:w="0" w:type="dxa"/>
          <w:right w:w="0" w:type="dxa"/>
        </w:tblCellMar>
      </w:tblPr>
      <w:tblGrid>
        <w:gridCol w:w="2315"/>
        <w:gridCol w:w="60"/>
        <w:gridCol w:w="470"/>
        <w:gridCol w:w="1484"/>
        <w:gridCol w:w="23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w:t>
            </w:r>
            <w:bookmarkStart w:id="1114" w:name="xdx_982_eus-gaap--SharePrice_iI_c2025123"/>
            <w:bookmarkEnd w:id="1114"/>
          </w:p>
        </w:tc>
        <w:tc>
          <w:tcPr>
            <w:tcW w:w="1484" w:type="dxa"/>
            <w:tcBorders/>
            <w:shd w:fill="CCEEFF" w:val="clear"/>
            <w:vAlign w:val="center"/>
          </w:tcPr>
          <w:p>
            <w:pPr>
              <w:pStyle w:val="TableContents"/>
              <w:bidi w:val="0"/>
              <w:spacing w:before="0" w:after="283"/>
              <w:jc w:val="right"/>
              <w:rPr/>
            </w:pPr>
            <w:r>
              <w:rPr/>
              <w:t>4.45</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w:t>
            </w:r>
            <w:bookmarkStart w:id="1115" w:name="xdx_989_eus-gaap--ShareBasedCompensation"/>
            <w:bookmarkEnd w:id="1115"/>
          </w:p>
        </w:tc>
        <w:tc>
          <w:tcPr>
            <w:tcW w:w="1484" w:type="dxa"/>
            <w:tcBorders/>
            <w:shd w:fill="FFFFFF" w:val="clear"/>
            <w:vAlign w:val="center"/>
          </w:tcPr>
          <w:p>
            <w:pPr>
              <w:pStyle w:val="TableContents"/>
              <w:bidi w:val="0"/>
              <w:spacing w:before="0" w:after="283"/>
              <w:jc w:val="right"/>
              <w:rPr/>
            </w:pPr>
            <w:r>
              <w:rPr/>
              <w:t>4.20</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Contractual term (years)</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bookmarkStart w:id="1116" w:name="xdx_985_eus-gaap--SharebasedCompensation"/>
            <w:bookmarkEnd w:id="1116"/>
          </w:p>
        </w:tc>
        <w:tc>
          <w:tcPr>
            <w:tcW w:w="1484" w:type="dxa"/>
            <w:tcBorders/>
            <w:shd w:fill="CCEEFF" w:val="clear"/>
            <w:vAlign w:val="center"/>
          </w:tcPr>
          <w:p>
            <w:pPr>
              <w:pStyle w:val="TableContents"/>
              <w:bidi w:val="0"/>
              <w:spacing w:before="0" w:after="283"/>
              <w:jc w:val="right"/>
              <w:rPr/>
            </w:pPr>
            <w:r>
              <w:rPr/>
              <w:t>2.90</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bookmarkStart w:id="1117" w:name="xdx_984_eus-gaap--ShareBasedCompensation"/>
            <w:bookmarkEnd w:id="1117"/>
          </w:p>
        </w:tc>
        <w:tc>
          <w:tcPr>
            <w:tcW w:w="1484" w:type="dxa"/>
            <w:tcBorders/>
            <w:shd w:fill="FFFFFF" w:val="clear"/>
            <w:vAlign w:val="center"/>
          </w:tcPr>
          <w:p>
            <w:pPr>
              <w:pStyle w:val="TableContents"/>
              <w:bidi w:val="0"/>
              <w:spacing w:before="0" w:after="283"/>
              <w:jc w:val="right"/>
              <w:rPr/>
            </w:pPr>
            <w:r>
              <w:rPr/>
              <w:t>88.7</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bookmarkStart w:id="1118" w:name="xdx_985_eus-gaap--ShareBasedCompensation"/>
            <w:bookmarkEnd w:id="1118"/>
          </w:p>
        </w:tc>
        <w:tc>
          <w:tcPr>
            <w:tcW w:w="1484" w:type="dxa"/>
            <w:tcBorders/>
            <w:shd w:fill="CCEEFF" w:val="clear"/>
            <w:vAlign w:val="center"/>
          </w:tcPr>
          <w:p>
            <w:pPr>
              <w:pStyle w:val="TableContents"/>
              <w:bidi w:val="0"/>
              <w:spacing w:before="0" w:after="283"/>
              <w:jc w:val="right"/>
              <w:rPr/>
            </w:pPr>
            <w:r>
              <w:rPr/>
              <w:t>3.51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119" w:name="xdx_8A7_zc6TesXDvc2"/>
      <w:bookmarkEnd w:id="111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Expected volatility is the estimate of the expected volatility of the Company’s Class A common stock, based on the Company’s weekly trading history then reduced by </w:t>
      </w:r>
      <w:bookmarkStart w:id="1120" w:name="xdx_90E_eus-gaap--ShareBasedCompensation"/>
      <w:bookmarkEnd w:id="1120"/>
      <w:r>
        <w:rPr>
          <w:rFonts w:ascii="Times New Roman;Times;Serif" w:hAnsi="Times New Roman;Times;Serif"/>
          <w:b w:val="false"/>
          <w:i w:val="false"/>
          <w:caps w:val="false"/>
          <w:smallCaps w:val="false"/>
          <w:sz w:val="20"/>
        </w:rPr>
        <w:t>5% as it is generally accepted that market participants to not pay for the full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liability, which uses level 3 inputs, is to be measured at fair value each reporting period with the change in fair value being recognized in other income. The measured fair value may be uncertain due to the use of unobservable inputs. At June 30, 2026 and December 31, 2025, the fair value of the warrant liability was $</w:t>
      </w:r>
      <w:bookmarkStart w:id="1121" w:name="xdx_90C_eus-gaap--DerivativeFairValueOfD"/>
      <w:bookmarkEnd w:id="1121"/>
      <w:r>
        <w:rPr>
          <w:rFonts w:ascii="Times New Roman;Times;Serif" w:hAnsi="Times New Roman;Times;Serif"/>
          <w:b w:val="false"/>
          <w:i w:val="false"/>
          <w:caps w:val="false"/>
          <w:smallCaps w:val="false"/>
          <w:sz w:val="20"/>
        </w:rPr>
        <w:t>0 and $</w:t>
      </w:r>
      <w:bookmarkStart w:id="1122" w:name="xdx_902_eus-gaap--DerivativeFairValueOfD"/>
      <w:bookmarkEnd w:id="1122"/>
      <w:r>
        <w:rPr>
          <w:rFonts w:ascii="Times New Roman;Times;Serif" w:hAnsi="Times New Roman;Times;Serif"/>
          <w:b w:val="false"/>
          <w:i w:val="false"/>
          <w:caps w:val="false"/>
          <w:smallCaps w:val="false"/>
          <w:sz w:val="20"/>
        </w:rPr>
        <w:t>632,876, respectively, and was included in the accrued expenses and other liabilities in the Company’s condensed consolidated balance sheets. The changes in fair value during the three and six months ended June 30, 2026, respectively, amounted to a loss of $</w:t>
      </w:r>
      <w:bookmarkStart w:id="1123" w:name="xdx_903_eus-gaap--OtherIncome_c20260401_"/>
      <w:bookmarkEnd w:id="1123"/>
      <w:r>
        <w:rPr>
          <w:rFonts w:ascii="Times New Roman;Times;Serif" w:hAnsi="Times New Roman;Times;Serif"/>
          <w:b w:val="false"/>
          <w:i w:val="false"/>
          <w:caps w:val="false"/>
          <w:smallCaps w:val="false"/>
          <w:sz w:val="20"/>
        </w:rPr>
        <w:t>304,862 and income of $</w:t>
      </w:r>
      <w:bookmarkStart w:id="1124" w:name="xdx_90F_eus-gaap--OtherIncome_c20260101_"/>
      <w:bookmarkEnd w:id="1124"/>
      <w:r>
        <w:rPr>
          <w:rFonts w:ascii="Times New Roman;Times;Serif" w:hAnsi="Times New Roman;Times;Serif"/>
          <w:b w:val="false"/>
          <w:i w:val="false"/>
          <w:caps w:val="false"/>
          <w:smallCaps w:val="false"/>
          <w:sz w:val="20"/>
        </w:rPr>
        <w:t>26,336 included in other income in our condensed consolidated statements of operations and comprehensive loss. The changes in fair value during the three and six months ended June 30, 2025, amounted to a loss and income of $</w:t>
      </w:r>
      <w:bookmarkStart w:id="1125" w:name="xdx_909_eus-gaap--OtherIncome_c20250401_"/>
      <w:bookmarkEnd w:id="1125"/>
      <w:r>
        <w:rPr>
          <w:rFonts w:ascii="Times New Roman;Times;Serif" w:hAnsi="Times New Roman;Times;Serif"/>
          <w:b w:val="false"/>
          <w:i w:val="false"/>
          <w:caps w:val="false"/>
          <w:smallCaps w:val="false"/>
          <w:sz w:val="20"/>
        </w:rPr>
        <w:t>429,403 and $</w:t>
      </w:r>
      <w:bookmarkStart w:id="1126" w:name="xdx_90F_eus-gaap--OtherIncome_c20250101_"/>
      <w:bookmarkEnd w:id="1126"/>
      <w:r>
        <w:rPr>
          <w:rFonts w:ascii="Times New Roman;Times;Serif" w:hAnsi="Times New Roman;Times;Serif"/>
          <w:b w:val="false"/>
          <w:i w:val="false"/>
          <w:caps w:val="false"/>
          <w:smallCaps w:val="false"/>
          <w:sz w:val="20"/>
        </w:rPr>
        <w:t>58,455, respectively, included in other income in our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Investors exercised </w:t>
      </w:r>
      <w:bookmarkStart w:id="1127" w:name="xdx_901_eus-gaap--ClassOfWarrantOrRightN"/>
      <w:bookmarkEnd w:id="1127"/>
      <w:r>
        <w:rPr>
          <w:rFonts w:ascii="Times New Roman;Times;Serif" w:hAnsi="Times New Roman;Times;Serif"/>
          <w:b w:val="false"/>
          <w:i w:val="false"/>
          <w:caps w:val="false"/>
          <w:smallCaps w:val="false"/>
          <w:sz w:val="20"/>
        </w:rPr>
        <w:t xml:space="preserve">243,237 of the outstanding convertible note warrants via a cashless exercise for which they received </w:t>
      </w:r>
      <w:bookmarkStart w:id="1128" w:name="xdx_900_eus-gaap--StockIssuedDuringPerio"/>
      <w:bookmarkEnd w:id="1128"/>
      <w:r>
        <w:rPr>
          <w:rFonts w:ascii="Times New Roman;Times;Serif" w:hAnsi="Times New Roman;Times;Serif"/>
          <w:b w:val="false"/>
          <w:i w:val="false"/>
          <w:caps w:val="false"/>
          <w:smallCaps w:val="false"/>
          <w:sz w:val="20"/>
        </w:rPr>
        <w:t>148,612 shares of our Class A common stock and the Company recorded a loss of $</w:t>
      </w:r>
      <w:bookmarkStart w:id="1129" w:name="xdx_909_eus-gaap--StockIssuedDuringPerio"/>
      <w:bookmarkEnd w:id="1129"/>
      <w:r>
        <w:rPr>
          <w:rFonts w:ascii="Times New Roman;Times;Serif" w:hAnsi="Times New Roman;Times;Serif"/>
          <w:b w:val="false"/>
          <w:i w:val="false"/>
          <w:caps w:val="false"/>
          <w:smallCaps w:val="false"/>
          <w:sz w:val="20"/>
        </w:rPr>
        <w:t xml:space="preserve">304,862 upon revaluation of the exercised warrants. During the six months ended June 30, 2025, the Investors exercised </w:t>
      </w:r>
      <w:bookmarkStart w:id="1130" w:name="xdx_90C_eus-gaap--ClassOfWarrantOrRightN"/>
      <w:bookmarkEnd w:id="1130"/>
      <w:r>
        <w:rPr>
          <w:rFonts w:ascii="Times New Roman;Times;Serif" w:hAnsi="Times New Roman;Times;Serif"/>
          <w:b w:val="false"/>
          <w:i w:val="false"/>
          <w:caps w:val="false"/>
          <w:smallCaps w:val="false"/>
          <w:sz w:val="20"/>
        </w:rPr>
        <w:t>37,857 warrants, for which the Company received $</w:t>
      </w:r>
      <w:bookmarkStart w:id="1131" w:name="xdx_90D_eus-gaap--ProceedsFromWarrantExe"/>
      <w:bookmarkEnd w:id="1131"/>
      <w:r>
        <w:rPr>
          <w:rFonts w:ascii="Times New Roman;Times;Serif" w:hAnsi="Times New Roman;Times;Serif"/>
          <w:b w:val="false"/>
          <w:i w:val="false"/>
          <w:caps w:val="false"/>
          <w:smallCaps w:val="false"/>
          <w:sz w:val="20"/>
        </w:rPr>
        <w:t>159,000 in proceeds and recorded a loss of $</w:t>
      </w:r>
      <w:bookmarkStart w:id="1132" w:name="xdx_90B_ecustom--GainLossOnRevaluationOf"/>
      <w:bookmarkEnd w:id="1132"/>
      <w:r>
        <w:rPr>
          <w:rFonts w:ascii="Times New Roman;Times;Serif" w:hAnsi="Times New Roman;Times;Serif"/>
          <w:b w:val="false"/>
          <w:i w:val="false"/>
          <w:caps w:val="false"/>
          <w:smallCaps w:val="false"/>
          <w:sz w:val="20"/>
        </w:rPr>
        <w:t xml:space="preserve">128,085 upon revaluation of the exercised warrants. The losses are included in other income in our condensed consolidated statements of our operations and comprehensive loss. As of June 30, 2026, all </w:t>
      </w:r>
      <w:bookmarkStart w:id="1133" w:name="xdx_906_eus-gaap--ClassOfWarrantOrRightN"/>
      <w:bookmarkEnd w:id="1133"/>
      <w:r>
        <w:rPr>
          <w:rFonts w:ascii="Times New Roman;Times;Serif" w:hAnsi="Times New Roman;Times;Serif"/>
          <w:b w:val="false"/>
          <w:i w:val="false"/>
          <w:caps w:val="false"/>
          <w:smallCaps w:val="false"/>
          <w:sz w:val="20"/>
        </w:rPr>
        <w:t>243,237 of convertible notes warrants have been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34" w:name="xdx_89C_ecustom--ScheduleOfChangesInFair"/>
      <w:bookmarkEnd w:id="1134"/>
      <w:r>
        <w:rPr>
          <w:rFonts w:ascii="Times New Roman;Times;Serif" w:hAnsi="Times New Roman;Times;Serif"/>
          <w:b w:val="false"/>
          <w:i w:val="false"/>
          <w:caps w:val="false"/>
          <w:smallCaps w:val="false"/>
          <w:sz w:val="20"/>
        </w:rPr>
        <w:t>The Convertible Notes Warrants were initially measured at fair value and are being re-measured at fair value at each subsequent reporting date. The change in fair value during the three and six months ended June 30, 2026 and 2025,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35" w:name="xdx_8BF_zldlCEeYTFQl"/>
      <w:bookmarkEnd w:id="1135"/>
      <w:r>
        <w:rPr>
          <w:rFonts w:ascii="Times New Roman;Times;Serif" w:hAnsi="Times New Roman;Times;Serif"/>
          <w:b w:val="false"/>
          <w:i w:val="false"/>
          <w:caps w:val="false"/>
          <w:smallCaps w:val="false"/>
          <w:sz w:val="20"/>
        </w:rPr>
        <w:t>SCHEDULE OF CHANGE IN FAIR VALUE OF WARRANTS  </w:t>
      </w:r>
    </w:p>
    <w:tbl>
      <w:tblPr>
        <w:tblW w:w="5730" w:type="dxa"/>
        <w:jc w:val="left"/>
        <w:tblInd w:w="0" w:type="dxa"/>
        <w:tblLayout w:type="fixed"/>
        <w:tblCellMar>
          <w:top w:w="0" w:type="dxa"/>
          <w:left w:w="0" w:type="dxa"/>
          <w:bottom w:w="0" w:type="dxa"/>
          <w:right w:w="0" w:type="dxa"/>
        </w:tblCellMar>
      </w:tblPr>
      <w:tblGrid>
        <w:gridCol w:w="3380"/>
        <w:gridCol w:w="60"/>
        <w:gridCol w:w="140"/>
        <w:gridCol w:w="875"/>
        <w:gridCol w:w="95"/>
        <w:gridCol w:w="60"/>
        <w:gridCol w:w="64"/>
        <w:gridCol w:w="946"/>
        <w:gridCol w:w="11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6" w:name="xdx_4B2_zwwL3ZKcRXhk"/>
            <w:bookmarkEnd w:id="1136"/>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7" w:name="xdx_4B5_us-gaap--StatementEquityComponen"/>
            <w:bookmarkEnd w:id="1137"/>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138" w:name="xdx_98A_eus-gaap--FairValueMeasurementWi"/>
            <w:bookmarkEnd w:id="1138"/>
          </w:p>
        </w:tc>
        <w:tc>
          <w:tcPr>
            <w:tcW w:w="875" w:type="dxa"/>
            <w:tcBorders/>
            <w:shd w:fill="CCEEFF" w:val="clear"/>
            <w:vAlign w:val="center"/>
          </w:tcPr>
          <w:p>
            <w:pPr>
              <w:pStyle w:val="TableContents"/>
              <w:bidi w:val="0"/>
              <w:spacing w:before="0" w:after="283"/>
              <w:jc w:val="right"/>
              <w:rPr/>
            </w:pPr>
            <w:r>
              <w:rPr/>
              <w:t>632,876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1139" w:name="xdx_98F_eus-gaap--ShareBasedCompensation"/>
            <w:bookmarkEnd w:id="1139"/>
          </w:p>
        </w:tc>
        <w:tc>
          <w:tcPr>
            <w:tcW w:w="946" w:type="dxa"/>
            <w:tcBorders/>
            <w:shd w:fill="CCEEFF" w:val="clear"/>
            <w:vAlign w:val="center"/>
          </w:tcPr>
          <w:p>
            <w:pPr>
              <w:pStyle w:val="TableContents"/>
              <w:bidi w:val="0"/>
              <w:spacing w:before="0" w:after="283"/>
              <w:jc w:val="right"/>
              <w:rPr/>
            </w:pPr>
            <w:r>
              <w:rPr/>
              <w:t>243,237</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140" w:name="xdx_983_eus-gaap--FairValueAdjustmentOfW"/>
            <w:bookmarkEnd w:id="1140"/>
          </w:p>
        </w:tc>
        <w:tc>
          <w:tcPr>
            <w:tcW w:w="875" w:type="dxa"/>
            <w:tcBorders/>
            <w:shd w:fill="FFFFFF" w:val="clear"/>
            <w:vAlign w:val="center"/>
          </w:tcPr>
          <w:p>
            <w:pPr>
              <w:pStyle w:val="TableContents"/>
              <w:bidi w:val="0"/>
              <w:spacing w:before="0" w:after="283"/>
              <w:jc w:val="right"/>
              <w:rPr/>
            </w:pPr>
            <w:r>
              <w:rPr/>
              <w:t>(331,197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1141" w:name="xdx_987_eus-gaap--ShareBasedCompensation"/>
            <w:bookmarkEnd w:id="1141"/>
          </w:p>
        </w:tc>
        <w:tc>
          <w:tcPr>
            <w:tcW w:w="94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42" w:name="xdx_98D_ecustom--FairValueMeasurementWit"/>
            <w:bookmarkEnd w:id="1142"/>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43" w:name="xdx_98B_eus-gaap--ShareBasedCompensation"/>
            <w:bookmarkEnd w:id="1143"/>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b/>
              </w:rPr>
            </w:pPr>
            <w:r>
              <w:rPr>
                <w:b/>
              </w:rPr>
              <w:t>Fair value, at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1144" w:name="xdx_98D_eus-gaap--FairValueMeasurementWi"/>
            <w:bookmarkEnd w:id="1144"/>
          </w:p>
        </w:tc>
        <w:tc>
          <w:tcPr>
            <w:tcW w:w="875" w:type="dxa"/>
            <w:tcBorders/>
            <w:shd w:fill="FFFFFF" w:val="clear"/>
            <w:vAlign w:val="center"/>
          </w:tcPr>
          <w:p>
            <w:pPr>
              <w:pStyle w:val="TableContents"/>
              <w:bidi w:val="0"/>
              <w:spacing w:before="0" w:after="283"/>
              <w:jc w:val="right"/>
              <w:rPr/>
            </w:pPr>
            <w:r>
              <w:rPr/>
              <w:t>301,679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1145" w:name="xdx_981_eus-gaap--ShareBasedCompensation"/>
            <w:bookmarkEnd w:id="1145"/>
          </w:p>
        </w:tc>
        <w:tc>
          <w:tcPr>
            <w:tcW w:w="946" w:type="dxa"/>
            <w:tcBorders/>
            <w:shd w:fill="FFFFFF" w:val="clear"/>
            <w:vAlign w:val="center"/>
          </w:tcPr>
          <w:p>
            <w:pPr>
              <w:pStyle w:val="TableContents"/>
              <w:bidi w:val="0"/>
              <w:spacing w:before="0" w:after="283"/>
              <w:jc w:val="right"/>
              <w:rPr/>
            </w:pPr>
            <w:r>
              <w:rPr/>
              <w:t>243,237</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146" w:name="xdx_987_eus-gaap--FairValueAdjustmentOfW"/>
            <w:bookmarkEnd w:id="1146"/>
          </w:p>
        </w:tc>
        <w:tc>
          <w:tcPr>
            <w:tcW w:w="875" w:type="dxa"/>
            <w:tcBorders/>
            <w:shd w:fill="CCEEFF" w:val="clear"/>
            <w:vAlign w:val="center"/>
          </w:tcPr>
          <w:p>
            <w:pPr>
              <w:pStyle w:val="TableContents"/>
              <w:bidi w:val="0"/>
              <w:spacing w:before="0" w:after="283"/>
              <w:jc w:val="right"/>
              <w:rPr/>
            </w:pPr>
            <w:r>
              <w:rPr/>
              <w:t>304,862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1147" w:name="xdx_98C_eus-gaap--ShareBasedCompensation"/>
            <w:bookmarkEnd w:id="1147"/>
          </w:p>
        </w:tc>
        <w:tc>
          <w:tcPr>
            <w:tcW w:w="94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Exercises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48" w:name="xdx_986_ecustom--FairValueMeasurementWit"/>
            <w:bookmarkEnd w:id="1148"/>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(606,541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49" w:name="xdx_987_eus-gaap--ShareBasedCompensation"/>
            <w:bookmarkEnd w:id="1149"/>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(243,237</w:t>
            </w:r>
          </w:p>
        </w:tc>
        <w:tc>
          <w:tcPr>
            <w:tcW w:w="110" w:type="dxa"/>
            <w:tcBorders/>
            <w:shd w:fill="FFFFFF" w:val="clear"/>
            <w:vAlign w:val="center"/>
          </w:tcPr>
          <w:p>
            <w:pPr>
              <w:pStyle w:val="TableContents"/>
              <w:bidi w:val="0"/>
              <w:spacing w:before="0" w:after="283"/>
              <w:jc w:val="left"/>
              <w:rPr/>
            </w:pPr>
            <w:r>
              <w:rPr/>
              <w:t>)</w:t>
            </w:r>
          </w:p>
        </w:tc>
      </w:tr>
      <w:tr>
        <w:trPr/>
        <w:tc>
          <w:tcPr>
            <w:tcW w:w="3380" w:type="dxa"/>
            <w:tcBorders/>
            <w:shd w:fill="CCEEFF" w:val="clear"/>
            <w:vAlign w:val="center"/>
          </w:tcPr>
          <w:p>
            <w:pPr>
              <w:pStyle w:val="TableContents"/>
              <w:bidi w:val="0"/>
              <w:spacing w:before="0" w:after="283"/>
              <w:jc w:val="left"/>
              <w:rPr>
                <w:b/>
              </w:rPr>
            </w:pPr>
            <w:r>
              <w:rPr>
                <w:b/>
              </w:rPr>
              <w:t>Fair value, at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150" w:name="xdx_987_eus-gaap--FairValueMeasurementWi"/>
            <w:bookmarkEnd w:id="1150"/>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51" w:name="xdx_980_eus-gaap--ShareBasedCompensation"/>
            <w:bookmarkEnd w:id="1151"/>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3380"/>
        <w:gridCol w:w="60"/>
        <w:gridCol w:w="140"/>
        <w:gridCol w:w="980"/>
        <w:gridCol w:w="95"/>
        <w:gridCol w:w="60"/>
        <w:gridCol w:w="70"/>
        <w:gridCol w:w="940"/>
        <w:gridCol w:w="11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2" w:name="xdx_4B2_zrdtHEV6vFJ"/>
            <w:bookmarkEnd w:id="1152"/>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3" w:name="xdx_4B5_us-gaap--StatementEquityComponen"/>
            <w:bookmarkEnd w:id="1153"/>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154" w:name="xdx_983_eus-gaap--FairValueMeasurementWi"/>
            <w:bookmarkEnd w:id="1154"/>
          </w:p>
        </w:tc>
        <w:tc>
          <w:tcPr>
            <w:tcW w:w="980" w:type="dxa"/>
            <w:tcBorders/>
            <w:shd w:fill="CCEEFF" w:val="clear"/>
            <w:vAlign w:val="center"/>
          </w:tcPr>
          <w:p>
            <w:pPr>
              <w:pStyle w:val="TableContents"/>
              <w:bidi w:val="0"/>
              <w:spacing w:before="0" w:after="283"/>
              <w:jc w:val="right"/>
              <w:rPr/>
            </w:pPr>
            <w:r>
              <w:rPr/>
              <w:t>1,448,109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155" w:name="xdx_983_eus-gaap--ShareBasedCompensation"/>
            <w:bookmarkEnd w:id="1155"/>
          </w:p>
        </w:tc>
        <w:tc>
          <w:tcPr>
            <w:tcW w:w="940" w:type="dxa"/>
            <w:tcBorders/>
            <w:shd w:fill="CCEEFF" w:val="clear"/>
            <w:vAlign w:val="center"/>
          </w:tcPr>
          <w:p>
            <w:pPr>
              <w:pStyle w:val="TableContents"/>
              <w:bidi w:val="0"/>
              <w:spacing w:before="0" w:after="283"/>
              <w:jc w:val="right"/>
              <w:rPr/>
            </w:pPr>
            <w:r>
              <w:rPr/>
              <w:t>281,094</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156" w:name="xdx_98F_eus-gaap--FairValueAdjustmentOfW"/>
            <w:bookmarkEnd w:id="1156"/>
          </w:p>
        </w:tc>
        <w:tc>
          <w:tcPr>
            <w:tcW w:w="980" w:type="dxa"/>
            <w:tcBorders/>
            <w:shd w:fill="FFFFFF" w:val="clear"/>
            <w:vAlign w:val="center"/>
          </w:tcPr>
          <w:p>
            <w:pPr>
              <w:pStyle w:val="TableContents"/>
              <w:bidi w:val="0"/>
              <w:spacing w:before="0" w:after="283"/>
              <w:jc w:val="right"/>
              <w:rPr/>
            </w:pPr>
            <w:r>
              <w:rPr/>
              <w:t>(487,857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bookmarkStart w:id="1157" w:name="xdx_98A_eus-gaap--ShareBasedCompensation"/>
            <w:bookmarkEnd w:id="1157"/>
          </w:p>
        </w:tc>
        <w:tc>
          <w:tcPr>
            <w:tcW w:w="9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58" w:name="xdx_988_ecustom--FairValueMeasurementWit"/>
            <w:bookmarkEnd w:id="115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(323,113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59" w:name="xdx_98B_eus-gaap--ShareBasedCompensation"/>
            <w:bookmarkEnd w:id="1159"/>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(37,857</w:t>
            </w:r>
          </w:p>
        </w:tc>
        <w:tc>
          <w:tcPr>
            <w:tcW w:w="110" w:type="dxa"/>
            <w:tcBorders/>
            <w:shd w:fill="CCEEFF" w:val="clear"/>
            <w:vAlign w:val="center"/>
          </w:tcPr>
          <w:p>
            <w:pPr>
              <w:pStyle w:val="TableContents"/>
              <w:bidi w:val="0"/>
              <w:spacing w:before="0" w:after="283"/>
              <w:jc w:val="left"/>
              <w:rPr/>
            </w:pPr>
            <w:r>
              <w:rPr/>
              <w:t>)</w:t>
            </w:r>
          </w:p>
        </w:tc>
      </w:tr>
      <w:tr>
        <w:trPr/>
        <w:tc>
          <w:tcPr>
            <w:tcW w:w="3380" w:type="dxa"/>
            <w:tcBorders/>
            <w:shd w:fill="FFFFFF" w:val="clear"/>
            <w:vAlign w:val="center"/>
          </w:tcPr>
          <w:p>
            <w:pPr>
              <w:pStyle w:val="TableContents"/>
              <w:bidi w:val="0"/>
              <w:spacing w:before="0" w:after="283"/>
              <w:jc w:val="left"/>
              <w:rPr>
                <w:b/>
              </w:rPr>
            </w:pPr>
            <w:r>
              <w:rPr>
                <w:b/>
              </w:rPr>
              <w:t>Fair value, at March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1160" w:name="xdx_98E_eus-gaap--FairValueMeasurementWi"/>
            <w:bookmarkEnd w:id="1160"/>
          </w:p>
        </w:tc>
        <w:tc>
          <w:tcPr>
            <w:tcW w:w="980" w:type="dxa"/>
            <w:tcBorders/>
            <w:shd w:fill="FFFFFF" w:val="clear"/>
            <w:vAlign w:val="center"/>
          </w:tcPr>
          <w:p>
            <w:pPr>
              <w:pStyle w:val="TableContents"/>
              <w:bidi w:val="0"/>
              <w:spacing w:before="0" w:after="283"/>
              <w:jc w:val="right"/>
              <w:rPr/>
            </w:pPr>
            <w:r>
              <w:rPr/>
              <w:t>637,139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bookmarkStart w:id="1161" w:name="xdx_985_eus-gaap--ShareBasedCompensation"/>
            <w:bookmarkEnd w:id="1161"/>
          </w:p>
        </w:tc>
        <w:tc>
          <w:tcPr>
            <w:tcW w:w="940" w:type="dxa"/>
            <w:tcBorders/>
            <w:shd w:fill="FFFFFF" w:val="clear"/>
            <w:vAlign w:val="center"/>
          </w:tcPr>
          <w:p>
            <w:pPr>
              <w:pStyle w:val="TableContents"/>
              <w:bidi w:val="0"/>
              <w:spacing w:before="0" w:after="283"/>
              <w:jc w:val="right"/>
              <w:rPr/>
            </w:pPr>
            <w:r>
              <w:rPr/>
              <w:t>243,237</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62" w:name="xdx_986_eus-gaap--FairValueAdjustmentOfW"/>
            <w:bookmarkEnd w:id="1162"/>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429,403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63" w:name="xdx_986_eus-gaap--ShareBasedCompensation"/>
            <w:bookmarkEnd w:id="1163"/>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b/>
              </w:rPr>
            </w:pPr>
            <w:r>
              <w:rPr>
                <w:b/>
              </w:rPr>
              <w:t>Fair value, at June 30,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164" w:name="xdx_98C_eus-gaap--FairValueMeasurementWi"/>
            <w:bookmarkEnd w:id="1164"/>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1,066,542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65" w:name="xdx_983_eus-gaap--ShareBasedCompensation"/>
            <w:bookmarkEnd w:id="1165"/>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243,237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66" w:name="xdx_8A5_zgouCrDrnNQb"/>
      <w:bookmarkEnd w:id="116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Line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the Company entered into a common stock purchase agreement (the “Equity Line Purchase Agreement”) and a registration rights agreement (the “Registration Rights Agreement”) with an investor, pursuant to which the investor has committed to purchase up to $</w:t>
      </w:r>
      <w:bookmarkStart w:id="1167" w:name="xdx_90D_eus-gaap--SaleOfStockConsiderati"/>
      <w:bookmarkEnd w:id="1167"/>
      <w:r>
        <w:rPr>
          <w:rFonts w:ascii="Times New Roman;Times;Serif" w:hAnsi="Times New Roman;Times;Serif"/>
          <w:b w:val="false"/>
          <w:i w:val="false"/>
          <w:caps w:val="false"/>
          <w:smallCaps w:val="false"/>
          <w:sz w:val="20"/>
        </w:rPr>
        <w:t xml:space="preserve">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w:t>
      </w:r>
      <w:bookmarkStart w:id="1168" w:name="xdx_907_eus-gaap--SaleOfStockPercentageO"/>
      <w:bookmarkEnd w:id="1168"/>
      <w:r>
        <w:rPr>
          <w:rFonts w:ascii="Times New Roman;Times;Serif" w:hAnsi="Times New Roman;Times;Serif"/>
          <w:b w:val="false"/>
          <w:i w:val="false"/>
          <w:caps w:val="false"/>
          <w:smallCaps w:val="false"/>
          <w:sz w:val="20"/>
        </w:rPr>
        <w:t>9.99% of the Company’s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with the signing of the Equity Line Purchase Agreement, the Company issued the equity line warrant to purchase </w:t>
      </w:r>
      <w:bookmarkStart w:id="1169" w:name="xdx_90C_eus-gaap--ClassOfWarrantOrRightN"/>
      <w:bookmarkEnd w:id="1169"/>
      <w:r>
        <w:rPr>
          <w:rFonts w:ascii="Times New Roman;Times;Serif" w:hAnsi="Times New Roman;Times;Serif"/>
          <w:b w:val="false"/>
          <w:i w:val="false"/>
          <w:caps w:val="false"/>
          <w:smallCaps w:val="false"/>
          <w:sz w:val="20"/>
        </w:rPr>
        <w:t>73,529 shares of its Class A common stock to the investor as a commitment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shares for potential issuance on exercise of the warrants, or drawing of the equity line, on a Registration Statement on Form S-1 that was declared effective on October 30, 2023. As of December 31, 2025, we have not sold any Class A common stock under the Equity Line Purchase Agreement and the agreement has expired.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Line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24, 2023, the Company issued a warrant to an investor (the “Equity Line Warrant”) for the purchase of </w:t>
      </w:r>
      <w:bookmarkStart w:id="1170" w:name="xdx_905_eus-gaap--ClassOfWarrantOrRightN"/>
      <w:bookmarkEnd w:id="1170"/>
      <w:r>
        <w:rPr>
          <w:rFonts w:ascii="Times New Roman;Times;Serif" w:hAnsi="Times New Roman;Times;Serif"/>
          <w:b w:val="false"/>
          <w:i w:val="false"/>
          <w:caps w:val="false"/>
          <w:smallCaps w:val="false"/>
          <w:sz w:val="20"/>
        </w:rPr>
        <w:t>73,529 shares of Class A common stock in consideration of the investor’s commitment to purchase Class A common stock. The fair value of the Equity Line Warrant is recorded as a warrant liability and is included in the accrued expenses and other liabilities in the Company’s condensed consolidated balance sheets. The Equity Line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Investors warrants allow them to purchase the </w:t>
      </w:r>
      <w:bookmarkStart w:id="1171" w:name="xdx_901_eus-gaap--ClassOfWarrantOrRightN"/>
      <w:bookmarkEnd w:id="1171"/>
      <w:r>
        <w:rPr>
          <w:rFonts w:ascii="Times New Roman;Times;Serif" w:hAnsi="Times New Roman;Times;Serif"/>
          <w:b w:val="false"/>
          <w:i w:val="false"/>
          <w:caps w:val="false"/>
          <w:smallCaps w:val="false"/>
          <w:sz w:val="20"/>
        </w:rPr>
        <w:t>73,529 shares of the Company’s Class A common stock for an exercise price of $</w:t>
      </w:r>
      <w:bookmarkStart w:id="1172" w:name="xdx_90F_eus-gaap--ClassOfWarrantOrRightE"/>
      <w:bookmarkEnd w:id="1172"/>
      <w:r>
        <w:rPr>
          <w:rFonts w:ascii="Times New Roman;Times;Serif" w:hAnsi="Times New Roman;Times;Serif"/>
          <w:b w:val="false"/>
          <w:i w:val="false"/>
          <w:caps w:val="false"/>
          <w:smallCaps w:val="false"/>
          <w:sz w:val="20"/>
        </w:rPr>
        <w:t>7.50. The warrants can be exercised, subject to certain ownership limitations, in whole or in part during the exercise period commencing on August 24, 2023 and ending on the date that is five years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of the warrants are subject to adjustment for standard anti-dilution provisions, for subsequent common share issuance at a price lower than the then exercise price of the warrants and adjustments to the strike price of other equity-linked instruments to a lower price than the then exercise price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adjustment provision, the warrants are classified as a liability on the consolidated balance sheet. The fair value of the warrants has been estimated using a Black-Scholes pricing model as of June 30, 2026 and December 31, 2025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73" w:name="xdx_8B0_zaqlutGBPjA2"/>
      <w:bookmarkStart w:id="1174" w:name="xdx_895_eus-gaap--ScheduleOfStockholders"/>
      <w:bookmarkEnd w:id="1173"/>
      <w:bookmarkEnd w:id="1174"/>
      <w:r>
        <w:rPr>
          <w:rFonts w:ascii="Times New Roman;Times;Serif" w:hAnsi="Times New Roman;Times;Serif"/>
          <w:b w:val="false"/>
          <w:i w:val="false"/>
          <w:caps w:val="false"/>
          <w:smallCaps w:val="false"/>
          <w:sz w:val="20"/>
        </w:rPr>
        <w:t>SCHEDULE OF FAIR VALUE OF WARRANTS ESTIMATION USING BLACK-SCHOLES PRICING MODEL </w:t>
      </w:r>
    </w:p>
    <w:tbl>
      <w:tblPr>
        <w:tblW w:w="6249" w:type="dxa"/>
        <w:jc w:val="left"/>
        <w:tblInd w:w="0" w:type="dxa"/>
        <w:tblLayout w:type="fixed"/>
        <w:tblCellMar>
          <w:top w:w="0" w:type="dxa"/>
          <w:left w:w="0" w:type="dxa"/>
          <w:bottom w:w="0" w:type="dxa"/>
          <w:right w:w="0" w:type="dxa"/>
        </w:tblCellMar>
      </w:tblPr>
      <w:tblGrid>
        <w:gridCol w:w="2315"/>
        <w:gridCol w:w="60"/>
        <w:gridCol w:w="283"/>
        <w:gridCol w:w="1132"/>
        <w:gridCol w:w="215"/>
        <w:gridCol w:w="60"/>
        <w:gridCol w:w="470"/>
        <w:gridCol w:w="1484"/>
        <w:gridCol w:w="23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bookmarkStart w:id="1175" w:name="xdx_984_eus-gaap--SharePrice_iI_c2026063"/>
            <w:bookmarkEnd w:id="1175"/>
          </w:p>
        </w:tc>
        <w:tc>
          <w:tcPr>
            <w:tcW w:w="1132" w:type="dxa"/>
            <w:tcBorders/>
            <w:shd w:fill="CCEEFF" w:val="clear"/>
            <w:vAlign w:val="center"/>
          </w:tcPr>
          <w:p>
            <w:pPr>
              <w:pStyle w:val="TableContents"/>
              <w:bidi w:val="0"/>
              <w:spacing w:before="0" w:after="283"/>
              <w:jc w:val="right"/>
              <w:rPr/>
            </w:pPr>
            <w:r>
              <w:rPr/>
              <w:t>3.10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w:t>
            </w:r>
            <w:bookmarkStart w:id="1176" w:name="xdx_987_eus-gaap--SharePrice_iI_c2025123"/>
            <w:bookmarkEnd w:id="1176"/>
          </w:p>
        </w:tc>
        <w:tc>
          <w:tcPr>
            <w:tcW w:w="1484" w:type="dxa"/>
            <w:tcBorders/>
            <w:shd w:fill="CCEEFF" w:val="clear"/>
            <w:vAlign w:val="center"/>
          </w:tcPr>
          <w:p>
            <w:pPr>
              <w:pStyle w:val="TableContents"/>
              <w:bidi w:val="0"/>
              <w:spacing w:before="0" w:after="283"/>
              <w:jc w:val="right"/>
              <w:rPr/>
            </w:pPr>
            <w:r>
              <w:rPr/>
              <w:t>4.45</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w:t>
            </w:r>
            <w:bookmarkStart w:id="1177" w:name="xdx_98D_eus-gaap--ShareBasedCompensation"/>
            <w:bookmarkEnd w:id="1177"/>
          </w:p>
        </w:tc>
        <w:tc>
          <w:tcPr>
            <w:tcW w:w="1132" w:type="dxa"/>
            <w:tcBorders/>
            <w:shd w:fill="FFFFFF" w:val="clear"/>
            <w:vAlign w:val="center"/>
          </w:tcPr>
          <w:p>
            <w:pPr>
              <w:pStyle w:val="TableContents"/>
              <w:bidi w:val="0"/>
              <w:spacing w:before="0" w:after="283"/>
              <w:jc w:val="right"/>
              <w:rPr/>
            </w:pPr>
            <w:r>
              <w:rPr/>
              <w:t>7.50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w:t>
            </w:r>
            <w:bookmarkStart w:id="1178" w:name="xdx_982_eus-gaap--ShareBasedCompensation"/>
            <w:bookmarkEnd w:id="1178"/>
          </w:p>
        </w:tc>
        <w:tc>
          <w:tcPr>
            <w:tcW w:w="1484" w:type="dxa"/>
            <w:tcBorders/>
            <w:shd w:fill="FFFFFF" w:val="clear"/>
            <w:vAlign w:val="center"/>
          </w:tcPr>
          <w:p>
            <w:pPr>
              <w:pStyle w:val="TableContents"/>
              <w:bidi w:val="0"/>
              <w:spacing w:before="0" w:after="283"/>
              <w:jc w:val="right"/>
              <w:rPr/>
            </w:pPr>
            <w:r>
              <w:rPr/>
              <w:t>7.50</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Contractual term (years)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1179" w:name="xdx_986_eus-gaap--SharebasedCompensation"/>
            <w:bookmarkEnd w:id="1179"/>
          </w:p>
        </w:tc>
        <w:tc>
          <w:tcPr>
            <w:tcW w:w="1132" w:type="dxa"/>
            <w:tcBorders/>
            <w:shd w:fill="CCEEFF" w:val="clear"/>
            <w:vAlign w:val="center"/>
          </w:tcPr>
          <w:p>
            <w:pPr>
              <w:pStyle w:val="TableContents"/>
              <w:bidi w:val="0"/>
              <w:spacing w:before="0" w:after="283"/>
              <w:jc w:val="right"/>
              <w:rPr/>
            </w:pPr>
            <w:r>
              <w:rPr/>
              <w:t>2.15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bookmarkStart w:id="1180" w:name="xdx_986_eus-gaap--SharebasedCompensation"/>
            <w:bookmarkEnd w:id="1180"/>
          </w:p>
        </w:tc>
        <w:tc>
          <w:tcPr>
            <w:tcW w:w="1484" w:type="dxa"/>
            <w:tcBorders/>
            <w:shd w:fill="CCEEFF" w:val="clear"/>
            <w:vAlign w:val="center"/>
          </w:tcPr>
          <w:p>
            <w:pPr>
              <w:pStyle w:val="TableContents"/>
              <w:bidi w:val="0"/>
              <w:spacing w:before="0" w:after="283"/>
              <w:jc w:val="right"/>
              <w:rPr/>
            </w:pPr>
            <w:r>
              <w:rPr/>
              <w:t>2.65</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1181" w:name="xdx_984_eus-gaap--ShareBasedCompensation"/>
            <w:bookmarkEnd w:id="1181"/>
          </w:p>
        </w:tc>
        <w:tc>
          <w:tcPr>
            <w:tcW w:w="1132" w:type="dxa"/>
            <w:tcBorders/>
            <w:shd w:fill="FFFFFF" w:val="clear"/>
            <w:vAlign w:val="center"/>
          </w:tcPr>
          <w:p>
            <w:pPr>
              <w:pStyle w:val="TableContents"/>
              <w:bidi w:val="0"/>
              <w:spacing w:before="0" w:after="283"/>
              <w:jc w:val="right"/>
              <w:rPr/>
            </w:pPr>
            <w:r>
              <w:rPr/>
              <w:t>154.6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bookmarkStart w:id="1182" w:name="xdx_989_eus-gaap--ShareBasedCompensation"/>
            <w:bookmarkEnd w:id="1182"/>
          </w:p>
        </w:tc>
        <w:tc>
          <w:tcPr>
            <w:tcW w:w="1484" w:type="dxa"/>
            <w:tcBorders/>
            <w:shd w:fill="FFFFFF" w:val="clear"/>
            <w:vAlign w:val="center"/>
          </w:tcPr>
          <w:p>
            <w:pPr>
              <w:pStyle w:val="TableContents"/>
              <w:bidi w:val="0"/>
              <w:spacing w:before="0" w:after="283"/>
              <w:jc w:val="right"/>
              <w:rPr/>
            </w:pPr>
            <w:r>
              <w:rPr/>
              <w:t>98.4</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1183" w:name="xdx_987_eus-gaap--ShareBasedCompensation"/>
            <w:bookmarkEnd w:id="1183"/>
          </w:p>
        </w:tc>
        <w:tc>
          <w:tcPr>
            <w:tcW w:w="1132" w:type="dxa"/>
            <w:tcBorders/>
            <w:shd w:fill="CCEEFF" w:val="clear"/>
            <w:vAlign w:val="center"/>
          </w:tcPr>
          <w:p>
            <w:pPr>
              <w:pStyle w:val="TableContents"/>
              <w:bidi w:val="0"/>
              <w:spacing w:before="0" w:after="283"/>
              <w:jc w:val="right"/>
              <w:rPr/>
            </w:pPr>
            <w:r>
              <w:rPr/>
              <w:t>4.10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bookmarkStart w:id="1184" w:name="xdx_98C_eus-gaap--ShareBasedCompensation"/>
            <w:bookmarkEnd w:id="1184"/>
          </w:p>
        </w:tc>
        <w:tc>
          <w:tcPr>
            <w:tcW w:w="1484" w:type="dxa"/>
            <w:tcBorders/>
            <w:shd w:fill="CCEEFF" w:val="clear"/>
            <w:vAlign w:val="center"/>
          </w:tcPr>
          <w:p>
            <w:pPr>
              <w:pStyle w:val="TableContents"/>
              <w:bidi w:val="0"/>
              <w:spacing w:before="0" w:after="283"/>
              <w:jc w:val="right"/>
              <w:rPr/>
            </w:pPr>
            <w:r>
              <w:rPr/>
              <w:t>3.49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185" w:name="xdx_8A8_zTkovD1RidQl"/>
      <w:bookmarkEnd w:id="118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Expected volatility is the estimate of the expected volatility of the Company’s Class A common stock, based on the Company’s weekly trading history then reduced by </w:t>
      </w:r>
      <w:bookmarkStart w:id="1186" w:name="xdx_906_eus-gaap--ShareBasedCompensation"/>
      <w:bookmarkEnd w:id="1186"/>
      <w:r>
        <w:rPr>
          <w:rFonts w:ascii="Times New Roman;Times;Serif" w:hAnsi="Times New Roman;Times;Serif"/>
          <w:b w:val="false"/>
          <w:i w:val="false"/>
          <w:caps w:val="false"/>
          <w:smallCaps w:val="false"/>
          <w:sz w:val="2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liability, which uses level 3 inputs, is to be measured at fair value at each reporting period and with the change in fair value being recognized in earnings. The measured fair value may be uncertain due to the use of unobservable inputs. At June 30, 2026 and December 31, 2025, the fair value of the warrant liability was $</w:t>
      </w:r>
      <w:bookmarkStart w:id="1187" w:name="xdx_90F_eus-gaap--DerivativeFairValueOfD"/>
      <w:bookmarkEnd w:id="1187"/>
      <w:r>
        <w:rPr>
          <w:rFonts w:ascii="Times New Roman;Times;Serif" w:hAnsi="Times New Roman;Times;Serif"/>
          <w:b w:val="false"/>
          <w:i w:val="false"/>
          <w:caps w:val="false"/>
          <w:smallCaps w:val="false"/>
          <w:sz w:val="20"/>
        </w:rPr>
        <w:t>130,768 and $</w:t>
      </w:r>
      <w:bookmarkStart w:id="1188" w:name="xdx_905_eus-gaap--DerivativeFairValueOfD"/>
      <w:bookmarkEnd w:id="1188"/>
      <w:r>
        <w:rPr>
          <w:rFonts w:ascii="Times New Roman;Times;Serif" w:hAnsi="Times New Roman;Times;Serif"/>
          <w:b w:val="false"/>
          <w:i w:val="false"/>
          <w:caps w:val="false"/>
          <w:smallCaps w:val="false"/>
          <w:sz w:val="20"/>
        </w:rPr>
        <w:t>143,675, respectively, and was included in the accrued expenses and other liabilities in the Company’s condensed consolidated balance sheets. The changes in fair value during the three and six months ended June 30, 2026, amounted to (expense) income of ($</w:t>
      </w:r>
      <w:bookmarkStart w:id="1189" w:name="xdx_907_eus-gaap--OtherNonoperatingIncom"/>
      <w:bookmarkEnd w:id="1189"/>
      <w:r>
        <w:rPr>
          <w:rFonts w:ascii="Times New Roman;Times;Serif" w:hAnsi="Times New Roman;Times;Serif"/>
          <w:b w:val="false"/>
          <w:i w:val="false"/>
          <w:caps w:val="false"/>
          <w:smallCaps w:val="false"/>
          <w:sz w:val="20"/>
        </w:rPr>
        <w:t>66,554) and $</w:t>
      </w:r>
      <w:bookmarkStart w:id="1190" w:name="xdx_90A_eus-gaap--OtherNonoperatingIncom"/>
      <w:bookmarkEnd w:id="1190"/>
      <w:r>
        <w:rPr>
          <w:rFonts w:ascii="Times New Roman;Times;Serif" w:hAnsi="Times New Roman;Times;Serif"/>
          <w:b w:val="false"/>
          <w:i w:val="false"/>
          <w:caps w:val="false"/>
          <w:smallCaps w:val="false"/>
          <w:sz w:val="20"/>
        </w:rPr>
        <w:t>12,907, respectively, and is included in other income in our condensed consolidated statements of operations and comprehensive loss. The changes in fair value during the three and six months ended June 30, 2025, amounted to (expense) income of ($</w:t>
      </w:r>
      <w:bookmarkStart w:id="1191" w:name="xdx_900_eus-gaap--OtherNonoperatingIncom"/>
      <w:bookmarkEnd w:id="1191"/>
      <w:r>
        <w:rPr>
          <w:rFonts w:ascii="Times New Roman;Times;Serif" w:hAnsi="Times New Roman;Times;Serif"/>
          <w:b w:val="false"/>
          <w:i w:val="false"/>
          <w:caps w:val="false"/>
          <w:smallCaps w:val="false"/>
          <w:sz w:val="20"/>
        </w:rPr>
        <w:t>118,732) and $</w:t>
      </w:r>
      <w:bookmarkStart w:id="1192" w:name="xdx_90D_eus-gaap--OtherNonoperatingIncom"/>
      <w:bookmarkEnd w:id="1192"/>
      <w:r>
        <w:rPr>
          <w:rFonts w:ascii="Times New Roman;Times;Serif" w:hAnsi="Times New Roman;Times;Serif"/>
          <w:b w:val="false"/>
          <w:i w:val="false"/>
          <w:caps w:val="false"/>
          <w:smallCaps w:val="false"/>
          <w:sz w:val="20"/>
        </w:rPr>
        <w:t>32,929, respectively, and is included in other income in our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t>
      </w:r>
      <w:bookmarkStart w:id="1193" w:name="xdx_903_eus-gaap--ClassOfWarrantOrRightN"/>
      <w:bookmarkEnd w:id="1193"/>
      <w:r>
        <w:rPr>
          <w:rFonts w:ascii="Times New Roman;Times;Serif" w:hAnsi="Times New Roman;Times;Serif"/>
          <w:b w:val="false"/>
          <w:i w:val="false"/>
          <w:caps w:val="false"/>
          <w:smallCaps w:val="false"/>
          <w:sz w:val="20"/>
        </w:rPr>
        <w:t>6,667 warrants have been exercised.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94" w:name="xdx_89D_ecustom--ScheduleOfChangesInFair"/>
      <w:bookmarkEnd w:id="1194"/>
      <w:r>
        <w:rPr>
          <w:rFonts w:ascii="Times New Roman;Times;Serif" w:hAnsi="Times New Roman;Times;Serif"/>
          <w:b w:val="false"/>
          <w:i w:val="false"/>
          <w:caps w:val="false"/>
          <w:smallCaps w:val="false"/>
          <w:sz w:val="20"/>
        </w:rPr>
        <w:t>The Equity Line Warrants were initially measured at fair value and are being re-measured at fair value at each subsequent reporting date. The change in fair value during the three and six months ended June 30, 2026 and 2025,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95" w:name="xdx_8B7_zWfBVCaplmx9"/>
      <w:bookmarkEnd w:id="1195"/>
      <w:r>
        <w:rPr>
          <w:rFonts w:ascii="Times New Roman;Times;Serif" w:hAnsi="Times New Roman;Times;Serif"/>
          <w:b w:val="false"/>
          <w:i w:val="false"/>
          <w:caps w:val="false"/>
          <w:smallCaps w:val="false"/>
          <w:sz w:val="20"/>
        </w:rPr>
        <w:t>SCHEDULE OF CHANGE IN FAIR VALUE OF WARRANTS </w:t>
      </w:r>
    </w:p>
    <w:tbl>
      <w:tblPr>
        <w:tblW w:w="5620" w:type="dxa"/>
        <w:jc w:val="left"/>
        <w:tblInd w:w="0" w:type="dxa"/>
        <w:tblLayout w:type="fixed"/>
        <w:tblCellMar>
          <w:top w:w="0" w:type="dxa"/>
          <w:left w:w="0" w:type="dxa"/>
          <w:bottom w:w="0" w:type="dxa"/>
          <w:right w:w="0" w:type="dxa"/>
        </w:tblCellMar>
      </w:tblPr>
      <w:tblGrid>
        <w:gridCol w:w="3380"/>
        <w:gridCol w:w="60"/>
        <w:gridCol w:w="140"/>
        <w:gridCol w:w="800"/>
        <w:gridCol w:w="95"/>
        <w:gridCol w:w="60"/>
        <w:gridCol w:w="172"/>
        <w:gridCol w:w="838"/>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6" w:name="xdx_4B1_zYF6BIsibo38"/>
            <w:bookmarkEnd w:id="1196"/>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7" w:name="xdx_4B5_us-gaap--StatementEquityComponen"/>
            <w:bookmarkEnd w:id="1197"/>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198" w:name="xdx_989_eus-gaap--FairValueMeasurementWi"/>
            <w:bookmarkEnd w:id="1198"/>
          </w:p>
        </w:tc>
        <w:tc>
          <w:tcPr>
            <w:tcW w:w="800" w:type="dxa"/>
            <w:tcBorders/>
            <w:shd w:fill="CCEEFF" w:val="clear"/>
            <w:vAlign w:val="center"/>
          </w:tcPr>
          <w:p>
            <w:pPr>
              <w:pStyle w:val="TableContents"/>
              <w:bidi w:val="0"/>
              <w:spacing w:before="0" w:after="283"/>
              <w:jc w:val="right"/>
              <w:rPr/>
            </w:pPr>
            <w:r>
              <w:rPr/>
              <w:t>143,675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bookmarkStart w:id="1199" w:name="xdx_98E_eus-gaap--ShareBasedCompensation"/>
            <w:bookmarkEnd w:id="1199"/>
          </w:p>
        </w:tc>
        <w:tc>
          <w:tcPr>
            <w:tcW w:w="838" w:type="dxa"/>
            <w:tcBorders/>
            <w:shd w:fill="CCEEFF" w:val="clear"/>
            <w:vAlign w:val="center"/>
          </w:tcPr>
          <w:p>
            <w:pPr>
              <w:pStyle w:val="TableContents"/>
              <w:bidi w:val="0"/>
              <w:spacing w:before="0" w:after="283"/>
              <w:jc w:val="right"/>
              <w:rPr/>
            </w:pPr>
            <w:r>
              <w:rPr/>
              <w:t>66,863</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00" w:name="xdx_987_eus-gaap--FairValueAdjustmentOfW"/>
            <w:bookmarkEnd w:id="1200"/>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(79,461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01" w:name="xdx_980_eus-gaap--ShareBasedCompensation"/>
            <w:bookmarkEnd w:id="1201"/>
          </w:p>
        </w:tc>
        <w:tc>
          <w:tcPr>
            <w:tcW w:w="8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202" w:name="xdx_980_eus-gaap--FairValueMeasurementWi"/>
            <w:bookmarkEnd w:id="1202"/>
          </w:p>
        </w:tc>
        <w:tc>
          <w:tcPr>
            <w:tcW w:w="800" w:type="dxa"/>
            <w:tcBorders/>
            <w:shd w:fill="CCEEFF" w:val="clear"/>
            <w:vAlign w:val="center"/>
          </w:tcPr>
          <w:p>
            <w:pPr>
              <w:pStyle w:val="TableContents"/>
              <w:bidi w:val="0"/>
              <w:spacing w:before="0" w:after="283"/>
              <w:jc w:val="right"/>
              <w:rPr/>
            </w:pPr>
            <w:r>
              <w:rPr/>
              <w:t>64,214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bookmarkStart w:id="1203" w:name="xdx_983_eus-gaap--ShareBasedCompensation"/>
            <w:bookmarkEnd w:id="1203"/>
          </w:p>
        </w:tc>
        <w:tc>
          <w:tcPr>
            <w:tcW w:w="838" w:type="dxa"/>
            <w:tcBorders/>
            <w:shd w:fill="CCEEFF" w:val="clear"/>
            <w:vAlign w:val="center"/>
          </w:tcPr>
          <w:p>
            <w:pPr>
              <w:pStyle w:val="TableContents"/>
              <w:bidi w:val="0"/>
              <w:spacing w:before="0" w:after="283"/>
              <w:jc w:val="right"/>
              <w:rPr/>
            </w:pPr>
            <w:r>
              <w:rPr/>
              <w:t>66,863</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04" w:name="xdx_98B_eus-gaap--FairValueAdjustmentOfW"/>
            <w:bookmarkEnd w:id="1204"/>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66,554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05" w:name="xdx_989_eus-gaap--ShareBasedCompensation"/>
            <w:bookmarkEnd w:id="1205"/>
          </w:p>
        </w:tc>
        <w:tc>
          <w:tcPr>
            <w:tcW w:w="8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206" w:name="xdx_98E_eus-gaap--FairValueMeasurementWi"/>
            <w:bookmarkEnd w:id="1206"/>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130,768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207" w:name="xdx_987_eus-gaap--ShareBasedCompensation"/>
            <w:bookmarkEnd w:id="1207"/>
          </w:p>
        </w:tc>
        <w:tc>
          <w:tcPr>
            <w:tcW w:w="838" w:type="dxa"/>
            <w:tcBorders>
              <w:bottom w:val="double" w:sz="6" w:space="0" w:color="000000"/>
            </w:tcBorders>
            <w:shd w:fill="CCEEFF" w:val="clear"/>
            <w:tcMar>
              <w:bottom w:w="28" w:type="dxa"/>
            </w:tcMar>
            <w:vAlign w:val="center"/>
          </w:tcPr>
          <w:p>
            <w:pPr>
              <w:pStyle w:val="TableContents"/>
              <w:bidi w:val="0"/>
              <w:spacing w:before="0" w:after="283"/>
              <w:jc w:val="right"/>
              <w:rPr/>
            </w:pPr>
            <w:r>
              <w:rPr/>
              <w:t>66,863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3380"/>
        <w:gridCol w:w="60"/>
        <w:gridCol w:w="140"/>
        <w:gridCol w:w="875"/>
        <w:gridCol w:w="95"/>
        <w:gridCol w:w="60"/>
        <w:gridCol w:w="81"/>
        <w:gridCol w:w="929"/>
        <w:gridCol w:w="75"/>
      </w:tblGrid>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08" w:name="xdx_4B1_zykIJW0B5H3d"/>
            <w:bookmarkEnd w:id="1208"/>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09" w:name="xdx_4B5_us-gaap--StatementEquityComponen"/>
            <w:bookmarkEnd w:id="1209"/>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75" w:type="dxa"/>
            <w:tcBorders/>
            <w:vAlign w:val="center"/>
          </w:tcPr>
          <w:p>
            <w:pPr>
              <w:pStyle w:val="TableContents"/>
              <w:bidi w:val="0"/>
              <w:spacing w:before="0" w:after="283"/>
              <w:jc w:val="center"/>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210" w:name="xdx_984_eus-gaap--FairValueMeasurementWi"/>
            <w:bookmarkEnd w:id="1210"/>
          </w:p>
        </w:tc>
        <w:tc>
          <w:tcPr>
            <w:tcW w:w="875" w:type="dxa"/>
            <w:tcBorders/>
            <w:shd w:fill="CCEEFF" w:val="clear"/>
            <w:vAlign w:val="center"/>
          </w:tcPr>
          <w:p>
            <w:pPr>
              <w:pStyle w:val="TableContents"/>
              <w:bidi w:val="0"/>
              <w:spacing w:before="0" w:after="283"/>
              <w:jc w:val="right"/>
              <w:rPr/>
            </w:pPr>
            <w:r>
              <w:rPr/>
              <w:t>292,004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1211" w:name="xdx_981_eus-gaap--ShareBasedCompensation"/>
            <w:bookmarkEnd w:id="1211"/>
          </w:p>
        </w:tc>
        <w:tc>
          <w:tcPr>
            <w:tcW w:w="929" w:type="dxa"/>
            <w:tcBorders/>
            <w:shd w:fill="CCEEFF" w:val="clear"/>
            <w:vAlign w:val="center"/>
          </w:tcPr>
          <w:p>
            <w:pPr>
              <w:pStyle w:val="TableContents"/>
              <w:bidi w:val="0"/>
              <w:spacing w:before="0" w:after="283"/>
              <w:jc w:val="right"/>
              <w:rPr/>
            </w:pPr>
            <w:r>
              <w:rPr/>
              <w:t>66,863</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2" w:name="xdx_98C_eus-gaap--FairValueAdjustmentOfW"/>
            <w:bookmarkEnd w:id="1212"/>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(151,661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3" w:name="xdx_98E_eus-gaap--ShareBasedCompensation"/>
            <w:bookmarkEnd w:id="1213"/>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March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214" w:name="xdx_988_eus-gaap--FairValueMeasurementWi"/>
            <w:bookmarkEnd w:id="1214"/>
          </w:p>
        </w:tc>
        <w:tc>
          <w:tcPr>
            <w:tcW w:w="875" w:type="dxa"/>
            <w:tcBorders/>
            <w:shd w:fill="CCEEFF" w:val="clear"/>
            <w:vAlign w:val="center"/>
          </w:tcPr>
          <w:p>
            <w:pPr>
              <w:pStyle w:val="TableContents"/>
              <w:bidi w:val="0"/>
              <w:spacing w:before="0" w:after="283"/>
              <w:jc w:val="right"/>
              <w:rPr/>
            </w:pPr>
            <w:r>
              <w:rPr/>
              <w:t>140,343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1215" w:name="xdx_98A_eus-gaap--ShareBasedCompensation"/>
            <w:bookmarkEnd w:id="1215"/>
          </w:p>
        </w:tc>
        <w:tc>
          <w:tcPr>
            <w:tcW w:w="929" w:type="dxa"/>
            <w:tcBorders/>
            <w:shd w:fill="CCEEFF" w:val="clear"/>
            <w:vAlign w:val="center"/>
          </w:tcPr>
          <w:p>
            <w:pPr>
              <w:pStyle w:val="TableContents"/>
              <w:bidi w:val="0"/>
              <w:spacing w:before="0" w:after="283"/>
              <w:jc w:val="right"/>
              <w:rPr/>
            </w:pPr>
            <w:r>
              <w:rPr/>
              <w:t>66,863</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6" w:name="xdx_984_eus-gaap--FairValueAdjustmentOfW"/>
            <w:bookmarkEnd w:id="1216"/>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118,732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7" w:name="xdx_983_eus-gaap--ShareBasedCompensation"/>
            <w:bookmarkEnd w:id="1217"/>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June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218" w:name="xdx_98E_eus-gaap--FairValueMeasurementWi"/>
            <w:bookmarkEnd w:id="1218"/>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259,075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19" w:name="xdx_989_eus-gaap--ShareBasedCompensation"/>
            <w:bookmarkEnd w:id="1219"/>
          </w:p>
        </w:tc>
        <w:tc>
          <w:tcPr>
            <w:tcW w:w="929" w:type="dxa"/>
            <w:tcBorders>
              <w:bottom w:val="double" w:sz="6" w:space="0" w:color="000000"/>
            </w:tcBorders>
            <w:shd w:fill="CCEEFF" w:val="clear"/>
            <w:tcMar>
              <w:bottom w:w="28" w:type="dxa"/>
            </w:tcMar>
            <w:vAlign w:val="center"/>
          </w:tcPr>
          <w:p>
            <w:pPr>
              <w:pStyle w:val="TableContents"/>
              <w:bidi w:val="0"/>
              <w:spacing w:before="0" w:after="283"/>
              <w:jc w:val="right"/>
              <w:rPr/>
            </w:pPr>
            <w:r>
              <w:rPr/>
              <w:t>66,863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20" w:name="xdx_8A0_zuOthiLulxEd"/>
      <w:bookmarkEnd w:id="1220"/>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RSUs granted to directors vest based on the directors’ continued employment with us through each applicable vest date, which is generally over </w:t>
      </w:r>
      <w:bookmarkStart w:id="1221" w:name="xdx_907_eus-gaap--ShareBasedCompensation"/>
      <w:bookmarkEnd w:id="1221"/>
      <w:r>
        <w:rPr>
          <w:rFonts w:ascii="Times New Roman;Times;Serif" w:hAnsi="Times New Roman;Times;Serif"/>
          <w:b w:val="false"/>
          <w:i w:val="false"/>
          <w:caps w:val="false"/>
          <w:smallCaps w:val="false"/>
          <w:sz w:val="20"/>
        </w:rPr>
        <w:t>one year. If the vesting conditions are not met, unvested RSUs will be forfeited. The following table summarizes our RSU units’ activity with directors for the six months ended June 30, 2026 and 2025, respectively: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22" w:name="xdx_8B2_zGP0bhlhDwSl"/>
      <w:bookmarkStart w:id="1223" w:name="xdx_892_eus-gaap--ScheduleOfShareBasedCo"/>
      <w:bookmarkEnd w:id="1222"/>
      <w:bookmarkEnd w:id="1223"/>
      <w:r>
        <w:rPr>
          <w:rFonts w:ascii="Times New Roman;Times;Serif" w:hAnsi="Times New Roman;Times;Serif"/>
          <w:b w:val="false"/>
          <w:i w:val="false"/>
          <w:caps w:val="false"/>
          <w:smallCaps w:val="false"/>
          <w:sz w:val="20"/>
        </w:rPr>
        <w:t>SCHEDULE OF RESTRICTED STOCK UNITS ACTIVITY </w:t>
      </w:r>
    </w:p>
    <w:tbl>
      <w:tblPr>
        <w:tblW w:w="5538" w:type="dxa"/>
        <w:jc w:val="left"/>
        <w:tblInd w:w="0" w:type="dxa"/>
        <w:tblLayout w:type="fixed"/>
        <w:tblCellMar>
          <w:top w:w="0" w:type="dxa"/>
          <w:left w:w="0" w:type="dxa"/>
          <w:bottom w:w="0" w:type="dxa"/>
          <w:right w:w="0" w:type="dxa"/>
        </w:tblCellMar>
      </w:tblPr>
      <w:tblGrid>
        <w:gridCol w:w="3275"/>
        <w:gridCol w:w="60"/>
        <w:gridCol w:w="70"/>
        <w:gridCol w:w="894"/>
        <w:gridCol w:w="95"/>
        <w:gridCol w:w="60"/>
        <w:gridCol w:w="243"/>
        <w:gridCol w:w="766"/>
        <w:gridCol w:w="75"/>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January 1, 2026</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224" w:name="xdx_982_eus-gaap--ShareBasedCompensation"/>
            <w:bookmarkEnd w:id="1224"/>
          </w:p>
        </w:tc>
        <w:tc>
          <w:tcPr>
            <w:tcW w:w="894" w:type="dxa"/>
            <w:tcBorders/>
            <w:shd w:fill="CCEEFF" w:val="clear"/>
            <w:vAlign w:val="center"/>
          </w:tcPr>
          <w:p>
            <w:pPr>
              <w:pStyle w:val="TableContents"/>
              <w:bidi w:val="0"/>
              <w:spacing w:before="0" w:after="283"/>
              <w:jc w:val="right"/>
              <w:rPr/>
            </w:pPr>
            <w:r>
              <w:rPr/>
              <w:t>13,333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bookmarkStart w:id="1225" w:name="xdx_988_eus-gaap--ShareBasedCompensation"/>
            <w:bookmarkEnd w:id="1225"/>
          </w:p>
        </w:tc>
        <w:tc>
          <w:tcPr>
            <w:tcW w:w="766" w:type="dxa"/>
            <w:tcBorders/>
            <w:shd w:fill="CCEEFF" w:val="clear"/>
            <w:vAlign w:val="center"/>
          </w:tcPr>
          <w:p>
            <w:pPr>
              <w:pStyle w:val="TableContents"/>
              <w:bidi w:val="0"/>
              <w:spacing w:before="0" w:after="283"/>
              <w:jc w:val="right"/>
              <w:rPr/>
            </w:pPr>
            <w:r>
              <w:rPr/>
              <w:t>6.75</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226" w:name="xdx_98D_eus-gaap--ShareBasedCompensation"/>
            <w:bookmarkEnd w:id="1226"/>
            <w:r>
              <w:rPr>
                <w:rFonts w:ascii="Times New Roman;Times;Serif" w:hAnsi="Times New Roman;Times;Serif"/>
                <w:b w:val="false"/>
                <w:i w:val="false"/>
                <w:caps w:val="false"/>
                <w:smallCaps w:val="false"/>
                <w:sz w:val="20"/>
              </w:rPr>
              <w:t>39,216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227" w:name="xdx_98F_eus-gaap--ShareBasedCompensation"/>
            <w:bookmarkEnd w:id="1227"/>
            <w:r>
              <w:rPr>
                <w:rFonts w:ascii="Times New Roman;Times;Serif" w:hAnsi="Times New Roman;Times;Serif"/>
                <w:b w:val="false"/>
                <w:i w:val="false"/>
                <w:caps w:val="false"/>
                <w:smallCaps w:val="false"/>
                <w:sz w:val="20"/>
              </w:rPr>
              <w:t>4.59</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228" w:name="xdx_986_eus-gaap--ShareBasedCompensation"/>
            <w:bookmarkEnd w:id="1228"/>
          </w:p>
        </w:tc>
        <w:tc>
          <w:tcPr>
            <w:tcW w:w="894" w:type="dxa"/>
            <w:tcBorders/>
            <w:shd w:fill="CCEEFF" w:val="clear"/>
            <w:vAlign w:val="center"/>
          </w:tcPr>
          <w:p>
            <w:pPr>
              <w:pStyle w:val="TableContents"/>
              <w:bidi w:val="0"/>
              <w:spacing w:before="0" w:after="283"/>
              <w:jc w:val="right"/>
              <w:rPr/>
            </w:pPr>
            <w:r>
              <w:rPr/>
              <w:t>(13,333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bookmarkStart w:id="1229" w:name="xdx_98D_eus-gaap--ShareBasedCompensation"/>
            <w:bookmarkEnd w:id="1229"/>
          </w:p>
        </w:tc>
        <w:tc>
          <w:tcPr>
            <w:tcW w:w="766" w:type="dxa"/>
            <w:tcBorders/>
            <w:shd w:fill="CCEEFF" w:val="clear"/>
            <w:vAlign w:val="center"/>
          </w:tcPr>
          <w:p>
            <w:pPr>
              <w:pStyle w:val="TableContents"/>
              <w:bidi w:val="0"/>
              <w:spacing w:before="0" w:after="283"/>
              <w:jc w:val="right"/>
              <w:rPr/>
            </w:pPr>
            <w:r>
              <w:rPr/>
              <w:t>6.75</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30" w:name="xdx_987_eus-gaap--ShareBasedCompensation"/>
            <w:bookmarkEnd w:id="1230"/>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31" w:name="xdx_98B_eus-gaap--ShareBasedCompensation"/>
            <w:bookmarkEnd w:id="1231"/>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June 30, 2026</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32" w:name="xdx_984_eus-gaap--ShareBasedCompensation"/>
            <w:bookmarkEnd w:id="1232"/>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233" w:name="xdx_98B_eus-gaap--ShareBasedCompensation"/>
            <w:bookmarkEnd w:id="1233"/>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275"/>
        <w:gridCol w:w="60"/>
        <w:gridCol w:w="70"/>
        <w:gridCol w:w="894"/>
        <w:gridCol w:w="95"/>
        <w:gridCol w:w="60"/>
        <w:gridCol w:w="243"/>
        <w:gridCol w:w="766"/>
        <w:gridCol w:w="75"/>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January 1, 2025</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234" w:name="xdx_98A_eus-gaap--ShareBasedCompensation"/>
            <w:bookmarkEnd w:id="1234"/>
          </w:p>
        </w:tc>
        <w:tc>
          <w:tcPr>
            <w:tcW w:w="89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bookmarkStart w:id="1235" w:name="xdx_98E_eus-gaap--ShareBasedCompensation"/>
            <w:bookmarkEnd w:id="1235"/>
          </w:p>
        </w:tc>
        <w:tc>
          <w:tcPr>
            <w:tcW w:w="76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bookmarkStart w:id="1236" w:name="xdx_980_eus-gaap--ShareBasedCompensation"/>
            <w:bookmarkEnd w:id="1236"/>
          </w:p>
        </w:tc>
        <w:tc>
          <w:tcPr>
            <w:tcW w:w="894" w:type="dxa"/>
            <w:tcBorders/>
            <w:shd w:fill="FFFFFF" w:val="clear"/>
            <w:vAlign w:val="center"/>
          </w:tcPr>
          <w:p>
            <w:pPr>
              <w:pStyle w:val="TableContents"/>
              <w:bidi w:val="0"/>
              <w:spacing w:before="0" w:after="283"/>
              <w:jc w:val="right"/>
              <w:rPr/>
            </w:pPr>
            <w:r>
              <w:rPr/>
              <w:t>67,554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bookmarkStart w:id="1237" w:name="xdx_985_eus-gaap--ShareBasedCompensation"/>
            <w:bookmarkEnd w:id="1237"/>
          </w:p>
        </w:tc>
        <w:tc>
          <w:tcPr>
            <w:tcW w:w="766" w:type="dxa"/>
            <w:tcBorders/>
            <w:shd w:fill="FFFFFF" w:val="clear"/>
            <w:vAlign w:val="center"/>
          </w:tcPr>
          <w:p>
            <w:pPr>
              <w:pStyle w:val="TableContents"/>
              <w:bidi w:val="0"/>
              <w:spacing w:before="0" w:after="283"/>
              <w:jc w:val="right"/>
              <w:rPr/>
            </w:pPr>
            <w:r>
              <w:rPr/>
              <w:t>6.75</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238" w:name="xdx_98A_eus-gaap--ShareBasedCompensation"/>
            <w:bookmarkEnd w:id="1238"/>
          </w:p>
        </w:tc>
        <w:tc>
          <w:tcPr>
            <w:tcW w:w="894" w:type="dxa"/>
            <w:tcBorders/>
            <w:shd w:fill="CCEEFF" w:val="clear"/>
            <w:vAlign w:val="center"/>
          </w:tcPr>
          <w:p>
            <w:pPr>
              <w:pStyle w:val="TableContents"/>
              <w:bidi w:val="0"/>
              <w:spacing w:before="0" w:after="283"/>
              <w:jc w:val="right"/>
              <w:rPr/>
            </w:pPr>
            <w:r>
              <w:rPr/>
              <w:t>(40,888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bookmarkStart w:id="1239" w:name="xdx_982_eus-gaap--ShareBasedCompensation"/>
            <w:bookmarkEnd w:id="1239"/>
          </w:p>
        </w:tc>
        <w:tc>
          <w:tcPr>
            <w:tcW w:w="766" w:type="dxa"/>
            <w:tcBorders/>
            <w:shd w:fill="CCEEFF" w:val="clear"/>
            <w:vAlign w:val="center"/>
          </w:tcPr>
          <w:p>
            <w:pPr>
              <w:pStyle w:val="TableContents"/>
              <w:bidi w:val="0"/>
              <w:spacing w:before="0" w:after="283"/>
              <w:jc w:val="right"/>
              <w:rPr/>
            </w:pPr>
            <w:r>
              <w:rPr/>
              <w:t>6.75</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40" w:name="xdx_982_eus-gaap--ShareBasedCompensation"/>
            <w:bookmarkEnd w:id="1240"/>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41" w:name="xdx_98B_eus-gaap--ShareBasedCompensation"/>
            <w:bookmarkEnd w:id="1241"/>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June 30, 2025</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42" w:name="xdx_98A_eus-gaap--ShareBasedCompensation"/>
            <w:bookmarkEnd w:id="1242"/>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pPr>
            <w:r>
              <w:rPr/>
              <w:t>26,666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243" w:name="xdx_982_eus-gaap--ShareBasedCompensation"/>
            <w:bookmarkEnd w:id="1243"/>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6.75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44" w:name="xdx_8A1_zedN2VrsHji1"/>
      <w:bookmarkEnd w:id="124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RSUs granted to directors is based on the quoted market price of our common stock on the date of grant.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RSUs granted to employees vest upon the achievement of pre-determined performance-based milestones as well as service conditions (“PSUs”). The pre-determined performance-based milestones are based on specified percentages of the PSUs that would vest at each of the first five anniversaries of the IPO date if the Company’s average annual growth rate (“AAGR”) is calculated to be at a target percentage or above during the period between the Company’s IPO Date and the annual revenue for each of the anniversary year. If these performance-based milestones are not met but service conditions are met, the PSUs will not vest, in which case any compensation expense the Company has recognized to date will be reversed. Generally, the total aggregate measurement period of our PSUs is </w:t>
      </w:r>
      <w:bookmarkStart w:id="1245" w:name="xdx_90A_eus-gaap--ShareBasedCompensation"/>
      <w:bookmarkEnd w:id="1245"/>
      <w:r>
        <w:rPr>
          <w:rFonts w:ascii="Times New Roman;Times;Serif" w:hAnsi="Times New Roman;Times;Serif"/>
          <w:b w:val="false"/>
          <w:i w:val="false"/>
          <w:caps w:val="false"/>
          <w:smallCaps w:val="false"/>
          <w:sz w:val="20"/>
        </w:rPr>
        <w:t>5 years, with awards cliff-vesting after each annual measurement period during the total aggregate measurement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quarter, the Company updates our assessment of the probability that the performance milestones will be achieved. The Company amortizes the fair values of PSUs over the requisite service period. Each performance-based milestone is weighted evenly and the number of shares that vest based on each performance-based milestone is independent from the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46" w:name="xdx_897_eus-gaap--ScheduleOfShareBasedCo"/>
      <w:bookmarkEnd w:id="1246"/>
      <w:r>
        <w:rPr>
          <w:rFonts w:ascii="Times New Roman;Times;Serif" w:hAnsi="Times New Roman;Times;Serif"/>
          <w:b w:val="false"/>
          <w:i w:val="false"/>
          <w:caps w:val="false"/>
          <w:smallCaps w:val="false"/>
          <w:sz w:val="20"/>
        </w:rPr>
        <w:t>The following table summarizes our PSU activity with employees, presented with the maximum number of shares that could potentially vest, for the six months ended June 30, 2026 and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47" w:name="xdx_8B5_zYyfwCDJud36"/>
      <w:bookmarkEnd w:id="1247"/>
      <w:r>
        <w:rPr>
          <w:rFonts w:ascii="Times New Roman;Times;Serif" w:hAnsi="Times New Roman;Times;Serif"/>
          <w:b w:val="false"/>
          <w:i w:val="false"/>
          <w:caps w:val="false"/>
          <w:smallCaps w:val="false"/>
          <w:sz w:val="20"/>
        </w:rPr>
        <w:t>SCHEDULE OF RESTRICTED STOCK UNITS ACTIVITY </w:t>
      </w:r>
    </w:p>
    <w:tbl>
      <w:tblPr>
        <w:tblW w:w="5504" w:type="dxa"/>
        <w:jc w:val="left"/>
        <w:tblInd w:w="0" w:type="dxa"/>
        <w:tblLayout w:type="fixed"/>
        <w:tblCellMar>
          <w:top w:w="0" w:type="dxa"/>
          <w:left w:w="0" w:type="dxa"/>
          <w:bottom w:w="0" w:type="dxa"/>
          <w:right w:w="0" w:type="dxa"/>
        </w:tblCellMar>
      </w:tblPr>
      <w:tblGrid>
        <w:gridCol w:w="3275"/>
        <w:gridCol w:w="60"/>
        <w:gridCol w:w="67"/>
        <w:gridCol w:w="897"/>
        <w:gridCol w:w="60"/>
        <w:gridCol w:w="60"/>
        <w:gridCol w:w="202"/>
        <w:gridCol w:w="808"/>
        <w:gridCol w:w="75"/>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January 1, 2026</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1248" w:name="xdx_989_eus-gaap--ShareBasedCompensation"/>
            <w:bookmarkEnd w:id="1248"/>
          </w:p>
        </w:tc>
        <w:tc>
          <w:tcPr>
            <w:tcW w:w="897" w:type="dxa"/>
            <w:tcBorders/>
            <w:shd w:fill="CCEEFF" w:val="clear"/>
            <w:vAlign w:val="center"/>
          </w:tcPr>
          <w:p>
            <w:pPr>
              <w:pStyle w:val="TableContents"/>
              <w:bidi w:val="0"/>
              <w:spacing w:before="0" w:after="283"/>
              <w:jc w:val="right"/>
              <w:rPr/>
            </w:pPr>
            <w:r>
              <w:rPr/>
              <w:t>225,471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bookmarkStart w:id="1249" w:name="xdx_983_eus-gaap--ShareBasedCompensation"/>
            <w:bookmarkEnd w:id="1249"/>
          </w:p>
        </w:tc>
        <w:tc>
          <w:tcPr>
            <w:tcW w:w="808" w:type="dxa"/>
            <w:tcBorders/>
            <w:shd w:fill="CCEEFF" w:val="clear"/>
            <w:vAlign w:val="center"/>
          </w:tcPr>
          <w:p>
            <w:pPr>
              <w:pStyle w:val="TableContents"/>
              <w:bidi w:val="0"/>
              <w:spacing w:before="0" w:after="283"/>
              <w:jc w:val="right"/>
              <w:rPr/>
            </w:pPr>
            <w:r>
              <w:rPr/>
              <w:t>25.00</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1250" w:name="xdx_98B_eus-gaap--ShareBasedCompensation"/>
            <w:bookmarkEnd w:id="1250"/>
          </w:p>
        </w:tc>
        <w:tc>
          <w:tcPr>
            <w:tcW w:w="8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bookmarkStart w:id="1251" w:name="xdx_98E_eus-gaap--ShareBasedCompensation"/>
            <w:bookmarkEnd w:id="1251"/>
          </w:p>
        </w:tc>
        <w:tc>
          <w:tcPr>
            <w:tcW w:w="80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1252" w:name="xdx_985_eus-gaap--ShareBasedCompensation"/>
            <w:bookmarkEnd w:id="1252"/>
          </w:p>
        </w:tc>
        <w:tc>
          <w:tcPr>
            <w:tcW w:w="8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bookmarkStart w:id="1253" w:name="xdx_98C_eus-gaap--ShareBasedCompensation"/>
            <w:bookmarkEnd w:id="1253"/>
          </w:p>
        </w:tc>
        <w:tc>
          <w:tcPr>
            <w:tcW w:w="80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54" w:name="xdx_983_eus-gaap--ShareBasedCompensation"/>
            <w:bookmarkEnd w:id="1254"/>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55" w:name="xdx_985_eus-gaap--ShareBasedCompensation"/>
            <w:bookmarkEnd w:id="1255"/>
          </w:p>
        </w:tc>
        <w:tc>
          <w:tcPr>
            <w:tcW w:w="8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June 30, 2026</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56" w:name="xdx_98A_eus-gaap--ShareBasedCompensation"/>
            <w:bookmarkEnd w:id="1256"/>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pPr>
            <w:r>
              <w:rPr/>
              <w:t>225,471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257" w:name="xdx_980_eus-gaap--ShareBasedCompensation"/>
            <w:bookmarkEnd w:id="1257"/>
          </w:p>
        </w:tc>
        <w:tc>
          <w:tcPr>
            <w:tcW w:w="808" w:type="dxa"/>
            <w:tcBorders>
              <w:bottom w:val="single" w:sz="8" w:space="0" w:color="000000"/>
            </w:tcBorders>
            <w:shd w:fill="CCEEFF" w:val="clear"/>
            <w:tcMar>
              <w:bottom w:w="28" w:type="dxa"/>
            </w:tcMar>
            <w:vAlign w:val="center"/>
          </w:tcPr>
          <w:p>
            <w:pPr>
              <w:pStyle w:val="TableContents"/>
              <w:bidi w:val="0"/>
              <w:spacing w:before="0" w:after="283"/>
              <w:jc w:val="right"/>
              <w:rPr/>
            </w:pPr>
            <w:r>
              <w:rPr/>
              <w:t>25.00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573" w:type="dxa"/>
        <w:jc w:val="left"/>
        <w:tblInd w:w="0" w:type="dxa"/>
        <w:tblLayout w:type="fixed"/>
        <w:tblCellMar>
          <w:top w:w="0" w:type="dxa"/>
          <w:left w:w="0" w:type="dxa"/>
          <w:bottom w:w="0" w:type="dxa"/>
          <w:right w:w="0" w:type="dxa"/>
        </w:tblCellMar>
      </w:tblPr>
      <w:tblGrid>
        <w:gridCol w:w="3275"/>
        <w:gridCol w:w="60"/>
        <w:gridCol w:w="67"/>
        <w:gridCol w:w="897"/>
        <w:gridCol w:w="95"/>
        <w:gridCol w:w="60"/>
        <w:gridCol w:w="182"/>
        <w:gridCol w:w="827"/>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January 1, 2025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1258" w:name="xdx_982_eus-gaap--ShareBasedCompensation"/>
            <w:bookmarkEnd w:id="1258"/>
          </w:p>
        </w:tc>
        <w:tc>
          <w:tcPr>
            <w:tcW w:w="897" w:type="dxa"/>
            <w:tcBorders/>
            <w:shd w:fill="CCEEFF" w:val="clear"/>
            <w:vAlign w:val="center"/>
          </w:tcPr>
          <w:p>
            <w:pPr>
              <w:pStyle w:val="TableContents"/>
              <w:bidi w:val="0"/>
              <w:spacing w:before="0" w:after="283"/>
              <w:jc w:val="right"/>
              <w:rPr/>
            </w:pPr>
            <w:r>
              <w:rPr/>
              <w:t>228,456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bookmarkStart w:id="1259" w:name="xdx_98B_eus-gaap--ShareBasedCompensation"/>
            <w:bookmarkEnd w:id="1259"/>
          </w:p>
        </w:tc>
        <w:tc>
          <w:tcPr>
            <w:tcW w:w="827" w:type="dxa"/>
            <w:tcBorders/>
            <w:shd w:fill="CCEEFF" w:val="clear"/>
            <w:vAlign w:val="center"/>
          </w:tcPr>
          <w:p>
            <w:pPr>
              <w:pStyle w:val="TableContents"/>
              <w:bidi w:val="0"/>
              <w:spacing w:before="0" w:after="283"/>
              <w:jc w:val="right"/>
              <w:rPr/>
            </w:pPr>
            <w:r>
              <w:rPr/>
              <w:t>25.00</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1260" w:name="xdx_98D_eus-gaap--ShareBasedCompensation"/>
            <w:bookmarkEnd w:id="1260"/>
          </w:p>
        </w:tc>
        <w:tc>
          <w:tcPr>
            <w:tcW w:w="8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bookmarkStart w:id="1261" w:name="xdx_98E_eus-gaap--ShareBasedCompensation"/>
            <w:bookmarkEnd w:id="1261"/>
          </w:p>
        </w:tc>
        <w:tc>
          <w:tcPr>
            <w:tcW w:w="82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1262" w:name="xdx_98B_eus-gaap--ShareBasedCompensation"/>
            <w:bookmarkEnd w:id="1262"/>
          </w:p>
        </w:tc>
        <w:tc>
          <w:tcPr>
            <w:tcW w:w="8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bookmarkStart w:id="1263" w:name="xdx_985_eus-gaap--ShareBasedCompensation"/>
            <w:bookmarkEnd w:id="1263"/>
          </w:p>
        </w:tc>
        <w:tc>
          <w:tcPr>
            <w:tcW w:w="82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64" w:name="xdx_98A_eus-gaap--ShareBasedCompensation"/>
            <w:bookmarkEnd w:id="1264"/>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pPr>
            <w:r>
              <w:rPr/>
              <w:t>(2,985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65" w:name="xdx_98A_eus-gaap--ShareBasedCompensation"/>
            <w:bookmarkEnd w:id="1265"/>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(25.00</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Outstanding as of June 30, 2025</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66" w:name="xdx_98D_eus-gaap--ShareBasedCompensation"/>
            <w:bookmarkEnd w:id="1266"/>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pPr>
            <w:r>
              <w:rPr/>
              <w:t>225,471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267" w:name="xdx_98E_eus-gaap--ShareBasedCompensation"/>
            <w:bookmarkEnd w:id="1267"/>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68" w:name="xdx_8A5_zCnaQqllpGBb"/>
      <w:bookmarkEnd w:id="126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PSUs granted to employees is based on the quoted market price of our common stock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Repurchase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t>
      </w:r>
      <w:bookmarkStart w:id="1269" w:name="xdx_90F_eus-gaap--TreasuryStockCommonSha"/>
      <w:bookmarkEnd w:id="1269"/>
      <w:r>
        <w:rPr>
          <w:rFonts w:ascii="Times New Roman;Times;Serif" w:hAnsi="Times New Roman;Times;Serif"/>
          <w:b w:val="false"/>
          <w:i w:val="false"/>
          <w:caps w:val="false"/>
          <w:smallCaps w:val="false"/>
          <w:sz w:val="20"/>
        </w:rPr>
        <w:t>270,055 shares of Class A common stock were repurchased pursuant to the Share Repurchase Program for an aggregate purchase price of approximately $</w:t>
      </w:r>
      <w:bookmarkStart w:id="1270" w:name="xdx_90C_eus-gaap--TreasuryStockCommonVal"/>
      <w:bookmarkEnd w:id="1270"/>
      <w:r>
        <w:rPr>
          <w:rFonts w:ascii="Times New Roman;Times;Serif" w:hAnsi="Times New Roman;Times;Serif"/>
          <w:b w:val="false"/>
          <w:i w:val="false"/>
          <w:caps w:val="false"/>
          <w:smallCaps w:val="false"/>
          <w:sz w:val="20"/>
        </w:rPr>
        <w:t>3.7 million. The average price paid per share was $</w:t>
      </w:r>
      <w:bookmarkStart w:id="1271" w:name="xdx_905_eus-gaap--SaleOfStockPricePerSha"/>
      <w:bookmarkEnd w:id="1271"/>
      <w:r>
        <w:rPr>
          <w:rFonts w:ascii="Times New Roman;Times;Serif" w:hAnsi="Times New Roman;Times;Serif"/>
          <w:b w:val="false"/>
          <w:i w:val="false"/>
          <w:caps w:val="false"/>
          <w:smallCaps w:val="false"/>
          <w:sz w:val="20"/>
        </w:rPr>
        <w:t>13.60 and approximately $</w:t>
      </w:r>
      <w:bookmarkStart w:id="1272" w:name="xdx_908_eus-gaap--StockRepurchaseProgram"/>
      <w:bookmarkEnd w:id="1272"/>
      <w:r>
        <w:rPr>
          <w:rFonts w:ascii="Times New Roman;Times;Serif" w:hAnsi="Times New Roman;Times;Serif"/>
          <w:b w:val="false"/>
          <w:i w:val="false"/>
          <w:caps w:val="false"/>
          <w:smallCaps w:val="false"/>
          <w:sz w:val="20"/>
        </w:rPr>
        <w:t>1.3 million aggregate amount of shares of Class A common stock remain available for repurchase under the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273" w:name="xdx_90A_eus-gaap--StockRepurchasedDuring"/>
      <w:bookmarkStart w:id="1274" w:name="xdx_906_eus-gaap--StockRepurchasedDuring"/>
      <w:bookmarkEnd w:id="1273"/>
      <w:bookmarkEnd w:id="1274"/>
      <w:r>
        <w:rPr>
          <w:rFonts w:ascii="Times New Roman;Times;Serif" w:hAnsi="Times New Roman;Times;Serif"/>
          <w:b w:val="false"/>
          <w:i w:val="false"/>
          <w:caps w:val="false"/>
          <w:smallCaps w:val="false"/>
          <w:sz w:val="20"/>
        </w:rPr>
        <w:t>no share repurchases made during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the Company determined that it is probable that the Company will not meet the performance-based milestones required by the RSU’s granted to employees. During the three months ended March 31, 2025, the Company determined it is probable it will meet the performance-based milestones required by said RSU’s, then in the three months ended June 30, 2025, the milestone was reverted back to not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(income) resulting from RSUs and PSUs of $</w:t>
      </w:r>
      <w:bookmarkStart w:id="1275" w:name="xdx_905_eus-gaap--AllocatedShareBasedCom"/>
      <w:bookmarkEnd w:id="1275"/>
      <w:r>
        <w:rPr>
          <w:rFonts w:ascii="Times New Roman;Times;Serif" w:hAnsi="Times New Roman;Times;Serif"/>
          <w:b w:val="false"/>
          <w:i w:val="false"/>
          <w:caps w:val="false"/>
          <w:smallCaps w:val="false"/>
          <w:sz w:val="20"/>
        </w:rPr>
        <w:t>56,250 and ($</w:t>
      </w:r>
      <w:bookmarkStart w:id="1276" w:name="xdx_90C_eus-gaap--AllocatedShareBasedCom"/>
      <w:bookmarkEnd w:id="1276"/>
      <w:r>
        <w:rPr>
          <w:rFonts w:ascii="Times New Roman;Times;Serif" w:hAnsi="Times New Roman;Times;Serif"/>
          <w:b w:val="false"/>
          <w:i w:val="false"/>
          <w:caps w:val="false"/>
          <w:smallCaps w:val="false"/>
          <w:sz w:val="20"/>
        </w:rPr>
        <w:t>562,731) are recorded under general and administrative expenses included in our condensed consolidated statements of operations and comprehensive loss for the three months ended June 30, 2026 and 2025, respectively. Stock-based compensation expense resulting from RSUs and PSUs of $</w:t>
      </w:r>
      <w:bookmarkStart w:id="1277" w:name="xdx_909_eus-gaap--AllocatedShareBasedCom"/>
      <w:bookmarkEnd w:id="1277"/>
      <w:r>
        <w:rPr>
          <w:rFonts w:ascii="Times New Roman;Times;Serif" w:hAnsi="Times New Roman;Times;Serif"/>
          <w:b w:val="false"/>
          <w:i w:val="false"/>
          <w:caps w:val="false"/>
          <w:smallCaps w:val="false"/>
          <w:sz w:val="20"/>
        </w:rPr>
        <w:t>95,556 and $</w:t>
      </w:r>
      <w:bookmarkStart w:id="1278" w:name="xdx_903_eus-gaap--AllocatedShareBasedCom"/>
      <w:bookmarkEnd w:id="1278"/>
      <w:r>
        <w:rPr>
          <w:rFonts w:ascii="Times New Roman;Times;Serif" w:hAnsi="Times New Roman;Times;Serif"/>
          <w:b w:val="false"/>
          <w:i w:val="false"/>
          <w:caps w:val="false"/>
          <w:smallCaps w:val="false"/>
          <w:sz w:val="20"/>
        </w:rPr>
        <w:t>257,642 are recorded under general and administrative expenses included in our condensed consolidated statements of operations and comprehensive loss for the six months ended June 30, 2026 and 2025, respectively. Stock-based compensation expense (income) resulting from PSUs of $</w:t>
      </w:r>
      <w:bookmarkStart w:id="1279" w:name="xdx_909_eus-gaap--AllocatedShareBasedCom"/>
      <w:bookmarkEnd w:id="1279"/>
      <w:r>
        <w:rPr>
          <w:rFonts w:ascii="Times New Roman;Times;Serif" w:hAnsi="Times New Roman;Times;Serif"/>
          <w:b w:val="false"/>
          <w:i w:val="false"/>
          <w:caps w:val="false"/>
          <w:smallCaps w:val="false"/>
          <w:sz w:val="20"/>
        </w:rPr>
        <w:t>2,785 and ($</w:t>
      </w:r>
      <w:bookmarkStart w:id="1280" w:name="xdx_902_eus-gaap--AllocatedShareBasedCom"/>
      <w:bookmarkEnd w:id="1280"/>
      <w:r>
        <w:rPr>
          <w:rFonts w:ascii="Times New Roman;Times;Serif" w:hAnsi="Times New Roman;Times;Serif"/>
          <w:b w:val="false"/>
          <w:i w:val="false"/>
          <w:caps w:val="false"/>
          <w:smallCaps w:val="false"/>
          <w:sz w:val="20"/>
        </w:rPr>
        <w:t>32,196) are recorded under research and development expenses included in our condensed consolidated statements of operations and comprehensive loss for the three months ended June 30, 2026 and 2025, respectively. Stock-based compensation expense resulting from PSUs of $</w:t>
      </w:r>
      <w:bookmarkStart w:id="1281" w:name="xdx_909_eus-gaap--AllocatedShareBasedCom"/>
      <w:bookmarkEnd w:id="1281"/>
      <w:r>
        <w:rPr>
          <w:rFonts w:ascii="Times New Roman;Times;Serif" w:hAnsi="Times New Roman;Times;Serif"/>
          <w:b w:val="false"/>
          <w:i w:val="false"/>
          <w:caps w:val="false"/>
          <w:smallCaps w:val="false"/>
          <w:sz w:val="20"/>
        </w:rPr>
        <w:t>5,574 and $</w:t>
      </w:r>
      <w:bookmarkStart w:id="1282" w:name="xdx_90F_eus-gaap--AllocatedShareBasedCom"/>
      <w:bookmarkEnd w:id="1282"/>
      <w:r>
        <w:rPr>
          <w:rFonts w:ascii="Times New Roman;Times;Serif" w:hAnsi="Times New Roman;Times;Serif"/>
          <w:b w:val="false"/>
          <w:i w:val="false"/>
          <w:caps w:val="false"/>
          <w:smallCaps w:val="false"/>
          <w:sz w:val="20"/>
        </w:rPr>
        <w:t>23,246 are recorded under research and development expenses included in our condensed consolidated statements of operations and comprehensive loss for the six months ended June 30, 2026 and 2025, respectively.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the Company recognized approximately $</w:t>
      </w:r>
      <w:bookmarkStart w:id="1283" w:name="xdx_90E_eus-gaap--EmployeeServiceShareBa"/>
      <w:bookmarkEnd w:id="1283"/>
      <w:r>
        <w:rPr>
          <w:rFonts w:ascii="Times New Roman;Times;Serif" w:hAnsi="Times New Roman;Times;Serif"/>
          <w:b w:val="false"/>
          <w:i w:val="false"/>
          <w:caps w:val="false"/>
          <w:smallCaps w:val="false"/>
          <w:sz w:val="20"/>
        </w:rPr>
        <w:t>21,223 of deferred income tax expense, and $</w:t>
      </w:r>
      <w:bookmarkStart w:id="1284" w:name="xdx_909_eus-gaap--EmployeeServiceShareBa"/>
      <w:bookmarkEnd w:id="1284"/>
      <w:r>
        <w:rPr>
          <w:rFonts w:ascii="Times New Roman;Times;Serif" w:hAnsi="Times New Roman;Times;Serif"/>
          <w:b w:val="false"/>
          <w:i w:val="false"/>
          <w:caps w:val="false"/>
          <w:smallCaps w:val="false"/>
          <w:sz w:val="20"/>
        </w:rPr>
        <w:t>62,898 of deferred income tax expense, respectively, related to our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total unrecognized compensation cost related to RSUs and PSUs was approximately $</w:t>
      </w:r>
      <w:bookmarkStart w:id="1285" w:name="xdx_90D_eus-gaap--EmployeeServiceShareBa"/>
      <w:bookmarkEnd w:id="1285"/>
      <w:r>
        <w:rPr>
          <w:rFonts w:ascii="Times New Roman;Times;Serif" w:hAnsi="Times New Roman;Times;Serif"/>
          <w:b w:val="false"/>
          <w:i w:val="false"/>
          <w:caps w:val="false"/>
          <w:smallCaps w:val="false"/>
          <w:sz w:val="20"/>
        </w:rPr>
        <w:t xml:space="preserve">0.8 million and is expected to be recognized over a weighted-average service period of </w:t>
      </w:r>
      <w:bookmarkStart w:id="1286" w:name="xdx_900_eus-gaap--EmployeeServiceShareBa"/>
      <w:bookmarkEnd w:id="1286"/>
      <w:r>
        <w:rPr>
          <w:rFonts w:ascii="Times New Roman;Times;Serif" w:hAnsi="Times New Roman;Times;Serif"/>
          <w:b w:val="false"/>
          <w:i w:val="false"/>
          <w:caps w:val="false"/>
          <w:smallCaps w:val="false"/>
          <w:sz w:val="20"/>
        </w:rPr>
        <w:t>0.9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87" w:name="xdx_807_eus-gaap--SegmentReportingDisclo"/>
      <w:bookmarkEnd w:id="1287"/>
      <w:r>
        <w:rPr>
          <w:rFonts w:ascii="Times New Roman;Times;Serif" w:hAnsi="Times New Roman;Times;Serif"/>
          <w:b/>
          <w:i w:val="false"/>
          <w:caps w:val="false"/>
          <w:smallCaps w:val="false"/>
          <w:sz w:val="20"/>
        </w:rPr>
        <w:t xml:space="preserve">NOTE 18 – </w:t>
      </w:r>
      <w:bookmarkStart w:id="1288" w:name="xdx_828_zdNiuYduO4C1"/>
      <w:bookmarkEnd w:id="1288"/>
      <w:r>
        <w:rPr>
          <w:rFonts w:ascii="Times New Roman;Times;Serif" w:hAnsi="Times New Roman;Times;Serif"/>
          <w:b/>
          <w:i w:val="false"/>
          <w:caps w:val="false"/>
          <w:smallCaps w:val="false"/>
          <w:sz w:val="20"/>
        </w:rPr>
        <w:t>OPERATING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 Maker (“CODM”) is our Founder, Chief Executive Officer, Chief Strategy Officer, and Chairman Mr. Hai Shi. The CODM assesses performance and decides how to allocate resources based on net income (loss) to evaluate operational efficiency and direct resources of the Company. Segment assets are reported on the condensed consolidated balance sheets as total assets. The table below presents segment revenue, operating profit and significant expenses for the three and six months ended June 30, 2026 and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89" w:name="xdx_8BF_zGbHWKAc2ph1"/>
      <w:bookmarkStart w:id="1290" w:name="xdx_89C_eus-gaap--ScheduleOfSegmentRepor"/>
      <w:bookmarkEnd w:id="1289"/>
      <w:bookmarkEnd w:id="1290"/>
      <w:r>
        <w:rPr>
          <w:rFonts w:ascii="Times New Roman;Times;Serif" w:hAnsi="Times New Roman;Times;Serif"/>
          <w:b w:val="false"/>
          <w:i w:val="false"/>
          <w:caps w:val="false"/>
          <w:smallCaps w:val="false"/>
          <w:sz w:val="20"/>
        </w:rPr>
        <w:t>SCHEDULE OF SEGMENT REVENUE, OPERATING PROFIT AND SIGNIFICANT EXPENSES </w:t>
      </w:r>
    </w:p>
    <w:tbl>
      <w:tblPr>
        <w:tblW w:w="10205" w:type="dxa"/>
        <w:jc w:val="left"/>
        <w:tblInd w:w="0" w:type="dxa"/>
        <w:tblLayout w:type="fixed"/>
        <w:tblCellMar>
          <w:top w:w="0" w:type="dxa"/>
          <w:left w:w="0" w:type="dxa"/>
          <w:bottom w:w="0" w:type="dxa"/>
          <w:right w:w="0" w:type="dxa"/>
        </w:tblCellMar>
      </w:tblPr>
      <w:tblGrid>
        <w:gridCol w:w="4077"/>
        <w:gridCol w:w="60"/>
        <w:gridCol w:w="155"/>
        <w:gridCol w:w="1222"/>
        <w:gridCol w:w="105"/>
        <w:gridCol w:w="66"/>
        <w:gridCol w:w="155"/>
        <w:gridCol w:w="1305"/>
        <w:gridCol w:w="95"/>
        <w:gridCol w:w="60"/>
        <w:gridCol w:w="143"/>
        <w:gridCol w:w="1133"/>
        <w:gridCol w:w="97"/>
        <w:gridCol w:w="61"/>
        <w:gridCol w:w="143"/>
        <w:gridCol w:w="1210"/>
        <w:gridCol w:w="118"/>
      </w:tblGrid>
      <w:tr>
        <w:trPr/>
        <w:tc>
          <w:tcPr>
            <w:tcW w:w="40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291" w:name="xdx_49D_20260401__20260630__srt--Consoli"/>
            <w:bookmarkEnd w:id="1291"/>
          </w:p>
        </w:tc>
        <w:tc>
          <w:tcPr>
            <w:tcW w:w="137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bookmarkStart w:id="1292" w:name="xdx_49D_20250401__20250630__srt--Consoli"/>
            <w:bookmarkEnd w:id="1292"/>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3" w:name="xdx_499_20260101__20260630__srt--Consoli"/>
            <w:bookmarkEnd w:id="1293"/>
          </w:p>
        </w:tc>
        <w:tc>
          <w:tcPr>
            <w:tcW w:w="127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bookmarkStart w:id="1294" w:name="xdx_49F_20250101__20250630__srt--Consoli"/>
            <w:bookmarkEnd w:id="1294"/>
          </w:p>
        </w:tc>
        <w:tc>
          <w:tcPr>
            <w:tcW w:w="13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8" w:type="dxa"/>
            <w:tcBorders/>
            <w:vAlign w:val="center"/>
          </w:tcPr>
          <w:p>
            <w:pPr>
              <w:pStyle w:val="TableContents"/>
              <w:bidi w:val="0"/>
              <w:spacing w:before="0" w:after="283"/>
              <w:jc w:val="left"/>
              <w:rPr/>
            </w:pPr>
            <w:r>
              <w:rPr/>
              <w:t> </w:t>
            </w:r>
          </w:p>
        </w:tc>
      </w:tr>
      <w:tr>
        <w:trPr/>
        <w:tc>
          <w:tcPr>
            <w:tcW w:w="40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0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8" w:type="dxa"/>
            <w:tcBorders/>
            <w:vAlign w:val="center"/>
          </w:tcPr>
          <w:p>
            <w:pPr>
              <w:pStyle w:val="TableContents"/>
              <w:bidi w:val="0"/>
              <w:spacing w:before="0" w:after="283"/>
              <w:jc w:val="left"/>
              <w:rPr/>
            </w:pPr>
            <w:r>
              <w:rPr/>
              <w:t> </w:t>
            </w:r>
          </w:p>
        </w:tc>
      </w:tr>
      <w:tr>
        <w:trPr/>
        <w:tc>
          <w:tcPr>
            <w:tcW w:w="40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8" w:type="dxa"/>
            <w:tcBorders/>
            <w:vAlign w:val="center"/>
          </w:tcPr>
          <w:p>
            <w:pPr>
              <w:pStyle w:val="TableContents"/>
              <w:bidi w:val="0"/>
              <w:spacing w:before="0" w:after="283"/>
              <w:jc w:val="left"/>
              <w:rPr/>
            </w:pPr>
            <w:r>
              <w:rPr/>
              <w:t> </w:t>
            </w:r>
          </w:p>
        </w:tc>
      </w:tr>
      <w:tr>
        <w:trPr/>
        <w:tc>
          <w:tcPr>
            <w:tcW w:w="40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53" w:type="dxa"/>
            <w:gridSpan w:val="2"/>
            <w:tcBorders/>
            <w:vAlign w:val="center"/>
          </w:tcPr>
          <w:p>
            <w:pPr>
              <w:pStyle w:val="TableContents"/>
              <w:bidi w:val="0"/>
              <w:spacing w:before="0" w:after="283"/>
              <w:jc w:val="right"/>
              <w:rPr/>
            </w:pPr>
            <w:r>
              <w:rPr/>
              <w:t> </w:t>
            </w:r>
          </w:p>
        </w:tc>
        <w:tc>
          <w:tcPr>
            <w:tcW w:w="118" w:type="dxa"/>
            <w:tcBorders/>
            <w:vAlign w:val="center"/>
          </w:tcPr>
          <w:p>
            <w:pPr>
              <w:pStyle w:val="TableContents"/>
              <w:bidi w:val="0"/>
              <w:spacing w:before="0" w:after="283"/>
              <w:jc w:val="left"/>
              <w:rPr/>
            </w:pPr>
            <w:r>
              <w:rPr/>
              <w:t> </w:t>
            </w:r>
            <w:bookmarkStart w:id="1295" w:name="xdx_40B_eus-gaap--RevenueFromContractWit"/>
            <w:bookmarkEnd w:id="1295"/>
          </w:p>
        </w:tc>
      </w:tr>
      <w:tr>
        <w:trPr/>
        <w:tc>
          <w:tcPr>
            <w:tcW w:w="4077"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19,676,448</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305" w:type="dxa"/>
            <w:tcBorders/>
            <w:shd w:fill="CCEEFF" w:val="clear"/>
            <w:vAlign w:val="center"/>
          </w:tcPr>
          <w:p>
            <w:pPr>
              <w:pStyle w:val="TableContents"/>
              <w:bidi w:val="0"/>
              <w:spacing w:before="0" w:after="283"/>
              <w:jc w:val="right"/>
              <w:rPr/>
            </w:pPr>
            <w:r>
              <w:rPr/>
              <w:t>22,185,750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33" w:type="dxa"/>
            <w:tcBorders/>
            <w:shd w:fill="CCEEFF" w:val="clear"/>
            <w:vAlign w:val="center"/>
          </w:tcPr>
          <w:p>
            <w:pPr>
              <w:pStyle w:val="TableContents"/>
              <w:bidi w:val="0"/>
              <w:spacing w:before="0" w:after="283"/>
              <w:jc w:val="right"/>
              <w:rPr/>
            </w:pPr>
            <w:r>
              <w:rPr/>
              <w:t>46,971,102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42,296,622</w:t>
            </w:r>
          </w:p>
        </w:tc>
        <w:tc>
          <w:tcPr>
            <w:tcW w:w="118" w:type="dxa"/>
            <w:tcBorders/>
            <w:shd w:fill="CCEEFF" w:val="clear"/>
            <w:vAlign w:val="center"/>
          </w:tcPr>
          <w:p>
            <w:pPr>
              <w:pStyle w:val="TableContents"/>
              <w:bidi w:val="0"/>
              <w:spacing w:before="0" w:after="283"/>
              <w:jc w:val="left"/>
              <w:rPr/>
            </w:pPr>
            <w:r>
              <w:rPr/>
              <w:t> </w:t>
            </w:r>
            <w:bookmarkStart w:id="1296" w:name="xdx_40E_eus-gaap--CostOfGoodsAndServices"/>
            <w:bookmarkEnd w:id="1296"/>
          </w:p>
        </w:tc>
      </w:tr>
      <w:tr>
        <w:trPr/>
        <w:tc>
          <w:tcPr>
            <w:tcW w:w="4077"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8" w:space="0" w:color="000000"/>
            </w:tcBorders>
            <w:shd w:fill="FFFFFF" w:val="clear"/>
            <w:tcMar>
              <w:bottom w:w="28" w:type="dxa"/>
            </w:tcMar>
            <w:vAlign w:val="center"/>
          </w:tcPr>
          <w:p>
            <w:pPr>
              <w:pStyle w:val="TableContents"/>
              <w:bidi w:val="0"/>
              <w:spacing w:before="0" w:after="283"/>
              <w:jc w:val="right"/>
              <w:rPr/>
            </w:pPr>
            <w:r>
              <w:rPr/>
              <w:t>11,988,665</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15,231,005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27,626,878</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29,494,350</w:t>
            </w:r>
          </w:p>
        </w:tc>
        <w:tc>
          <w:tcPr>
            <w:tcW w:w="118" w:type="dxa"/>
            <w:tcBorders/>
            <w:shd w:fill="FFFFFF" w:val="clear"/>
            <w:vAlign w:val="center"/>
          </w:tcPr>
          <w:p>
            <w:pPr>
              <w:pStyle w:val="TableContents"/>
              <w:bidi w:val="0"/>
              <w:spacing w:before="0" w:after="283"/>
              <w:jc w:val="left"/>
              <w:rPr/>
            </w:pPr>
            <w:r>
              <w:rPr/>
              <w:t> </w:t>
            </w:r>
          </w:p>
        </w:tc>
      </w:tr>
      <w:tr>
        <w:trPr/>
        <w:tc>
          <w:tcPr>
            <w:tcW w:w="40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bookmarkStart w:id="1297" w:name="xdx_400_eus-gaap--GrossProfit_iT_mtGPzvV"/>
            <w:bookmarkEnd w:id="1297"/>
          </w:p>
        </w:tc>
      </w:tr>
      <w:tr>
        <w:trPr/>
        <w:tc>
          <w:tcPr>
            <w:tcW w:w="4077"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8" w:space="0" w:color="000000"/>
            </w:tcBorders>
            <w:shd w:fill="FFFFFF" w:val="clear"/>
            <w:tcMar>
              <w:bottom w:w="28" w:type="dxa"/>
            </w:tcMar>
            <w:vAlign w:val="center"/>
          </w:tcPr>
          <w:p>
            <w:pPr>
              <w:pStyle w:val="TableContents"/>
              <w:bidi w:val="0"/>
              <w:spacing w:before="0" w:after="283"/>
              <w:jc w:val="right"/>
              <w:rPr/>
            </w:pPr>
            <w:r>
              <w:rPr/>
              <w:t>7,687,783</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6,954,745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19,344,224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12,802,272</w:t>
            </w:r>
          </w:p>
        </w:tc>
        <w:tc>
          <w:tcPr>
            <w:tcW w:w="118" w:type="dxa"/>
            <w:tcBorders/>
            <w:shd w:fill="FFFFFF" w:val="clear"/>
            <w:vAlign w:val="center"/>
          </w:tcPr>
          <w:p>
            <w:pPr>
              <w:pStyle w:val="TableContents"/>
              <w:bidi w:val="0"/>
              <w:spacing w:before="0" w:after="283"/>
              <w:jc w:val="left"/>
              <w:rPr/>
            </w:pPr>
            <w:r>
              <w:rPr/>
              <w:t> </w:t>
            </w:r>
          </w:p>
        </w:tc>
      </w:tr>
      <w:tr>
        <w:trPr/>
        <w:tc>
          <w:tcPr>
            <w:tcW w:w="40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bookmarkStart w:id="1298" w:name="xdx_402_eus-gaap--OperatingExpensesAbstr"/>
            <w:bookmarkEnd w:id="1298"/>
          </w:p>
        </w:tc>
      </w:tr>
      <w:tr>
        <w:trPr/>
        <w:tc>
          <w:tcPr>
            <w:tcW w:w="4077"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bookmarkStart w:id="1299" w:name="xdx_405_eus-gaap--LaborAndRelatedExpense"/>
            <w:bookmarkEnd w:id="1299"/>
          </w:p>
        </w:tc>
      </w:tr>
      <w:tr>
        <w:trPr/>
        <w:tc>
          <w:tcPr>
            <w:tcW w:w="4077" w:type="dxa"/>
            <w:tcBorders/>
            <w:shd w:fill="CCEEFF" w:val="clear"/>
            <w:vAlign w:val="center"/>
          </w:tcPr>
          <w:p>
            <w:pPr>
              <w:pStyle w:val="TableContents"/>
              <w:bidi w:val="0"/>
              <w:spacing w:before="0" w:after="283"/>
              <w:jc w:val="left"/>
              <w:rPr/>
            </w:pPr>
            <w:r>
              <w:rPr/>
              <w:t>Salaries and wages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1,936,836</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2,729,107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3,956,577</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5,622,187</w:t>
            </w:r>
          </w:p>
        </w:tc>
        <w:tc>
          <w:tcPr>
            <w:tcW w:w="118" w:type="dxa"/>
            <w:tcBorders/>
            <w:shd w:fill="CCEEFF" w:val="clear"/>
            <w:vAlign w:val="center"/>
          </w:tcPr>
          <w:p>
            <w:pPr>
              <w:pStyle w:val="TableContents"/>
              <w:bidi w:val="0"/>
              <w:spacing w:before="0" w:after="283"/>
              <w:jc w:val="left"/>
              <w:rPr/>
            </w:pPr>
            <w:r>
              <w:rPr/>
              <w:t> </w:t>
            </w:r>
            <w:bookmarkStart w:id="1300" w:name="xdx_402_eus-gaap--OtherExpenses_maOEzI8u"/>
            <w:bookmarkEnd w:id="1300"/>
          </w:p>
        </w:tc>
      </w:tr>
      <w:tr>
        <w:trPr/>
        <w:tc>
          <w:tcPr>
            <w:tcW w:w="4077" w:type="dxa"/>
            <w:tcBorders/>
            <w:shd w:fill="FFFFFF" w:val="clear"/>
            <w:vAlign w:val="center"/>
          </w:tcPr>
          <w:p>
            <w:pPr>
              <w:pStyle w:val="TableContents"/>
              <w:bidi w:val="0"/>
              <w:spacing w:before="0" w:after="283"/>
              <w:jc w:val="left"/>
              <w:rPr/>
            </w:pPr>
            <w:r>
              <w:rPr/>
              <w:t>Public company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377,009</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198,293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546,838</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361,799</w:t>
            </w:r>
          </w:p>
        </w:tc>
        <w:tc>
          <w:tcPr>
            <w:tcW w:w="118" w:type="dxa"/>
            <w:tcBorders/>
            <w:shd w:fill="FFFFFF" w:val="clear"/>
            <w:vAlign w:val="center"/>
          </w:tcPr>
          <w:p>
            <w:pPr>
              <w:pStyle w:val="TableContents"/>
              <w:bidi w:val="0"/>
              <w:spacing w:before="0" w:after="283"/>
              <w:jc w:val="left"/>
              <w:rPr/>
            </w:pPr>
            <w:r>
              <w:rPr/>
              <w:t> </w:t>
            </w:r>
            <w:bookmarkStart w:id="1301" w:name="xdx_407_eus-gaap--GeneralAndAdministrati"/>
            <w:bookmarkEnd w:id="1301"/>
          </w:p>
        </w:tc>
      </w:tr>
      <w:tr>
        <w:trPr/>
        <w:tc>
          <w:tcPr>
            <w:tcW w:w="4077"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2,661,405</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547,689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5,122,592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2,455,454</w:t>
            </w:r>
          </w:p>
        </w:tc>
        <w:tc>
          <w:tcPr>
            <w:tcW w:w="118" w:type="dxa"/>
            <w:tcBorders/>
            <w:shd w:fill="CCEEFF" w:val="clear"/>
            <w:vAlign w:val="center"/>
          </w:tcPr>
          <w:p>
            <w:pPr>
              <w:pStyle w:val="TableContents"/>
              <w:bidi w:val="0"/>
              <w:spacing w:before="0" w:after="283"/>
              <w:jc w:val="left"/>
              <w:rPr/>
            </w:pPr>
            <w:r>
              <w:rPr/>
              <w:t> </w:t>
            </w:r>
            <w:bookmarkStart w:id="1302" w:name="xdx_405_eus-gaap--ResearchAndDevelopment"/>
            <w:bookmarkEnd w:id="1302"/>
          </w:p>
        </w:tc>
      </w:tr>
      <w:tr>
        <w:trPr/>
        <w:tc>
          <w:tcPr>
            <w:tcW w:w="4077"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4,453,153</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3,293,409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8,467,822</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6,903,154</w:t>
            </w:r>
          </w:p>
        </w:tc>
        <w:tc>
          <w:tcPr>
            <w:tcW w:w="118" w:type="dxa"/>
            <w:tcBorders/>
            <w:shd w:fill="FFFFFF" w:val="clear"/>
            <w:vAlign w:val="center"/>
          </w:tcPr>
          <w:p>
            <w:pPr>
              <w:pStyle w:val="TableContents"/>
              <w:bidi w:val="0"/>
              <w:spacing w:before="0" w:after="283"/>
              <w:jc w:val="left"/>
              <w:rPr/>
            </w:pPr>
            <w:r>
              <w:rPr/>
              <w:t> </w:t>
            </w:r>
            <w:bookmarkStart w:id="1303" w:name="xdx_405_eus-gaap--MarketingAndAdvertisin"/>
            <w:bookmarkEnd w:id="1303"/>
          </w:p>
        </w:tc>
      </w:tr>
      <w:tr>
        <w:trPr/>
        <w:tc>
          <w:tcPr>
            <w:tcW w:w="4077"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814,705</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1,520,201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1,683,494</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2,826,567</w:t>
            </w:r>
          </w:p>
        </w:tc>
        <w:tc>
          <w:tcPr>
            <w:tcW w:w="118" w:type="dxa"/>
            <w:tcBorders/>
            <w:shd w:fill="CCEEFF" w:val="clear"/>
            <w:vAlign w:val="center"/>
          </w:tcPr>
          <w:p>
            <w:pPr>
              <w:pStyle w:val="TableContents"/>
              <w:bidi w:val="0"/>
              <w:spacing w:before="0" w:after="283"/>
              <w:jc w:val="left"/>
              <w:rPr/>
            </w:pPr>
            <w:r>
              <w:rPr/>
              <w:t> </w:t>
            </w:r>
            <w:bookmarkStart w:id="1304" w:name="xdx_400_eus-gaap--Depreciation_maOEzI8u_"/>
            <w:bookmarkEnd w:id="1304"/>
          </w:p>
        </w:tc>
      </w:tr>
      <w:tr>
        <w:trPr/>
        <w:tc>
          <w:tcPr>
            <w:tcW w:w="4077"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12,834</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67,761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25,568</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135,665</w:t>
            </w:r>
          </w:p>
        </w:tc>
        <w:tc>
          <w:tcPr>
            <w:tcW w:w="118" w:type="dxa"/>
            <w:tcBorders/>
            <w:shd w:fill="FFFFFF" w:val="clear"/>
            <w:vAlign w:val="center"/>
          </w:tcPr>
          <w:p>
            <w:pPr>
              <w:pStyle w:val="TableContents"/>
              <w:bidi w:val="0"/>
              <w:spacing w:before="0" w:after="283"/>
              <w:jc w:val="left"/>
              <w:rPr/>
            </w:pPr>
            <w:r>
              <w:rPr/>
              <w:t> </w:t>
            </w:r>
            <w:bookmarkStart w:id="1305" w:name="xdx_40C_eus-gaap--AssetImpairmentCharges"/>
            <w:bookmarkEnd w:id="1305"/>
          </w:p>
        </w:tc>
      </w:tr>
      <w:tr>
        <w:trPr/>
        <w:tc>
          <w:tcPr>
            <w:tcW w:w="4077" w:type="dxa"/>
            <w:tcBorders/>
            <w:shd w:fill="CCEEFF" w:val="clear"/>
            <w:vAlign w:val="center"/>
          </w:tcPr>
          <w:p>
            <w:pPr>
              <w:pStyle w:val="TableContents"/>
              <w:bidi w:val="0"/>
              <w:spacing w:before="0" w:after="283"/>
              <w:jc w:val="left"/>
              <w:rPr/>
            </w:pPr>
            <w:r>
              <w:rPr/>
              <w:t>Impairment of film assets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8" w:space="0" w:color="000000"/>
            </w:tcBorders>
            <w:shd w:fill="CCEEFF" w:val="clear"/>
            <w:tcMar>
              <w:bottom w:w="28" w:type="dxa"/>
            </w:tcMar>
            <w:vAlign w:val="center"/>
          </w:tcPr>
          <w:p>
            <w:pPr>
              <w:pStyle w:val="TableContents"/>
              <w:bidi w:val="0"/>
              <w:spacing w:before="0" w:after="283"/>
              <w:jc w:val="right"/>
              <w:rPr/>
            </w:pPr>
            <w:r>
              <w:rPr/>
              <w:t>96,838</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415,719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165,987</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pPr>
            <w:r>
              <w:rPr/>
              <w:t>415,719</w:t>
            </w:r>
          </w:p>
        </w:tc>
        <w:tc>
          <w:tcPr>
            <w:tcW w:w="118" w:type="dxa"/>
            <w:tcBorders/>
            <w:shd w:fill="CCEEFF" w:val="clear"/>
            <w:vAlign w:val="center"/>
          </w:tcPr>
          <w:p>
            <w:pPr>
              <w:pStyle w:val="TableContents"/>
              <w:bidi w:val="0"/>
              <w:spacing w:before="0" w:after="283"/>
              <w:jc w:val="left"/>
              <w:rPr/>
            </w:pPr>
            <w:r>
              <w:rPr/>
              <w:t> </w:t>
            </w:r>
            <w:bookmarkStart w:id="1306" w:name="xdx_40F_eus-gaap--OperatingExpenses_iT_m"/>
            <w:bookmarkEnd w:id="1306"/>
          </w:p>
        </w:tc>
      </w:tr>
      <w:tr>
        <w:trPr/>
        <w:tc>
          <w:tcPr>
            <w:tcW w:w="4077"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8" w:space="0" w:color="000000"/>
            </w:tcBorders>
            <w:shd w:fill="FFFFFF" w:val="clear"/>
            <w:tcMar>
              <w:bottom w:w="28" w:type="dxa"/>
            </w:tcMar>
            <w:vAlign w:val="center"/>
          </w:tcPr>
          <w:p>
            <w:pPr>
              <w:pStyle w:val="TableContents"/>
              <w:bidi w:val="0"/>
              <w:spacing w:before="0" w:after="283"/>
              <w:jc w:val="right"/>
              <w:rPr/>
            </w:pPr>
            <w:r>
              <w:rPr/>
              <w:t>10,352,780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8,772,179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19,968,878</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18,720,545</w:t>
            </w:r>
          </w:p>
        </w:tc>
        <w:tc>
          <w:tcPr>
            <w:tcW w:w="118" w:type="dxa"/>
            <w:tcBorders/>
            <w:shd w:fill="FFFFFF" w:val="clear"/>
            <w:vAlign w:val="center"/>
          </w:tcPr>
          <w:p>
            <w:pPr>
              <w:pStyle w:val="TableContents"/>
              <w:bidi w:val="0"/>
              <w:spacing w:before="0" w:after="283"/>
              <w:jc w:val="left"/>
              <w:rPr/>
            </w:pPr>
            <w:r>
              <w:rPr/>
              <w:t> </w:t>
            </w:r>
          </w:p>
        </w:tc>
      </w:tr>
      <w:tr>
        <w:trPr/>
        <w:tc>
          <w:tcPr>
            <w:tcW w:w="40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bookmarkStart w:id="1307" w:name="xdx_404_eus-gaap--OperatingIncomeLoss_iT"/>
            <w:bookmarkEnd w:id="1307"/>
          </w:p>
        </w:tc>
      </w:tr>
      <w:tr>
        <w:trPr/>
        <w:tc>
          <w:tcPr>
            <w:tcW w:w="4077"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8" w:space="0" w:color="000000"/>
            </w:tcBorders>
            <w:shd w:fill="FFFFFF" w:val="clear"/>
            <w:tcMar>
              <w:bottom w:w="28" w:type="dxa"/>
            </w:tcMar>
            <w:vAlign w:val="center"/>
          </w:tcPr>
          <w:p>
            <w:pPr>
              <w:pStyle w:val="TableContents"/>
              <w:bidi w:val="0"/>
              <w:spacing w:before="0" w:after="283"/>
              <w:jc w:val="right"/>
              <w:rPr/>
            </w:pPr>
            <w:r>
              <w:rPr/>
              <w:t>(2,664,997</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(1,817,434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(624,654</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(5,918,273</w:t>
            </w:r>
          </w:p>
        </w:tc>
        <w:tc>
          <w:tcPr>
            <w:tcW w:w="118" w:type="dxa"/>
            <w:tcBorders/>
            <w:shd w:fill="FFFFFF" w:val="clear"/>
            <w:vAlign w:val="center"/>
          </w:tcPr>
          <w:p>
            <w:pPr>
              <w:pStyle w:val="TableContents"/>
              <w:bidi w:val="0"/>
              <w:spacing w:before="0" w:after="283"/>
              <w:jc w:val="left"/>
              <w:rPr/>
            </w:pPr>
            <w:r>
              <w:rPr/>
              <w:t>)</w:t>
            </w:r>
          </w:p>
        </w:tc>
      </w:tr>
      <w:tr>
        <w:trPr/>
        <w:tc>
          <w:tcPr>
            <w:tcW w:w="40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bookmarkStart w:id="1308" w:name="xdx_40D_eus-gaap--NonoperatingIncomeExpe"/>
            <w:bookmarkEnd w:id="1308"/>
          </w:p>
        </w:tc>
      </w:tr>
      <w:tr>
        <w:trPr/>
        <w:tc>
          <w:tcPr>
            <w:tcW w:w="4077"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8" w:space="0" w:color="000000"/>
            </w:tcBorders>
            <w:shd w:fill="FFFFFF" w:val="clear"/>
            <w:tcMar>
              <w:bottom w:w="28" w:type="dxa"/>
            </w:tcMar>
            <w:vAlign w:val="center"/>
          </w:tcPr>
          <w:p>
            <w:pPr>
              <w:pStyle w:val="TableContents"/>
              <w:bidi w:val="0"/>
              <w:spacing w:before="0" w:after="283"/>
              <w:jc w:val="right"/>
              <w:rPr/>
            </w:pPr>
            <w:r>
              <w:rPr/>
              <w:t>(509,906</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(876,674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(308,869</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(193,630</w:t>
            </w:r>
          </w:p>
        </w:tc>
        <w:tc>
          <w:tcPr>
            <w:tcW w:w="118" w:type="dxa"/>
            <w:tcBorders/>
            <w:shd w:fill="FFFFFF" w:val="clear"/>
            <w:vAlign w:val="center"/>
          </w:tcPr>
          <w:p>
            <w:pPr>
              <w:pStyle w:val="TableContents"/>
              <w:bidi w:val="0"/>
              <w:spacing w:before="0" w:after="283"/>
              <w:jc w:val="left"/>
              <w:rPr/>
            </w:pPr>
            <w:r>
              <w:rPr/>
              <w:t>)</w:t>
            </w:r>
          </w:p>
        </w:tc>
      </w:tr>
      <w:tr>
        <w:trPr/>
        <w:tc>
          <w:tcPr>
            <w:tcW w:w="40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bookmarkStart w:id="1309" w:name="xdx_40F_eus-gaap--IncomeLossFromContinui"/>
            <w:bookmarkEnd w:id="1309"/>
          </w:p>
        </w:tc>
      </w:tr>
      <w:tr>
        <w:trPr/>
        <w:tc>
          <w:tcPr>
            <w:tcW w:w="4077" w:type="dxa"/>
            <w:tcBorders/>
            <w:shd w:fill="FFFFFF" w:val="clear"/>
            <w:vAlign w:val="center"/>
          </w:tcPr>
          <w:p>
            <w:pPr>
              <w:pStyle w:val="TableContents"/>
              <w:bidi w:val="0"/>
              <w:spacing w:before="0" w:after="283"/>
              <w:jc w:val="left"/>
              <w:rPr/>
            </w:pPr>
            <w:r>
              <w:rPr/>
              <w:t>Loss before (benefit from) provision for income taxes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(3,174,903</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(2,694,108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(933,523</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(6,111,903</w:t>
            </w:r>
          </w:p>
        </w:tc>
        <w:tc>
          <w:tcPr>
            <w:tcW w:w="118" w:type="dxa"/>
            <w:tcBorders/>
            <w:shd w:fill="FFFFFF" w:val="clear"/>
            <w:vAlign w:val="center"/>
          </w:tcPr>
          <w:p>
            <w:pPr>
              <w:pStyle w:val="TableContents"/>
              <w:bidi w:val="0"/>
              <w:spacing w:before="0" w:after="283"/>
              <w:jc w:val="left"/>
              <w:rPr/>
            </w:pPr>
            <w:r>
              <w:rPr/>
              <w:t>)</w:t>
            </w:r>
          </w:p>
        </w:tc>
      </w:tr>
      <w:tr>
        <w:trPr/>
        <w:tc>
          <w:tcPr>
            <w:tcW w:w="40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bookmarkStart w:id="1310" w:name="xdx_401_eus-gaap--IncomeTaxExpenseBenefi"/>
            <w:bookmarkEnd w:id="1310"/>
          </w:p>
        </w:tc>
      </w:tr>
      <w:tr>
        <w:trPr/>
        <w:tc>
          <w:tcPr>
            <w:tcW w:w="4077" w:type="dxa"/>
            <w:tcBorders/>
            <w:shd w:fill="FFFFFF" w:val="clear"/>
            <w:vAlign w:val="center"/>
          </w:tcPr>
          <w:p>
            <w:pPr>
              <w:pStyle w:val="TableContents"/>
              <w:bidi w:val="0"/>
              <w:spacing w:before="0" w:after="283"/>
              <w:jc w:val="left"/>
              <w:rPr/>
            </w:pPr>
            <w:r>
              <w:rPr/>
              <w:t>(Benefit from) provision for income taxes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8" w:space="0" w:color="000000"/>
            </w:tcBorders>
            <w:shd w:fill="FFFFFF" w:val="clear"/>
            <w:tcMar>
              <w:bottom w:w="28" w:type="dxa"/>
            </w:tcMar>
            <w:vAlign w:val="center"/>
          </w:tcPr>
          <w:p>
            <w:pPr>
              <w:pStyle w:val="TableContents"/>
              <w:bidi w:val="0"/>
              <w:spacing w:before="0" w:after="283"/>
              <w:jc w:val="right"/>
              <w:rPr/>
            </w:pPr>
            <w:r>
              <w:rPr/>
              <w:t>(133,629</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13,868,598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(26,805</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12,397,768</w:t>
            </w:r>
          </w:p>
        </w:tc>
        <w:tc>
          <w:tcPr>
            <w:tcW w:w="118" w:type="dxa"/>
            <w:tcBorders/>
            <w:shd w:fill="FFFFFF" w:val="clear"/>
            <w:vAlign w:val="center"/>
          </w:tcPr>
          <w:p>
            <w:pPr>
              <w:pStyle w:val="TableContents"/>
              <w:bidi w:val="0"/>
              <w:spacing w:before="0" w:after="283"/>
              <w:jc w:val="left"/>
              <w:rPr/>
            </w:pPr>
            <w:r>
              <w:rPr/>
              <w:t> </w:t>
            </w:r>
          </w:p>
        </w:tc>
      </w:tr>
      <w:tr>
        <w:trPr/>
        <w:tc>
          <w:tcPr>
            <w:tcW w:w="40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bookmarkStart w:id="1311" w:name="xdx_403_eus-gaap--ProfitLoss_mtPLzQFg_zi"/>
            <w:bookmarkEnd w:id="1311"/>
          </w:p>
        </w:tc>
      </w:tr>
      <w:tr>
        <w:trPr/>
        <w:tc>
          <w:tcPr>
            <w:tcW w:w="407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2" w:type="dxa"/>
            <w:tcBorders>
              <w:bottom w:val="double" w:sz="6" w:space="0" w:color="000000"/>
            </w:tcBorders>
            <w:shd w:fill="FFFFFF" w:val="clear"/>
            <w:tcMar>
              <w:bottom w:w="28" w:type="dxa"/>
            </w:tcMar>
            <w:vAlign w:val="center"/>
          </w:tcPr>
          <w:p>
            <w:pPr>
              <w:pStyle w:val="TableContents"/>
              <w:bidi w:val="0"/>
              <w:spacing w:before="0" w:after="283"/>
              <w:jc w:val="right"/>
              <w:rPr/>
            </w:pPr>
            <w:r>
              <w:rPr/>
              <w:t>(3,041,274</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pPr>
            <w:r>
              <w:rPr/>
              <w:t>(16,562,706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3" w:type="dxa"/>
            <w:tcBorders>
              <w:bottom w:val="double" w:sz="6" w:space="0" w:color="000000"/>
            </w:tcBorders>
            <w:shd w:fill="FFFFFF" w:val="clear"/>
            <w:tcMar>
              <w:bottom w:w="28" w:type="dxa"/>
            </w:tcMar>
            <w:vAlign w:val="center"/>
          </w:tcPr>
          <w:p>
            <w:pPr>
              <w:pStyle w:val="TableContents"/>
              <w:bidi w:val="0"/>
              <w:spacing w:before="0" w:after="283"/>
              <w:jc w:val="right"/>
              <w:rPr/>
            </w:pPr>
            <w:r>
              <w:rPr/>
              <w:t>(906,718</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(18,509,671</w:t>
            </w:r>
          </w:p>
        </w:tc>
        <w:tc>
          <w:tcPr>
            <w:tcW w:w="118"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312" w:name="xdx_8A0_zEw5tl1oVMd9"/>
      <w:bookmarkEnd w:id="131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is consistent with those presented in the condensed consolidated statements of cash flows. There are no additional segment items requiring separate disclosure. Interest income, interest expense, other income and foreign currency transactions are captured in the total other expense, net line item. The Company continues to report revenue by geographic region as part of its revenue disclosures, see Note 3 –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The CFO provides reports to the CODM for key decision making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13" w:name="xdx_80E_eus-gaap--SubsequentEventsTextBl"/>
      <w:bookmarkEnd w:id="1313"/>
      <w:r>
        <w:rPr>
          <w:rFonts w:ascii="Times New Roman;Times;Serif" w:hAnsi="Times New Roman;Times;Serif"/>
          <w:b/>
          <w:i w:val="false"/>
          <w:caps w:val="false"/>
          <w:smallCaps w:val="false"/>
          <w:sz w:val="20"/>
        </w:rPr>
        <w:t xml:space="preserve">NOTE 19 – </w:t>
      </w:r>
      <w:bookmarkStart w:id="1314" w:name="xdx_825_zKuTtIUiJYS8"/>
      <w:bookmarkEnd w:id="1314"/>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in Note 1, the Company effected a </w:t>
            </w:r>
            <w:bookmarkStart w:id="1315" w:name="xdx_90D_eus-gaap--StockholdersEquityReve"/>
            <w:bookmarkEnd w:id="1315"/>
            <w:r>
              <w:rPr>
                <w:rFonts w:ascii="Times New Roman;Times;Serif" w:hAnsi="Times New Roman;Times;Serif"/>
                <w:b w:val="false"/>
                <w:i w:val="false"/>
                <w:caps w:val="false"/>
                <w:smallCaps w:val="false"/>
                <w:sz w:val="20"/>
              </w:rPr>
              <w:t>1-for-5 reverse stock split of its Class A and Class B Common Stock, par value $</w:t>
            </w:r>
            <w:bookmarkStart w:id="1316" w:name="xdx_907_eus-gaap--SharePrice_iI_c2026070"/>
            <w:bookmarkEnd w:id="1316"/>
            <w:r>
              <w:rPr>
                <w:rFonts w:ascii="Times New Roman;Times;Serif" w:hAnsi="Times New Roman;Times;Serif"/>
                <w:b w:val="false"/>
                <w:i w:val="false"/>
                <w:caps w:val="false"/>
                <w:smallCaps w:val="false"/>
                <w:sz w:val="20"/>
              </w:rPr>
              <w:t>0.0001 per share. The Company’s Class A common stock began trading on a split-adjusted basis on July 6,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we received written notice from the Nasdaq Listing Qualifications Department notifying us that Nasdaq had determined to delist our Class A common stock from The Nasdaq Capital Market as a result of our continued noncompliance with Nasdaq’s minimum bid price requirement. We subsequently requested a hearing before the Nasdaq Hearings Panel to appeal this determination, and a hearing is scheduled for August 13,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Earlier in the year, we received a deficiency letter from the Nasdaq Staff notifying us that we were not in compliance with the requirement to maintain a minimum of $</w:t>
            </w:r>
            <w:bookmarkStart w:id="1317" w:name="xdx_90D_ecustom--RequiredAmountOfNetInco"/>
            <w:bookmarkEnd w:id="1317"/>
            <w:r>
              <w:rPr>
                <w:rFonts w:ascii="Times New Roman;Times;Serif" w:hAnsi="Times New Roman;Times;Serif"/>
                <w:b w:val="false"/>
                <w:i w:val="false"/>
                <w:caps w:val="false"/>
                <w:smallCaps w:val="false"/>
                <w:sz w:val="20"/>
              </w:rPr>
              <w:t xml:space="preserve">500,000 in net income from continuing operations in the most recently completed fiscal year, or two of the last three fiscal years (the “Net Income Requirement”). Additionally, we did not meet either of the alternative Nasdaq continued listing standards under the Nasdaq Listing Rules, which include </w:t>
            </w:r>
            <w:bookmarkStart w:id="1318" w:name="xdx_902_ecustom--DescriptionOfNasdaqList"/>
            <w:bookmarkEnd w:id="1318"/>
            <w:r>
              <w:rPr>
                <w:rFonts w:ascii="Times New Roman;Times;Serif" w:hAnsi="Times New Roman;Times;Serif"/>
                <w:b w:val="false"/>
                <w:i w:val="false"/>
                <w:caps w:val="false"/>
                <w:smallCaps w:val="false"/>
                <w:sz w:val="20"/>
              </w:rPr>
              <w:t>(i) a market value of listed securities of at least $35 million or (ii) a minimum stockholders’ equity requirement of at least $2,500,000 (collectively with the Net Income Requirement, the “Nasdaq Requirements”). On July 21, 2026, we received a letter from the Nasdaq Listing Qualifications Department confirming that we had then regained compliance with the minimum bid price requirement. The letter further noted that the hearing on August 13, 2026 will proceed as scheduled due to our continued noncompliance with Nasdaq’s requirements relating to net income, market value of listed securities, and stockholders’ equity.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5, 2026, Interactive Films, LLC entered into a Short Drama Production Business Agreement with Suzhou Snail Digital Technology Co., Ltd. for technical development, marketing, and commercial operation services related to the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platform, covering the period from August 1, 2026 through July 31, 2027 for a total contract sum of $</w:t>
            </w:r>
            <w:bookmarkStart w:id="1319" w:name="xdx_900_eus-gaap--AccruedLiabilitiesCurr"/>
            <w:bookmarkEnd w:id="1319"/>
            <w:r>
              <w:rPr>
                <w:rFonts w:ascii="Times New Roman;Times;Serif" w:hAnsi="Times New Roman;Times;Serif"/>
                <w:b w:val="false"/>
                <w:i w:val="false"/>
                <w:caps w:val="false"/>
                <w:smallCaps w:val="false"/>
                <w:sz w:val="20"/>
              </w:rPr>
              <w:t>864,000, payable in four quarterly installments of $</w:t>
            </w:r>
            <w:bookmarkStart w:id="1320" w:name="xdx_90F_eus-gaap--DebtInstrumentPeriodic"/>
            <w:bookmarkEnd w:id="1320"/>
            <w:r>
              <w:rPr>
                <w:rFonts w:ascii="Times New Roman;Times;Serif" w:hAnsi="Times New Roman;Times;Serif"/>
                <w:b w:val="false"/>
                <w:i w:val="false"/>
                <w:caps w:val="false"/>
                <w:smallCaps w:val="false"/>
                <w:sz w:val="20"/>
              </w:rPr>
              <w:t>216,000 beginning September 30,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Snail Games USA entered into a Game Testing Service Agreement with Suzhou Snail Digital Technology Co., Ltd. for functionality, compatibility, network, compliance, regression, and cross-platform game testing services, covering the period from August 1, 2026 through July 31, 2027 for a total contract sum of $</w:t>
            </w:r>
            <w:bookmarkStart w:id="1321" w:name="xdx_90B_eus-gaap--AccruedLiabilitiesCurr"/>
            <w:bookmarkEnd w:id="1321"/>
            <w:r>
              <w:rPr>
                <w:rFonts w:ascii="Times New Roman;Times;Serif" w:hAnsi="Times New Roman;Times;Serif"/>
                <w:b w:val="false"/>
                <w:i w:val="false"/>
                <w:caps w:val="false"/>
                <w:smallCaps w:val="false"/>
                <w:sz w:val="20"/>
              </w:rPr>
              <w:t>252,000, payable in four quarterly installments of $</w:t>
            </w:r>
            <w:bookmarkStart w:id="1322" w:name="xdx_904_eus-gaap--DebtInstrumentPeriodic"/>
            <w:bookmarkEnd w:id="1322"/>
            <w:r>
              <w:rPr>
                <w:rFonts w:ascii="Times New Roman;Times;Serif" w:hAnsi="Times New Roman;Times;Serif"/>
                <w:b w:val="false"/>
                <w:i w:val="false"/>
                <w:caps w:val="false"/>
                <w:smallCaps w:val="false"/>
                <w:sz w:val="20"/>
              </w:rPr>
              <w:t>63,000 beginning September 30,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After the close of the quarter, between July 10 and July 30, 2026, the Company issued an additional 112,341 shares pursuant to its ATM offering for gross proceeds of $582,763. As of July 30, 2026, total current activity under the ATM program yielded cumulative gross proceeds of $4,950,626 through the issuance of 771,770 shares.</w:t>
            </w:r>
          </w:p>
        </w:tc>
      </w:tr>
    </w:tbl>
    <w:p>
      <w:pPr>
        <w:pStyle w:val="TextBody"/>
        <w:bidi w:val="0"/>
        <w:spacing w:before="0" w:after="0"/>
        <w:ind w:left="0" w:right="0" w:hanging="0"/>
        <w:jc w:val="both"/>
        <w:rPr>
          <w:caps w:val="false"/>
          <w:smallCaps w:val="false"/>
        </w:rPr>
      </w:pPr>
      <w:bookmarkStart w:id="1323" w:name="xdx_818_zhMFqnHdbrj2"/>
      <w:bookmarkEnd w:id="132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4" w:name="G_001"/>
      <w:bookmarkEnd w:id="1324"/>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condensed consolidated financial statements and the related notes included elsewhere in this Quarterly Report on Form 10-Q (the “Quarterly Report”).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Quarterly Report, particularly under “Risk Factors,” in Part II, Item 1A of this Quarterly Report and Part 1A of the Company’s Form 10-K for the year ended December 31, 2025, and the “Cautionary Statement Regarding Forward-Looking Statements” section of this Quarterly Report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July 2, 2026, we effected the Reverse Stock Split of our outstanding shares of Class A common stock and Class B common stock at a ratio of 1-for-5. We have retrospectively adjusted all references to Class A common stock, Class B common stock, stock warrants to purchase common stock, stock options to purchase common stock, share data, per share data and related information contained in the following discussion to reflect the effect of the Reverse Stock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Times New Roman;Times;Serif" w:hAnsi="Times New Roman;Times;Serif"/>
          <w:b w:val="false"/>
          <w:i/>
          <w:caps w:val="false"/>
          <w:smallCaps w:val="false"/>
          <w:sz w:val="20"/>
        </w:rPr>
        <w:t xml:space="preserve">ARK: Survival Evolved, </w:t>
      </w:r>
      <w:r>
        <w:rPr>
          <w:rFonts w:ascii="Times New Roman;Times;Serif" w:hAnsi="Times New Roman;Times;Serif"/>
          <w:b w:val="false"/>
          <w:i w:val="false"/>
          <w:caps w:val="false"/>
          <w:smallCaps w:val="false"/>
          <w:sz w:val="20"/>
        </w:rPr>
        <w:t xml:space="preserve">which has consistently ranked among top-grossing titles on Steam.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is a leader within the sandbox survival genre with 112.4 million console and PC installs through June 30, 2026. See below for discussion of key performance metrics and non-GAAP measures. In the three and six months ended June 30, 2026,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combined for an average total of 225,000 and 238,000 daily active users (“DAUs”) on the Steam and Epic platforms, as compared to 242,000 and 242,000 in the three and six months ended June 30, 2025, respectively. We define “daily active users” as the number of unique users who play any given game on any given day. For the three months ended June 30, 2026 and 2025, we generated 83.0% and 90.1%, respectively, of our revenues from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For the six months ended June 30, 2026 and 2025, we generated 84.6% and 90.8%, respectively, of our revenues from the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franchise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dedication to providing audiences with high-quality entertainment experiences utilizing the latest gaming technology has produced strong user engagement, continued revenue growth, and increased cash flows. Through June 30, 2026,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game has been played for 4.5 billion hours with an average playing time per user of 160 hours and with the top 21.3% of all players spending over 100 hours in the game, according to data from the Steam platform. For the three months ended June 30, 2026 and 2025, our net revenue was $19.7 million and $22.2 million, respectively. For the six months ended June 30, 2026 and 2025, our net revenue was $47.0 million and $42.3 million, respectively. During the three months ended June 30, 2026, approximately 36.0% of our revenue came from consoles, 55.1% from PC and 6.9% from mobile as compared to 42.8% from consoles, 45.2% from PC and 9.2% from mobile during the three months ended June 30, 2025. During the six month ended June 30, 2026, approximately 32.7% of our revenue came from consoles, 59.6% came from PC and 6.0% from mobile platforms as compared to 42.1% from consoles, 45.0% from PC and 10.4% from mobile platforms during the six month ended June 30, 2025. We had a net loss of $3.0 million compared to a net loss of $16.6 million, for the three months ended June 30, 2026 and 2025, respectively. For the six months ended June 30, 2026, we had a net loss of $0.9 million as compared to net loss of $18.5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factors that affect the performance of our business, and the comparability of our results from period to period, including: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our content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continuously evaluate and invest in content strategy to improve and innovate our games and features and to develop current technological platforms. We are currently actively investing in expanding our gaming pipeline as well as developing media related to our gaming intellectual property. We also continue to invest to grow our micro-influencer platform,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xml:space="preserve">, by attracting new influencers and brand customers. We have established a new division internally under the Interactive Films brand. This division will focus on creating content in the vertical short film segment of the digital entertainment market. The mobile application has already launched on iOS and Android platforms. As of June 30, 2026, we have released over 300 short film dramas on the </w:t>
      </w:r>
      <w:r>
        <w:rPr>
          <w:rFonts w:ascii="Times New Roman;Times;Serif" w:hAnsi="Times New Roman;Times;Serif"/>
          <w:b w:val="false"/>
          <w:i/>
          <w:caps w:val="false"/>
          <w:smallCaps w:val="false"/>
          <w:sz w:val="20"/>
        </w:rPr>
        <w:t xml:space="preserve">SaltyTV </w:t>
      </w:r>
      <w:r>
        <w:rPr>
          <w:rFonts w:ascii="Times New Roman;Times;Serif" w:hAnsi="Times New Roman;Times;Serif"/>
          <w:b w:val="false"/>
          <w:i w:val="false"/>
          <w:caps w:val="false"/>
          <w:smallCaps w:val="false"/>
          <w:sz w:val="20"/>
        </w:rPr>
        <w:t>app. We expect a consistent roll out of new short film dramas. Short film dramas include internally produced and licensed films from external organizations.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of user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experienced significant growth in our number of downloads over the last several years. We have sold 60.4 million units between January 1, 2016 and June 30, 2026. During the three months ended June 30, 2026, we sold 2.0 million units compared to 2.1 million in the three months ended June 30, 2025. Our video games provide highly engaging, differentiated entertainment experiences where the combination of challenge and progress drives player engagement and long-term franchise value. The success of our franchise hinges on our ability to keep our current players engaged while also growing our user base by innovating our platform and monetizing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 Our master games are the base versions of a specific title, for example,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is our master game and </w:t>
      </w:r>
      <w:r>
        <w:rPr>
          <w:rFonts w:ascii="Times New Roman;Times;Serif" w:hAnsi="Times New Roman;Times;Serif"/>
          <w:b w:val="false"/>
          <w:i/>
          <w:caps w:val="false"/>
          <w:smallCaps w:val="false"/>
          <w:sz w:val="20"/>
        </w:rPr>
        <w:t>ARK: Genesis</w:t>
      </w:r>
      <w:r>
        <w:rPr>
          <w:rFonts w:ascii="Times New Roman;Times;Serif" w:hAnsi="Times New Roman;Times;Serif"/>
          <w:b w:val="false"/>
          <w:i w:val="false"/>
          <w:caps w:val="false"/>
          <w:smallCaps w:val="false"/>
          <w:sz w:val="20"/>
        </w:rPr>
        <w:t xml:space="preserve"> is a DLC.</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we have a significant opportunity to grow our installed base, we anticipate that our overall user growth rate will fluctuate over time as we continue to release new master games and companion DLCs. Download rates and user engagement may increase or decrease based on other factors such as growth in console, PC and mobile games, ability to release content, market effectively and distribute to users.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our technology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and bringing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 Furthermore, to accompany our entry into the vertical short film market, we have developed a distribution platform, the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mobile application that allows users to access the content 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release content, market effectively through cross media and expand the gaming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relationship with developers, Studio Wildcard &amp; Suzhou Snail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a related party, which develops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We have an exclusive license with Studio Wildcard for rights to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Relationship with third party distribution platforms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nearly all of our revenue from third-party distribution platforms, these include but are not limited to, Xbox Live and Game Pass, PlayStation Network, Steam, Epic Games Store, the Apple App Store, the Google Play Store and My Nintendo 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Seasonality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Gaming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first quarter of 2026, we continued to execute on our multi-year expansion strategy for our foundational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Building upon the successful launch and reception of </w:t>
      </w:r>
      <w:r>
        <w:rPr>
          <w:rFonts w:ascii="Times New Roman;Times;Serif" w:hAnsi="Times New Roman;Times;Serif"/>
          <w:b w:val="false"/>
          <w:i/>
          <w:caps w:val="false"/>
          <w:smallCaps w:val="false"/>
          <w:sz w:val="20"/>
        </w:rPr>
        <w:t>ARK: Lost Colony</w:t>
      </w:r>
      <w:r>
        <w:rPr>
          <w:rFonts w:ascii="Times New Roman;Times;Serif" w:hAnsi="Times New Roman;Times;Serif"/>
          <w:b w:val="false"/>
          <w:i w:val="false"/>
          <w:caps w:val="false"/>
          <w:smallCaps w:val="false"/>
          <w:sz w:val="20"/>
        </w:rPr>
        <w:t xml:space="preserve"> late last year, we outlined an ambitious roadmap consisting of four major downloadable content (DLC) expansions for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in 2026 and three subsequent releases planned for 2027. We anticipate this cadence will provide significant revenue visibility. Upcoming scheduled releases in 2026 include </w:t>
      </w:r>
      <w:r>
        <w:rPr>
          <w:rFonts w:ascii="Times New Roman;Times;Serif" w:hAnsi="Times New Roman;Times;Serif"/>
          <w:b w:val="false"/>
          <w:i/>
          <w:caps w:val="false"/>
          <w:smallCaps w:val="false"/>
          <w:sz w:val="20"/>
        </w:rPr>
        <w:t>ARK: Survival of the Fittest, ARK: Tides of Fortune, ARK: World Creator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ARK: Dragontopia</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core component of our long-term growth strategy is diversifying our revenue profile beyond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ecosystem by investing in internally developed.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our medieval survival/strategy title, maintained strong momentum through the Steam Spring Sale and has officially surpassed 1 million units sold. We are actively developing console ports to further monetize this IP. As part of our ongoing initiative to expand our third-party publishing portfolio and diversify our revenue profile, on January 27, 2026, the Company, in partnership with developer Loric Games, successfully launched </w:t>
      </w:r>
      <w:r>
        <w:rPr>
          <w:rFonts w:ascii="Times New Roman;Times;Serif" w:hAnsi="Times New Roman;Times;Serif"/>
          <w:b w:val="false"/>
          <w:i/>
          <w:caps w:val="false"/>
          <w:smallCaps w:val="false"/>
          <w:sz w:val="20"/>
        </w:rPr>
        <w:t>Echoes of Elysium</w:t>
      </w:r>
      <w:r>
        <w:rPr>
          <w:rFonts w:ascii="Times New Roman;Times;Serif" w:hAnsi="Times New Roman;Times;Serif"/>
          <w:b w:val="false"/>
          <w:i w:val="false"/>
          <w:caps w:val="false"/>
          <w:smallCaps w:val="false"/>
          <w:sz w:val="20"/>
        </w:rPr>
        <w:t xml:space="preserve"> into Early Access on the Steam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Game Developers Conference (“GDC”) 2026, we provided key updates regarding our product pipeline and unveiled new intellectual property. We provided an exclusive look at </w:t>
      </w:r>
      <w:r>
        <w:rPr>
          <w:rFonts w:ascii="Times New Roman;Times;Serif" w:hAnsi="Times New Roman;Times;Serif"/>
          <w:b w:val="false"/>
          <w:i/>
          <w:caps w:val="false"/>
          <w:smallCaps w:val="false"/>
          <w:sz w:val="20"/>
        </w:rPr>
        <w:t>For the Stars</w:t>
      </w:r>
      <w:r>
        <w:rPr>
          <w:rFonts w:ascii="Times New Roman;Times;Serif" w:hAnsi="Times New Roman;Times;Serif"/>
          <w:b w:val="false"/>
          <w:i w:val="false"/>
          <w:caps w:val="false"/>
          <w:smallCaps w:val="false"/>
          <w:sz w:val="20"/>
        </w:rPr>
        <w:t xml:space="preserve">, our upcoming open-universe AAA space survival RPG. The title continues to progress, with demonstrations of its open-ended exploration and player-driven research systems presented at the GDC Tech Demo Stage. We introduced </w:t>
      </w:r>
      <w:r>
        <w:rPr>
          <w:rFonts w:ascii="Times New Roman;Times;Serif" w:hAnsi="Times New Roman;Times;Serif"/>
          <w:b w:val="false"/>
          <w:i/>
          <w:caps w:val="false"/>
          <w:smallCaps w:val="false"/>
          <w:sz w:val="20"/>
        </w:rPr>
        <w:t>PixARK Worlds</w:t>
      </w:r>
      <w:r>
        <w:rPr>
          <w:rFonts w:ascii="Times New Roman;Times;Serif" w:hAnsi="Times New Roman;Times;Serif"/>
          <w:b w:val="false"/>
          <w:i w:val="false"/>
          <w:caps w:val="false"/>
          <w:smallCaps w:val="false"/>
          <w:sz w:val="20"/>
        </w:rPr>
        <w:t xml:space="preserve">, a new title in development by Studio Sirens and Snail Games, created with guidance from Studio Wildcard, featuring revolutionary user-generated content designed. In broadening our indie portfolio, we officially announced </w:t>
      </w:r>
      <w:r>
        <w:rPr>
          <w:rFonts w:ascii="Times New Roman;Times;Serif" w:hAnsi="Times New Roman;Times;Serif"/>
          <w:b w:val="false"/>
          <w:i/>
          <w:caps w:val="false"/>
          <w:smallCaps w:val="false"/>
          <w:sz w:val="20"/>
        </w:rPr>
        <w:t>Gobby Gang</w:t>
      </w:r>
      <w:r>
        <w:rPr>
          <w:rFonts w:ascii="Times New Roman;Times;Serif" w:hAnsi="Times New Roman;Times;Serif"/>
          <w:b w:val="false"/>
          <w:i w:val="false"/>
          <w:caps w:val="false"/>
          <w:smallCaps w:val="false"/>
          <w:sz w:val="20"/>
        </w:rPr>
        <w:t>, a new cooperative multiplayer party game on the Steam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second quarter of 2026, we continued to execute on our multi-year expansion strategy for our foundational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celebrating the game’s 11-year anniversary on June 2, 2026. Building upon the momentum of our first-quarter releases, we launched the </w:t>
      </w:r>
      <w:r>
        <w:rPr>
          <w:rFonts w:ascii="Times New Roman;Times;Serif" w:hAnsi="Times New Roman;Times;Serif"/>
          <w:b w:val="false"/>
          <w:i/>
          <w:caps w:val="false"/>
          <w:smallCaps w:val="false"/>
          <w:sz w:val="20"/>
        </w:rPr>
        <w:t>ARK: Fantastic Tames Season 1</w:t>
      </w:r>
      <w:r>
        <w:rPr>
          <w:rFonts w:ascii="Times New Roman;Times;Serif" w:hAnsi="Times New Roman;Times;Serif"/>
          <w:b w:val="false"/>
          <w:i w:val="false"/>
          <w:caps w:val="false"/>
          <w:smallCaps w:val="false"/>
          <w:sz w:val="20"/>
        </w:rPr>
        <w:t xml:space="preserve"> expansion pack in May 2026. At IGN Live in June 2026, we unveiled new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content, laying the necessary groundwork for our third-quarter launches in July 2026, which included </w:t>
      </w:r>
      <w:r>
        <w:rPr>
          <w:rFonts w:ascii="Times New Roman;Times;Serif" w:hAnsi="Times New Roman;Times;Serif"/>
          <w:b w:val="false"/>
          <w:i/>
          <w:caps w:val="false"/>
          <w:smallCaps w:val="false"/>
          <w:sz w:val="20"/>
        </w:rPr>
        <w:t>ARK: Genesis Part 1 Ascended, ARK: Tides of Fortune, and the ARK: Dragontopia</w:t>
      </w:r>
      <w:r>
        <w:rPr>
          <w:rFonts w:ascii="Times New Roman;Times;Serif" w:hAnsi="Times New Roman;Times;Serif"/>
          <w:b w:val="false"/>
          <w:i w:val="false"/>
          <w:caps w:val="false"/>
          <w:smallCaps w:val="false"/>
          <w:sz w:val="20"/>
        </w:rPr>
        <w:t xml:space="preserve"> DLC. We anticipate this consistent release cadence will provide significant and ongoing revenue visibility.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core component of our long-term growth strategy is diversifying our revenue profile beyond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ecosystem by investing in internally developed and third-party titles.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our medieval survival strategy title, maintained its strong PC momentum and officially expanded its market reach with a launch on PlayStation and Xbox consoles on June 9,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our ongoing initiative to expand our third-party publishing portfolio, our indie publisher label, Wandering Wizard, launched </w:t>
      </w:r>
      <w:r>
        <w:rPr>
          <w:rFonts w:ascii="Times New Roman;Times;Serif" w:hAnsi="Times New Roman;Times;Serif"/>
          <w:b w:val="false"/>
          <w:i/>
          <w:caps w:val="false"/>
          <w:smallCaps w:val="false"/>
          <w:sz w:val="20"/>
        </w:rPr>
        <w:t>Above the Snow</w:t>
      </w:r>
      <w:r>
        <w:rPr>
          <w:rFonts w:ascii="Times New Roman;Times;Serif" w:hAnsi="Times New Roman;Times;Serif"/>
          <w:b w:val="false"/>
          <w:i w:val="false"/>
          <w:caps w:val="false"/>
          <w:smallCaps w:val="false"/>
          <w:sz w:val="20"/>
        </w:rPr>
        <w:t xml:space="preserve"> in April 2026. In May 2026, we further highlighted the progress of our strategic Polish studio partnerships via our upcoming bioengineering survival adventure, </w:t>
      </w:r>
      <w:r>
        <w:rPr>
          <w:rFonts w:ascii="Times New Roman;Times;Serif" w:hAnsi="Times New Roman;Times;Serif"/>
          <w:b w:val="false"/>
          <w:i/>
          <w:caps w:val="false"/>
          <w:smallCaps w:val="false"/>
          <w:sz w:val="20"/>
        </w:rPr>
        <w:t>Honeycomb: The World Beyond</w:t>
      </w:r>
      <w:r>
        <w:rPr>
          <w:rFonts w:ascii="Times New Roman;Times;Serif" w:hAnsi="Times New Roman;Times;Serif"/>
          <w:b w:val="false"/>
          <w:i w:val="false"/>
          <w:caps w:val="false"/>
          <w:smallCaps w:val="false"/>
          <w:sz w:val="20"/>
        </w:rPr>
        <w:t xml:space="preserve">. To reinforce our long-term global expansion, we attended Gamescom LATAM in May 2026 to explore publishing partnerships in one of gaming’s largest and fastest-growing markets. Furthermore, we continued to broaden our expanded universe portfolio by unveiling the upcoming </w:t>
      </w:r>
      <w:r>
        <w:rPr>
          <w:rFonts w:ascii="Times New Roman;Times;Serif" w:hAnsi="Times New Roman;Times;Serif"/>
          <w:b w:val="false"/>
          <w:i/>
          <w:caps w:val="false"/>
          <w:smallCaps w:val="false"/>
          <w:sz w:val="20"/>
        </w:rPr>
        <w:t>PixARK: Terracrypt</w:t>
      </w:r>
      <w:r>
        <w:rPr>
          <w:rFonts w:ascii="Times New Roman;Times;Serif" w:hAnsi="Times New Roman;Times;Serif"/>
          <w:b w:val="false"/>
          <w:i w:val="false"/>
          <w:caps w:val="false"/>
          <w:smallCaps w:val="false"/>
          <w:sz w:val="20"/>
        </w:rPr>
        <w:t xml:space="preserve"> DLC on June 25, 2026, capitalizing on strong player engagement during the 2026 Steam Summer Sale.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Film and TV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continue to build on our short film mobile application,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to bring more exclusive, original stories from heart-racing thrillers to jaw-dropping romances to our viewers. As of June 30, 2026, we have released over 300 short film dramas, on the </w:t>
      </w:r>
      <w:r>
        <w:rPr>
          <w:rFonts w:ascii="Times New Roman;Times;Serif" w:hAnsi="Times New Roman;Times;Serif"/>
          <w:b w:val="false"/>
          <w:i/>
          <w:caps w:val="false"/>
          <w:smallCaps w:val="false"/>
          <w:sz w:val="20"/>
        </w:rPr>
        <w:t xml:space="preserve">SaltyTV </w:t>
      </w:r>
      <w:r>
        <w:rPr>
          <w:rFonts w:ascii="Times New Roman;Times;Serif" w:hAnsi="Times New Roman;Times;Serif"/>
          <w:b w:val="false"/>
          <w:i w:val="false"/>
          <w:caps w:val="false"/>
          <w:smallCaps w:val="false"/>
          <w:sz w:val="20"/>
        </w:rPr>
        <w:t>app. We expect a consistent roll out of new short film dramas throughout 2026 and beyond.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strategy to explore adjacent digital entertainment markets, we introduced our new “Interactive Films” publishing initiative at GDC 2026. This experimental approach is designed to transform high-engagement, vertical narrative content into interactive Full Motion Video (FMV) RPG experiences, bridging modern digital storytelling formats with gameplay-driven interactivity.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Corporate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6, 2026, we entered into Amendment No. 3 to the Amended and Restated Exclusive Software License Agreement (the “Amendment”) with SDE Inc., a California corporation (“SDE”) through our wholly-owned subsidiary, Snail Games USA, Inc. SDE is controlled by Ying Zhou, our director and the spouse of Hai Shi, our Chief Executive Officer, Chief Strategy Officer, Chairman of the Board and Founder. The Amendment amends that certain Amended and Restated Exclusive Software License Agreement, dated January 1, 2022, which was previously amended on December 13, 2022, March 10, 2023, and October 1, 2023 (as amended, the “ARK1 License Agreement”) pursuant to which we hold an exclusive worldwide license from SDE to publish and sell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(“ASE Game”) and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(“ASA Game”). The Amendment is effective as of April 1, 2026. Prior to the Amendment, the ARK1 License Agreement provided for us to pay to SDE (i) licensing fees of $2 million per month, provided that such obligation shall cease upon the public release of the sequel ARK 2; (ii) following the ASA Launch Date (as defined in the ARK1 License Agreement), royalties of 25% of our total revenue related to ASA Game and 40% of our total revenue related to ASE Game; and (iii) a one-time payment of $5 million upon the release of any DLC after October 1, 2023. The Amendment reduces the licensing fees to $1.5 million per month, provided that such obligation shall cease upon the public release of the sequel </w:t>
      </w:r>
      <w:r>
        <w:rPr>
          <w:rFonts w:ascii="Times New Roman;Times;Serif" w:hAnsi="Times New Roman;Times;Serif"/>
          <w:b w:val="false"/>
          <w:i/>
          <w:caps w:val="false"/>
          <w:smallCaps w:val="false"/>
          <w:sz w:val="20"/>
        </w:rPr>
        <w:t>ARK 2</w:t>
      </w:r>
      <w:r>
        <w:rPr>
          <w:rFonts w:ascii="Times New Roman;Times;Serif" w:hAnsi="Times New Roman;Times;Serif"/>
          <w:b w:val="false"/>
          <w:i w:val="false"/>
          <w:caps w:val="false"/>
          <w:smallCaps w:val="false"/>
          <w:sz w:val="20"/>
        </w:rPr>
        <w:t>, and replaces the one-time payment set forth above for each DLC with a one-time payment of $5 million upon the release of certain DLCs after October 1, 2023, excluding, among others, DLCs that were originally included in ASA Game.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6, 2026, we entered into a Software Development Outsourcing Agreement (the “Development Agreement”) with Suzhou Snail Digital Technology Co., Ltd. (“Suzhou Snail”) through our subsidiary Snail Games USA, Inc. Mr. Shi is the founder and a director of Suzhou Snail, and Ms. Zhou is a vice president and director of Suzhou Snail. The Development Agreement provides for Suzhou Snail to carry out technical development for our </w:t>
      </w:r>
      <w:r>
        <w:rPr>
          <w:rFonts w:ascii="Times New Roman;Times;Serif" w:hAnsi="Times New Roman;Times;Serif"/>
          <w:b w:val="false"/>
          <w:i/>
          <w:caps w:val="false"/>
          <w:smallCaps w:val="false"/>
          <w:sz w:val="20"/>
        </w:rPr>
        <w:t>Project Aether</w:t>
      </w:r>
      <w:r>
        <w:rPr>
          <w:rFonts w:ascii="Times New Roman;Times;Serif" w:hAnsi="Times New Roman;Times;Serif"/>
          <w:b w:val="false"/>
          <w:i w:val="false"/>
          <w:caps w:val="false"/>
          <w:smallCaps w:val="false"/>
          <w:sz w:val="20"/>
        </w:rPr>
        <w:t xml:space="preserve"> game. We agreed to pay to Suzhou Snail an aggregate of $1.966 million in four quarterly installments of $491,500, beginning in the second quarter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we continued to utilize our at-the-market (“ATM”) offering program to support liquidity and strategic initiatives. On May 20, 2026, we filed a prospectus supplement to offer and sell up to $3,660,000 of Class A common stock under the ATM Offering pursuant to our existing shelf registration statement on Form S-3 (No. 333-282030). During the three months ended June 30, 2026, we sold 659,429 shares of Class A common stock under the ATM offering for gross proceeds of $4,367,863. Subsequent to June 30, 2026, we sold an aggregate of 112,341 shares of Class A common stock under the ATM offering for gross proceeds of $582,763.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Nasdaq 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we received written notice from the Listing Qualifications Department (the “Staff”) of The Nasdaq Stock Market LLC (“Nasdaq”) notifying us that for thirty (30) consecutive business days from November 11, 2025 through December 29, 2025, our Class A common stock did not maintain a minimum closing bid price of $1.00 per share (the “Minimum Bid Price Requirement”) as required by Nasdaq Listing Rule 5550(a)(2). At that time, we were afforded 180 calendar days, or until June 29, 2026, to regain compliance with the Minimum Bid Price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could have been achieved if the closing bid price of our Class A common stock were at or above $1.00 for a minimum of ten (10) consecutive business days at any time during the 180-day compliance period, although Nasdaq may require the closing bid price to equal or to exceed the $1.00 minimum bid price requirement for more than ten (10) consecutive business days before determining that a company complies.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we received another deficiency letter (the “Letter”) from the Nasdaq Staff notifying us that we were not in compliance with the requirement to maintain a minimum of $500,000 in net income from continuing operations in the most recently completed fiscal year, or two of the last three fiscal years (the “Net Income Requirement”). Although we reported net income from continuing operations in our Condensed Consolidated Statement of Operations for the year ended December 31, 2024, we reported net losses from continuing operations in our Condensed Consolidated Statements of Operations for the years ended December 31, 2023 and 2025. Additionally, we did not meet either of the alternative Nasdaq continued listing standards under the Nasdaq Listing Rules, which include (i) a market value of listed securities of at least $35 million or (ii) a minimum stockholders’ equity requirement of at least $2,500,000 (collectively with the Net Income Requirement, the “Nasdaq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rules, we submitted a plan to the Staff to regain compliance (the “Compliance Plan”) with the Nasdaq Requirements on May 11, 2026. On May 20, 2026, we received a letter from Nasdaq (the “Extension Letter”) stating that the Compliance Plan was accepted and that we would have until September 22, 2026, to evidence compliance with the Nasdaq Requirements. The Extension Letter further stated that if we fail to evidence compliance with the Nasdaq Requirements upon filing our quarterly report for the quarter ending September 30, 2026, our Class A common stock will be subject to delisting.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we received written notice from the Nasdaq Staff notifying us that Nasdaq had determined to delist our Class A common stock from The Nasdaq Capital Market as a result of our continued noncompliance with the Minimum Bid Price requirement (the “Staff Determination”). We subsequently requested a hearing before the Nasdaq Hearings Panel (the “Panel”) to appeal the Staff Determination, and a hearing is scheduled for August 13, 2026. The hearing request automatically stayed any suspension or delisting action pending the hearing and the expiration of any additional extension period granted by the Panel following the hearing. There can be no assurance that the Company will be successful in any appeal or that it will be able to regain compliance with Nasdaq’s listing requirements within the timeframe that may be provided by the Panel,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effected the Reverse Stock Split of our outstanding shares of Class A common stock and Class B common stock at a ratio of 1-for-5. The Class A common stock began trading on the Nasdaq Capital Market on a split-adjusted basis on July 6, 2026. On July 21, 2026, we received a letter from the Nasdaq Staff confirming that we had then regained compliance with the Minimum Bid Price Requirement. The letter further noted that the hearing on August 13, 2026 will proceed as scheduled due to our continued noncompliance with the Nasdaq Requirements.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the Apple App Store, the Google Play Store and My Nintendo Store, and certain retail distributors.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deferred revenue when payments are due or received in advance of the fulfillment of our associated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revenues includes license royalty fees, merchant fees, engine fees, server and database cost centers, game licenses and license right amortization. For a description of our licensing arrangements, please see Note 2 - </w:t>
      </w:r>
      <w:r>
        <w:rPr>
          <w:rFonts w:ascii="Times New Roman;Times;Serif" w:hAnsi="Times New Roman;Times;Serif"/>
          <w:b w:val="false"/>
          <w:i/>
          <w:caps w:val="false"/>
          <w:smallCaps w:val="false"/>
          <w:sz w:val="20"/>
        </w:rPr>
        <w:t xml:space="preserve">Summary of Significant Accounting Policies </w:t>
      </w:r>
      <w:r>
        <w:rPr>
          <w:rFonts w:ascii="Times New Roman;Times;Serif" w:hAnsi="Times New Roman;Times;Serif"/>
          <w:b w:val="false"/>
          <w:i w:val="false"/>
          <w:caps w:val="false"/>
          <w:smallCaps w:val="false"/>
          <w:sz w:val="20"/>
        </w:rPr>
        <w:t>to our unaudited condensed consolidated financial statements included in this Quarterly Report. We generally expect cost of revenues to fluctuate proportionately with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rent expense, salaries, stock-based compensation, legal and professional expenses, administrative internet and server expenses, contract costs, insurance expenses, license and permits, other taxes and travel expenses. We expect salaries and wages to increase as we increase headcount when expanding our product offerings. Stock-based compensation will be recorded within research and development and general and administrative expense. We also record legal settlement expenses as components of general and administrative expenses. We expect general and administrative expenses will increase in absolute dollars due to the additional administrative and regulatory burden of becoming and operating as a public company and the inflationary pressures of recent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consists primarily of consulting expenses and salaries and wages devoted towards the development of new games and related technologies and development costs outsourced through Suzhou Snail. We expect our research and development to increase as we develop new content, games or technologies.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film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expenses consists of costs related to short films and game titles produced or licensed by Snail. When projected future cash flows were no longer expected to recover from the carrying value of film projects and game licenses, we recognize an impairment charge to write down the assets in full, or in part, to their estimated fair value. Impairments during the period primarily resulted from changes in marketing strategies, underperformance of certain titles, or shifts in market demand. These charges negatively impact operating income and reflect our continuous assessment of content performance in a rapidly evolving landscape.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of 3.7% differed from the federal statutory tax rate of 21% primarily due to state income taxes, permanent differences, and change in valuation allowance.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versus the three months ended June 30, 2025</w:t>
      </w:r>
    </w:p>
    <w:p>
      <w:pPr>
        <w:pStyle w:val="TextBody"/>
        <w:bidi w:val="0"/>
        <w:spacing w:before="0" w:after="0"/>
        <w:ind w:left="0" w:right="0" w:hanging="0"/>
        <w:jc w:val="center"/>
        <w:rPr>
          <w:caps w:val="false"/>
          <w:smallCaps w:val="false"/>
        </w:rPr>
      </w:pPr>
      <w:r>
        <w:rPr>
          <w:caps w:val="false"/>
          <w:smallCaps w:val="false"/>
        </w:rPr>
        <w:t> </w:t>
      </w:r>
    </w:p>
    <w:tbl>
      <w:tblPr>
        <w:tblW w:w="8491" w:type="dxa"/>
        <w:jc w:val="left"/>
        <w:tblInd w:w="0" w:type="dxa"/>
        <w:tblLayout w:type="fixed"/>
        <w:tblCellMar>
          <w:top w:w="0" w:type="dxa"/>
          <w:left w:w="0" w:type="dxa"/>
          <w:bottom w:w="0" w:type="dxa"/>
          <w:right w:w="0" w:type="dxa"/>
        </w:tblCellMar>
      </w:tblPr>
      <w:tblGrid>
        <w:gridCol w:w="2585"/>
        <w:gridCol w:w="60"/>
        <w:gridCol w:w="332"/>
        <w:gridCol w:w="1045"/>
        <w:gridCol w:w="225"/>
        <w:gridCol w:w="142"/>
        <w:gridCol w:w="332"/>
        <w:gridCol w:w="1045"/>
        <w:gridCol w:w="95"/>
        <w:gridCol w:w="60"/>
        <w:gridCol w:w="260"/>
        <w:gridCol w:w="735"/>
        <w:gridCol w:w="95"/>
        <w:gridCol w:w="60"/>
        <w:gridCol w:w="116"/>
        <w:gridCol w:w="999"/>
        <w:gridCol w:w="30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5"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41"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045" w:type="dxa"/>
            <w:tcBorders/>
            <w:shd w:fill="CCEEFF" w:val="clear"/>
            <w:vAlign w:val="center"/>
          </w:tcPr>
          <w:p>
            <w:pPr>
              <w:pStyle w:val="TableContents"/>
              <w:bidi w:val="0"/>
              <w:spacing w:before="0" w:after="283"/>
              <w:jc w:val="right"/>
              <w:rPr/>
            </w:pPr>
            <w:r>
              <w:rPr/>
              <w:t>19.7</w:t>
            </w:r>
          </w:p>
        </w:tc>
        <w:tc>
          <w:tcPr>
            <w:tcW w:w="225"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045" w:type="dxa"/>
            <w:tcBorders/>
            <w:shd w:fill="CCEEFF" w:val="clear"/>
            <w:vAlign w:val="center"/>
          </w:tcPr>
          <w:p>
            <w:pPr>
              <w:pStyle w:val="TableContents"/>
              <w:bidi w:val="0"/>
              <w:spacing w:before="0" w:after="283"/>
              <w:jc w:val="right"/>
              <w:rPr/>
            </w:pPr>
            <w:r>
              <w:rPr/>
              <w:t>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(11.3</w:t>
            </w:r>
          </w:p>
        </w:tc>
        <w:tc>
          <w:tcPr>
            <w:tcW w:w="305"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pPr>
            <w:r>
              <w:rPr/>
              <w:t>12.0</w:t>
            </w:r>
          </w:p>
        </w:tc>
        <w:tc>
          <w:tcPr>
            <w:tcW w:w="225"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pPr>
            <w:r>
              <w:rPr/>
              <w:t>(21.3</w:t>
            </w:r>
          </w:p>
        </w:tc>
        <w:tc>
          <w:tcPr>
            <w:tcW w:w="305"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bidi w:val="0"/>
              <w:spacing w:before="0" w:after="283"/>
              <w:jc w:val="right"/>
              <w:rPr/>
            </w:pPr>
            <w:r>
              <w:rPr/>
              <w:t>7.7</w:t>
            </w:r>
          </w:p>
        </w:tc>
        <w:tc>
          <w:tcPr>
            <w:tcW w:w="225"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10.5</w:t>
            </w:r>
          </w:p>
        </w:tc>
        <w:tc>
          <w:tcPr>
            <w:tcW w:w="305"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5.0</w:t>
            </w:r>
          </w:p>
        </w:tc>
        <w:tc>
          <w:tcPr>
            <w:tcW w:w="225"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43.2</w:t>
            </w:r>
          </w:p>
        </w:tc>
        <w:tc>
          <w:tcPr>
            <w:tcW w:w="305"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4.5</w:t>
            </w:r>
          </w:p>
        </w:tc>
        <w:tc>
          <w:tcPr>
            <w:tcW w:w="225"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35.2</w:t>
            </w:r>
          </w:p>
        </w:tc>
        <w:tc>
          <w:tcPr>
            <w:tcW w:w="305"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0.8</w:t>
            </w:r>
          </w:p>
        </w:tc>
        <w:tc>
          <w:tcPr>
            <w:tcW w:w="225"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(46.4</w:t>
            </w:r>
          </w:p>
        </w:tc>
        <w:tc>
          <w:tcPr>
            <w:tcW w:w="305"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w:t>
            </w:r>
          </w:p>
        </w:tc>
        <w:tc>
          <w:tcPr>
            <w:tcW w:w="225"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(81.1</w:t>
            </w:r>
          </w:p>
        </w:tc>
        <w:tc>
          <w:tcPr>
            <w:tcW w:w="305"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left"/>
              <w:rPr/>
            </w:pPr>
            <w:r>
              <w:rPr/>
              <w:t>Impairment of film assets</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225"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(76.7</w:t>
            </w:r>
          </w:p>
        </w:tc>
        <w:tc>
          <w:tcPr>
            <w:tcW w:w="305"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pPr>
            <w:r>
              <w:rPr/>
              <w:t>10.4</w:t>
            </w:r>
          </w:p>
        </w:tc>
        <w:tc>
          <w:tcPr>
            <w:tcW w:w="225"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pPr>
            <w:r>
              <w:rPr/>
              <w:t>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pPr>
            <w:r>
              <w:rPr/>
              <w:t>18.0</w:t>
            </w:r>
          </w:p>
        </w:tc>
        <w:tc>
          <w:tcPr>
            <w:tcW w:w="305"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33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w:t>
            </w:r>
          </w:p>
        </w:tc>
        <w:tc>
          <w:tcPr>
            <w:tcW w:w="225" w:type="dxa"/>
            <w:tcBorders/>
            <w:shd w:fill="CCEEFF" w:val="clear"/>
            <w:vAlign w:val="center"/>
          </w:tcPr>
          <w:p>
            <w:pPr>
              <w:pStyle w:val="TableContents"/>
              <w:bidi w:val="0"/>
              <w:spacing w:before="0" w:after="283"/>
              <w:jc w:val="left"/>
              <w:rPr>
                <w:b/>
              </w:rPr>
            </w:pPr>
            <w:r>
              <w:rPr>
                <w:b/>
              </w:rPr>
              <w:t>)</w:t>
            </w:r>
          </w:p>
        </w:tc>
        <w:tc>
          <w:tcPr>
            <w:tcW w:w="142" w:type="dxa"/>
            <w:tcBorders/>
            <w:shd w:fill="CCEEFF" w:val="clear"/>
            <w:vAlign w:val="center"/>
          </w:tcPr>
          <w:p>
            <w:pPr>
              <w:pStyle w:val="TableContents"/>
              <w:bidi w:val="0"/>
              <w:spacing w:before="0" w:after="283"/>
              <w:jc w:val="left"/>
              <w:rPr/>
            </w:pPr>
            <w:r>
              <w:rPr/>
              <w:t> </w:t>
            </w:r>
          </w:p>
        </w:tc>
        <w:tc>
          <w:tcPr>
            <w:tcW w:w="33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46.6</w:t>
            </w:r>
          </w:p>
        </w:tc>
        <w:tc>
          <w:tcPr>
            <w:tcW w:w="30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revenues for the three months ended June 30, 2026 decreased by $2.5 million, or 11.3%, compared to the three months ended June 30, 2025. Net revenue decreased by $2.5 million primarily attributed to a $4.2 million decrease in sales from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a decrease of $1.8 million in sales from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 decrease of $0.4 million in </w:t>
      </w:r>
      <w:r>
        <w:rPr>
          <w:rFonts w:ascii="Times New Roman;Times;Serif" w:hAnsi="Times New Roman;Times;Serif"/>
          <w:b w:val="false"/>
          <w:i/>
          <w:caps w:val="false"/>
          <w:smallCaps w:val="false"/>
          <w:sz w:val="20"/>
        </w:rPr>
        <w:t xml:space="preserve">ARK: Ultimate Mobile Edition, </w:t>
      </w:r>
      <w:r>
        <w:rPr>
          <w:rFonts w:ascii="Times New Roman;Times;Serif" w:hAnsi="Times New Roman;Times;Serif"/>
          <w:b w:val="false"/>
          <w:i w:val="false"/>
          <w:caps w:val="false"/>
          <w:smallCaps w:val="false"/>
          <w:sz w:val="20"/>
        </w:rPr>
        <w:t xml:space="preserve">a decrease of $0.2 million from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and a decrease of $0.2 million of other various titles. The decrease in revenue was partially offset by an increase in revenues related to </w:t>
      </w:r>
      <w:r>
        <w:rPr>
          <w:rFonts w:ascii="Times New Roman;Times;Serif" w:hAnsi="Times New Roman;Times;Serif"/>
          <w:b w:val="false"/>
          <w:i/>
          <w:caps w:val="false"/>
          <w:smallCaps w:val="false"/>
          <w:sz w:val="20"/>
        </w:rPr>
        <w:t xml:space="preserve">Bellwright </w:t>
      </w:r>
      <w:r>
        <w:rPr>
          <w:rFonts w:ascii="Times New Roman;Times;Serif" w:hAnsi="Times New Roman;Times;Serif"/>
          <w:b w:val="false"/>
          <w:i w:val="false"/>
          <w:caps w:val="false"/>
          <w:smallCaps w:val="false"/>
          <w:sz w:val="20"/>
        </w:rPr>
        <w:t>of $1.5 million, and $2.8 million change in deferred revenues for the three months ended June 30, 2026 as compared to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June 30, 2026 decreased by $3.2 million, or 21.3% when compared to the three months ended June 30, 2025, primarily due to lower license royalties costs driven by a decrease in revenue during the period and a reduction in monthly licensing cost to SDE.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June 30, 2026 and 2025 comprised the following:</w:t>
      </w:r>
    </w:p>
    <w:p>
      <w:pPr>
        <w:pStyle w:val="TextBody"/>
        <w:bidi w:val="0"/>
        <w:spacing w:before="0" w:after="0"/>
        <w:ind w:left="0" w:right="0" w:firstLine="360"/>
        <w:jc w:val="both"/>
        <w:rPr>
          <w:caps w:val="false"/>
          <w:smallCaps w:val="false"/>
        </w:rPr>
      </w:pPr>
      <w:r>
        <w:rPr>
          <w:caps w:val="false"/>
          <w:smallCaps w:val="false"/>
        </w:rPr>
        <w:t> </w:t>
      </w:r>
    </w:p>
    <w:tbl>
      <w:tblPr>
        <w:tblW w:w="9867" w:type="dxa"/>
        <w:jc w:val="left"/>
        <w:tblInd w:w="0" w:type="dxa"/>
        <w:tblLayout w:type="fixed"/>
        <w:tblCellMar>
          <w:top w:w="0" w:type="dxa"/>
          <w:left w:w="0" w:type="dxa"/>
          <w:bottom w:w="0" w:type="dxa"/>
          <w:right w:w="0" w:type="dxa"/>
        </w:tblCellMar>
      </w:tblPr>
      <w:tblGrid>
        <w:gridCol w:w="3995"/>
        <w:gridCol w:w="60"/>
        <w:gridCol w:w="341"/>
        <w:gridCol w:w="1074"/>
        <w:gridCol w:w="146"/>
        <w:gridCol w:w="146"/>
        <w:gridCol w:w="341"/>
        <w:gridCol w:w="1074"/>
        <w:gridCol w:w="60"/>
        <w:gridCol w:w="60"/>
        <w:gridCol w:w="260"/>
        <w:gridCol w:w="735"/>
        <w:gridCol w:w="95"/>
        <w:gridCol w:w="60"/>
        <w:gridCol w:w="116"/>
        <w:gridCol w:w="999"/>
        <w:gridCol w:w="305"/>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7"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Software license royalties – related parties</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4.5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(21.4</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Licensing fees – related party</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(20.8</w:t>
            </w:r>
          </w:p>
        </w:tc>
        <w:tc>
          <w:tcPr>
            <w:tcW w:w="305"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License and amortization</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0.3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(40.7</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Merchant fees</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(40.5</w:t>
            </w:r>
          </w:p>
        </w:tc>
        <w:tc>
          <w:tcPr>
            <w:tcW w:w="305"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Engine fees</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0.8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(13.1</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Internet, server and data center</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(13.1</w:t>
            </w:r>
          </w:p>
        </w:tc>
        <w:tc>
          <w:tcPr>
            <w:tcW w:w="305"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(95.6</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jc w:val="right"/>
              <w:rPr/>
            </w:pPr>
            <w:r>
              <w:rPr/>
              <w:t>(3.2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double" w:sz="6" w:space="0" w:color="000000"/>
            </w:tcBorders>
            <w:shd w:fill="FFFFFF" w:val="clear"/>
            <w:tcMar>
              <w:bottom w:w="28" w:type="dxa"/>
            </w:tcMar>
            <w:vAlign w:val="center"/>
          </w:tcPr>
          <w:p>
            <w:pPr>
              <w:pStyle w:val="TableContents"/>
              <w:bidi w:val="0"/>
              <w:spacing w:before="0" w:after="283"/>
              <w:jc w:val="right"/>
              <w:rPr/>
            </w:pPr>
            <w:r>
              <w:rPr/>
              <w:t>(21.3</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revenues decreased for the three months ended June 30, 2026 primarily due to a $1.2 million decrease in software license royalties – related parties, resulting from a decrease in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sales, a decrease in licensing fees – related party of $1.3 million due to a reduction in licensing costs to SDE, a decrease in license and amortization of $0.2 million primarily due to a lower depreciable base, a decrease in merchant fees of $0.2 million related to </w:t>
      </w:r>
      <w:r>
        <w:rPr>
          <w:rFonts w:ascii="Times New Roman;Times;Serif" w:hAnsi="Times New Roman;Times;Serif"/>
          <w:b w:val="false"/>
          <w:i/>
          <w:caps w:val="false"/>
          <w:smallCaps w:val="false"/>
          <w:sz w:val="20"/>
        </w:rPr>
        <w:t xml:space="preserve">ARK: Ultimate Mobile Edition </w:t>
      </w:r>
      <w:r>
        <w:rPr>
          <w:rFonts w:ascii="Times New Roman;Times;Serif" w:hAnsi="Times New Roman;Times;Serif"/>
          <w:b w:val="false"/>
          <w:i w:val="false"/>
          <w:caps w:val="false"/>
          <w:smallCaps w:val="false"/>
          <w:sz w:val="20"/>
        </w:rPr>
        <w:t>revenues, and a decrease in internet, server and data center costs of $0.2 million due to lower server utilization and a decrease in engine fees of $0.1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three months ended June 30, 2026 increased by $1.5 million, or 43.2%, compared to the three months ended June 30, 2025. The increase in general and administrative expenses was due to an increase in salaries and wages of $0.6 million, an increase in contractors expense of $0.3 million, an increase in public company costs of $0.2 million, an increase in office expense of $0.2 million, an increase of $0.1 million in legal and professional fees, and an increase in insurance costs of $0.1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three months ended June 30, 2026 increased by $1.2 million, or 35.2%, compared to the three months ended June 30, 2025. The increase in research and development expenses was due to an increase in internal research and development salaries as the Company continues to expand its internal development team</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marketing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Advertising and marketing expenses for the three months ended June 30, 2026 decreased by $0.7 million, or 46.4%, compared to the three months ended June 30, 2025. The decrease in advertising and marketing expenses was primarily attributable to large promotional costs related to the launch of </w:t>
      </w:r>
      <w:r>
        <w:rPr>
          <w:rFonts w:ascii="Times New Roman;Times;Serif" w:hAnsi="Times New Roman;Times;Serif"/>
          <w:b w:val="false"/>
          <w:i/>
          <w:caps w:val="false"/>
          <w:smallCaps w:val="false"/>
          <w:sz w:val="20"/>
        </w:rPr>
        <w:t>ARK: Aquatica</w:t>
      </w:r>
      <w:r>
        <w:rPr>
          <w:rFonts w:ascii="Times New Roman;Times;Serif" w:hAnsi="Times New Roman;Times;Serif"/>
          <w:b w:val="false"/>
          <w:i w:val="false"/>
          <w:caps w:val="false"/>
          <w:smallCaps w:val="false"/>
          <w:sz w:val="20"/>
        </w:rPr>
        <w:t xml:space="preserve"> and higher marketing costs for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application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film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film assets for the three months ended June 30, 2026 decreased by $0.3 million, or 76.7%, compared to the three months ended June 30, 2025. The decrease was due to the impairment of two film assets during the three months ended June 30, 2026, as compared to the impairment of four film assets during the three months ended June 30, 2025.</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Factors Affecting Net Income (Loss)</w:t>
      </w:r>
    </w:p>
    <w:p>
      <w:pPr>
        <w:pStyle w:val="TextBody"/>
        <w:bidi w:val="0"/>
        <w:spacing w:before="0" w:after="0"/>
        <w:ind w:left="0" w:right="0" w:hanging="0"/>
        <w:jc w:val="both"/>
        <w:rPr>
          <w:caps w:val="false"/>
          <w:smallCaps w:val="false"/>
        </w:rPr>
      </w:pPr>
      <w:r>
        <w:rPr>
          <w:caps w:val="false"/>
          <w:smallCaps w:val="false"/>
        </w:rPr>
        <w:t> </w:t>
      </w:r>
    </w:p>
    <w:tbl>
      <w:tblPr>
        <w:tblW w:w="8757" w:type="dxa"/>
        <w:jc w:val="left"/>
        <w:tblInd w:w="0" w:type="dxa"/>
        <w:tblLayout w:type="fixed"/>
        <w:tblCellMar>
          <w:top w:w="0" w:type="dxa"/>
          <w:left w:w="0" w:type="dxa"/>
          <w:bottom w:w="0" w:type="dxa"/>
          <w:right w:w="0" w:type="dxa"/>
        </w:tblCellMar>
      </w:tblPr>
      <w:tblGrid>
        <w:gridCol w:w="2885"/>
        <w:gridCol w:w="60"/>
        <w:gridCol w:w="325"/>
        <w:gridCol w:w="917"/>
        <w:gridCol w:w="220"/>
        <w:gridCol w:w="139"/>
        <w:gridCol w:w="325"/>
        <w:gridCol w:w="1196"/>
        <w:gridCol w:w="95"/>
        <w:gridCol w:w="60"/>
        <w:gridCol w:w="240"/>
        <w:gridCol w:w="755"/>
        <w:gridCol w:w="60"/>
        <w:gridCol w:w="60"/>
        <w:gridCol w:w="96"/>
        <w:gridCol w:w="1019"/>
        <w:gridCol w:w="30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5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7"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917" w:type="dxa"/>
            <w:tcBorders/>
            <w:shd w:fill="CCEEFF" w:val="clear"/>
            <w:vAlign w:val="center"/>
          </w:tcPr>
          <w:p>
            <w:pPr>
              <w:pStyle w:val="TableContents"/>
              <w:bidi w:val="0"/>
              <w:spacing w:before="0" w:after="283"/>
              <w:jc w:val="right"/>
              <w:rPr/>
            </w:pPr>
            <w:r>
              <w:rPr/>
              <w:t>(0.2</w:t>
            </w:r>
          </w:p>
        </w:tc>
        <w:tc>
          <w:tcPr>
            <w:tcW w:w="220" w:type="dxa"/>
            <w:tcBorders/>
            <w:shd w:fill="CCEEFF" w:val="clear"/>
            <w:vAlign w:val="center"/>
          </w:tcPr>
          <w:p>
            <w:pPr>
              <w:pStyle w:val="TableContents"/>
              <w:bidi w:val="0"/>
              <w:spacing w:before="0" w:after="283"/>
              <w:jc w:val="left"/>
              <w:rPr/>
            </w:pPr>
            <w:r>
              <w:rPr/>
              <w:t>)</w:t>
            </w:r>
          </w:p>
        </w:tc>
        <w:tc>
          <w:tcPr>
            <w:tcW w:w="139"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(10.1</w:t>
            </w:r>
          </w:p>
        </w:tc>
        <w:tc>
          <w:tcPr>
            <w:tcW w:w="305"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(0.4</w:t>
            </w:r>
          </w:p>
        </w:tc>
        <w:tc>
          <w:tcPr>
            <w:tcW w:w="220" w:type="dxa"/>
            <w:tcBorders/>
            <w:shd w:fill="FFFFFF" w:val="clear"/>
            <w:vAlign w:val="center"/>
          </w:tcPr>
          <w:p>
            <w:pPr>
              <w:pStyle w:val="TableContents"/>
              <w:bidi w:val="0"/>
              <w:spacing w:before="0" w:after="283"/>
              <w:jc w:val="left"/>
              <w:rPr/>
            </w:pPr>
            <w:r>
              <w:rPr/>
              <w:t>)</w:t>
            </w:r>
          </w:p>
        </w:tc>
        <w:tc>
          <w:tcPr>
            <w:tcW w:w="139"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(41.4</w:t>
            </w:r>
          </w:p>
        </w:tc>
        <w:tc>
          <w:tcPr>
            <w:tcW w:w="305"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Income tax (provision) benefit</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0.1</w:t>
            </w:r>
          </w:p>
        </w:tc>
        <w:tc>
          <w:tcPr>
            <w:tcW w:w="2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(100.8</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related to our outstanding indebtedness with third-party lenders. Interest expense remained relatively consistent for the three months ended June 30, 2026, due to the lower outstanding debt following the conversion of the October 2025 Convertible Note and November 2025 Convertible Notes during the second quarter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was $0.4 million and $0.7 million for the three months ended June 30, 2026 and 2025, respectively. There was a decrease in the revaluation of convertible notes of $0.1 million and a decrease in the revaluation of warrant liabilities of $0.2 million in the three months ended June 30, 2026 compared to the three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benefit from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an income tax benefit of $0.1 million and an income tax provision of $13.9 million for the three months ended June 30, 2026 and 2025, respectively. This is primarily due to the impact of the valuation allowance recorded against U.S. net deferred tax assets in 2025. Our effective income tax rate was 4% and (515%) during the three months ended June 30, 2026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versus the six months ended June 30, 2025</w:t>
      </w:r>
    </w:p>
    <w:p>
      <w:pPr>
        <w:pStyle w:val="TextBody"/>
        <w:bidi w:val="0"/>
        <w:spacing w:before="0" w:after="0"/>
        <w:ind w:left="0" w:right="0" w:firstLine="360"/>
        <w:jc w:val="both"/>
        <w:rPr>
          <w:caps w:val="false"/>
          <w:smallCaps w:val="false"/>
        </w:rPr>
      </w:pPr>
      <w:r>
        <w:rPr>
          <w:caps w:val="false"/>
          <w:smallCaps w:val="false"/>
        </w:rPr>
        <w:t> </w:t>
      </w:r>
    </w:p>
    <w:tbl>
      <w:tblPr>
        <w:tblW w:w="8537" w:type="dxa"/>
        <w:jc w:val="left"/>
        <w:tblInd w:w="0" w:type="dxa"/>
        <w:tblLayout w:type="fixed"/>
        <w:tblCellMar>
          <w:top w:w="0" w:type="dxa"/>
          <w:left w:w="0" w:type="dxa"/>
          <w:bottom w:w="0" w:type="dxa"/>
          <w:right w:w="0" w:type="dxa"/>
        </w:tblCellMar>
      </w:tblPr>
      <w:tblGrid>
        <w:gridCol w:w="2885"/>
        <w:gridCol w:w="60"/>
        <w:gridCol w:w="300"/>
        <w:gridCol w:w="945"/>
        <w:gridCol w:w="204"/>
        <w:gridCol w:w="128"/>
        <w:gridCol w:w="300"/>
        <w:gridCol w:w="945"/>
        <w:gridCol w:w="95"/>
        <w:gridCol w:w="60"/>
        <w:gridCol w:w="260"/>
        <w:gridCol w:w="735"/>
        <w:gridCol w:w="95"/>
        <w:gridCol w:w="60"/>
        <w:gridCol w:w="116"/>
        <w:gridCol w:w="999"/>
        <w:gridCol w:w="35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5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2" w:type="dxa"/>
            <w:gridSpan w:val="14"/>
            <w:tcBorders/>
            <w:vAlign w:val="center"/>
          </w:tcPr>
          <w:p>
            <w:pPr>
              <w:pStyle w:val="TableContents"/>
              <w:bidi w:val="0"/>
              <w:spacing w:before="0" w:after="283"/>
              <w:jc w:val="center"/>
              <w:rPr>
                <w:b/>
              </w:rPr>
            </w:pPr>
            <w:r>
              <w:rPr>
                <w:b/>
              </w:rPr>
              <w:t>(in millions)</w:t>
            </w:r>
          </w:p>
        </w:tc>
        <w:tc>
          <w:tcPr>
            <w:tcW w:w="35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47.0</w:t>
            </w:r>
          </w:p>
        </w:tc>
        <w:tc>
          <w:tcPr>
            <w:tcW w:w="20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11.1</w:t>
            </w:r>
          </w:p>
        </w:tc>
        <w:tc>
          <w:tcPr>
            <w:tcW w:w="35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pPr>
            <w:r>
              <w:rPr/>
              <w:t>27.6</w:t>
            </w:r>
          </w:p>
        </w:tc>
        <w:tc>
          <w:tcPr>
            <w:tcW w:w="204"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pPr>
            <w:r>
              <w:rPr/>
              <w:t>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pPr>
            <w:r>
              <w:rPr/>
              <w:t>(6.3</w:t>
            </w:r>
          </w:p>
        </w:tc>
        <w:tc>
          <w:tcPr>
            <w:tcW w:w="35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pPr>
            <w:r>
              <w:rPr/>
              <w:t>19.4</w:t>
            </w:r>
          </w:p>
        </w:tc>
        <w:tc>
          <w:tcPr>
            <w:tcW w:w="20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pPr>
            <w:r>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51.1</w:t>
            </w:r>
          </w:p>
        </w:tc>
        <w:tc>
          <w:tcPr>
            <w:tcW w:w="35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9.6</w:t>
            </w:r>
          </w:p>
        </w:tc>
        <w:tc>
          <w:tcPr>
            <w:tcW w:w="20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14.1</w:t>
            </w:r>
          </w:p>
        </w:tc>
        <w:tc>
          <w:tcPr>
            <w:tcW w:w="35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8.5</w:t>
            </w:r>
          </w:p>
        </w:tc>
        <w:tc>
          <w:tcPr>
            <w:tcW w:w="204"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22.7</w:t>
            </w:r>
          </w:p>
        </w:tc>
        <w:tc>
          <w:tcPr>
            <w:tcW w:w="35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1.7</w:t>
            </w:r>
          </w:p>
        </w:tc>
        <w:tc>
          <w:tcPr>
            <w:tcW w:w="20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(40.4</w:t>
            </w:r>
          </w:p>
        </w:tc>
        <w:tc>
          <w:tcPr>
            <w:tcW w:w="35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(81.2</w:t>
            </w:r>
          </w:p>
        </w:tc>
        <w:tc>
          <w:tcPr>
            <w:tcW w:w="35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Impairment of film assets</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pPr>
            <w:r>
              <w:rPr/>
              <w:t>0.2</w:t>
            </w:r>
          </w:p>
        </w:tc>
        <w:tc>
          <w:tcPr>
            <w:tcW w:w="20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(60.1</w:t>
            </w:r>
          </w:p>
        </w:tc>
        <w:tc>
          <w:tcPr>
            <w:tcW w:w="35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pPr>
            <w:r>
              <w:rPr/>
              <w:t>20.0</w:t>
            </w:r>
          </w:p>
        </w:tc>
        <w:tc>
          <w:tcPr>
            <w:tcW w:w="204"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pPr>
            <w:r>
              <w:rPr/>
              <w:t>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pPr>
            <w:r>
              <w:rPr/>
              <w:t>6.7</w:t>
            </w:r>
          </w:p>
        </w:tc>
        <w:tc>
          <w:tcPr>
            <w:tcW w:w="35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(0.6</w:t>
            </w:r>
          </w:p>
        </w:tc>
        <w:tc>
          <w:tcPr>
            <w:tcW w:w="204" w:type="dxa"/>
            <w:tcBorders/>
            <w:shd w:fill="CCEEFF" w:val="clear"/>
            <w:vAlign w:val="center"/>
          </w:tcPr>
          <w:p>
            <w:pPr>
              <w:pStyle w:val="TableContents"/>
              <w:bidi w:val="0"/>
              <w:spacing w:before="0" w:after="283"/>
              <w:jc w:val="left"/>
              <w:rPr>
                <w:b/>
              </w:rPr>
            </w:pPr>
            <w:r>
              <w:rPr>
                <w:b/>
              </w:rPr>
              <w:t>)</w:t>
            </w:r>
          </w:p>
        </w:tc>
        <w:tc>
          <w:tcPr>
            <w:tcW w:w="128" w:type="dxa"/>
            <w:tcBorders/>
            <w:shd w:fill="CCEEFF"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(89.4</w:t>
            </w:r>
          </w:p>
        </w:tc>
        <w:tc>
          <w:tcPr>
            <w:tcW w:w="35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revenues for the six months ended June 30, 2026 increased by $4.7 million, or 11.1%, compared to the six months ended June 30, 2025. Net revenue increased by $4.7 million primarily attributed to a $3.6 million increase in sales of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and a $5.3 million change in deferred revenues. The increase in revenue was partially offset by a decrease in revenue from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of $2.7 million, a decrease of $1.4 million attributable to lower sales of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a decrease in revenue of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application of $0.1 million, and a decrease in revenue of $0.1 million from </w:t>
      </w:r>
      <w:r>
        <w:rPr>
          <w:rFonts w:ascii="Times New Roman;Times;Serif" w:hAnsi="Times New Roman;Times;Serif"/>
          <w:b w:val="false"/>
          <w:i/>
          <w:caps w:val="false"/>
          <w:smallCaps w:val="false"/>
          <w:sz w:val="20"/>
        </w:rPr>
        <w:t>5th Street</w:t>
      </w:r>
      <w:r>
        <w:rPr>
          <w:rFonts w:ascii="Times New Roman;Times;Serif" w:hAnsi="Times New Roman;Times;Serif"/>
          <w:b w:val="false"/>
          <w:i w:val="false"/>
          <w:caps w:val="false"/>
          <w:smallCaps w:val="false"/>
          <w:sz w:val="20"/>
        </w:rPr>
        <w:t xml:space="preserve"> in the six months ended June 30, 2026 compared to the six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six months ended June 30, 2026 decreased by $1.9 million, or 6.3%, compared to the six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six months ended June 30, 2026 and 2025 comprised the following:</w:t>
      </w:r>
    </w:p>
    <w:p>
      <w:pPr>
        <w:pStyle w:val="TextBody"/>
        <w:bidi w:val="0"/>
        <w:spacing w:before="0" w:after="0"/>
        <w:ind w:left="0" w:right="0" w:firstLine="360"/>
        <w:jc w:val="both"/>
        <w:rPr>
          <w:caps w:val="false"/>
          <w:smallCaps w:val="false"/>
        </w:rPr>
      </w:pPr>
      <w:r>
        <w:rPr>
          <w:caps w:val="false"/>
          <w:smallCaps w:val="false"/>
        </w:rPr>
        <w:t> </w:t>
      </w:r>
    </w:p>
    <w:tbl>
      <w:tblPr>
        <w:tblW w:w="9567" w:type="dxa"/>
        <w:jc w:val="left"/>
        <w:tblInd w:w="0" w:type="dxa"/>
        <w:tblLayout w:type="fixed"/>
        <w:tblCellMar>
          <w:top w:w="0" w:type="dxa"/>
          <w:left w:w="0" w:type="dxa"/>
          <w:bottom w:w="0" w:type="dxa"/>
          <w:right w:w="0" w:type="dxa"/>
        </w:tblCellMar>
      </w:tblPr>
      <w:tblGrid>
        <w:gridCol w:w="3995"/>
        <w:gridCol w:w="60"/>
        <w:gridCol w:w="308"/>
        <w:gridCol w:w="971"/>
        <w:gridCol w:w="132"/>
        <w:gridCol w:w="132"/>
        <w:gridCol w:w="308"/>
        <w:gridCol w:w="971"/>
        <w:gridCol w:w="60"/>
        <w:gridCol w:w="60"/>
        <w:gridCol w:w="260"/>
        <w:gridCol w:w="735"/>
        <w:gridCol w:w="95"/>
        <w:gridCol w:w="60"/>
        <w:gridCol w:w="116"/>
        <w:gridCol w:w="999"/>
        <w:gridCol w:w="305"/>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7"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Software license royalties – related parties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jc w:val="right"/>
              <w:rPr/>
            </w:pPr>
            <w:r>
              <w:rPr/>
              <w:t>10.9</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(1.6</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Software license royalties</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0.1</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23.0</w:t>
            </w:r>
          </w:p>
        </w:tc>
        <w:tc>
          <w:tcPr>
            <w:tcW w:w="305"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Licensing fees – related party</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11.0</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(8.3</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License and amortization</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0.6</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(16.5</w:t>
            </w:r>
          </w:p>
        </w:tc>
        <w:tc>
          <w:tcPr>
            <w:tcW w:w="305"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Merchant fees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0.6</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(40.6</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Engine fees</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1.8</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4.2</w:t>
            </w:r>
          </w:p>
        </w:tc>
        <w:tc>
          <w:tcPr>
            <w:tcW w:w="305"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Internet, server and data center</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2.6</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(7.2</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pPr>
            <w:r>
              <w:rPr/>
              <w:t>(75.9</w:t>
            </w:r>
          </w:p>
        </w:tc>
        <w:tc>
          <w:tcPr>
            <w:tcW w:w="305"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jc w:val="right"/>
              <w:rPr/>
            </w:pPr>
            <w:r>
              <w:rPr/>
              <w:t>27.6</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jc w:val="right"/>
              <w:rPr/>
            </w:pPr>
            <w:r>
              <w:rPr/>
              <w:t>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double" w:sz="6" w:space="0" w:color="000000"/>
            </w:tcBorders>
            <w:shd w:fill="CCEEFF" w:val="clear"/>
            <w:tcMar>
              <w:bottom w:w="28" w:type="dxa"/>
            </w:tcMar>
            <w:vAlign w:val="center"/>
          </w:tcPr>
          <w:p>
            <w:pPr>
              <w:pStyle w:val="TableContents"/>
              <w:bidi w:val="0"/>
              <w:spacing w:before="0" w:after="283"/>
              <w:jc w:val="right"/>
              <w:rPr/>
            </w:pPr>
            <w:r>
              <w:rPr/>
              <w:t>(6.3</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decrease in cost of revenues for the six months ended June 30, 2026 is due to a decrease of $0.2 million in software license royalties – related parties, a result of decreased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revenues, a decrease of $1.0 million in licensing fees – related party due to decreased licensing costs to SDE, a decrease in license and amortization of $0.1 million primarily due to a lower depreciable base, a decrease in merchant fees of $0.4 million related to a reduction in </w:t>
      </w:r>
      <w:r>
        <w:rPr>
          <w:rFonts w:ascii="Times New Roman;Times;Serif" w:hAnsi="Times New Roman;Times;Serif"/>
          <w:b w:val="false"/>
          <w:i/>
          <w:caps w:val="false"/>
          <w:smallCaps w:val="false"/>
          <w:sz w:val="20"/>
        </w:rPr>
        <w:t xml:space="preserve">ARK: Ultimate Mobile Edition </w:t>
      </w:r>
      <w:r>
        <w:rPr>
          <w:rFonts w:ascii="Times New Roman;Times;Serif" w:hAnsi="Times New Roman;Times;Serif"/>
          <w:b w:val="false"/>
          <w:i w:val="false"/>
          <w:caps w:val="false"/>
          <w:smallCaps w:val="false"/>
          <w:sz w:val="20"/>
        </w:rPr>
        <w:t>revenues, a decrease of $0.2 million in internet, server and data center, partially offset by an increase in engine fees of $0.1 million.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six months ended June 30, 2026 increased by $1.2 million, or 14.1%, compared to the six months ended June 30, 2025. The increase in general and administrative expenses was due to larger contractors expense of $0.7 million, an increase in office expense of $0.2 million, an increase in legal and professional fees of $0.2 million, an increase in public company expenses of $0.2 million, partially offset by a decrease in rent expense of $0.3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expenses for the six months ended June 30, 2026 increased by $1.6 million, or 22.7%, compared to the six months ended June 30, 2025. The increase in research and development expenses was due to the outsourced development of </w:t>
      </w:r>
      <w:r>
        <w:rPr>
          <w:rFonts w:ascii="Times New Roman;Times;Serif" w:hAnsi="Times New Roman;Times;Serif"/>
          <w:b w:val="false"/>
          <w:i/>
          <w:caps w:val="false"/>
          <w:smallCaps w:val="false"/>
          <w:sz w:val="20"/>
        </w:rPr>
        <w:t xml:space="preserve">For the Stars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Nine Yin Sutra: Immortal </w:t>
      </w:r>
      <w:r>
        <w:rPr>
          <w:rFonts w:ascii="Times New Roman;Times;Serif" w:hAnsi="Times New Roman;Times;Serif"/>
          <w:b w:val="false"/>
          <w:i w:val="false"/>
          <w:caps w:val="false"/>
          <w:smallCaps w:val="false"/>
          <w:sz w:val="20"/>
        </w:rPr>
        <w:t>paid through Suzhou Snail and an increase in internal research and development salaries as the Company continues to expand its internal development team</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marketing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Advertising and marketing expenses for the six months ended June 30, 2026 decreased by $1.1 million, or 40.4%, compared to the six months ended June 30, 2025. The decrease was primarily attributable to higher advertising and marketing expenses during the six months ended June 30, 2025, which included higher costs associated with the Company’s presence at the Game Developers Conference (“GDC”) and increased advertising campaigns for our </w:t>
      </w:r>
      <w:r>
        <w:rPr>
          <w:rFonts w:ascii="Times New Roman;Times;Serif" w:hAnsi="Times New Roman;Times;Serif"/>
          <w:b w:val="false"/>
          <w:i/>
          <w:caps w:val="false"/>
          <w:smallCaps w:val="false"/>
          <w:sz w:val="20"/>
        </w:rPr>
        <w:t xml:space="preserve">ARK: Aquatica </w:t>
      </w:r>
      <w:r>
        <w:rPr>
          <w:rFonts w:ascii="Times New Roman;Times;Serif" w:hAnsi="Times New Roman;Times;Serif"/>
          <w:b w:val="false"/>
          <w:i w:val="false"/>
          <w:caps w:val="false"/>
          <w:smallCaps w:val="false"/>
          <w:sz w:val="20"/>
        </w:rPr>
        <w:t xml:space="preserve">and Wandering Wizard titles and </w:t>
      </w:r>
      <w:r>
        <w:rPr>
          <w:rFonts w:ascii="Times New Roman;Times;Serif" w:hAnsi="Times New Roman;Times;Serif"/>
          <w:b w:val="false"/>
          <w:i/>
          <w:caps w:val="false"/>
          <w:smallCaps w:val="false"/>
          <w:sz w:val="20"/>
        </w:rPr>
        <w:t xml:space="preserve">SaltyTV </w:t>
      </w:r>
      <w:r>
        <w:rPr>
          <w:rFonts w:ascii="Times New Roman;Times;Serif" w:hAnsi="Times New Roman;Times;Serif"/>
          <w:b w:val="false"/>
          <w:i w:val="false"/>
          <w:caps w:val="false"/>
          <w:smallCaps w:val="false"/>
          <w:sz w:val="20"/>
        </w:rPr>
        <w:t>application and related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film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film assets for the six months ended June 30, 2026 decreased by $0.2 million, or 60.1%, compared to the six months ended June 30, 2025. The decrease in impairment of film assets was due to the Company’s underperformance of two films during the six months ended June 30, 2026 compared to the underperformance of four films and changes in the market conditions affecting expected future cash flow during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Factors Affecting Net Income (Loss)</w:t>
      </w:r>
    </w:p>
    <w:p>
      <w:pPr>
        <w:pStyle w:val="TextBody"/>
        <w:bidi w:val="0"/>
        <w:spacing w:before="0" w:after="0"/>
        <w:ind w:left="0" w:right="0" w:hanging="0"/>
        <w:jc w:val="left"/>
        <w:rPr>
          <w:caps w:val="false"/>
          <w:smallCaps w:val="false"/>
        </w:rPr>
      </w:pPr>
      <w:r>
        <w:rPr>
          <w:caps w:val="false"/>
          <w:smallCaps w:val="false"/>
        </w:rPr>
        <w:t> </w:t>
      </w:r>
    </w:p>
    <w:tbl>
      <w:tblPr>
        <w:tblW w:w="7908" w:type="dxa"/>
        <w:jc w:val="left"/>
        <w:tblInd w:w="0" w:type="dxa"/>
        <w:tblLayout w:type="fixed"/>
        <w:tblCellMar>
          <w:top w:w="0" w:type="dxa"/>
          <w:left w:w="0" w:type="dxa"/>
          <w:bottom w:w="0" w:type="dxa"/>
          <w:right w:w="0" w:type="dxa"/>
        </w:tblCellMar>
      </w:tblPr>
      <w:tblGrid>
        <w:gridCol w:w="2300"/>
        <w:gridCol w:w="60"/>
        <w:gridCol w:w="294"/>
        <w:gridCol w:w="829"/>
        <w:gridCol w:w="199"/>
        <w:gridCol w:w="126"/>
        <w:gridCol w:w="294"/>
        <w:gridCol w:w="1081"/>
        <w:gridCol w:w="95"/>
        <w:gridCol w:w="60"/>
        <w:gridCol w:w="240"/>
        <w:gridCol w:w="755"/>
        <w:gridCol w:w="95"/>
        <w:gridCol w:w="60"/>
        <w:gridCol w:w="96"/>
        <w:gridCol w:w="1019"/>
        <w:gridCol w:w="30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9"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3"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0.1</w:t>
            </w:r>
          </w:p>
        </w:tc>
        <w:tc>
          <w:tcPr>
            <w:tcW w:w="19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081"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60.8</w:t>
            </w:r>
          </w:p>
        </w:tc>
        <w:tc>
          <w:tcPr>
            <w:tcW w:w="305" w:type="dxa"/>
            <w:tcBorders/>
            <w:shd w:fill="CCEEFF" w:val="clear"/>
            <w:vAlign w:val="center"/>
          </w:tcPr>
          <w:p>
            <w:pPr>
              <w:pStyle w:val="TableContents"/>
              <w:bidi w:val="0"/>
              <w:spacing w:before="0" w:after="283"/>
              <w:jc w:val="left"/>
              <w:rPr/>
            </w:pPr>
            <w:r>
              <w:rPr/>
              <w:t>%</w:t>
            </w:r>
          </w:p>
        </w:tc>
      </w:tr>
      <w:tr>
        <w:trPr/>
        <w:tc>
          <w:tcPr>
            <w:tcW w:w="23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(0.4</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43.2</w:t>
            </w:r>
          </w:p>
        </w:tc>
        <w:tc>
          <w:tcPr>
            <w:tcW w:w="305" w:type="dxa"/>
            <w:tcBorders/>
            <w:shd w:fill="FFFFFF" w:val="clear"/>
            <w:vAlign w:val="center"/>
          </w:tcPr>
          <w:p>
            <w:pPr>
              <w:pStyle w:val="TableContents"/>
              <w:bidi w:val="0"/>
              <w:spacing w:before="0" w:after="283"/>
              <w:jc w:val="left"/>
              <w:rPr/>
            </w:pPr>
            <w:r>
              <w:rPr/>
              <w:t>%</w:t>
            </w:r>
          </w:p>
        </w:tc>
      </w:tr>
      <w:tr>
        <w:trPr/>
        <w:tc>
          <w:tcPr>
            <w:tcW w:w="230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(0.1</w:t>
            </w:r>
          </w:p>
        </w:tc>
        <w:tc>
          <w:tcPr>
            <w:tcW w:w="199"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(197.1</w:t>
            </w:r>
          </w:p>
        </w:tc>
        <w:tc>
          <w:tcPr>
            <w:tcW w:w="305" w:type="dxa"/>
            <w:tcBorders/>
            <w:shd w:fill="CCEEFF" w:val="clear"/>
            <w:vAlign w:val="center"/>
          </w:tcPr>
          <w:p>
            <w:pPr>
              <w:pStyle w:val="TableContents"/>
              <w:bidi w:val="0"/>
              <w:spacing w:before="0" w:after="283"/>
              <w:jc w:val="left"/>
              <w:rPr/>
            </w:pPr>
            <w:r>
              <w:rPr/>
              <w:t>)%</w:t>
            </w:r>
          </w:p>
        </w:tc>
      </w:tr>
      <w:tr>
        <w:trPr/>
        <w:tc>
          <w:tcPr>
            <w:tcW w:w="230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w:t>
            </w:r>
          </w:p>
        </w:tc>
        <w:tc>
          <w:tcPr>
            <w:tcW w:w="19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(12.4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(100.1</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related to our outstanding indebtedness with third-party lenders. Interest expense increased by $0.1 million for the six months ended June 30, 2026 because of higher average debt during the six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decreased by $0.1 million for the six months ended June 30, 2026, in comparison to the six months ended June 30, 2025. The decrease is due to the recognition of a $0.1 million expense due to the revaluation of convertible notes and $0.1 million expense due to the revaluation of warrants in the six months ended June 30, 2026, compared to the six months ended June 30, 2025.</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provision of income taxes of $0 million and $12.4 million for the six months ended June 30, 2026 and 2025, respectively. This is primarily due to the impact of the valuation allowance recorded against U.S. net deferred tax assets. Our effective income tax rate was 3% and (203%) during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Units Sold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Units Sold as a key performance metric in evaluating the performance of our console and PC game business. We define Units Sold as the number of game titles purchased through digital channels by an individual end user. Under this metric, the purchase 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w:t>
      </w:r>
    </w:p>
    <w:p>
      <w:pPr>
        <w:pStyle w:val="TextBody"/>
        <w:bidi w:val="0"/>
        <w:spacing w:before="0" w:after="0"/>
        <w:ind w:left="0" w:right="0" w:firstLine="360"/>
        <w:jc w:val="both"/>
        <w:rPr>
          <w:caps w:val="false"/>
          <w:smallCaps w:val="false"/>
        </w:rPr>
      </w:pPr>
      <w:r>
        <w:rPr>
          <w:caps w:val="false"/>
          <w:smallCaps w:val="false"/>
        </w:rPr>
        <w:t> </w:t>
      </w:r>
    </w:p>
    <w:tbl>
      <w:tblPr>
        <w:tblW w:w="8917" w:type="dxa"/>
        <w:jc w:val="left"/>
        <w:tblInd w:w="0" w:type="dxa"/>
        <w:tblLayout w:type="fixed"/>
        <w:tblCellMar>
          <w:top w:w="0" w:type="dxa"/>
          <w:left w:w="0" w:type="dxa"/>
          <w:bottom w:w="0" w:type="dxa"/>
          <w:right w:w="0" w:type="dxa"/>
        </w:tblCellMar>
      </w:tblPr>
      <w:tblGrid>
        <w:gridCol w:w="1100"/>
        <w:gridCol w:w="60"/>
        <w:gridCol w:w="90"/>
        <w:gridCol w:w="484"/>
        <w:gridCol w:w="90"/>
        <w:gridCol w:w="90"/>
        <w:gridCol w:w="90"/>
        <w:gridCol w:w="484"/>
        <w:gridCol w:w="90"/>
        <w:gridCol w:w="90"/>
        <w:gridCol w:w="107"/>
        <w:gridCol w:w="708"/>
        <w:gridCol w:w="143"/>
        <w:gridCol w:w="90"/>
        <w:gridCol w:w="147"/>
        <w:gridCol w:w="968"/>
        <w:gridCol w:w="290"/>
        <w:gridCol w:w="60"/>
        <w:gridCol w:w="84"/>
        <w:gridCol w:w="452"/>
        <w:gridCol w:w="84"/>
        <w:gridCol w:w="84"/>
        <w:gridCol w:w="84"/>
        <w:gridCol w:w="452"/>
        <w:gridCol w:w="84"/>
        <w:gridCol w:w="84"/>
        <w:gridCol w:w="128"/>
        <w:gridCol w:w="687"/>
        <w:gridCol w:w="84"/>
        <w:gridCol w:w="84"/>
        <w:gridCol w:w="133"/>
        <w:gridCol w:w="982"/>
        <w:gridCol w:w="230"/>
      </w:tblGrid>
      <w:tr>
        <w:trPr/>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71"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3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5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27" w:type="dxa"/>
            <w:gridSpan w:val="30"/>
            <w:tcBorders/>
            <w:vAlign w:val="center"/>
          </w:tcPr>
          <w:p>
            <w:pPr>
              <w:pStyle w:val="TableContents"/>
              <w:bidi w:val="0"/>
              <w:spacing w:before="0" w:after="283"/>
              <w:jc w:val="center"/>
              <w:rPr>
                <w:b/>
              </w:rPr>
            </w:pPr>
            <w:r>
              <w:rPr>
                <w:b/>
              </w:rPr>
              <w:t>(in millions)</w:t>
            </w:r>
          </w:p>
        </w:tc>
        <w:tc>
          <w:tcPr>
            <w:tcW w:w="23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Units Sold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(0.1</w:t>
            </w:r>
          </w:p>
        </w:tc>
        <w:tc>
          <w:tcPr>
            <w:tcW w:w="14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(7.1</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4.2</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3.7</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0.5</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13.8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260"/>
        <w:gridCol w:w="884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include master games, DLCs, season pass and bundles and excludes skins, soundtracks and other items.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Units sold decreased during the three months ended June 30, 2026, by 0.1 million units or 7.1%, as compared to the three months ended June 30, 2025. The Company’s units sold decreased due to decreased sales of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IPs by 0.2 million units, partially offset by an increase in sales of </w:t>
      </w:r>
      <w:r>
        <w:rPr>
          <w:rFonts w:ascii="Times New Roman;Times;Serif" w:hAnsi="Times New Roman;Times;Serif"/>
          <w:b w:val="false"/>
          <w:i/>
          <w:caps w:val="false"/>
          <w:smallCaps w:val="false"/>
          <w:sz w:val="20"/>
        </w:rPr>
        <w:t xml:space="preserve">Bellwright </w:t>
      </w:r>
      <w:r>
        <w:rPr>
          <w:rFonts w:ascii="Times New Roman;Times;Serif" w:hAnsi="Times New Roman;Times;Serif"/>
          <w:b w:val="false"/>
          <w:i w:val="false"/>
          <w:caps w:val="false"/>
          <w:smallCaps w:val="false"/>
          <w:sz w:val="20"/>
        </w:rPr>
        <w:t xml:space="preserve">of 0.1 million units. Units sold increased during the six months ended June 30, 2026, by 0.5 million units or 13.8% as compared to the six months ended June 30, 2025. The Company’s units sold increased due to the sale of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of 1.0 million units and an increase in sales of </w:t>
      </w:r>
      <w:r>
        <w:rPr>
          <w:rFonts w:ascii="Times New Roman;Times;Serif" w:hAnsi="Times New Roman;Times;Serif"/>
          <w:b w:val="false"/>
          <w:i/>
          <w:caps w:val="false"/>
          <w:smallCaps w:val="false"/>
          <w:sz w:val="20"/>
        </w:rPr>
        <w:t xml:space="preserve">Bellwright </w:t>
      </w:r>
      <w:r>
        <w:rPr>
          <w:rFonts w:ascii="Times New Roman;Times;Serif" w:hAnsi="Times New Roman;Times;Serif"/>
          <w:b w:val="false"/>
          <w:i w:val="false"/>
          <w:caps w:val="false"/>
          <w:smallCaps w:val="false"/>
          <w:sz w:val="20"/>
        </w:rPr>
        <w:t xml:space="preserve">of 0.2 million units, partially offset by a decrease in sales of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of 0.7 million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Bookings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Bookings is a key operating metric in assessing our financial performance. Bookings adjusts for the impact of deferrals and, we believe, provides a useful indicator of sales in a given period. It reflects the net amount of products and services sold digitally or physically in a given period, excluding the impact of revenue deferrals. Bookings is used by management to understand sales trends and assess the volume of our sales activity over time. Bookings should not be considered as alternatives to net loss, as measures of financial performance or any other performance measure derived in accordance with GAAP. Below is a reconciliation of total net revenue to Bookings, the closest GAAP financial measure.</w:t>
      </w:r>
    </w:p>
    <w:p>
      <w:pPr>
        <w:pStyle w:val="TextBody"/>
        <w:bidi w:val="0"/>
        <w:spacing w:before="0" w:after="0"/>
        <w:ind w:left="0" w:right="0" w:firstLine="360"/>
        <w:jc w:val="both"/>
        <w:rPr>
          <w:caps w:val="false"/>
          <w:smallCaps w:val="false"/>
        </w:rPr>
      </w:pPr>
      <w:r>
        <w:rPr>
          <w:caps w:val="false"/>
          <w:smallCaps w:val="false"/>
        </w:rPr>
        <w:t> </w:t>
      </w:r>
    </w:p>
    <w:tbl>
      <w:tblPr>
        <w:tblW w:w="9587" w:type="dxa"/>
        <w:jc w:val="left"/>
        <w:tblInd w:w="0" w:type="dxa"/>
        <w:tblLayout w:type="fixed"/>
        <w:tblCellMar>
          <w:top w:w="0" w:type="dxa"/>
          <w:left w:w="0" w:type="dxa"/>
          <w:bottom w:w="0" w:type="dxa"/>
          <w:right w:w="0" w:type="dxa"/>
        </w:tblCellMar>
      </w:tblPr>
      <w:tblGrid>
        <w:gridCol w:w="2570"/>
        <w:gridCol w:w="60"/>
        <w:gridCol w:w="132"/>
        <w:gridCol w:w="403"/>
        <w:gridCol w:w="63"/>
        <w:gridCol w:w="63"/>
        <w:gridCol w:w="132"/>
        <w:gridCol w:w="403"/>
        <w:gridCol w:w="63"/>
        <w:gridCol w:w="63"/>
        <w:gridCol w:w="221"/>
        <w:gridCol w:w="594"/>
        <w:gridCol w:w="132"/>
        <w:gridCol w:w="63"/>
        <w:gridCol w:w="108"/>
        <w:gridCol w:w="797"/>
        <w:gridCol w:w="245"/>
        <w:gridCol w:w="60"/>
        <w:gridCol w:w="125"/>
        <w:gridCol w:w="380"/>
        <w:gridCol w:w="60"/>
        <w:gridCol w:w="60"/>
        <w:gridCol w:w="125"/>
        <w:gridCol w:w="380"/>
        <w:gridCol w:w="60"/>
        <w:gridCol w:w="60"/>
        <w:gridCol w:w="221"/>
        <w:gridCol w:w="594"/>
        <w:gridCol w:w="125"/>
        <w:gridCol w:w="60"/>
        <w:gridCol w:w="108"/>
        <w:gridCol w:w="797"/>
        <w:gridCol w:w="260"/>
      </w:tblGrid>
      <w:tr>
        <w:trPr/>
        <w:tc>
          <w:tcPr>
            <w:tcW w:w="25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3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15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c>
          <w:tcPr>
            <w:tcW w:w="132"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97" w:type="dxa"/>
            <w:gridSpan w:val="3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deferred net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1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June 30, 2026, bookings decreased by $5.3 million or 19.7%, compared to the three months ended June 30, 2025, primarily due to lower sales of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partially offset by bookings generated from </w:t>
      </w:r>
      <w:r>
        <w:rPr>
          <w:rFonts w:ascii="Times New Roman;Times;Serif" w:hAnsi="Times New Roman;Times;Serif"/>
          <w:b w:val="false"/>
          <w:i/>
          <w:caps w:val="false"/>
          <w:smallCaps w:val="false"/>
          <w:sz w:val="20"/>
        </w:rPr>
        <w:t>Bellwright.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bookings decreased by $0.7 million, or 1.4%, compared to the six months ended June 30, 2025, primarily due to lower sales of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as the title continued to mature and consumer demand shifted toward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and its related downloadable content. The decrease was offset by increased sales of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which benefited from promotional pricing during the period.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financial results determined in accordance with U.S. generally accepted accounting principles (“U.S. GAAP” or “GAAP”), we believe EBITDA, as a non-GAAP measure, is useful in evaluating our operating performance. EBITDA, as used in this Quarterly Report on Form 10-Q, is a non-GAAP financial measure that is presented as supplemental disclosures and should not be construed as an alternative to net loss or any other GAAP measure as an indicator of operating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EBITDA because it is used by management to assess our financial performance, excluding certain expenses that management believes do not reflect the ongoing operating performance of the business. Management uses EBITDA to supplement GAAP measures of performance when evaluating our business strategies, making budgeting decisions and comparing performance against peer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EBITDA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EBITDA as net loss before (i) interest expense, (ii) provision for (benefit from) income taxes, and (iii) depreciation expense, 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reconciliation of net loss to EBITDA, the closest GAAP financial measure.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2"/>
        <w:gridCol w:w="60"/>
        <w:gridCol w:w="141"/>
        <w:gridCol w:w="398"/>
        <w:gridCol w:w="95"/>
        <w:gridCol w:w="60"/>
        <w:gridCol w:w="141"/>
        <w:gridCol w:w="519"/>
        <w:gridCol w:w="95"/>
        <w:gridCol w:w="60"/>
        <w:gridCol w:w="212"/>
        <w:gridCol w:w="783"/>
        <w:gridCol w:w="95"/>
        <w:gridCol w:w="60"/>
        <w:gridCol w:w="96"/>
        <w:gridCol w:w="1019"/>
        <w:gridCol w:w="231"/>
        <w:gridCol w:w="60"/>
        <w:gridCol w:w="140"/>
        <w:gridCol w:w="395"/>
        <w:gridCol w:w="95"/>
        <w:gridCol w:w="60"/>
        <w:gridCol w:w="140"/>
        <w:gridCol w:w="515"/>
        <w:gridCol w:w="95"/>
        <w:gridCol w:w="60"/>
        <w:gridCol w:w="212"/>
        <w:gridCol w:w="783"/>
        <w:gridCol w:w="95"/>
        <w:gridCol w:w="60"/>
        <w:gridCol w:w="96"/>
        <w:gridCol w:w="1019"/>
        <w:gridCol w:w="253"/>
      </w:tblGrid>
      <w:tr>
        <w:trPr/>
        <w:tc>
          <w:tcPr>
            <w:tcW w:w="20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7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6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53" w:type="dxa"/>
            <w:tcBorders/>
            <w:vAlign w:val="center"/>
          </w:tcPr>
          <w:p>
            <w:pPr>
              <w:pStyle w:val="TableContents"/>
              <w:bidi w:val="0"/>
              <w:spacing w:before="0" w:after="283"/>
              <w:jc w:val="left"/>
              <w:rPr/>
            </w:pPr>
            <w:r>
              <w:rPr/>
              <w:t> </w:t>
            </w:r>
          </w:p>
        </w:tc>
      </w:tr>
      <w:tr>
        <w:trPr/>
        <w:tc>
          <w:tcPr>
            <w:tcW w:w="20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53" w:type="dxa"/>
            <w:tcBorders/>
            <w:vAlign w:val="center"/>
          </w:tcPr>
          <w:p>
            <w:pPr>
              <w:pStyle w:val="TableContents"/>
              <w:bidi w:val="0"/>
              <w:spacing w:before="0" w:after="283"/>
              <w:jc w:val="left"/>
              <w:rPr/>
            </w:pPr>
            <w:r>
              <w:rPr/>
              <w:t> </w:t>
            </w:r>
          </w:p>
        </w:tc>
      </w:tr>
      <w:tr>
        <w:trPr/>
        <w:tc>
          <w:tcPr>
            <w:tcW w:w="20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830" w:type="dxa"/>
            <w:gridSpan w:val="30"/>
            <w:tcBorders/>
            <w:vAlign w:val="center"/>
          </w:tcPr>
          <w:p>
            <w:pPr>
              <w:pStyle w:val="TableContents"/>
              <w:bidi w:val="0"/>
              <w:spacing w:before="0" w:after="283"/>
              <w:jc w:val="center"/>
              <w:rPr>
                <w:b/>
              </w:rPr>
            </w:pPr>
            <w:r>
              <w:rPr>
                <w:b/>
              </w:rPr>
              <w:t>(in millions)</w:t>
            </w:r>
          </w:p>
        </w:tc>
        <w:tc>
          <w:tcPr>
            <w:tcW w:w="253" w:type="dxa"/>
            <w:tcBorders/>
            <w:vAlign w:val="center"/>
          </w:tcPr>
          <w:p>
            <w:pPr>
              <w:pStyle w:val="TableContents"/>
              <w:bidi w:val="0"/>
              <w:spacing w:before="0" w:after="283"/>
              <w:jc w:val="left"/>
              <w:rPr/>
            </w:pPr>
            <w:r>
              <w:rPr/>
              <w:t> </w:t>
            </w:r>
          </w:p>
        </w:tc>
      </w:tr>
      <w:tr>
        <w:trPr/>
        <w:tc>
          <w:tcPr>
            <w:tcW w:w="2062"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398"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519" w:type="dxa"/>
            <w:tcBorders/>
            <w:shd w:fill="CCEEFF" w:val="clear"/>
            <w:vAlign w:val="center"/>
          </w:tcPr>
          <w:p>
            <w:pPr>
              <w:pStyle w:val="TableContents"/>
              <w:bidi w:val="0"/>
              <w:spacing w:before="0" w:after="283"/>
              <w:jc w:val="right"/>
              <w:rPr/>
            </w:pPr>
            <w:r>
              <w:rPr/>
              <w:t>(16.6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(81.6</w:t>
            </w:r>
          </w:p>
        </w:tc>
        <w:tc>
          <w:tcPr>
            <w:tcW w:w="23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(95.1</w:t>
            </w:r>
          </w:p>
        </w:tc>
        <w:tc>
          <w:tcPr>
            <w:tcW w:w="253" w:type="dxa"/>
            <w:tcBorders/>
            <w:shd w:fill="CCEEFF" w:val="clear"/>
            <w:vAlign w:val="center"/>
          </w:tcPr>
          <w:p>
            <w:pPr>
              <w:pStyle w:val="TableContents"/>
              <w:bidi w:val="0"/>
              <w:spacing w:before="0" w:after="283"/>
              <w:jc w:val="left"/>
              <w:rPr/>
            </w:pPr>
            <w:r>
              <w:rPr/>
              <w:t>)%</w:t>
            </w:r>
          </w:p>
        </w:tc>
      </w:tr>
      <w:tr>
        <w:trPr/>
        <w:tc>
          <w:tcPr>
            <w:tcW w:w="2062" w:type="dxa"/>
            <w:tcBorders/>
            <w:shd w:fill="FFFFFF" w:val="clear"/>
            <w:vAlign w:val="center"/>
          </w:tcPr>
          <w:p>
            <w:pPr>
              <w:pStyle w:val="TableContents"/>
              <w:bidi w:val="0"/>
              <w:spacing w:before="0" w:after="283"/>
              <w:jc w:val="left"/>
              <w:rPr/>
            </w:pPr>
            <w:r>
              <w:rPr/>
              <w:t>Interest income and interest income – related parties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80.9</w:t>
            </w:r>
          </w:p>
        </w:tc>
        <w:tc>
          <w:tcPr>
            <w:tcW w:w="23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60.8</w:t>
            </w:r>
          </w:p>
        </w:tc>
        <w:tc>
          <w:tcPr>
            <w:tcW w:w="253" w:type="dxa"/>
            <w:tcBorders/>
            <w:shd w:fill="FFFFFF" w:val="clear"/>
            <w:vAlign w:val="center"/>
          </w:tcPr>
          <w:p>
            <w:pPr>
              <w:pStyle w:val="TableContents"/>
              <w:bidi w:val="0"/>
              <w:spacing w:before="0" w:after="283"/>
              <w:jc w:val="left"/>
              <w:rPr/>
            </w:pPr>
            <w:r>
              <w:rPr/>
              <w:t>%</w:t>
            </w:r>
          </w:p>
        </w:tc>
      </w:tr>
      <w:tr>
        <w:trPr/>
        <w:tc>
          <w:tcPr>
            <w:tcW w:w="2062"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(10.1</w:t>
            </w:r>
          </w:p>
        </w:tc>
        <w:tc>
          <w:tcPr>
            <w:tcW w:w="23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43.2</w:t>
            </w:r>
          </w:p>
        </w:tc>
        <w:tc>
          <w:tcPr>
            <w:tcW w:w="253" w:type="dxa"/>
            <w:tcBorders/>
            <w:shd w:fill="CCEEFF" w:val="clear"/>
            <w:vAlign w:val="center"/>
          </w:tcPr>
          <w:p>
            <w:pPr>
              <w:pStyle w:val="TableContents"/>
              <w:bidi w:val="0"/>
              <w:spacing w:before="0" w:after="283"/>
              <w:jc w:val="left"/>
              <w:rPr/>
            </w:pPr>
            <w:r>
              <w:rPr/>
              <w:t>%</w:t>
            </w:r>
          </w:p>
        </w:tc>
      </w:tr>
      <w:tr>
        <w:trPr/>
        <w:tc>
          <w:tcPr>
            <w:tcW w:w="2062" w:type="dxa"/>
            <w:tcBorders/>
            <w:shd w:fill="FFFFFF" w:val="clear"/>
            <w:vAlign w:val="center"/>
          </w:tcPr>
          <w:p>
            <w:pPr>
              <w:pStyle w:val="TableContents"/>
              <w:bidi w:val="0"/>
              <w:spacing w:before="0" w:after="283"/>
              <w:jc w:val="left"/>
              <w:rPr/>
            </w:pPr>
            <w:r>
              <w:rPr/>
              <w:t>(Benefit from) provision for income taxes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pPr>
            <w:r>
              <w:rPr/>
              <w:t>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(100.8</w:t>
            </w:r>
          </w:p>
        </w:tc>
        <w:tc>
          <w:tcPr>
            <w:tcW w:w="23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(12.4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(100.1</w:t>
            </w:r>
          </w:p>
        </w:tc>
        <w:tc>
          <w:tcPr>
            <w:tcW w:w="253" w:type="dxa"/>
            <w:tcBorders/>
            <w:shd w:fill="FFFFFF" w:val="clear"/>
            <w:vAlign w:val="center"/>
          </w:tcPr>
          <w:p>
            <w:pPr>
              <w:pStyle w:val="TableContents"/>
              <w:bidi w:val="0"/>
              <w:spacing w:before="0" w:after="283"/>
              <w:jc w:val="left"/>
              <w:rPr/>
            </w:pPr>
            <w:r>
              <w:rPr/>
              <w:t>)%</w:t>
            </w:r>
          </w:p>
        </w:tc>
      </w:tr>
      <w:tr>
        <w:trPr/>
        <w:tc>
          <w:tcPr>
            <w:tcW w:w="2062"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9"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(81.1</w:t>
            </w:r>
          </w:p>
        </w:tc>
        <w:tc>
          <w:tcPr>
            <w:tcW w:w="23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(81.2</w:t>
            </w:r>
          </w:p>
        </w:tc>
        <w:tc>
          <w:tcPr>
            <w:tcW w:w="253" w:type="dxa"/>
            <w:tcBorders/>
            <w:shd w:fill="CCEEFF" w:val="clear"/>
            <w:vAlign w:val="center"/>
          </w:tcPr>
          <w:p>
            <w:pPr>
              <w:pStyle w:val="TableContents"/>
              <w:bidi w:val="0"/>
              <w:spacing w:before="0" w:after="283"/>
              <w:jc w:val="left"/>
              <w:rPr/>
            </w:pPr>
            <w:r>
              <w:rPr/>
              <w:t>)%</w:t>
            </w:r>
          </w:p>
        </w:tc>
      </w:tr>
      <w:tr>
        <w:trPr/>
        <w:tc>
          <w:tcPr>
            <w:tcW w:w="2062"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98" w:type="dxa"/>
            <w:tcBorders>
              <w:bottom w:val="double" w:sz="6"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19" w:type="dxa"/>
            <w:tcBorders>
              <w:bottom w:val="double" w:sz="6" w:space="0" w:color="000000"/>
            </w:tcBorders>
            <w:shd w:fill="FFFFFF" w:val="clear"/>
            <w:tcMar>
              <w:bottom w:w="28" w:type="dxa"/>
            </w:tcM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3" w:type="dxa"/>
            <w:tcBorders>
              <w:bottom w:val="double" w:sz="6" w:space="0" w:color="000000"/>
            </w:tcBorders>
            <w:shd w:fill="FFFFFF" w:val="clear"/>
            <w:tcMar>
              <w:bottom w:w="28" w:type="dxa"/>
            </w:tcMar>
            <w:vAlign w:val="center"/>
          </w:tcPr>
          <w:p>
            <w:pPr>
              <w:pStyle w:val="TableContents"/>
              <w:bidi w:val="0"/>
              <w:spacing w:before="0" w:after="283"/>
              <w:jc w:val="right"/>
              <w:rPr/>
            </w:pPr>
            <w:r>
              <w:rPr/>
              <w:t>(0.6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23.3</w:t>
            </w:r>
          </w:p>
        </w:tc>
        <w:tc>
          <w:tcPr>
            <w:tcW w:w="23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right"/>
              <w:rPr/>
            </w:pPr>
            <w:r>
              <w:rPr/>
              <w:t>(0.6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right"/>
              <w:rPr/>
            </w:pPr>
            <w:r>
              <w:rPr/>
              <w:t>(5.8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3" w:type="dxa"/>
            <w:tcBorders>
              <w:bottom w:val="double" w:sz="6" w:space="0" w:color="000000"/>
            </w:tcBorders>
            <w:shd w:fill="FFFFFF" w:val="clear"/>
            <w:tcMar>
              <w:bottom w:w="28" w:type="dxa"/>
            </w:tcM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double" w:sz="6" w:space="0" w:color="000000"/>
            </w:tcBorders>
            <w:shd w:fill="FFFFFF" w:val="clear"/>
            <w:tcMar>
              <w:bottom w:w="28" w:type="dxa"/>
            </w:tcMar>
            <w:vAlign w:val="center"/>
          </w:tcPr>
          <w:p>
            <w:pPr>
              <w:pStyle w:val="TableContents"/>
              <w:bidi w:val="0"/>
              <w:spacing w:before="0" w:after="283"/>
              <w:jc w:val="right"/>
              <w:rPr/>
            </w:pPr>
            <w:r>
              <w:rPr/>
              <w:t>(88.8</w:t>
            </w:r>
          </w:p>
        </w:tc>
        <w:tc>
          <w:tcPr>
            <w:tcW w:w="25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EBITDA decreased by $0.6 million, or 23.3%, compared to the three months ended June 30, 2025. The decrease was primarily driven by $14.0 million decline in the provision for income taxes, partially offset by a decrease in net loss of $13.5 million, a decrease in depreciation expense of $0.1 million, and a decrease in interest income and interest income – related parties of $0.1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EBITDA increased by $5.2 million, or 88.8%, compared to the six months ended June 30, 2025, primarily due to a decrease in net loss of $17.6 million, partially offset by a decrease in provision for income taxes of $12.4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spending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are the cash flows generated from our operations, that are currently available as unrestricted cash. Our unrestricted cash was $13.3 million and $8.6 million as of June 30, 2026 and December 31,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restricted cash and cash equivalents were $2.3 million and $1.9 million as of June 30, 2026 and December 31, 2025, respectively. Our restricted cash primarily consists of time deposits and is used to secure standby letters of credit with certain of our landlords and insurance providers, and to hold collateral in reserve related to our revolving line of credit.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2021 Revolving Loan has a balance of $2.5 million and is due and payable in March 2030. Additionally, in February 2025 we issued convertible notes with a stated value of $3.3 million which matured in February 2026 and have been fully repaid as of June 30, 2026. We obtained a term loan note of $3.5 million in June 2025 with a maturity date of June 2028. In October 2025, we issued a convertible note with a stated value of $2.2 million, which matures in October 2026; and in November 2025, we issued a convertible note with a par value of $1.1 million, which matures in November 2026. Additionally, we have available to issue up to $4.4 million of convertible notes to our existing noteholders. We are in compliance with our debt covenants related to the 2021 Revolving Loan, 2021 Promissory note and 2025 Term Loan for the trailing twelve months ended June 30, 2026. For the trailing twelve months ended December 31, 2025, the Company was in compliance with its debt covenants related to the 2021 Revolving Note, 2021 Promissory Note and 2025 Term Loan. There is no guarantee we will receive a waiver from the applicable lender if the covenants of the loans are breached in the future. In the event of a future breach of the debt covenants the lender has the right, but not the obligation, to declare all or any part of the debt as due immediately and cease making any advances or extend any further credit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raised capital through the issuance of the convertible notes and shares of Class A common stock and through the distribution agreement entered into with our retail partner which provided advanced royalties.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unrestricted cash position of approximately $13.3 million, and our expected revenue receipts will allow the Company to continue operations beyond the next 12 months and service its current debts.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a summary of our cash flows for the periods indicated: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31"/>
        <w:gridCol w:w="60"/>
        <w:gridCol w:w="253"/>
        <w:gridCol w:w="715"/>
        <w:gridCol w:w="172"/>
        <w:gridCol w:w="108"/>
        <w:gridCol w:w="253"/>
        <w:gridCol w:w="715"/>
        <w:gridCol w:w="95"/>
        <w:gridCol w:w="60"/>
        <w:gridCol w:w="260"/>
        <w:gridCol w:w="735"/>
        <w:gridCol w:w="95"/>
        <w:gridCol w:w="60"/>
        <w:gridCol w:w="96"/>
        <w:gridCol w:w="1019"/>
        <w:gridCol w:w="278"/>
      </w:tblGrid>
      <w:tr>
        <w:trPr/>
        <w:tc>
          <w:tcPr>
            <w:tcW w:w="5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78" w:type="dxa"/>
            <w:tcBorders/>
            <w:vAlign w:val="center"/>
          </w:tcPr>
          <w:p>
            <w:pPr>
              <w:pStyle w:val="TableContents"/>
              <w:bidi w:val="0"/>
              <w:spacing w:before="0" w:after="283"/>
              <w:jc w:val="left"/>
              <w:rPr/>
            </w:pPr>
            <w:r>
              <w:rPr/>
              <w:t> </w:t>
            </w:r>
          </w:p>
        </w:tc>
      </w:tr>
      <w:tr>
        <w:trPr/>
        <w:tc>
          <w:tcPr>
            <w:tcW w:w="5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78" w:type="dxa"/>
            <w:tcBorders/>
            <w:vAlign w:val="center"/>
          </w:tcPr>
          <w:p>
            <w:pPr>
              <w:pStyle w:val="TableContents"/>
              <w:bidi w:val="0"/>
              <w:spacing w:before="0" w:after="283"/>
              <w:jc w:val="left"/>
              <w:rPr/>
            </w:pPr>
            <w:r>
              <w:rPr/>
              <w:t> </w:t>
            </w:r>
          </w:p>
        </w:tc>
      </w:tr>
      <w:tr>
        <w:trPr/>
        <w:tc>
          <w:tcPr>
            <w:tcW w:w="5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6" w:type="dxa"/>
            <w:gridSpan w:val="14"/>
            <w:tcBorders/>
            <w:vAlign w:val="center"/>
          </w:tcPr>
          <w:p>
            <w:pPr>
              <w:pStyle w:val="TableContents"/>
              <w:bidi w:val="0"/>
              <w:spacing w:before="0" w:after="283"/>
              <w:jc w:val="center"/>
              <w:rPr>
                <w:b/>
              </w:rPr>
            </w:pPr>
            <w:r>
              <w:rPr>
                <w:b/>
              </w:rPr>
              <w:t>(in millions)</w:t>
            </w:r>
          </w:p>
        </w:tc>
        <w:tc>
          <w:tcPr>
            <w:tcW w:w="278" w:type="dxa"/>
            <w:tcBorders/>
            <w:vAlign w:val="center"/>
          </w:tcPr>
          <w:p>
            <w:pPr>
              <w:pStyle w:val="TableContents"/>
              <w:bidi w:val="0"/>
              <w:spacing w:before="0" w:after="283"/>
              <w:jc w:val="left"/>
              <w:rPr/>
            </w:pPr>
            <w:r>
              <w:rPr/>
              <w:t> </w:t>
            </w:r>
          </w:p>
        </w:tc>
      </w:tr>
      <w:tr>
        <w:trPr/>
        <w:tc>
          <w:tcPr>
            <w:tcW w:w="5231" w:type="dxa"/>
            <w:tcBorders/>
            <w:shd w:fill="CCEEFF" w:val="clear"/>
            <w:vAlign w:val="center"/>
          </w:tcPr>
          <w:p>
            <w:pPr>
              <w:pStyle w:val="TableContents"/>
              <w:bidi w:val="0"/>
              <w:spacing w:before="0" w:after="283"/>
              <w:jc w:val="left"/>
              <w:rPr/>
            </w:pPr>
            <w:r>
              <w:rPr/>
              <w:t>Net cash flows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6.9</w:t>
            </w:r>
          </w:p>
        </w:tc>
        <w:tc>
          <w:tcPr>
            <w:tcW w:w="17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(384.4</w:t>
            </w:r>
          </w:p>
        </w:tc>
        <w:tc>
          <w:tcPr>
            <w:tcW w:w="278" w:type="dxa"/>
            <w:tcBorders/>
            <w:shd w:fill="CCEEFF" w:val="clear"/>
            <w:vAlign w:val="center"/>
          </w:tcPr>
          <w:p>
            <w:pPr>
              <w:pStyle w:val="TableContents"/>
              <w:bidi w:val="0"/>
              <w:spacing w:before="0" w:after="283"/>
              <w:jc w:val="left"/>
              <w:rPr/>
            </w:pPr>
            <w:r>
              <w:rPr/>
              <w:t>)%</w:t>
            </w:r>
          </w:p>
        </w:tc>
      </w:tr>
      <w:tr>
        <w:trPr/>
        <w:tc>
          <w:tcPr>
            <w:tcW w:w="5231" w:type="dxa"/>
            <w:tcBorders/>
            <w:shd w:fill="FFFFFF" w:val="clear"/>
            <w:vAlign w:val="center"/>
          </w:tcPr>
          <w:p>
            <w:pPr>
              <w:pStyle w:val="TableContents"/>
              <w:bidi w:val="0"/>
              <w:spacing w:before="0" w:after="283"/>
              <w:jc w:val="left"/>
              <w:rPr/>
            </w:pPr>
            <w:r>
              <w:rPr/>
              <w:t>Net cash flows used in investing activities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(0.3</w:t>
            </w:r>
          </w:p>
        </w:tc>
        <w:tc>
          <w:tcPr>
            <w:tcW w:w="172" w:type="dxa"/>
            <w:tcBorders/>
            <w:shd w:fill="FFFFFF" w:val="clear"/>
            <w:vAlign w:val="center"/>
          </w:tcPr>
          <w:p>
            <w:pPr>
              <w:pStyle w:val="TableContents"/>
              <w:bidi w:val="0"/>
              <w:spacing w:before="0" w:after="283"/>
              <w:jc w:val="left"/>
              <w:rPr/>
            </w:pPr>
            <w:r>
              <w:rPr/>
              <w:t>)</w:t>
            </w:r>
          </w:p>
        </w:tc>
        <w:tc>
          <w:tcPr>
            <w:tcW w:w="10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(88.6</w:t>
            </w:r>
          </w:p>
        </w:tc>
        <w:tc>
          <w:tcPr>
            <w:tcW w:w="278" w:type="dxa"/>
            <w:tcBorders/>
            <w:shd w:fill="FFFFFF" w:val="clear"/>
            <w:vAlign w:val="center"/>
          </w:tcPr>
          <w:p>
            <w:pPr>
              <w:pStyle w:val="TableContents"/>
              <w:bidi w:val="0"/>
              <w:spacing w:before="0" w:after="283"/>
              <w:jc w:val="left"/>
              <w:rPr/>
            </w:pPr>
            <w:r>
              <w:rPr/>
              <w:t>)%</w:t>
            </w:r>
          </w:p>
        </w:tc>
      </w:tr>
      <w:tr>
        <w:trPr/>
        <w:tc>
          <w:tcPr>
            <w:tcW w:w="5231" w:type="dxa"/>
            <w:tcBorders/>
            <w:shd w:fill="CCEEFF" w:val="clear"/>
            <w:vAlign w:val="center"/>
          </w:tcPr>
          <w:p>
            <w:pPr>
              <w:pStyle w:val="TableContents"/>
              <w:bidi w:val="0"/>
              <w:spacing w:before="0" w:after="283"/>
              <w:jc w:val="left"/>
              <w:rPr/>
            </w:pPr>
            <w:r>
              <w:rPr/>
              <w:t>Net cash flows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single" w:sz="8" w:space="0" w:color="000000"/>
            </w:tcBorders>
            <w:shd w:fill="CCEEFF" w:val="clear"/>
            <w:tcMar>
              <w:bottom w:w="28" w:type="dxa"/>
            </w:tcMar>
            <w:vAlign w:val="center"/>
          </w:tcPr>
          <w:p>
            <w:pPr>
              <w:pStyle w:val="TableContents"/>
              <w:bidi w:val="0"/>
              <w:spacing w:before="0" w:after="283"/>
              <w:jc w:val="right"/>
              <w:rPr/>
            </w:pPr>
            <w:r>
              <w:rPr/>
              <w:t>(1.4</w:t>
            </w:r>
          </w:p>
        </w:tc>
        <w:tc>
          <w:tcPr>
            <w:tcW w:w="172" w:type="dxa"/>
            <w:tcBorders/>
            <w:shd w:fill="CCEEFF" w:val="clear"/>
            <w:vAlign w:val="center"/>
          </w:tcPr>
          <w:p>
            <w:pPr>
              <w:pStyle w:val="TableContents"/>
              <w:bidi w:val="0"/>
              <w:spacing w:before="0" w:after="283"/>
              <w:jc w:val="left"/>
              <w:rPr/>
            </w:pPr>
            <w:r>
              <w:rPr/>
              <w:t>)</w:t>
            </w:r>
          </w:p>
        </w:tc>
        <w:tc>
          <w:tcPr>
            <w:tcW w:w="108"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single" w:sz="8" w:space="0" w:color="000000"/>
            </w:tcBorders>
            <w:shd w:fill="CCEEFF" w:val="clear"/>
            <w:tcMar>
              <w:bottom w:w="28" w:type="dxa"/>
            </w:tcMar>
            <w:vAlign w:val="center"/>
          </w:tcPr>
          <w:p>
            <w:pPr>
              <w:pStyle w:val="TableContents"/>
              <w:bidi w:val="0"/>
              <w:spacing w:before="0" w:after="283"/>
              <w:jc w:val="right"/>
              <w:rPr/>
            </w:pPr>
            <w:r>
              <w:rPr/>
              <w:t>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(123.3</w:t>
            </w:r>
          </w:p>
        </w:tc>
        <w:tc>
          <w:tcPr>
            <w:tcW w:w="278" w:type="dxa"/>
            <w:tcBorders/>
            <w:shd w:fill="CCEEFF" w:val="clear"/>
            <w:vAlign w:val="center"/>
          </w:tcPr>
          <w:p>
            <w:pPr>
              <w:pStyle w:val="TableContents"/>
              <w:bidi w:val="0"/>
              <w:spacing w:before="0" w:after="283"/>
              <w:jc w:val="left"/>
              <w:rPr/>
            </w:pPr>
            <w:r>
              <w:rPr/>
              <w:t>)%</w:t>
            </w:r>
          </w:p>
        </w:tc>
      </w:tr>
      <w:tr>
        <w:trPr/>
        <w:tc>
          <w:tcPr>
            <w:tcW w:w="5231" w:type="dxa"/>
            <w:tcBorders/>
            <w:shd w:fill="FFFFFF" w:val="clear"/>
            <w:vAlign w:val="center"/>
          </w:tcPr>
          <w:p>
            <w:pPr>
              <w:pStyle w:val="TableContents"/>
              <w:bidi w:val="0"/>
              <w:spacing w:before="0" w:after="283"/>
              <w:jc w:val="left"/>
              <w:rPr/>
            </w:pPr>
            <w:r>
              <w:rPr/>
              <w:t>Net increase in cash and cash equivalents and restricted cash and cash equivalents</w:t>
            </w:r>
          </w:p>
        </w:tc>
        <w:tc>
          <w:tcPr>
            <w:tcW w:w="60"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15" w:type="dxa"/>
            <w:tcBorders>
              <w:bottom w:val="double" w:sz="6" w:space="0" w:color="000000"/>
            </w:tcBorders>
            <w:shd w:fill="FFFFFF" w:val="clear"/>
            <w:tcMar>
              <w:bottom w:w="28" w:type="dxa"/>
            </w:tcMar>
            <w:vAlign w:val="center"/>
          </w:tcPr>
          <w:p>
            <w:pPr>
              <w:pStyle w:val="TableContents"/>
              <w:bidi w:val="0"/>
              <w:spacing w:before="0" w:after="283"/>
              <w:jc w:val="right"/>
              <w:rPr/>
            </w:pPr>
            <w:r>
              <w:rPr/>
              <w:t>5.2</w:t>
            </w:r>
          </w:p>
        </w:tc>
        <w:tc>
          <w:tcPr>
            <w:tcW w:w="172"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15" w:type="dxa"/>
            <w:tcBorders>
              <w:bottom w:val="double" w:sz="6" w:space="0" w:color="000000"/>
            </w:tcBorders>
            <w:shd w:fill="FFFFFF" w:val="clear"/>
            <w:tcMar>
              <w:bottom w:w="28" w:type="dxa"/>
            </w:tcMar>
            <w:vAlign w:val="center"/>
          </w:tcPr>
          <w:p>
            <w:pPr>
              <w:pStyle w:val="TableContents"/>
              <w:bidi w:val="0"/>
              <w:spacing w:before="0" w:after="283"/>
              <w:jc w:val="right"/>
              <w:rPr/>
            </w:pPr>
            <w:r>
              <w:rPr/>
              <w:t>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double" w:sz="6" w:space="0" w:color="000000"/>
            </w:tcBorders>
            <w:shd w:fill="FFFFFF" w:val="clear"/>
            <w:tcMar>
              <w:bottom w:w="28" w:type="dxa"/>
            </w:tcMar>
            <w:vAlign w:val="center"/>
          </w:tcPr>
          <w:p>
            <w:pPr>
              <w:pStyle w:val="TableContents"/>
              <w:bidi w:val="0"/>
              <w:spacing w:before="0" w:after="283"/>
              <w:jc w:val="right"/>
              <w:rPr/>
            </w:pPr>
            <w:r>
              <w:rPr/>
              <w:t>853.8</w:t>
            </w:r>
          </w:p>
        </w:tc>
        <w:tc>
          <w:tcPr>
            <w:tcW w:w="278"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provided by operating activities for the six months ended June 30, 2026 increased by $9.3 million as compared to the six months ended June 30, 2025, which resulted primarily from an increase in net income of $17.6 million, an increase in accounts receivable and accounts receivable – related party of $7.2 million, an increase in prepaid taxes of $2.5 million, an increase in prepaid expenses related party and prepaid expenses and other current assets of $1.4 million, and an increase in other noncurrent assets of $0.4 million. This was partially offset by a decrease in deferred taxes of $10.8 million, a decrease in deferred revenue of $5.3 million, and a decrease in accounts payable and accounts payable – related parties of $4.2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 net loss of $0.9 million and $18.5 million, for the six months ended June 30, 2026 and 2025, respectively, representing an increase of $17.6 million. The increase was primarily due to a decrease in the provision of income taxes of $12.4 million, an increase in revenue of $4.7 million, a decrease in cost of revenue of $2.0 million, partially offset by an increase in general and administrative expense of $1.2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reconciling items were $0.1 million and $12.3 million for the six months ended June 30, 2026 and 2025, respectively, representing a decrease of $12.2 million. The decrease in the non-cash reconciling items was due to a decrease in deferred taxes of $10.8 million, a decrease in impairment expenses of $0.2 million, a decrease in depreciation expense of $0.1 million, and a decrease in stock based compensation expense of $0.2 million; partially offset by an increase in amortization expense of $0.3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accounts receivable – related party represent revenues attributable to certain mobile games that, for administrative reasons, were collected on our behalf by SDE Inc. (“SDE”), an affiliated entity, from fiscal year 2018 through 2021. SDE no longer collects such payments on our behalf; all such payments are received directly from the platforms through which we offer the relevant games. As of June 30, 2026 and December 31, 2025, the net outstanding balances of receivables due from SDE were $0.0 million and $1.5 million, respectively. The Company and SDE have entered into an agreement to offset uncollected amounts against monthly payments due to SDE for operating expenses and costs of revenue. See Note 5- </w:t>
      </w:r>
      <w:r>
        <w:rPr>
          <w:rFonts w:ascii="Times New Roman;Times;Serif" w:hAnsi="Times New Roman;Times;Serif"/>
          <w:b w:val="false"/>
          <w:i/>
          <w:caps w:val="false"/>
          <w:smallCaps w:val="false"/>
          <w:sz w:val="20"/>
        </w:rPr>
        <w:t>Accounts (Payable) Receivable - Related Party</w:t>
      </w:r>
      <w:r>
        <w:rPr>
          <w:rFonts w:ascii="Times New Roman;Times;Serif" w:hAnsi="Times New Roman;Times;Serif"/>
          <w:b w:val="false"/>
          <w:i w:val="false"/>
          <w:caps w:val="false"/>
          <w:smallCaps w:val="false"/>
          <w:sz w:val="20"/>
        </w:rPr>
        <w:t xml:space="preserve"> to our unaudited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investing activities for the six months ended June 30, 2026 were $0.3 million compared to $3.0 million in the six months ended June 30, 2025. Investing activities for the six months ended June 30, 2026 included $0.3 million for the acquisition of license rights to certain titles that are capitalized as research and development expenditures to be sold or marketed. Investing activities for the six months ended June 30, 2025 included $0.3 million for the acquisition of software applications, $2.0 million for the acquisition of license rights to certain titles, and $0.7 million in capitalized research and development expenditures for the development of software to be sold or marketed.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provided by financing activities for the six months ended June 30, 2026 were $1.4 million compared to $6.0 million for the six months ended June 30, 2025. Financing activities for the six months ended June 30, 2026 included a $2.5 million repayment on the 2021 Revolving Loan, $2.5 million repayment on the February 2025, October 2025 and November 2025 Convertible Notes and a $0.6 million repayment on the 2021 Promissory Note and 2025 Term Loan, partially offset by the At-The-Market common stock offering of $4.2 million. Financing activities for the six months ended June 30, 2025 included $3.0 million from the issuance of convertible notes, $3.5 million obtained from the new term loan, and $0.2 million received upon the exercise of warrants during the period. This was partially offset by the repayments of the convertible notes of $0.6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Registered Offerings and Registration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filed a Registration Statement on Form S-1 with the SEC in connection with our issuance of convertible note, equity line of credit and warrants related to each financing as noted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filed a universal shelf Registration Statement on Form S-3 that registered $50,000,000 of any combination of our Class A common stock, preferred stock, debt securities, warrants or units described therein, either individually or in combination with other securities. The “shelf” Registration Statement was declared effective on September 20, 2024 and was used to register pursuant to a prospectus supplement, dated August 7, 2025, to the “shelf” Registration Statement for the potential sale of shares of our Class A common stock in the “at the market offering” program with Wainwright.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we filed a Registration Statement on Form S-1 with the SEC registering shares of our Class A common stock underlying two convertible notes issued in the aggregate principal amount of $3.3 million. The first note, issued October 24, 2025, has a principal amount of $2.2 million for proceeds of $2.0 million, bears a 5% interest rate, repayable in 10 monthly installments starting January 24, 2026 and maturing October 24, 2026. The second note, issued November 26, 2025, has a principal amount of $1.1 million for proceeds of $1.0 million, bears a 5% interest rate, repayable in 10 monthly installments starting February 26, 2026 and maturing November 26, 2026. These notes are convertible into Class A common stock at $25.00 per share, subject to certain exceptions as discussed below.</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fund our operations from our net cash flows provided by operating activities as well as through public and private sales of our securities, and we expect to continue to seek and obtain additional capital in a similar manner. In addition to these cash flows, we have entered into certain debt arrangements to provide additional liquidity and to finance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Revolving Loan and First Term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outstanding borrowings pursuant to a Third Amended and Restated Loan and Security Agreement dated June 21, 2023, with Cathay Bank, as subsequently amended on December 28, 2023, December 31, 2024, June 10, 2025, January 2, 2026, and March 16, 2026 (as so amended, the “2023 Loan Agreement”), consisting of (i) a term loan in the original principal amount of Ten Million and No/100 Dollars ($10,000,000) (the “First Term Loan”), and (ii) a revolving line of credit in the maximum principal amount of Six Million and No/100 Dollars ($6,000,000.00) (the “Revolving Loan”). As of June 30, 2026, there is no outstanding balance under the First Term Loan, and the outstanding balance under the Revolving Loan is $2,500,000. The Revolving Loan has a maximum principal balance of $5,000,000 and bears interest at a rate equal to the prime rate less 0.25% and a floor rate of 6.50%. Interest is due and payable under the Revolving Loan on a monthly basis. On and after March 31, 2027, we will no longer be permitted to borrow any further amounts under the Revolving Loan. At such time, the revolving Loan will be converted to a term loan with maturity date of March 31, 2030, and we will be required to repay any principal balance then outstanding in monthly installments.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we entered into a loan agreement with a financial institution providing for a term loan in an aggregate principal amount of $3.0 million (the “Term Loan”). The Term Loan, which was originally set to mature in June 2031, bears interest at a fixed rate of 3.5% for the first five years and then at a floating rate of the Wall Street Journal prime rate until maturity. The Term Loan is secured by our principal headquarters.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Term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entered into a loan agreement with a financial institution providing for a term loan (the “2025 Term Loan”) in an aggregate principal amount of $3.5 million. This loan is set to mature in June 2028, bears interest at a floating rate of 0.50% in excess of Wall Street Journal prime rate or a floor of 6.50% rate until maturity.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we issued convertible notes (the “February 2025 Convertible Notes”) with an aggregate principal amount of $3,300,000 for gross proceeds of $3,000,000. The February 2025 Convertible Notes, which matured on February 21, 2026, carried an original issue discount of 10%, and were subject to a guaranteed interest equal to 5% of the principal amount. The principal and interest charges were payable in 10 equal monthly payments starting May 21, 2025. We have accounted for the convertible notes at fair value. As of February 28, 2026, the February 2025 Convertible Notes have been fully repaid and no amounts remain outstanding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issued a convertible note (the “October 2025 Convertible Note”) with an aggregate principal amount of $2,200,000 for gross proceeds of $2,000,000. The October 2025 Convertible Note, which matures on October 24, 2026, carries an original issue discount of 10%, and is subject to a guaranteed interest equal to 5% of the principal amount. The principal and interest charges are payable in 10 equal monthly payments starting January 24, 2026. We are accounting for the convertible note at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we issued a convertible note (the “November 2025 Convertible Note” and, together with the February 2025 Convertible Notes, and the October 2025 Convertible Note, and the “2025 Convertible Notes”) with an aggregate principal amount of $1,100,000 for gross proceeds of $1,000,000. The November 2025 Convertible Note, which matures on November 26, 2026, carries an original issue discount of 10%, and is subject to a guaranteed interest equal to 5% of the principal amount. The principal and interest charges are payable in 10 equal monthly payments starting February 26, 2026. We are accounting for the convertible note at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2025 Convertible Notes are ranked as a senior unsecured obligation of the Company with priority over all existing and future unsecured indebtedness. Subject to certain ownership limitations, all or portion of the then outstanding and unpaid principal and interest of the 2025 Convertible Notes can be converted at the option of the holder at any time into shares of our Class A common stock, at a conversion price of $25.00 per share, except that, for an aggregate of $577,500 of the conversion amount with respect to the October 2025 Convertible Note, and an aggregate of $288,750 of the conversion amount with respect to the November 2025 Convertible Note, the conversion price could be equal to the lesser of $25.00 per share or 92% of the lowest daily volume weighted average price of the Class A common stock during the 5 trading days period prior the receipt of the notice of conversion. These amounts under the October 2025 Convertible Note and the November 2025 Convertible Note were converted during the three months ended June 30, 2026, into 465,992 shares of Class A common stock. The outstanding and unconverted portion of the 2025 Convertible Notes is convertible as of June 30, 2026, into an aggregate of 22,740 shares of Class A common stock at a conversion price of $25.00 per share, which conversion price may be adjusted for certain customary dilutive events. We have registered the resale by the holders of the October 2025 Convertible Note and the November 2025 Convertible Note of an aggregate of 1,082,998 shares of Class A common stock issuable upon the conversion of such notes.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2025, we entered into an At The Market Offering Agreement (the “ATM Sales Agreement”) with H.C. Wainwright &amp; Co., LLC, as sales agent (the “Sales Agent” or “Wainwright”) to sell shares of our Class A common stock from time to time, in an “at the market offering” program through Wainwright, with certain limitations on the amount of Class A common stock that may be offered and sold thereunder. The sales, if any, of the shares of Class A common stock made under the ATM Sales Agreement will be made by any method permitted by law deemed to be an “at the market offering” as defined in Rule 415(a)(4) promulgated under the Securities Act, including sales made directly on or through the Nasdaq or on any other existing trading market for the Class A common stock, directly to Wainwright as principal, in negotiated transactions at market prices prevailing at the time of sale or at prices related to such prevailing market prices, and/or in any other method permitted by law. Offers and sales of shares of Class A common stock by the Company, if any, under the ATM Sales Agreement, will be made through a prospectus supplement, dated August 7, 2025 and an accompanying base prospectus, dated September 20, 2024, contained therein (the “ATM Prospectus Supplement”), which ATM Prospectus Supplement forms a part of our shelf registration statement on Form S-3 (File 333-282030), initially filed by the Company with the SEC on September 11, 2024, and declared effective by the SEC on September 20, 2024. The aggregate market value of the shares of Class A common stock that were initially registered for sale under the ATM Prospectus Supplement was $4,500,000, which was based on the limitations of General Instruction I.B.6 of Form S-3. On May 20, 2026, we filed Amendment No. 1 (“Amendment No. 1”) to the ATM Prospectus Supplement to increase the shares available for sale thereunder to $3,660,000 of shares of Class A common stock. During the three months ended June 30, 2026, we sold 659,429 shares of Class A common stock under the ATM Sales Agreement for gross proceeds of $4,367,863 and incurred offering costs of $134,966. Subsequent to June 30, 2026, we sold 112,341 shares of Class A common stock under the ATM Sales Agreement for gross proceeds of $582,763, and as of August 11, 2026, approximately $3.1 million shares of Class A common stock remain available for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covenants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agreements governing the Revolving Loan, the First Term Loan, and the 2025 Term Loan require us to maintain a minimum debt service coverage ratio of 1.5 to 1.0. Additionally, the Revolving Loan requires us to maintain an outstanding principal balance of no more than $2.5 million for 30 consecutive days during any twelve-month period. For the trailing twelve months ended June 30, 2026, the Company has met the minimum debt service coverage ratio required by its debt covenants. Any failure to comply with the covenants, or receive waivers for the covenants, could lead to the acceleration of payments due under the debt facilities with the lender, cause the lender to cease making advances under the revolving agreement, or allow the lender to take possession of collateral.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information regarding our indebtedness, see Note 12, </w:t>
      </w:r>
      <w:r>
        <w:rPr>
          <w:rFonts w:ascii="Times New Roman;Times;Serif" w:hAnsi="Times New Roman;Times;Serif"/>
          <w:b w:val="false"/>
          <w:i/>
          <w:caps w:val="false"/>
          <w:smallCaps w:val="false"/>
          <w:sz w:val="20"/>
        </w:rPr>
        <w:t xml:space="preserve">Revolving Loan, Short Term Note and Long-Term Debt </w:t>
      </w:r>
      <w:r>
        <w:rPr>
          <w:rFonts w:ascii="Times New Roman;Times;Serif" w:hAnsi="Times New Roman;Times;Serif"/>
          <w:b w:val="false"/>
          <w:i w:val="false"/>
          <w:caps w:val="false"/>
          <w:smallCaps w:val="false"/>
          <w:sz w:val="20"/>
        </w:rPr>
        <w:t>to our unaudited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discussion and analysis of results of operations, financial condition, and liquidity are based upon our condensed consolidated financial statements, which have been prepared in accordance with U.S. GAAP. The preparation of these condensed consolidated financial statements requires us to make estimates and judgements that affect the reported amounts of assets and liabilities and disclosure of contingent assets and liabilities at the date of the condensed consolidated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Times New Roman;Times;Serif" w:hAnsi="Times New Roman;Times;Serif"/>
          <w:b w:val="false"/>
          <w:i/>
          <w:caps w:val="false"/>
          <w:smallCaps w:val="false"/>
          <w:sz w:val="20"/>
        </w:rPr>
        <w:t>Summary of Significant Accounting Policies</w:t>
      </w:r>
      <w:r>
        <w:rPr>
          <w:rFonts w:ascii="Times New Roman;Times;Serif" w:hAnsi="Times New Roman;Times;Serif"/>
          <w:b w:val="false"/>
          <w:i w:val="false"/>
          <w:caps w:val="false"/>
          <w:smallCaps w:val="false"/>
          <w:sz w:val="20"/>
        </w:rPr>
        <w:t xml:space="preserve"> to our condensed consolidated financial statements included in this Quarterly Report. We believe that the following critical accounting policies and estimates have the greatest potential impact on our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Determining the Fair Value of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debt instruments for which we have elected the fair value option is estimated using an industry-standard binomial lattice framework incorporating unobservable inputs — including our own credit spread, equity volatility derived from historical stock prices, and risk-free rates — resulting in a Level 3 classification within the fair value hierarchy. These estimates are affected by fluctuations in our stock price, changes in our creditworthiness, shifts in market interest rates, and the probability and timing of conversion, prepayment and other settlement events. While most of these inputs are derived from objective market data or contractual terms, expected volatility requires significant management judgement as it is not directly observable. Changes in these inputs, including our credit spread or assumed equity volatility, could result in material fluctuations in the reported fair value of these liabilities, with corresponding gains or losses recognized in earnings.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deferred income tax assets reflect the net tax effects of temporary differences between the carrying amounts of assets and liabilities for financial reporting purposes and the amounts used for income tax purposes. Changes in tax laws or the level of future taxable income could affect the realizability of deferred income tax assets. We recognize deferred income taxes based on estimates of future taxable income and the utilization of tax loss carryforwards. In evaluating the realizability of deferred taxes, we evaluate all available positive and negative evidence of whether sufficient future taxable income will be generated to realize the deferred tax assets, including the results of recent operations and projections of future taxable income. The weighing of positive and negative evidence and the projection of future taxable income requires significant judgment and estimates. In addition, changes in these estimates may have a material impact on our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description of recently issued and adopted accounting pronouncements, including the respective dates of adoption and expected effects on our results of operations and financial condition, please see Note 2 - </w:t>
      </w:r>
      <w:r>
        <w:rPr>
          <w:rFonts w:ascii="Times New Roman;Times;Serif" w:hAnsi="Times New Roman;Times;Serif"/>
          <w:b w:val="false"/>
          <w:i/>
          <w:caps w:val="false"/>
          <w:smallCaps w:val="false"/>
          <w:sz w:val="20"/>
        </w:rPr>
        <w:t xml:space="preserve">Summary of Significant Accounting Policies </w:t>
      </w:r>
      <w:r>
        <w:rPr>
          <w:rFonts w:ascii="Times New Roman;Times;Serif" w:hAnsi="Times New Roman;Times;Serif"/>
          <w:b w:val="false"/>
          <w:i w:val="false"/>
          <w:caps w:val="false"/>
          <w:smallCaps w:val="false"/>
          <w:sz w:val="20"/>
        </w:rPr>
        <w:t>to our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(a)(i) the last day of the fiscal year following the fifth anniversary of the closing of our initial public offering; (ii) 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5" w:name="G_002"/>
      <w:bookmarkEnd w:id="1325"/>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Item 10 of Regulation S-K, the Company is not required to provide the information required by this item.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6" w:name="G_003"/>
      <w:bookmarkEnd w:id="1326"/>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defined in Rule 13a-15(e) under the Exchange Act) that are designed to ensure that information required to be disclosed in our reports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as appropriate, to allow timely decisions regarding required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the Chief Executive Officer and Chief Financial Officer, we have evaluated the effectiveness of our disclosure controls and procedures (as defined in Rules 13a-15(e) and 15d-15(e) under the Exchange Act), as of June 30, 2026. Based on this evaluation, our Company’s Chief Executive Officer and Chief Financial Officer have concluded that our disclosure controls and procedures were effective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made changes in our internal control over financial reporting (as defined in Rules 13a-15(f) and 15d-15(f) under the Exchange Act) during the quarter ended June 30, 2026, which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7" w:name="G_012"/>
      <w:bookmarkEnd w:id="1327"/>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8" w:name="G_004"/>
      <w:bookmarkEnd w:id="1328"/>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 of Part I, “Unaudited Condensed Consolidated Financial Statements - Note 15 - Commitments and Contingencies-Litigation.”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9" w:name="G_005"/>
      <w:bookmarkEnd w:id="1329"/>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an investment decision, you should carefully consider the risk factors described below as well as under the “Risk Factors” section in Part I – Item 1A of our Annual Report on Form 10-K for the year ended December 31, 2025 (the “2025 Annual Report”), and any other periodic or current report that we file with the SEC, together with all of the related financial statements and notes thereto. Other than as set forth below, we have not identified any material changes to the risk factors previously disclosed in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meet Nasdaq’s continued listing requirements could result in the delisting of our Class common stock, negatively impact the price of our Class A common stock and negatively impact our ability to raise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Nasdaq Stock Market (“Nasdaq”). If we fail to satisfy the continued listing requirements of The Nasdaq Capital Market such as the corporate governance requirements, the stockholder’s equity requirement or the minimum closing bid price requirement, The Nasdaq Capital Market may take steps to de-list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we received written notice from the Listing Qualifications Department (the “Staff”) of The Nasdaq Stock Market LLC (“Nasdaq”) notifying us that for thirty (30) consecutive business days from November 11, 2025 through December 29, 2025, our Class A common stock did not maintain a minimum closing bid price of $1.00 per share (the “Minimum Bid Price Requirement”) as required by Nasdaq Listing Rule 5550(a)(2). At that time, we were afforded 180 calendar days, or until June 29, 2026, to regain compliance with the Minimum Bid Price Requirement. Compliance could have been achieved if the closing bid price of our Class A common stock were at or above $1.00 for a minimum of ten (10) consecutive business days at any time during the 180-day compliance period, although Nasdaq may require the closing bid price to equal or to exceed the $1.00 minimum bid price requirement for more than ten (10) consecutive business days before determining that a company complies.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we received another deficiency letter from the Nasdaq Staff notifying us that we were not in compliance with the requirement to maintain a minimum of $500,000 in net income from continuing operations in the most recently completed fiscal year, or two of the last three fiscal years (the “Net Income Requirement”). Although we reported net income from continuing operations in our Condensed Consolidated Statement of Operations for the year ended December 31, 2024, we reported net losses from continuing operations in our Condensed Consolidated Statements of Operations for the years ended December 31, 2023 and 2025. Additionally, we did not meet either of the alternative Nasdaq continued listing standards under the Nasdaq Listing Rules, which include (i) a market value of listed securities of at least $35 million or (ii) a minimum stockholders’ equity requirement of at least $2,500,000 (collectively with the Net Income Requirement, the “Nasdaq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rules, we submitted a plan to the Staff to regain compliance (the “Compliance Plan”) with the Nasdaq Requirements on May 11, 2026. On May 20, 2026, we received a letter from Nasdaq (the “Extension Letter”) stating that the Compliance Plan was accepted and that we would have until September 22, 2026, to evidence compliance with the Nasdaq Requirements. The Extension Letter further stated that if we fail to evidence compliance with the Nasdaq Requirements upon filing our quarterly report for the quarter ending September 30, 2026, our Class A common stock will be subject to delisting.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we received written notice from the Nasdaq Staff notifying us that Nasdaq had determined to delist our Class A common stock from The Nasdaq Capital Market as a result of our continued noncompliance with the Minimum Bid Price requirement (the “Staff Determination”). We subsequently requested a hearing before the Nasdaq Hearings Panel (the “Panel”) to appeal the Staff Determination, and a hearing is scheduled for August 13, 2026. The hearing request automatically stayed any suspension or delisting action pending the hearing and the expiration of any additional extension period granted by the Panel following the hearing. There can be no assurance that the Company will be successful in any appeal or that it will be able to regain compliance with Nasdaq’s listing requirements within the timeframe that may be provided by the Panel,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effected the Reverse Stock Split of our outstanding shares of Class A common stock and Class B common stock at a ratio of 1-for-5. The Class A common stock began trading on the Nasdaq Capital Market on a split-adjusted basis on July 6, 2026. On July 21, 2026, we received a letter from the Nasdaq Staff confirming that we had then regained compliance with the Minimum Bid Price Requirement. The letter further noted that the hearing on August 13, 2026 will proceed as scheduled due to our continued noncompliance with the Nasdaq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perception that we may not regain compliance or a delisting of our Class A common stock by Nasdaq could adversely affect our ability to attract new investors, decrease the liquidity of the outstanding shares of our Class A common stock, reduce the price at which such shares trade and increase the transaction costs inherent in trading such shares with overall negative effects for our stockholder. In addition, delisting of our Class A common stock from Nasdaq could deter broker-dealers from making a market in or otherwise seeking or generating interest in our Class A common stock, and might deter certain institutions and persons from investing in our Class A common stock. In addition, if our Class A common stock was delisted, our Class A common stock would be subject to rules that impose additional sales practice requirements on broker-dealers who sell our securities. The additional burdens imposed upon broker-dealers by these requirements could discourage broker-dealers from effecting transactions in our Class A common stock. This would adversely affect the ability of investors to trade our Class A common stock and would adversely affect the value of our Class A common stock. These factors could contribute to lower prices and larger spreads in the bid and ask prices for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implement the Compliance Plan, which may include, but is not limited to, potential equity financing and/or debt conversion arrangements or similar transactions, with the intention of regaining compliance with the Nasdaq Requirements. However, there is no assurance that we will be successful in implementing our Compliance Plan and regaining compliance with the Nasdaq Requirements within the allotted time period.</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SEC approved a new rule change proposed by Nasdaq to (i) adopt Listing Rules 5450(a)(3) and 5550(a)(6) to require issuers listed on the Nasdaq Global and Capital Markets, respectively, to maintain a minimum Market Value of Listed Securities (as defined in Nasdaq Listing Rule 5005(a)(23)) of at least $5 million for a period of thirty (30) consecutive business days, and (ii) amend Rule5810 to suspend trading and immediately delist from Nasdaq securities of issuers that do not satisfy the proposed new requirements, and Rule 5815 to set forth the procedures for requesting a hearing before a Hearings Panel and the scope of the Panel’s discretion (collectively, the “$5 Million MVLS Rule”). On July 29, 2026, the $5 million MVLS Rule was automatically stayed pending further review by the SEC. We cannot predict when or whether the $5 million MVLS Rule will become effective. As of the date of the filing of this Quarterly Report the market value of our listed securities is less than $5 million. If the $5 million MVLS Rule becomes effective again, we may take actions to increase our Market Value of Listed Securities in order to comply with the $5 million MVLS Rule, and these actions could result in dilution to our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Because our Class A common stock is listed on Nasdaq, our shares of Class A common stock are “covered securities”.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Further, if we were to be delisted from Nasdaq, our shares of Class A common stock would cease to be recognized as covered securities and we would be subject to regulation in each state in which we offer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above, in the event of a delisting, we would take actions to restore our compliance with the Nasdaq listing requirements, but we can provide no assurance that any such action taken by us would allow our Class A common stock to become listed again, stabilize the market price or improve the liquidity of our Class A common stock or prevent our Class A common stock from meeting the mandatory Nasdaq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the future success of our ARK franchise, and we must continue to publish “hit” titles or sequels to such “hit” titles in order to compete successfully in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is a “hit” product and has historically accounted for a substantial portion of our revenue.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contributed 84.6% of our net revenue for the six months ended June 30, 2026, and our five best-selling franchises (including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which may change year over year, in the aggregate accounted for 97.1% of our net revenue for the six months ended June 30, 2026.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high-quality and well-received products and services, our revenue and profitability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derive a significant portion of our revenue from a limited number of customers, and therefore are subject to customer concentration and collectability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three customers as of June 30, 2026 and two customers as of December 31, 2025, who accounted for approximately 79% and 73% of our consolidated gross receivables, respectively. Among the three customers as of June 30, 2026, one accounted for 42%, 24% and 13% of the consolidated gross receivables. Among the two customers as of December 31, 2025, one accounted for 56% and another accounted for 17%, of the consolidated gross receivables outstanding. We had three customers in the six months ended June 30, 2026 and four customers as of June 30, 2025, that accounted for 58%, 12% and 10% and 44%, 19%, 12% and 10% of our net revenue, respectively. Management monitors customer creditworthiness and payment trends on an ongoing basis; however, there can be no assurance that such measures will fully mitigate the risks associated with customer concentration. We continue to evaluate opportunities to diversify our customer base, although there can be no assurance that these efforts will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license agreements to publish certain games, including games in our ARK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license certain intellectual property rights from third parties, including related parties, and in the future, we may enter into additional agreements that provide us with licenses to valuable intellectual property rights or technology. In particular, we license intellectual property rights related to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from SDE, the parent company of Studio Wildcard, which is also an entity that is owned and controlled by the spouse of our Founder, Chief Executive Officer, Chief Strategy Officer and Chairman, Mr. Shi. We entered into an original exclusive software license agreement with SDE in November 2015, for the rights to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which ARK1 License Agreement was subsequently amended and restated ARK1 License in December 2022 and further amended on multiple occasions. As amended, the ARK1 License Agreement expires in 2035, with provisions for automatic renewal for three-year terms unless either party elects not to renew. The ARK 1 License Agreement may also be terminated early for material breach or insolvency by either party. The terms of our license agreements with SDE may differ from those terms which would be negotiated with independent parties. In addition, we may have disputes with SDE that may impact our business, results of operations, financial condition and/or prospects.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contributed 83.0% of our net revenue for the three months ended June 30, 2026. Even if our games that are dependent on third-party license agreements remain popular, any of our licensors could decide not to renew our existing license agreements or not to license additional intellectual property rights to us and instead license to our competitors or develop and publish its own games or other applications, competing with us in the marketplace. Moreover, many of our licensors develop games for other platforms and may have significant experience and development resources available to them should they decide to compete with us rather than license to us. For additional information concerning our license arrangements, including licensing agreements with affiliated third parties, see Item 1 of Part I, “Business — Intellectual Property,” included in the Annual Report.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maintain or renew our existing material licenses or to obtain additional licenses could impair our ability to introduce new games and new content or to continue to offer our current games, which could materially harm our business, results of operations and financial condition. If we breach our obligations under existing or future licenses, we may be required to pay damages and our licensors may have the right to terminate the license or change an exclusive license to a non-exclusive license. Termination of our license agreements by a material licensor, such as SDE, would cause us to lose valuable rights, such as the rights to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and would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would be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and related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third-party platforms, such as Xbox Live and Game Pass, PlayStation Network, Steam, Epic Games Store, My Nintendo Store, the Apple App Store and the Google Play Store, to distribute our games and collect revenues generated on such platforms and rely on third-party payment service providers to collect revenues generated on our own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games are primarily purchased, accessed and operated through Xbox Live and Game Pass, PlayStation Network, Steam, Epic Games Store, My Nintendo Store, and in the case of our mobile games, the Apple App Store and the Google Play Store. Substantially all of the games, DLC and in-game virtual items that we sell are purchased using the payment processing systems of these platforms and, for the six months ended June 30, 2026, 96.0% of our revenues were generated through Xbox Live and Game Pass, PlayStation Network, Steam, Epic Games Store, My Nintendo Store, the Apple App Store, and the Google Play Store. Consequently, our expansion and prospects depend on our continued relationships with these providers, and any other emerging platform providers that are widely adopted by our target players. In addition, having such a large portion of our total net revenues concentrated in a few counterparties reduces our negotiating leverage. We are subject to the standard terms and conditions that these platform providers have for game developers, which govern the content, promotion, distribution, operation of games and other applications on their platforms, as well as the terms of the payment processing services provided by the platforms, and which the platform providers can change unilaterally on short notice or without notice. As such, our business would be harmed if:</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providers discontinue or limit our access to their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private parties, such as internet providers, impose bandwidth restrictions, increase charges or restrict or prohibit access to those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increase the fees they charge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modify their algorithms, communication channels available to developers, respective terms of service or other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decline in popularity;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adopt changes or updates to their technology that impede integration with other software systems or otherwise require us to modify our technology or update our games in order to ensure players can continue to access our games and content with ease;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elect or are required to change how they label free-to-play games or take payment for in-game purchases;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block or limit access to the genres of games that we provide in any jurisdiction;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experiences a bankruptcy or other form of insolvency event;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comply with the platform providers’ terms of service.</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our platform providers do not perform their obligations in accordance with our platform agreements or otherwise meet our business requirements, we could be adversely impacted. For example, in the past, some of these platform providers have experienced outages for short periods of time, unexpectedly changed their terms or conditions, or experienced issues with their features that permit our players to purchase games or in-game virtual items.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sought monetary damages to recover funds made while the updated version of Fortnite was active.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most of our revenue from publishing video games on third-party platform providers, such as Xbox Live and Game Pass, PlayStation Network, Steam, Epic Games Store, the Apple App Store, the Google Play Store and My Nintendo Store, which, in the aggregate, comprised 96.0% of our net revenue by product platform for the six months ended June 30, 2026. The success of our business is subject to the continued popularity of these platforms and our ability to develop commercially successful products for these platforms.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DLC, amplifying the impact on our revenues. This decline may not be offset by increased sales of products for the next-generation consoles. Moreover, it typically takes time before we have products available on next 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law or tax rate changes could affect our effective tax rate and future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effective tax rate was 3.7% and (200.1)% for the six month periods ended June 30, 2026 and 2025, respectively. In general, changes in applicable U.S. federal and state and foreign tax laws and regulations, or their interpretation and application, including the possibility of retroactive effect, could affect our tax expense. In addition, taxing authorities in many jurisdictions in which we operate may propose changes to their tax laws and regulations. These potential changes could have a material impact on our effective tax rate, long-term tax planning and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Tariffs may cause cost increases and disruptions in technical R&amp;D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substantially on third-party providers located in China and Europe to support our technical research and development initiatives. As a result, a significant portion of our R&amp;D functions, including critical technical development and software engineering, are outsourced internationally. Recent and potential future trade policy changes, including the imposition or extension of tariffs on imported goods and services from China and Europe pose a material risk to our cost structure. Such tariffs may increase the costs of components, services, and skilled labor sourced from these regions, potentially resulting in higher operating expenses and reduced profit margins. In addition, tariff-induced supply chain disruptions could delay project timelines and necessitate a re-evaluation of our global outsourcing strategy, thereby adversely affecting our competitive position and financial performance.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financing to sustain our operations, without which we may not be able to continue operations, and the terms of subsequent financings may adversely impact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convertible notes to certain investors in the aggregate principal amount of $6.6 million, and we may seek to issue an additional $4.4 million in convertible notes to such investors in the future. In addition, on August 7, 2025, we entered into an At The Market Offering Agreement (the “Sales Agreement”) with H.C. Wainwright &amp; Co. as sales agent to sell shares of our Class A common stock from time to time in an at the market offering (“the ATM Offering”). Pursuant to a prospectus supplement, dated August 7, 2025, and accompanying base prospectus, we may offer and sell shares of our Class A Common Stock from time to time under the Sales Agreement having an aggregate offering price of up to $3,660,000 in the ATM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issue an additional $4.4 million in convertible notes, we may still need additional capital to finance our future plans and working capital needs, and we may have to raise funds through the issuance of equity or debt securities. Depending on the type and the terms of any financing we pursue, stockholders’ rights and the value of their investment in our Class A common stock could be reduced. A financing could involve one or more types of securities including Class A common stock, convertible debt, or warrants to acquire Class A common stock. These securities could be issued at or below the then prevailing market price for our Class A common stock. If the issuance of new securities results in diminished rights to holders of our Class A common stock, the market price of our Class A common stock could be negatively impacted. The Securities Purchase Agreements applicable to the convertible notes prohibit us from entering into certain variable rate transactions so long as the convertible notes remain outstanding and provide that. To the extent we require additional funding, we will therefore be limited in the types of fundraising that we are able to pursue in compliance with these Securities Purchase Agreements so long as the convertible notes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placement notices to the Sales Agent in the ATM Offering at any time throughout the term of the sales agreement. The number of shares of Class A common stock that are sold by the Sales Agent as our Sales Agent after we deliver a placement notice will fluctuate based on the market price of the Class A common stock and the trading volume of our Class A common stock during the sales period and limits we set with the Sales Agent. In addition, we may issue and sell shares of our Class A common stock having aggregate gross proceeds of up to $3.5 million from time to time in the ATM Offering. Because there is no minimum offering amount required as a condition of the ATM Offering, the actual total offering amount in such offering, commissions and proceeds to us, if any, are not determinable at this time. The amount of proceeds from the ATM Offering will depend upon the number of shares of our Class A common stock sold and the market price at which they are sold. There can be no assurance that we will be able to sell any shares of our Class A common stock under or fully utilize the Sales Agreement with the Sales Agent as a source of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financing we require to sustain our working capital needs be unavailable or prohibitively expensive when we require it, the consequences could be a material adverse effect on our business, operating results,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Stablecoins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capital to support our strategic digital asset initiative, and implementing such initiative may subject us to various licensing requirements and significant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recently announced our intention to explore a strategic digital asset initiative that includes the evaluation and feasibility of our own proprietary stablecoin backed by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for stablecoins and digital assets is rapidly evolving in the United States and globally. There is a significant uncertainty regarding how federal and state regulators will apply existing laws, implement Guiding and Establishing National Innovation for U.S. Stablecoins Act of 2025 (GENIUS Act of 2025) or adopt new regulations with respect to stablecoin issuances. Changes in laws, regulations, or interpretations could require us to modify or cease our strategic digital asset or stablecoin initiative, subject us to possible enforcement actions, or result in significant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seek additional capital to implement our strategic digital asset and stablecoin initiative as we may be required to be licensed as a money transmitter, payment services provider, bank, financial institution, custodian, broker-dealer, exchange, or otherwise in the United States or other jurisdictions which could result in significant costs and have a negative impact on our business, operational result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negative publicity regarding stablecoins or the broader digital asset industry may have an outsized negative effect on consumer confidence in our proposed proprietary stablecoins.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 the case with other novel technology, compared to more established and well-known industries, any negative publicity regarding blockchain technology and digital assets companies could have an outsized negative effect on confidence in blockchain technology in general and our proposed proprietary stablecoins in particular. For example, since the inception of blockchain technology, there have been incidents of smart contract developers acting maliciously and misappropriating funds, and numerous digital assets businesses and platforms have been sued, investigated, or shut down due to fraud, illegal activities, the sale or issuance of unregistered securities, manipulative practices, business failure, and cyberattacks or security breaches. In addition, the energy usage and environmental impact of certain blockchains have attracted considerable attention, which could potentially create a negative consumer sentiment and perception of digital assets and delay a wider acceptance and use of our proposed proprietary stablecoins, whether or not our proposed stablecoins are available on those blockchains.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0" w:name="G_006"/>
      <w:bookmarkEnd w:id="1330"/>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Unregistered Sales of Equity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issue any securities that were not registered under the Securities Act during the six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4"/>
        <w:gridCol w:w="60"/>
        <w:gridCol w:w="60"/>
        <w:gridCol w:w="1480"/>
        <w:gridCol w:w="60"/>
        <w:gridCol w:w="60"/>
        <w:gridCol w:w="125"/>
        <w:gridCol w:w="1240"/>
        <w:gridCol w:w="60"/>
        <w:gridCol w:w="60"/>
        <w:gridCol w:w="60"/>
        <w:gridCol w:w="2702"/>
        <w:gridCol w:w="60"/>
        <w:gridCol w:w="60"/>
        <w:gridCol w:w="125"/>
        <w:gridCol w:w="3032"/>
        <w:gridCol w:w="77"/>
      </w:tblGrid>
      <w:tr>
        <w:trPr/>
        <w:tc>
          <w:tcPr>
            <w:tcW w:w="88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Shares Purchased</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2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 Paid per Share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2702"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Shares Purchased as Part of Publicly Announced Plans or Programs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3032"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Dollar Value of Shares that May Yet Be Purchased under the Plans or Programs</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4" w:type="dxa"/>
            <w:gridSpan w:val="13"/>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0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3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0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3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2022, our board of directors authorized a Share Repurchase Program under which we may repurchase up to $5 million in outstanding shares of our Class A common stock, subject to ongoing compliance with Nasdaq listing rules. The program does not have a fixed expiration date. The share repurchases may be made from time to time through open market transactions, block trades, privately negotiated transactions or otherwise and are subject to market and business conditions, levels of available liquidity, cash requirements for other purposes, regulatory, and other relevant factors. There were no share repurchases settled in the six months ended June 30, 2026. As of June 30, 2026, 270,055 shares of Class A common stock were repurchased pursuant to the Share Repurchase Program for an aggregate purchase price of approximately $3.7 million. The average price paid per share was $13.60 and approximately $1.3 million aggregate amount of shares of Class A common stock remain available for repurchase under the Share Repurchase Program. For more information regarding the Share Repurchase Program refer to Note 2 – Summary of Significant Accounting Policies to our condensed consolidated financial statements included in this Quarterly Report.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1" w:name="G_007"/>
      <w:bookmarkEnd w:id="1331"/>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2" w:name="G_008"/>
      <w:bookmarkEnd w:id="1332"/>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3" w:name="G_009"/>
      <w:bookmarkEnd w:id="1333"/>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June 30, 2026, no director or officer of the Company </w:t>
      </w:r>
      <w:bookmarkStart w:id="1334" w:name="xdx_907_eecd--Rule10b51ArrAdoptedFlag_db"/>
      <w:bookmarkStart w:id="1335" w:name="xdx_90E_eecd--NonRule10b51ArrAdoptedFlag"/>
      <w:bookmarkEnd w:id="1334"/>
      <w:bookmarkEnd w:id="1335"/>
      <w:r>
        <w:rPr>
          <w:rFonts w:ascii="Times New Roman;Times;Serif" w:hAnsi="Times New Roman;Times;Serif"/>
          <w:b w:val="false"/>
          <w:i w:val="false"/>
          <w:caps w:val="false"/>
          <w:smallCaps w:val="false"/>
          <w:sz w:val="20"/>
        </w:rPr>
        <w:t xml:space="preserve">adopted or </w:t>
      </w:r>
      <w:bookmarkStart w:id="1336" w:name="xdx_901_eecd--Rule10b51ArrTrmntdFlag_dbF"/>
      <w:bookmarkStart w:id="1337" w:name="xdx_90B_eecd--NonRule10b51ArrTrmntdFlag_"/>
      <w:bookmarkEnd w:id="1336"/>
      <w:bookmarkEnd w:id="1337"/>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408(a) of Regulation 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8" w:name="G_010"/>
      <w:bookmarkEnd w:id="1338"/>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9"/>
        <w:gridCol w:w="60"/>
        <w:gridCol w:w="6330"/>
        <w:gridCol w:w="60"/>
        <w:gridCol w:w="500"/>
        <w:gridCol w:w="60"/>
        <w:gridCol w:w="632"/>
        <w:gridCol w:w="60"/>
        <w:gridCol w:w="650"/>
        <w:gridCol w:w="60"/>
        <w:gridCol w:w="1054"/>
      </w:tblGrid>
      <w:tr>
        <w:trPr/>
        <w:tc>
          <w:tcPr>
            <w:tcW w:w="7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016"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tc>
      </w:tr>
      <w:tr>
        <w:trPr/>
        <w:tc>
          <w:tcPr>
            <w:tcW w:w="7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3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CCEEFF" w:val="clear"/>
            <w:vAlign w:val="center"/>
          </w:tcPr>
          <w:p>
            <w:pPr>
              <w:pStyle w:val="TableContents"/>
              <w:bidi w:val="0"/>
              <w:spacing w:before="0" w:after="283"/>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Snail,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2022</w:t>
            </w:r>
          </w:p>
        </w:tc>
      </w:tr>
      <w:tr>
        <w:trPr/>
        <w:tc>
          <w:tcPr>
            <w:tcW w:w="7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CCEEFF" w:val="cle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of Snail,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2022</w:t>
            </w:r>
          </w:p>
        </w:tc>
      </w:tr>
      <w:tr>
        <w:trPr/>
        <w:tc>
          <w:tcPr>
            <w:tcW w:w="7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CCEEFF" w:val="clear"/>
            <w:vAlign w:val="center"/>
          </w:tcPr>
          <w:p>
            <w:pPr>
              <w:pStyle w:val="TableContents"/>
              <w:bidi w:val="0"/>
              <w:spacing w:before="0" w:after="283"/>
              <w:jc w:val="left"/>
              <w:rPr>
                <w:sz w:val="20"/>
              </w:rPr>
            </w:pPr>
            <w:r>
              <w:rPr>
                <w:sz w:val="20"/>
              </w:rPr>
              <w:t>3.3</w:t>
            </w:r>
          </w:p>
        </w:tc>
        <w:tc>
          <w:tcPr>
            <w:tcW w:w="60" w:type="dxa"/>
            <w:tcBorders/>
            <w:shd w:fill="CCEEFF" w:val="clear"/>
            <w:vAlign w:val="center"/>
          </w:tcPr>
          <w:p>
            <w:pPr>
              <w:pStyle w:val="TableContents"/>
              <w:bidi w:val="0"/>
              <w:spacing w:before="0" w:after="283"/>
              <w:jc w:val="left"/>
              <w:rPr/>
            </w:pPr>
            <w:r>
              <w:rPr/>
              <w:t> </w:t>
            </w:r>
          </w:p>
        </w:tc>
        <w:tc>
          <w:tcPr>
            <w:tcW w:w="6330" w:type="dxa"/>
            <w:tcBorders/>
            <w:shd w:fill="CCEEFF" w:val="clear"/>
            <w:vAlign w:val="center"/>
          </w:tcPr>
          <w:p>
            <w:pPr>
              <w:pStyle w:val="TableContents"/>
              <w:bidi w:val="0"/>
              <w:spacing w:before="0" w:after="283"/>
              <w:jc w:val="both"/>
              <w:rPr/>
            </w:pPr>
            <w:hyperlink r:id="rId4">
              <w:r>
                <w:rPr>
                  <w:rStyle w:val="InternetLink"/>
                  <w:sz w:val="20"/>
                </w:rPr>
                <w:t>Certificate of Amendment of the Amended and Restated Certificate of Incorporation of Snail, Inc., dated July 2, 2026</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sz w:val="20"/>
              </w:rPr>
            </w:pPr>
            <w:r>
              <w:rPr>
                <w:sz w:val="20"/>
              </w:rPr>
              <w:t>8-K</w:t>
            </w:r>
          </w:p>
        </w:tc>
        <w:tc>
          <w:tcPr>
            <w:tcW w:w="60" w:type="dxa"/>
            <w:tcBorders/>
            <w:shd w:fill="CCEEFF" w:val="clear"/>
            <w:vAlign w:val="center"/>
          </w:tcPr>
          <w:p>
            <w:pPr>
              <w:pStyle w:val="TableContents"/>
              <w:bidi w:val="0"/>
              <w:spacing w:before="0" w:after="283"/>
              <w:jc w:val="center"/>
              <w:rPr/>
            </w:pPr>
            <w:r>
              <w:rPr/>
              <w:t> </w:t>
            </w:r>
          </w:p>
        </w:tc>
        <w:tc>
          <w:tcPr>
            <w:tcW w:w="632" w:type="dxa"/>
            <w:tcBorders/>
            <w:shd w:fill="CCEEFF" w:val="clear"/>
            <w:vAlign w:val="center"/>
          </w:tcPr>
          <w:p>
            <w:pPr>
              <w:pStyle w:val="TableContents"/>
              <w:bidi w:val="0"/>
              <w:spacing w:before="0" w:after="283"/>
              <w:jc w:val="center"/>
              <w:rPr>
                <w:sz w:val="20"/>
              </w:rPr>
            </w:pPr>
            <w:r>
              <w:rPr>
                <w:sz w:val="20"/>
              </w:rPr>
              <w:t>001-41556</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sz w:val="20"/>
              </w:rPr>
            </w:pPr>
            <w:r>
              <w:rPr>
                <w:sz w:val="20"/>
              </w:rPr>
              <w:t>3.1</w:t>
            </w:r>
          </w:p>
        </w:tc>
        <w:tc>
          <w:tcPr>
            <w:tcW w:w="60" w:type="dxa"/>
            <w:tcBorders/>
            <w:shd w:fill="CCEEFF" w:val="clear"/>
            <w:vAlign w:val="center"/>
          </w:tcPr>
          <w:p>
            <w:pPr>
              <w:pStyle w:val="TableContents"/>
              <w:bidi w:val="0"/>
              <w:spacing w:before="0" w:after="283"/>
              <w:jc w:val="center"/>
              <w:rPr/>
            </w:pPr>
            <w:r>
              <w:rPr/>
              <w:t> </w:t>
            </w:r>
          </w:p>
        </w:tc>
        <w:tc>
          <w:tcPr>
            <w:tcW w:w="1054" w:type="dxa"/>
            <w:tcBorders/>
            <w:shd w:fill="CCEEFF" w:val="clear"/>
            <w:vAlign w:val="center"/>
          </w:tcPr>
          <w:p>
            <w:pPr>
              <w:pStyle w:val="TableContents"/>
              <w:bidi w:val="0"/>
              <w:spacing w:before="0" w:after="283"/>
              <w:jc w:val="center"/>
              <w:rPr>
                <w:sz w:val="20"/>
              </w:rPr>
            </w:pPr>
            <w:r>
              <w:rPr>
                <w:sz w:val="20"/>
              </w:rPr>
              <w:t>July 2, 2026</w:t>
            </w:r>
          </w:p>
        </w:tc>
      </w:tr>
      <w:tr>
        <w:trPr/>
        <w:tc>
          <w:tcPr>
            <w:tcW w:w="7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3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4" w:type="dxa"/>
            <w:tcBorders/>
            <w:shd w:fill="FFFFFF" w:val="clear"/>
            <w:vAlign w:val="center"/>
          </w:tcPr>
          <w:p>
            <w:pPr>
              <w:pStyle w:val="TableContents"/>
              <w:bidi w:val="0"/>
              <w:spacing w:before="0" w:after="283"/>
              <w:jc w:val="center"/>
              <w:rPr/>
            </w:pPr>
            <w:r>
              <w:rPr/>
              <w:t> </w:t>
            </w:r>
          </w:p>
        </w:tc>
      </w:tr>
      <w:tr>
        <w:trPr/>
        <w:tc>
          <w:tcPr>
            <w:tcW w:w="739" w:type="dxa"/>
            <w:tcBorders/>
            <w:shd w:fill="CCEEFF" w:val="clear"/>
            <w:vAlign w:val="center"/>
          </w:tcPr>
          <w:p>
            <w:pPr>
              <w:pStyle w:val="TableContents"/>
              <w:bidi w:val="0"/>
              <w:spacing w:before="0" w:after="283"/>
              <w:jc w:val="left"/>
              <w:rPr>
                <w:sz w:val="20"/>
              </w:rPr>
            </w:pPr>
            <w:r>
              <w:rPr>
                <w:sz w:val="20"/>
              </w:rPr>
              <w:t>10.1</w:t>
            </w:r>
          </w:p>
        </w:tc>
        <w:tc>
          <w:tcPr>
            <w:tcW w:w="60" w:type="dxa"/>
            <w:tcBorders/>
            <w:shd w:fill="CCEEFF" w:val="clear"/>
            <w:vAlign w:val="center"/>
          </w:tcPr>
          <w:p>
            <w:pPr>
              <w:pStyle w:val="TableContents"/>
              <w:bidi w:val="0"/>
              <w:spacing w:before="0" w:after="283"/>
              <w:jc w:val="left"/>
              <w:rPr/>
            </w:pPr>
            <w:r>
              <w:rPr/>
              <w:t> </w:t>
            </w:r>
          </w:p>
        </w:tc>
        <w:tc>
          <w:tcPr>
            <w:tcW w:w="6330" w:type="dxa"/>
            <w:tcBorders/>
            <w:shd w:fill="CCEEFF" w:val="clear"/>
            <w:vAlign w:val="center"/>
          </w:tcPr>
          <w:p>
            <w:pPr>
              <w:pStyle w:val="TableContents"/>
              <w:bidi w:val="0"/>
              <w:spacing w:before="0" w:after="283"/>
              <w:jc w:val="both"/>
              <w:rPr/>
            </w:pPr>
            <w:hyperlink r:id="rId5">
              <w:r>
                <w:rPr>
                  <w:rStyle w:val="InternetLink"/>
                  <w:sz w:val="20"/>
                </w:rPr>
                <w:t>Amendment No. 3 to the Amended and Restated Exclusive Software License Agreement, dated April 6, 2026, by and between SDE Inc., a California corporation, and Snail Games USA, Inc, a California Corporation</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sz w:val="20"/>
              </w:rPr>
            </w:pPr>
            <w:r>
              <w:rPr>
                <w:sz w:val="20"/>
              </w:rPr>
              <w:t>8-K</w:t>
            </w:r>
          </w:p>
        </w:tc>
        <w:tc>
          <w:tcPr>
            <w:tcW w:w="60" w:type="dxa"/>
            <w:tcBorders/>
            <w:shd w:fill="CCEEFF" w:val="clear"/>
            <w:vAlign w:val="center"/>
          </w:tcPr>
          <w:p>
            <w:pPr>
              <w:pStyle w:val="TableContents"/>
              <w:bidi w:val="0"/>
              <w:spacing w:before="0" w:after="283"/>
              <w:jc w:val="center"/>
              <w:rPr/>
            </w:pPr>
            <w:r>
              <w:rPr/>
              <w:t> </w:t>
            </w:r>
          </w:p>
        </w:tc>
        <w:tc>
          <w:tcPr>
            <w:tcW w:w="632" w:type="dxa"/>
            <w:tcBorders/>
            <w:shd w:fill="CCEEFF" w:val="clear"/>
            <w:vAlign w:val="center"/>
          </w:tcPr>
          <w:p>
            <w:pPr>
              <w:pStyle w:val="TableContents"/>
              <w:bidi w:val="0"/>
              <w:spacing w:before="0" w:after="283"/>
              <w:jc w:val="center"/>
              <w:rPr>
                <w:sz w:val="20"/>
              </w:rPr>
            </w:pPr>
            <w:r>
              <w:rPr>
                <w:sz w:val="20"/>
              </w:rPr>
              <w:t>001-41556</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sz w:val="20"/>
              </w:rPr>
            </w:pPr>
            <w:r>
              <w:rPr>
                <w:sz w:val="20"/>
              </w:rPr>
              <w:t>10.1</w:t>
            </w:r>
          </w:p>
        </w:tc>
        <w:tc>
          <w:tcPr>
            <w:tcW w:w="60" w:type="dxa"/>
            <w:tcBorders/>
            <w:shd w:fill="CCEEFF" w:val="clear"/>
            <w:vAlign w:val="center"/>
          </w:tcPr>
          <w:p>
            <w:pPr>
              <w:pStyle w:val="TableContents"/>
              <w:bidi w:val="0"/>
              <w:spacing w:before="0" w:after="283"/>
              <w:jc w:val="center"/>
              <w:rPr/>
            </w:pPr>
            <w:r>
              <w:rPr/>
              <w:t> </w:t>
            </w:r>
          </w:p>
        </w:tc>
        <w:tc>
          <w:tcPr>
            <w:tcW w:w="1054" w:type="dxa"/>
            <w:tcBorders/>
            <w:shd w:fill="CCEEFF" w:val="clear"/>
            <w:vAlign w:val="center"/>
          </w:tcPr>
          <w:p>
            <w:pPr>
              <w:pStyle w:val="TableContents"/>
              <w:bidi w:val="0"/>
              <w:spacing w:before="0" w:after="283"/>
              <w:jc w:val="center"/>
              <w:rPr>
                <w:sz w:val="20"/>
              </w:rPr>
            </w:pPr>
            <w:r>
              <w:rPr>
                <w:sz w:val="20"/>
              </w:rPr>
              <w:t>April 10, 2026</w:t>
            </w:r>
          </w:p>
        </w:tc>
      </w:tr>
      <w:tr>
        <w:trPr/>
        <w:tc>
          <w:tcPr>
            <w:tcW w:w="7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3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4" w:type="dxa"/>
            <w:tcBorders/>
            <w:shd w:fill="FFFFFF" w:val="clear"/>
            <w:vAlign w:val="center"/>
          </w:tcPr>
          <w:p>
            <w:pPr>
              <w:pStyle w:val="TableContents"/>
              <w:bidi w:val="0"/>
              <w:spacing w:before="0" w:after="283"/>
              <w:jc w:val="center"/>
              <w:rPr/>
            </w:pPr>
            <w:r>
              <w:rPr/>
              <w:t> </w:t>
            </w:r>
          </w:p>
        </w:tc>
      </w:tr>
      <w:tr>
        <w:trPr/>
        <w:tc>
          <w:tcPr>
            <w:tcW w:w="739" w:type="dxa"/>
            <w:tcBorders/>
            <w:shd w:fill="CCEEFF" w:val="clear"/>
            <w:vAlign w:val="center"/>
          </w:tcPr>
          <w:p>
            <w:pPr>
              <w:pStyle w:val="TableContents"/>
              <w:bidi w:val="0"/>
              <w:spacing w:before="0" w:after="283"/>
              <w:jc w:val="left"/>
              <w:rPr>
                <w:sz w:val="20"/>
              </w:rPr>
            </w:pPr>
            <w:r>
              <w:rPr>
                <w:sz w:val="20"/>
              </w:rPr>
              <w:t>10.2</w:t>
            </w:r>
          </w:p>
        </w:tc>
        <w:tc>
          <w:tcPr>
            <w:tcW w:w="60" w:type="dxa"/>
            <w:tcBorders/>
            <w:shd w:fill="CCEEFF" w:val="clear"/>
            <w:vAlign w:val="center"/>
          </w:tcPr>
          <w:p>
            <w:pPr>
              <w:pStyle w:val="TableContents"/>
              <w:bidi w:val="0"/>
              <w:spacing w:before="0" w:after="283"/>
              <w:jc w:val="left"/>
              <w:rPr/>
            </w:pPr>
            <w:r>
              <w:rPr/>
              <w:t> </w:t>
            </w:r>
          </w:p>
        </w:tc>
        <w:tc>
          <w:tcPr>
            <w:tcW w:w="6330" w:type="dxa"/>
            <w:tcBorders/>
            <w:shd w:fill="CCEEFF" w:val="clear"/>
            <w:vAlign w:val="center"/>
          </w:tcPr>
          <w:p>
            <w:pPr>
              <w:pStyle w:val="TableContents"/>
              <w:bidi w:val="0"/>
              <w:spacing w:before="0" w:after="283"/>
              <w:jc w:val="both"/>
              <w:rPr/>
            </w:pPr>
            <w:hyperlink r:id="rId6">
              <w:r>
                <w:rPr>
                  <w:rStyle w:val="InternetLink"/>
                  <w:sz w:val="20"/>
                </w:rPr>
                <w:t>Software Development Outsourcing Agreement, dated April 6, 2026, by and between Suzhou Snail Digital Technology Co., Ltd., a limited liability company incorporated under the laws of the People’s Republic of China, and Snail Games USA, Inc, a California Corporation</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sz w:val="20"/>
              </w:rPr>
            </w:pPr>
            <w:r>
              <w:rPr>
                <w:sz w:val="20"/>
              </w:rPr>
              <w:t>8-K</w:t>
            </w:r>
          </w:p>
        </w:tc>
        <w:tc>
          <w:tcPr>
            <w:tcW w:w="60" w:type="dxa"/>
            <w:tcBorders/>
            <w:shd w:fill="CCEEFF" w:val="clear"/>
            <w:vAlign w:val="center"/>
          </w:tcPr>
          <w:p>
            <w:pPr>
              <w:pStyle w:val="TableContents"/>
              <w:bidi w:val="0"/>
              <w:spacing w:before="0" w:after="283"/>
              <w:jc w:val="center"/>
              <w:rPr/>
            </w:pPr>
            <w:r>
              <w:rPr/>
              <w:t> </w:t>
            </w:r>
          </w:p>
        </w:tc>
        <w:tc>
          <w:tcPr>
            <w:tcW w:w="632" w:type="dxa"/>
            <w:tcBorders/>
            <w:shd w:fill="CCEEFF" w:val="clear"/>
            <w:vAlign w:val="center"/>
          </w:tcPr>
          <w:p>
            <w:pPr>
              <w:pStyle w:val="TableContents"/>
              <w:bidi w:val="0"/>
              <w:spacing w:before="0" w:after="283"/>
              <w:jc w:val="center"/>
              <w:rPr>
                <w:sz w:val="20"/>
              </w:rPr>
            </w:pPr>
            <w:r>
              <w:rPr>
                <w:sz w:val="20"/>
              </w:rPr>
              <w:t>001-41556</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sz w:val="20"/>
              </w:rPr>
            </w:pPr>
            <w:r>
              <w:rPr>
                <w:sz w:val="20"/>
              </w:rPr>
              <w:t>10.2</w:t>
            </w:r>
          </w:p>
        </w:tc>
        <w:tc>
          <w:tcPr>
            <w:tcW w:w="60" w:type="dxa"/>
            <w:tcBorders/>
            <w:shd w:fill="CCEEFF" w:val="clear"/>
            <w:vAlign w:val="center"/>
          </w:tcPr>
          <w:p>
            <w:pPr>
              <w:pStyle w:val="TableContents"/>
              <w:bidi w:val="0"/>
              <w:spacing w:before="0" w:after="283"/>
              <w:jc w:val="center"/>
              <w:rPr/>
            </w:pPr>
            <w:r>
              <w:rPr/>
              <w:t> </w:t>
            </w:r>
          </w:p>
        </w:tc>
        <w:tc>
          <w:tcPr>
            <w:tcW w:w="1054" w:type="dxa"/>
            <w:tcBorders/>
            <w:shd w:fill="CCEEFF" w:val="clear"/>
            <w:vAlign w:val="center"/>
          </w:tcPr>
          <w:p>
            <w:pPr>
              <w:pStyle w:val="TableContents"/>
              <w:bidi w:val="0"/>
              <w:spacing w:before="0" w:after="283"/>
              <w:jc w:val="center"/>
              <w:rPr>
                <w:sz w:val="20"/>
              </w:rPr>
            </w:pPr>
            <w:r>
              <w:rPr>
                <w:sz w:val="20"/>
              </w:rPr>
              <w:t>April 10, 2026</w:t>
            </w:r>
          </w:p>
        </w:tc>
      </w:tr>
      <w:tr>
        <w:trPr/>
        <w:tc>
          <w:tcPr>
            <w:tcW w:w="7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3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4" w:type="dxa"/>
            <w:tcBorders/>
            <w:shd w:fill="FFFFFF" w:val="clear"/>
            <w:vAlign w:val="center"/>
          </w:tcPr>
          <w:p>
            <w:pPr>
              <w:pStyle w:val="TableContents"/>
              <w:bidi w:val="0"/>
              <w:spacing w:before="0" w:after="283"/>
              <w:jc w:val="center"/>
              <w:rPr/>
            </w:pPr>
            <w:r>
              <w:rPr/>
              <w:t> </w:t>
            </w:r>
          </w:p>
        </w:tc>
      </w:tr>
      <w:tr>
        <w:trPr/>
        <w:tc>
          <w:tcPr>
            <w:tcW w:w="739" w:type="dxa"/>
            <w:tcBorders/>
            <w:shd w:fill="CCEEFF" w:val="clear"/>
            <w:vAlign w:val="center"/>
          </w:tcPr>
          <w:p>
            <w:pPr>
              <w:pStyle w:val="TableContents"/>
              <w:bidi w:val="0"/>
              <w:spacing w:before="0" w:after="283"/>
              <w:jc w:val="left"/>
              <w:rPr/>
            </w:pPr>
            <w:r>
              <w:rPr/>
              <w:t>31.1*</w:t>
            </w:r>
          </w:p>
        </w:tc>
        <w:tc>
          <w:tcPr>
            <w:tcW w:w="60" w:type="dxa"/>
            <w:tcBorders/>
            <w:shd w:fill="CCEEFF" w:val="clear"/>
            <w:vAlign w:val="center"/>
          </w:tcPr>
          <w:p>
            <w:pPr>
              <w:pStyle w:val="TableContents"/>
              <w:bidi w:val="0"/>
              <w:spacing w:before="0" w:after="283"/>
              <w:jc w:val="left"/>
              <w:rPr/>
            </w:pPr>
            <w:r>
              <w:rPr/>
              <w:t> </w:t>
            </w:r>
          </w:p>
        </w:tc>
        <w:tc>
          <w:tcPr>
            <w:tcW w:w="6330" w:type="dxa"/>
            <w:tcBorders/>
            <w:shd w:fill="CCEEFF" w:val="clear"/>
            <w:vAlign w:val="center"/>
          </w:tcPr>
          <w:p>
            <w:pPr>
              <w:pStyle w:val="TableContents"/>
              <w:bidi w:val="0"/>
              <w:spacing w:before="0" w:after="283"/>
              <w:jc w:val="both"/>
              <w:rPr/>
            </w:pPr>
            <w:hyperlink w:anchor="ex31-1.htm">
              <w:r>
                <w:rPr>
                  <w:rStyle w:val="InternetLink"/>
                </w:rPr>
                <w:t>Certification of Chief Executive Officer Pursuant to Rules 13a-14(a) and 15d-14(a), under the Securities Exchange Act of 1934, as Adopted pursuant to Section 302 of the Sarbanes-Oxley Act of 2002.</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3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054" w:type="dxa"/>
            <w:tcBorders/>
            <w:shd w:fill="CCEEFF" w:val="clear"/>
            <w:vAlign w:val="center"/>
          </w:tcPr>
          <w:p>
            <w:pPr>
              <w:pStyle w:val="TableContents"/>
              <w:bidi w:val="0"/>
              <w:spacing w:before="0" w:after="283"/>
              <w:jc w:val="center"/>
              <w:rPr/>
            </w:pPr>
            <w:r>
              <w:rPr/>
              <w:t> </w:t>
            </w:r>
          </w:p>
        </w:tc>
      </w:tr>
      <w:tr>
        <w:trPr/>
        <w:tc>
          <w:tcPr>
            <w:tcW w:w="7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CCEEFF" w:val="cle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Rules 13a-14(a) and 15d-14(a) under the Securities Exchange Act of 1934, as Adopted Pursuant to Section 302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CCEEFF" w:val="cle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CCEEFF" w:val="cle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69" w:type="dxa"/>
            <w:tcBorders/>
            <w:vAlign w:val="center"/>
          </w:tcPr>
          <w:p>
            <w:pPr>
              <w:pStyle w:val="TableContents"/>
              <w:bidi w:val="0"/>
              <w:spacing w:before="0" w:after="283"/>
              <w:jc w:val="both"/>
              <w:rPr>
                <w:caps w:val="false"/>
                <w:smallCaps w:val="false"/>
              </w:rPr>
            </w:pPr>
            <w:r>
              <w:rPr>
                <w:caps w:val="false"/>
                <w:smallCaps w:val="false"/>
              </w:rPr>
              <w:t> </w:t>
            </w:r>
          </w:p>
        </w:tc>
        <w:tc>
          <w:tcPr>
            <w:tcW w:w="100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certifications are being furnished solely to accompany this Quarterly Report on Form 10-Q pursuant to 18 U.S.C. Section 1350, and are not being filed for purposes of Section 18 of the Securities Exchange Act of 1934 and are not to be incorporated by reference into any filing of Snail, Inc., whether made before or after the date hereof, regardless of any general incorporation language in such filing.</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39" w:name="G_011"/>
      <w:bookmarkEnd w:id="1339"/>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as amended, the Registrant has duly caused this Report to be signed on its behalf by the undersigned, thereunto duly authorized, in Culver City, California, on August 11, 2026</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7530" w:type="dxa"/>
        <w:jc w:val="left"/>
        <w:tblInd w:w="0" w:type="dxa"/>
        <w:tblLayout w:type="fixed"/>
        <w:tblCellMar>
          <w:top w:w="0" w:type="dxa"/>
          <w:left w:w="0" w:type="dxa"/>
          <w:bottom w:w="0" w:type="dxa"/>
          <w:right w:w="0" w:type="dxa"/>
        </w:tblCellMar>
      </w:tblPr>
      <w:tblGrid>
        <w:gridCol w:w="1865"/>
        <w:gridCol w:w="365"/>
        <w:gridCol w:w="530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66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5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Hai Shi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Hai Shi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Chief Executive Officer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Heidy Chow</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Heidy Chow</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Chief Financial Officer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Officer and Principal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340" w:name="ex31-1.htm"/>
      <w:bookmarkStart w:id="1341" w:name="ksex311"/>
      <w:bookmarkEnd w:id="1340"/>
      <w:bookmarkEnd w:id="134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Hai Shi, certify that:</w:t>
      </w:r>
    </w:p>
    <w:p>
      <w:pPr>
        <w:pStyle w:val="TextBody"/>
        <w:bidi w:val="0"/>
        <w:spacing w:before="0" w:after="0"/>
        <w:ind w:left="0" w:right="0" w:hanging="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185"/>
        <w:gridCol w:w="807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June 30, 2026 of Snail,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1865"/>
        <w:gridCol w:w="365"/>
        <w:gridCol w:w="2360"/>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Hai Shi</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 Shi</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342" w:name="ex31-2.htm"/>
      <w:bookmarkStart w:id="1343" w:name="ksex312"/>
      <w:bookmarkEnd w:id="1342"/>
      <w:bookmarkEnd w:id="134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Heidy Chow, certify that:</w:t>
      </w:r>
    </w:p>
    <w:p>
      <w:pPr>
        <w:pStyle w:val="TextBody"/>
        <w:bidi w:val="0"/>
        <w:spacing w:before="0" w:after="0"/>
        <w:ind w:left="0" w:right="0" w:hanging="0"/>
        <w:jc w:val="both"/>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185"/>
        <w:gridCol w:w="816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for the period ended June 30, 2026 of Snail, Inc.;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1865"/>
        <w:gridCol w:w="365"/>
        <w:gridCol w:w="5030"/>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503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Heidy Chow</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Heidy Chow</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344" w:name="ex32-1.htm"/>
      <w:bookmarkStart w:id="1345" w:name="ksex321"/>
      <w:bookmarkEnd w:id="1344"/>
      <w:bookmarkEnd w:id="134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Snail, Inc. (the “Company”) on Form 10-Q for the quarter ended June 30, 2026 (the “Report”), I, Hai Shi,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r>
        <w:trPr/>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1865"/>
        <w:gridCol w:w="635"/>
        <w:gridCol w:w="236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Hai Shi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 Shi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346" w:name="ex32-2.htm"/>
      <w:bookmarkStart w:id="1347" w:name="ksex322"/>
      <w:bookmarkEnd w:id="1346"/>
      <w:bookmarkEnd w:id="134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Snail, Inc. (the “Company”) on Form 10-Q for the quarter ended June 30, 2026 (the “Report”), I, Heidy Chow, Chief Financial Officer of the Company, certify, pursuant to 18 U.S.C. Section 1350, as adopted pursuant to Section 906 of the Sarbanes-Oxley Act of 2002, that, to the best of my knowledge:</w:t>
      </w:r>
    </w:p>
    <w:p>
      <w:pPr>
        <w:pStyle w:val="TextBody"/>
        <w:bidi w:val="0"/>
        <w:spacing w:before="0" w:after="0"/>
        <w:ind w:left="0" w:right="0" w:hanging="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60"/>
        <w:gridCol w:w="957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both"/>
        <w:rPr>
          <w:caps w:val="false"/>
          <w:smallCaps w:val="false"/>
        </w:rPr>
      </w:pPr>
      <w:r>
        <w:rPr>
          <w:caps w:val="false"/>
          <w:smallCaps w:val="false"/>
        </w:rPr>
        <w:t> </w:t>
      </w:r>
    </w:p>
    <w:tbl>
      <w:tblPr>
        <w:tblW w:w="7530" w:type="dxa"/>
        <w:jc w:val="left"/>
        <w:tblInd w:w="0" w:type="dxa"/>
        <w:tblLayout w:type="fixed"/>
        <w:tblCellMar>
          <w:top w:w="0" w:type="dxa"/>
          <w:left w:w="0" w:type="dxa"/>
          <w:bottom w:w="0" w:type="dxa"/>
          <w:right w:w="0" w:type="dxa"/>
        </w:tblCellMar>
      </w:tblPr>
      <w:tblGrid>
        <w:gridCol w:w="1865"/>
        <w:gridCol w:w="635"/>
        <w:gridCol w:w="503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Heidy Chow</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Heidy Chow</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6894/000110465922118795/tm2128835d28_ex3-1.htm" TargetMode="External"/><Relationship Id="rId3" Type="http://schemas.openxmlformats.org/officeDocument/2006/relationships/hyperlink" Target="https://www.sec.gov/Archives/edgar/data/1886894/000110465922118795/tm2128835d28_ex3-2.htm" TargetMode="External"/><Relationship Id="rId4" Type="http://schemas.openxmlformats.org/officeDocument/2006/relationships/hyperlink" Target="https://www.sec.gov/Archives/edgar/data/1886894/000149315226031916/ex3-1.htm" TargetMode="External"/><Relationship Id="rId5" Type="http://schemas.openxmlformats.org/officeDocument/2006/relationships/hyperlink" Target="https://www.sec.gov/Archives/edgar/data/1886894/000149315226015971/ex10-1.htm" TargetMode="External"/><Relationship Id="rId6" Type="http://schemas.openxmlformats.org/officeDocument/2006/relationships/hyperlink" Target="https://www.sec.gov/Archives/edgar/data/1886894/000149315226015971/ex10-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42594</Words>
  <Characters>228929</Characters>
  <CharactersWithSpaces>276256</CharactersWithSpaces>
  <Paragraphs>13369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