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5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May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Snail,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165"/>
        <w:gridCol w:w="60"/>
        <w:gridCol w:w="1100"/>
        <w:gridCol w:w="60"/>
        <w:gridCol w:w="189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513"/>
            <w:bookmarkEnd w:id="6"/>
            <w:r>
              <w:rPr>
                <w:rFonts w:ascii="Times New Roman;Times;Serif" w:hAnsi="Times New Roman;Times;Serif"/>
                <w:b/>
                <w:i w:val="false"/>
                <w:caps w:val="false"/>
                <w:smallCaps w:val="false"/>
                <w:sz w:val="20"/>
              </w:rPr>
              <w:t>001-41556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88-4146991</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12049 Jefferson Blvd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B_edei--EntityAddressCityOrTown_c2"/>
      <w:bookmarkEnd w:id="9"/>
      <w:r>
        <w:rPr>
          <w:rFonts w:ascii="Times New Roman;Times;Serif" w:hAnsi="Times New Roman;Times;Serif"/>
          <w:b/>
          <w:i w:val="false"/>
          <w:caps w:val="false"/>
          <w:smallCaps w:val="false"/>
          <w:sz w:val="20"/>
        </w:rPr>
        <w:t xml:space="preserve">Culver City, </w:t>
      </w:r>
      <w:bookmarkStart w:id="10" w:name="xdx_903_edei--EntityAddressStateOrProvin"/>
      <w:bookmarkEnd w:id="10"/>
      <w:r>
        <w:rPr>
          <w:rFonts w:ascii="Times New Roman;Times;Serif" w:hAnsi="Times New Roman;Times;Serif"/>
          <w:b/>
          <w:i w:val="false"/>
          <w:caps w:val="false"/>
          <w:smallCaps w:val="false"/>
          <w:sz w:val="20"/>
        </w:rPr>
        <w:t xml:space="preserve">CA </w:t>
      </w:r>
      <w:bookmarkStart w:id="11" w:name="xdx_903_edei--EntityAddressPostalZipCode"/>
      <w:bookmarkEnd w:id="11"/>
      <w:r>
        <w:rPr>
          <w:rFonts w:ascii="Times New Roman;Times;Serif" w:hAnsi="Times New Roman;Times;Serif"/>
          <w:b/>
          <w:i w:val="false"/>
          <w:caps w:val="false"/>
          <w:smallCaps w:val="false"/>
          <w:sz w:val="20"/>
        </w:rPr>
        <w:t>90230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bookmarkStart w:id="12" w:name="xdx_90E_edei--CityAreaCode_c20260513__20"/>
      <w:bookmarkEnd w:id="12"/>
      <w:r>
        <w:rPr>
          <w:rFonts w:ascii="Times New Roman;Times;Serif" w:hAnsi="Times New Roman;Times;Serif"/>
          <w:b/>
          <w:i w:val="false"/>
          <w:caps w:val="false"/>
          <w:smallCaps w:val="false"/>
          <w:sz w:val="20"/>
        </w:rPr>
        <w:t xml:space="preserve">(310) </w:t>
      </w:r>
      <w:bookmarkStart w:id="13" w:name="xdx_90B_edei--LocalPhoneNumber_c20260513"/>
      <w:bookmarkEnd w:id="13"/>
      <w:r>
        <w:rPr>
          <w:rFonts w:ascii="Times New Roman;Times;Serif" w:hAnsi="Times New Roman;Times;Serif"/>
          <w:b/>
          <w:i w:val="false"/>
          <w:caps w:val="false"/>
          <w:smallCaps w:val="false"/>
          <w:sz w:val="20"/>
        </w:rPr>
        <w:t>988-0643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8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E_edei--SolicitingMaterial_c202605"/>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0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900" w:type="dxa"/>
        <w:jc w:val="left"/>
        <w:tblInd w:w="0" w:type="dxa"/>
        <w:tblLayout w:type="fixed"/>
        <w:tblCellMar>
          <w:top w:w="0" w:type="dxa"/>
          <w:left w:w="0" w:type="dxa"/>
          <w:bottom w:w="28" w:type="dxa"/>
          <w:right w:w="0" w:type="dxa"/>
        </w:tblCellMar>
      </w:tblPr>
      <w:tblGrid>
        <w:gridCol w:w="4460"/>
        <w:gridCol w:w="60"/>
        <w:gridCol w:w="1610"/>
        <w:gridCol w:w="60"/>
        <w:gridCol w:w="3710"/>
      </w:tblGrid>
      <w:tr>
        <w:trPr/>
        <w:tc>
          <w:tcPr>
            <w:tcW w:w="4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4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C_edei--Security12bTitle_c20260513"/>
            <w:bookmarkEnd w:id="18"/>
            <w:r>
              <w:rPr>
                <w:rFonts w:ascii="Times New Roman;Times;Serif" w:hAnsi="Times New Roman;Times;Serif"/>
                <w:b/>
                <w:i w:val="false"/>
                <w:caps w:val="false"/>
                <w:smallCaps w:val="false"/>
                <w:sz w:val="20"/>
              </w:rPr>
              <w:t>Class A Common Stock, $0.0001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D_edei--TradingSymbol_c20260513__2"/>
            <w:bookmarkEnd w:id="19"/>
            <w:r>
              <w:rPr>
                <w:rFonts w:ascii="Times New Roman;Times;Serif" w:hAnsi="Times New Roman;Times;Serif"/>
                <w:b/>
                <w:i w:val="false"/>
                <w:caps w:val="false"/>
                <w:smallCaps w:val="false"/>
                <w:sz w:val="20"/>
              </w:rPr>
              <w:t>SNAL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20" w:name="xdx_908_edei--SecurityExchangeName_c2026"/>
            <w:bookmarkEnd w:id="20"/>
            <w:r>
              <w:rPr>
                <w:rFonts w:ascii="Times New Roman;Times;Serif" w:hAnsi="Times New Roman;Times;Serif"/>
                <w:b/>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C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Snail, Inc., a Delaware corporation, (the “Company”) issued a press release that included financial information for its quarter ended March 31, 2026. A copy of the press release is attached as Exhibit 99.1 to this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and in the press release attached as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press release attached as Exhibit 99.1 to this Current Report on Form 8-K shall not be incorporated by reference into any filing with the U.S. Securities and Exchange Commission made by the Company, whether made before or after the date hereof,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6"/>
        <w:gridCol w:w="60"/>
        <w:gridCol w:w="9179"/>
      </w:tblGrid>
      <w:tr>
        <w:trPr/>
        <w:tc>
          <w:tcPr>
            <w:tcW w:w="96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9"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May 13, 2026, issued by Snail, Inc. regarding its financial results for its quarter ended March 31, 2026</w:t>
              </w:r>
            </w:hyperlink>
          </w:p>
        </w:tc>
      </w:tr>
      <w:tr>
        <w:trPr/>
        <w:tc>
          <w:tcPr>
            <w:tcW w:w="9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10005" w:type="dxa"/>
        <w:jc w:val="left"/>
        <w:tblInd w:w="0" w:type="dxa"/>
        <w:tblLayout w:type="fixed"/>
        <w:tblCellMar>
          <w:top w:w="0" w:type="dxa"/>
          <w:left w:w="0" w:type="dxa"/>
          <w:bottom w:w="0" w:type="dxa"/>
          <w:right w:w="0" w:type="dxa"/>
        </w:tblCellMar>
      </w:tblPr>
      <w:tblGrid>
        <w:gridCol w:w="1655"/>
        <w:gridCol w:w="545"/>
        <w:gridCol w:w="780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83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7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 Shi</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Chief Executive Officer, Chief Strategy Officer and 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021080" cy="5867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1080" cy="58674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Reports First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CULVER CITY, Calif., May 13, 2026 (GLOBE NEWSWIRE) – Snail, Inc. (Nasdaq: SNAL) (“Snail Games” or the “Company”),</w:t>
      </w:r>
      <w:r>
        <w:rPr>
          <w:rFonts w:ascii="Times New Roman;Times;Serif" w:hAnsi="Times New Roman;Times;Serif"/>
          <w:b w:val="false"/>
          <w:i w:val="false"/>
          <w:caps w:val="false"/>
          <w:smallCaps w:val="false"/>
          <w:sz w:val="20"/>
        </w:rPr>
        <w:t xml:space="preserve"> a leading global independent developer and publisher of interactive digital entertainment, today announced financial results for the first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and Recent 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ARK Franchise Updates:</w:t>
      </w:r>
    </w:p>
    <w:p>
      <w:pPr>
        <w:pStyle w:val="TextBody"/>
        <w:bidi w:val="0"/>
        <w:spacing w:before="0" w:after="0"/>
        <w:ind w:left="720" w:right="0" w:hanging="36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2765" w:type="dxa"/>
            <w:tcBorders/>
            <w:vAlign w:val="center"/>
          </w:tcPr>
          <w:p>
            <w:pPr>
              <w:pStyle w:val="TableContents"/>
              <w:bidi w:val="0"/>
              <w:spacing w:lineRule="auto" w:line="276"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ARK: Survival Evolved (“ASE”):</w:t>
            </w:r>
          </w:p>
        </w:tc>
      </w:tr>
    </w:tbl>
    <w:p>
      <w:pPr>
        <w:pStyle w:val="TextBody"/>
        <w:bidi w:val="0"/>
        <w:spacing w:before="0" w:after="0"/>
        <w:ind w:left="1440" w:right="0" w:hanging="36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8840"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sold were approximately 573,000 for the first quarter of 2026</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8840" w:type="dxa"/>
            <w:tcBorders/>
            <w:vAlign w:val="center"/>
          </w:tcPr>
          <w:p>
            <w:pPr>
              <w:pStyle w:val="TableContents"/>
              <w:bidi w:val="0"/>
              <w:spacing w:lineRule="auto" w:line="276"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8840"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2026, average daily active users (“DAU”) was 117,000 and peak DAU was 143,000</w:t>
            </w:r>
          </w:p>
        </w:tc>
      </w:tr>
    </w:tbl>
    <w:p>
      <w:pPr>
        <w:pStyle w:val="TextBody"/>
        <w:bidi w:val="0"/>
        <w:spacing w:before="0" w:after="0"/>
        <w:ind w:left="720" w:right="0" w:hanging="36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2885" w:type="dxa"/>
            <w:tcBorders/>
            <w:vAlign w:val="center"/>
          </w:tcPr>
          <w:p>
            <w:pPr>
              <w:pStyle w:val="TableContents"/>
              <w:bidi w:val="0"/>
              <w:spacing w:lineRule="auto" w:line="276"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ARK: Survival Ascended (“ASA”):</w:t>
            </w:r>
          </w:p>
        </w:tc>
      </w:tr>
    </w:tbl>
    <w:p>
      <w:pPr>
        <w:pStyle w:val="TextBody"/>
        <w:bidi w:val="0"/>
        <w:spacing w:before="0" w:after="0"/>
        <w:ind w:left="1440" w:right="0" w:hanging="36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7085"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sold were approximately 1.4 million for the first quarter of 2026</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7085" w:type="dxa"/>
            <w:tcBorders/>
            <w:vAlign w:val="center"/>
          </w:tcPr>
          <w:p>
            <w:pPr>
              <w:pStyle w:val="TableContents"/>
              <w:bidi w:val="0"/>
              <w:spacing w:lineRule="auto" w:line="276"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7085"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2026, average DAU was 127,000 and peak DAU was 188,000</w:t>
            </w:r>
          </w:p>
        </w:tc>
      </w:tr>
    </w:tbl>
    <w:p>
      <w:pPr>
        <w:pStyle w:val="TextBody"/>
        <w:bidi w:val="0"/>
        <w:spacing w:before="0" w:after="0"/>
        <w:ind w:left="720" w:right="0" w:hanging="36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170"/>
        <w:gridCol w:w="4070"/>
      </w:tblGrid>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4070" w:type="dxa"/>
            <w:tcBorders/>
            <w:vAlign w:val="center"/>
          </w:tcPr>
          <w:p>
            <w:pPr>
              <w:pStyle w:val="TableContents"/>
              <w:bidi w:val="0"/>
              <w:spacing w:lineRule="auto" w:line="276"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ARK: Ultimate Mobile Edition (“ARK Mobile”):</w:t>
            </w:r>
          </w:p>
        </w:tc>
      </w:tr>
    </w:tbl>
    <w:p>
      <w:pPr>
        <w:pStyle w:val="TextBody"/>
        <w:bidi w:val="0"/>
        <w:spacing w:before="0" w:after="0"/>
        <w:ind w:left="1440" w:right="0" w:hanging="36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4790"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million downloads as of March 31, 2026</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4790" w:type="dxa"/>
            <w:tcBorders/>
            <w:vAlign w:val="center"/>
          </w:tcPr>
          <w:p>
            <w:pPr>
              <w:pStyle w:val="TableContents"/>
              <w:bidi w:val="0"/>
              <w:spacing w:lineRule="auto" w:line="276"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4790"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2026, average DAU was 141,000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Game Portfolio and Business Updates:</w:t>
      </w:r>
    </w:p>
    <w:p>
      <w:pPr>
        <w:pStyle w:val="TextBody"/>
        <w:bidi w:val="0"/>
        <w:spacing w:before="0" w:after="0"/>
        <w:ind w:left="720" w:right="0" w:hanging="36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75"/>
        <w:gridCol w:w="170"/>
        <w:gridCol w:w="1145"/>
      </w:tblGrid>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1145" w:type="dxa"/>
            <w:tcBorders/>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Stars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9960"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Released new developer diary, offering an in-depth look at the upcoming AAA title’s current development progress, including new pre-alpha footage and previously unreleased concept art</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9960" w:type="dxa"/>
            <w:tcBorders/>
            <w:vAlign w:val="center"/>
          </w:tcPr>
          <w:p>
            <w:pPr>
              <w:pStyle w:val="TableContents"/>
              <w:bidi w:val="0"/>
              <w:spacing w:lineRule="auto" w:line="276"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9960"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Revealed event-exclusive trailer during 2026 Games Developers Conference (“GDC”)</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9960"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Introduced </w:t>
            </w:r>
            <w:r>
              <w:rPr>
                <w:rFonts w:ascii="Times New Roman;Times;Serif" w:hAnsi="Times New Roman;Times;Serif"/>
                <w:b w:val="false"/>
                <w:i/>
                <w:caps w:val="false"/>
                <w:smallCaps w:val="false"/>
                <w:sz w:val="20"/>
              </w:rPr>
              <w:t>PixARK Worlds</w:t>
            </w:r>
            <w:r>
              <w:rPr>
                <w:rFonts w:ascii="Times New Roman;Times;Serif" w:hAnsi="Times New Roman;Times;Serif"/>
                <w:b w:val="false"/>
                <w:i w:val="false"/>
                <w:caps w:val="false"/>
                <w:smallCaps w:val="false"/>
                <w:sz w:val="20"/>
              </w:rPr>
              <w:t>, a new title in development that features revolutionary user-generated content designed to further expand the ARK universe on Steam, Xbox, PlayStation, and the Nintendo Switch 2</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9960" w:type="dxa"/>
            <w:tcBorders/>
            <w:vAlign w:val="center"/>
          </w:tcPr>
          <w:p>
            <w:pPr>
              <w:pStyle w:val="TableContents"/>
              <w:bidi w:val="0"/>
              <w:spacing w:lineRule="auto" w:line="276"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9960" w:type="dxa"/>
            <w:tcBorders/>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Bellwright</w:t>
            </w:r>
          </w:p>
        </w:tc>
      </w:tr>
    </w:tbl>
    <w:p>
      <w:pPr>
        <w:pStyle w:val="TextBody"/>
        <w:bidi w:val="0"/>
        <w:spacing w:lineRule="auto" w:line="276"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9960"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Surpassed 1 million downloads on Steam Early Access, announced console port plans to Xbox and PlayStation, and launched the </w:t>
            </w:r>
            <w:r>
              <w:rPr>
                <w:rFonts w:ascii="Times New Roman;Times;Serif" w:hAnsi="Times New Roman;Times;Serif"/>
                <w:b w:val="false"/>
                <w:i/>
                <w:caps w:val="false"/>
                <w:smallCaps w:val="false"/>
                <w:sz w:val="20"/>
              </w:rPr>
              <w:t xml:space="preserve">Maiden Voyage </w:t>
            </w:r>
            <w:r>
              <w:rPr>
                <w:rFonts w:ascii="Times New Roman;Times;Serif" w:hAnsi="Times New Roman;Times;Serif"/>
                <w:b w:val="false"/>
                <w:i w:val="false"/>
                <w:caps w:val="false"/>
                <w:smallCaps w:val="false"/>
                <w:sz w:val="20"/>
              </w:rPr>
              <w:t>update.</w:t>
            </w:r>
          </w:p>
        </w:tc>
      </w:tr>
    </w:tbl>
    <w:p>
      <w:pPr>
        <w:pStyle w:val="TextBody"/>
        <w:bidi w:val="0"/>
        <w:spacing w:before="0" w:after="0"/>
        <w:ind w:left="1440" w:right="0" w:hanging="36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6890"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Launched </w:t>
            </w:r>
            <w:r>
              <w:rPr>
                <w:rFonts w:ascii="Times New Roman;Times;Serif" w:hAnsi="Times New Roman;Times;Serif"/>
                <w:b w:val="false"/>
                <w:i/>
                <w:caps w:val="false"/>
                <w:smallCaps w:val="false"/>
                <w:sz w:val="20"/>
              </w:rPr>
              <w:t>Echoes of Elysium</w:t>
            </w:r>
            <w:r>
              <w:rPr>
                <w:rFonts w:ascii="Times New Roman;Times;Serif" w:hAnsi="Times New Roman;Times;Serif"/>
                <w:b w:val="false"/>
                <w:i w:val="false"/>
                <w:caps w:val="false"/>
                <w:smallCaps w:val="false"/>
                <w:sz w:val="20"/>
              </w:rPr>
              <w:t xml:space="preserve"> on Steam Early Access in partnership with Loric Games</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6890" w:type="dxa"/>
            <w:tcBorders/>
            <w:vAlign w:val="center"/>
          </w:tcPr>
          <w:p>
            <w:pPr>
              <w:pStyle w:val="TableContents"/>
              <w:bidi w:val="0"/>
              <w:spacing w:lineRule="auto" w:line="276"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6890"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Launched </w:t>
            </w:r>
            <w:r>
              <w:rPr>
                <w:rFonts w:ascii="Times New Roman;Times;Serif" w:hAnsi="Times New Roman;Times;Serif"/>
                <w:b w:val="false"/>
                <w:i/>
                <w:caps w:val="false"/>
                <w:smallCaps w:val="false"/>
                <w:sz w:val="20"/>
              </w:rPr>
              <w:t xml:space="preserve">Survivor Merc’s </w:t>
            </w:r>
            <w:r>
              <w:rPr>
                <w:rFonts w:ascii="Times New Roman;Times;Serif" w:hAnsi="Times New Roman;Times;Serif"/>
                <w:b w:val="false"/>
                <w:i w:val="false"/>
                <w:caps w:val="false"/>
                <w:smallCaps w:val="false"/>
                <w:sz w:val="20"/>
              </w:rPr>
              <w:t>1.0 version across Steam, Xbox, and PlayStation</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6890" w:type="dxa"/>
            <w:tcBorders/>
            <w:vAlign w:val="center"/>
          </w:tcPr>
          <w:p>
            <w:pPr>
              <w:pStyle w:val="TableContents"/>
              <w:bidi w:val="0"/>
              <w:spacing w:lineRule="auto" w:line="276"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6890"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Launched </w:t>
            </w:r>
            <w:r>
              <w:rPr>
                <w:rFonts w:ascii="Times New Roman;Times;Serif" w:hAnsi="Times New Roman;Times;Serif"/>
                <w:b w:val="false"/>
                <w:i/>
                <w:caps w:val="false"/>
                <w:smallCaps w:val="false"/>
                <w:sz w:val="20"/>
              </w:rPr>
              <w:t>Above the Snow</w:t>
            </w:r>
            <w:r>
              <w:rPr>
                <w:rFonts w:ascii="Times New Roman;Times;Serif" w:hAnsi="Times New Roman;Times;Serif"/>
                <w:b w:val="false"/>
                <w:i w:val="false"/>
                <w:caps w:val="false"/>
                <w:smallCaps w:val="false"/>
                <w:sz w:val="20"/>
              </w:rPr>
              <w:t xml:space="preserve"> on Steam</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6890" w:type="dxa"/>
            <w:tcBorders/>
            <w:vAlign w:val="center"/>
          </w:tcPr>
          <w:p>
            <w:pPr>
              <w:pStyle w:val="TableContents"/>
              <w:bidi w:val="0"/>
              <w:spacing w:lineRule="auto" w:line="276"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6890"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Announced publishing agreement for co-op party action title </w:t>
            </w:r>
            <w:r>
              <w:rPr>
                <w:rFonts w:ascii="Times New Roman;Times;Serif" w:hAnsi="Times New Roman;Times;Serif"/>
                <w:b w:val="false"/>
                <w:i/>
                <w:caps w:val="false"/>
                <w:smallCaps w:val="false"/>
                <w:sz w:val="20"/>
              </w:rPr>
              <w:t>Dead Party</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6890" w:type="dxa"/>
            <w:tcBorders/>
            <w:vAlign w:val="center"/>
          </w:tcPr>
          <w:p>
            <w:pPr>
              <w:pStyle w:val="TableContents"/>
              <w:bidi w:val="0"/>
              <w:spacing w:lineRule="auto" w:line="276"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6890"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Unveiled new upcoming indie title, </w:t>
            </w:r>
            <w:r>
              <w:rPr>
                <w:rFonts w:ascii="Times New Roman;Times;Serif" w:hAnsi="Times New Roman;Times;Serif"/>
                <w:b w:val="false"/>
                <w:i/>
                <w:caps w:val="false"/>
                <w:smallCaps w:val="false"/>
                <w:sz w:val="20"/>
              </w:rPr>
              <w:t>Gobby Gang</w:t>
            </w:r>
            <w:r>
              <w:rPr>
                <w:rFonts w:ascii="Times New Roman;Times;Serif" w:hAnsi="Times New Roman;Times;Serif"/>
                <w:b w:val="false"/>
                <w:i w:val="false"/>
                <w:caps w:val="false"/>
                <w:smallCaps w:val="false"/>
                <w:sz w:val="20"/>
              </w:rPr>
              <w:t>, at 2026 GDC</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6890" w:type="dxa"/>
            <w:tcBorders/>
            <w:vAlign w:val="center"/>
          </w:tcPr>
          <w:p>
            <w:pPr>
              <w:pStyle w:val="TableContents"/>
              <w:bidi w:val="0"/>
              <w:spacing w:lineRule="auto" w:line="276"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76" w:before="0" w:after="283"/>
              <w:jc w:val="left"/>
              <w:rPr>
                <w:caps w:val="false"/>
                <w:smallCaps w:val="false"/>
              </w:rPr>
            </w:pPr>
            <w:r>
              <w:rPr>
                <w:caps w:val="false"/>
                <w:smallCaps w:val="false"/>
              </w:rPr>
              <w:t>●</w:t>
            </w:r>
          </w:p>
        </w:tc>
        <w:tc>
          <w:tcPr>
            <w:tcW w:w="6890"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released 250+ short film dramas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jc w:val="center"/>
        <w:rPr>
          <w:caps w:val="false"/>
          <w:smallCaps w:val="false"/>
        </w:rPr>
      </w:pPr>
      <w:r>
        <w:rPr>
          <w:caps w:val="false"/>
          <w:smallCaps w:val="false"/>
        </w:rPr>
        <w:drawing>
          <wp:inline distT="0" distB="0" distL="0" distR="0">
            <wp:extent cx="1021080" cy="5867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1080" cy="586740"/>
                    </a:xfrm>
                    <a:prstGeom prst="rect">
                      <a:avLst/>
                    </a:prstGeom>
                  </pic:spPr>
                </pic:pic>
              </a:graphicData>
            </a:graphic>
          </wp:inline>
        </w:drawing>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ARK Content Pipeline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97"/>
        <w:gridCol w:w="60"/>
        <w:gridCol w:w="3514"/>
        <w:gridCol w:w="60"/>
        <w:gridCol w:w="2178"/>
        <w:gridCol w:w="60"/>
        <w:gridCol w:w="1436"/>
      </w:tblGrid>
      <w:tr>
        <w:trPr/>
        <w:tc>
          <w:tcPr>
            <w:tcW w:w="2897" w:type="dxa"/>
            <w:tcBorders>
              <w:bottom w:val="single" w:sz="8" w:space="0" w:color="000000"/>
            </w:tcBorders>
            <w:vAlign w:val="center"/>
          </w:tcPr>
          <w:p>
            <w:pPr>
              <w:pStyle w:val="TableContents"/>
              <w:bidi w:val="0"/>
              <w:spacing w:lineRule="auto" w:line="276"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3514" w:type="dxa"/>
            <w:tcBorders>
              <w:bottom w:val="single" w:sz="8" w:space="0" w:color="000000"/>
            </w:tcBorders>
            <w:vAlign w:val="center"/>
          </w:tcPr>
          <w:p>
            <w:pPr>
              <w:pStyle w:val="TableContents"/>
              <w:bidi w:val="0"/>
              <w:spacing w:lineRule="auto" w:line="276"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Platforms</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bottom w:val="single" w:sz="8" w:space="0" w:color="000000"/>
            </w:tcBorders>
            <w:vAlign w:val="center"/>
          </w:tcPr>
          <w:p>
            <w:pPr>
              <w:pStyle w:val="TableContents"/>
              <w:bidi w:val="0"/>
              <w:spacing w:lineRule="auto" w:line="276"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bottom w:val="single" w:sz="8" w:space="0" w:color="000000"/>
            </w:tcBorders>
            <w:vAlign w:val="center"/>
          </w:tcPr>
          <w:p>
            <w:pPr>
              <w:pStyle w:val="TableContents"/>
              <w:bidi w:val="0"/>
              <w:spacing w:lineRule="auto" w:line="276"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 Schedule</w:t>
            </w:r>
          </w:p>
        </w:tc>
      </w:tr>
      <w:tr>
        <w:trPr/>
        <w:tc>
          <w:tcPr>
            <w:tcW w:w="2897"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Fantastic Tames Season 1 Pack</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DLC Creatures</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2026</w:t>
            </w:r>
          </w:p>
        </w:tc>
      </w:tr>
      <w:tr>
        <w:trPr/>
        <w:tc>
          <w:tcPr>
            <w:tcW w:w="28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897"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Tides of Fortune</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DLC</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2026</w:t>
            </w:r>
          </w:p>
        </w:tc>
      </w:tr>
      <w:tr>
        <w:trPr/>
        <w:tc>
          <w:tcPr>
            <w:tcW w:w="2897"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897"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Genesis Part 1 (ASA Remake)</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DLC Remake</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2026</w:t>
            </w:r>
          </w:p>
        </w:tc>
      </w:tr>
      <w:tr>
        <w:trPr/>
        <w:tc>
          <w:tcPr>
            <w:tcW w:w="2897"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897"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Dragontopia</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DLC</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2026</w:t>
            </w:r>
          </w:p>
        </w:tc>
      </w:tr>
      <w:tr>
        <w:trPr/>
        <w:tc>
          <w:tcPr>
            <w:tcW w:w="2897"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897"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World Creators</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Content Creation Tool</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w:t>
            </w:r>
          </w:p>
        </w:tc>
      </w:tr>
      <w:tr>
        <w:trPr/>
        <w:tc>
          <w:tcPr>
            <w:tcW w:w="2897"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897"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Survival of the Fittest</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Game Mode</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w:t>
            </w:r>
          </w:p>
        </w:tc>
      </w:tr>
      <w:tr>
        <w:trPr/>
        <w:tc>
          <w:tcPr>
            <w:tcW w:w="2897"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897"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PixARK Worlds</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 Nintendo Switch 2</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Title</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2026/2027</w:t>
            </w:r>
          </w:p>
        </w:tc>
      </w:tr>
      <w:tr>
        <w:trPr/>
        <w:tc>
          <w:tcPr>
            <w:tcW w:w="2897"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897"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Atlantis</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DLC</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2027</w:t>
            </w:r>
          </w:p>
        </w:tc>
      </w:tr>
      <w:tr>
        <w:trPr/>
        <w:tc>
          <w:tcPr>
            <w:tcW w:w="2897"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897"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Galaxy Wars</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DLC</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2027</w:t>
            </w:r>
          </w:p>
        </w:tc>
      </w:tr>
      <w:tr>
        <w:trPr/>
        <w:tc>
          <w:tcPr>
            <w:tcW w:w="2897"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897"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Legacy of Santiago</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3514"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178"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DLC</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36"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Diversified Content Pipeline </w:t>
      </w:r>
    </w:p>
    <w:p>
      <w:pPr>
        <w:pStyle w:val="TextBody"/>
        <w:bidi w:val="0"/>
        <w:spacing w:before="0" w:after="0"/>
        <w:ind w:left="0" w:right="0" w:hanging="0"/>
        <w:jc w:val="left"/>
        <w:rPr>
          <w:caps w:val="false"/>
          <w:smallCaps w:val="false"/>
        </w:rPr>
      </w:pPr>
      <w:r>
        <w:rPr>
          <w:caps w:val="false"/>
          <w:smallCaps w:val="false"/>
        </w:rPr>
        <w:t> </w:t>
      </w:r>
    </w:p>
    <w:tbl>
      <w:tblPr>
        <w:tblW w:w="6755" w:type="dxa"/>
        <w:jc w:val="left"/>
        <w:tblInd w:w="0" w:type="dxa"/>
        <w:tblLayout w:type="fixed"/>
        <w:tblCellMar>
          <w:top w:w="0" w:type="dxa"/>
          <w:left w:w="0" w:type="dxa"/>
          <w:bottom w:w="28" w:type="dxa"/>
          <w:right w:w="0" w:type="dxa"/>
        </w:tblCellMar>
      </w:tblPr>
      <w:tblGrid>
        <w:gridCol w:w="2075"/>
        <w:gridCol w:w="60"/>
        <w:gridCol w:w="2090"/>
        <w:gridCol w:w="60"/>
        <w:gridCol w:w="935"/>
        <w:gridCol w:w="60"/>
        <w:gridCol w:w="1475"/>
      </w:tblGrid>
      <w:tr>
        <w:trPr/>
        <w:tc>
          <w:tcPr>
            <w:tcW w:w="2075" w:type="dxa"/>
            <w:tcBorders>
              <w:bottom w:val="single" w:sz="8" w:space="0" w:color="000000"/>
            </w:tcBorders>
            <w:vAlign w:val="center"/>
          </w:tcPr>
          <w:p>
            <w:pPr>
              <w:pStyle w:val="TableContents"/>
              <w:bidi w:val="0"/>
              <w:spacing w:lineRule="auto" w:line="276"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2090" w:type="dxa"/>
            <w:tcBorders>
              <w:bottom w:val="single" w:sz="8" w:space="0" w:color="000000"/>
            </w:tcBorders>
            <w:vAlign w:val="center"/>
          </w:tcPr>
          <w:p>
            <w:pPr>
              <w:pStyle w:val="TableContents"/>
              <w:bidi w:val="0"/>
              <w:spacing w:lineRule="auto" w:line="276"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Platforms</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bottom w:val="single" w:sz="8" w:space="0" w:color="000000"/>
            </w:tcBorders>
            <w:vAlign w:val="center"/>
          </w:tcPr>
          <w:p>
            <w:pPr>
              <w:pStyle w:val="TableContents"/>
              <w:bidi w:val="0"/>
              <w:spacing w:lineRule="auto" w:line="276"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bottom w:val="single" w:sz="8" w:space="0" w:color="000000"/>
            </w:tcBorders>
            <w:vAlign w:val="center"/>
          </w:tcPr>
          <w:p>
            <w:pPr>
              <w:pStyle w:val="TableContents"/>
              <w:bidi w:val="0"/>
              <w:spacing w:lineRule="auto" w:line="276"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 Schedule</w:t>
            </w:r>
          </w:p>
        </w:tc>
      </w:tr>
      <w:tr>
        <w:trPr/>
        <w:tc>
          <w:tcPr>
            <w:tcW w:w="2075"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Bellwright</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2090"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 Launch</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w:t>
            </w:r>
          </w:p>
        </w:tc>
      </w:tr>
      <w:tr>
        <w:trPr/>
        <w:tc>
          <w:tcPr>
            <w:tcW w:w="2075"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209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075"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Dead Party</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2090"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Indie Title</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w:t>
            </w:r>
          </w:p>
        </w:tc>
      </w:tr>
      <w:tr>
        <w:trPr/>
        <w:tc>
          <w:tcPr>
            <w:tcW w:w="2075"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209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075"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Gobby Gang</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2090"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Indie Title</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w:t>
            </w:r>
          </w:p>
        </w:tc>
      </w:tr>
      <w:tr>
        <w:trPr/>
        <w:tc>
          <w:tcPr>
            <w:tcW w:w="2075"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209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075"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Stoneguard</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2090"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Indie Title</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w:t>
            </w:r>
          </w:p>
        </w:tc>
      </w:tr>
      <w:tr>
        <w:trPr/>
        <w:tc>
          <w:tcPr>
            <w:tcW w:w="2075"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209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075"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Stars</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2090"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AAA Title</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TBD</w:t>
            </w:r>
          </w:p>
        </w:tc>
      </w:tr>
      <w:tr>
        <w:trPr/>
        <w:tc>
          <w:tcPr>
            <w:tcW w:w="2075"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209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075"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Nine Yin Sutra: Immortal</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2090"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AAA Title</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TBD</w:t>
            </w:r>
          </w:p>
        </w:tc>
      </w:tr>
      <w:tr>
        <w:trPr/>
        <w:tc>
          <w:tcPr>
            <w:tcW w:w="2075"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209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r>
      <w:tr>
        <w:trPr/>
        <w:tc>
          <w:tcPr>
            <w:tcW w:w="2075" w:type="dxa"/>
            <w:tcBorders/>
            <w:tcMar>
              <w:bottom w:w="0" w:type="dxa"/>
            </w:tcMar>
            <w:vAlign w:val="center"/>
          </w:tcPr>
          <w:p>
            <w:pPr>
              <w:pStyle w:val="TableContents"/>
              <w:bidi w:val="0"/>
              <w:spacing w:lineRule="auto" w:line="276"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Nine Yin Sutra: Wushu</w:t>
            </w:r>
          </w:p>
        </w:tc>
        <w:tc>
          <w:tcPr>
            <w:tcW w:w="60" w:type="dxa"/>
            <w:tcBorders/>
            <w:tcMar>
              <w:bottom w:w="0" w:type="dxa"/>
            </w:tcMar>
            <w:vAlign w:val="center"/>
          </w:tcPr>
          <w:p>
            <w:pPr>
              <w:pStyle w:val="TableContents"/>
              <w:bidi w:val="0"/>
              <w:spacing w:lineRule="auto" w:line="276" w:before="0" w:after="283"/>
              <w:jc w:val="left"/>
              <w:rPr>
                <w:caps w:val="false"/>
                <w:smallCaps w:val="false"/>
              </w:rPr>
            </w:pPr>
            <w:r>
              <w:rPr>
                <w:caps w:val="false"/>
                <w:smallCaps w:val="false"/>
              </w:rPr>
              <w:t> </w:t>
            </w:r>
          </w:p>
        </w:tc>
        <w:tc>
          <w:tcPr>
            <w:tcW w:w="2090"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AAA Title</w:t>
            </w:r>
          </w:p>
        </w:tc>
        <w:tc>
          <w:tcPr>
            <w:tcW w:w="60" w:type="dxa"/>
            <w:tcBorders/>
            <w:tcMar>
              <w:bottom w:w="0" w:type="dxa"/>
            </w:tcMar>
            <w:vAlign w:val="center"/>
          </w:tcPr>
          <w:p>
            <w:pPr>
              <w:pStyle w:val="TableContents"/>
              <w:bidi w:val="0"/>
              <w:spacing w:lineRule="auto" w:line="276"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lineRule="auto" w:line="276"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TBD</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jc w:val="center"/>
        <w:rPr>
          <w:caps w:val="false"/>
          <w:smallCaps w:val="false"/>
        </w:rPr>
      </w:pPr>
      <w:r>
        <w:rPr>
          <w:caps w:val="false"/>
          <w:smallCaps w:val="false"/>
        </w:rPr>
        <w:drawing>
          <wp:inline distT="0" distB="0" distL="0" distR="0">
            <wp:extent cx="1021080" cy="5867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1080" cy="586740"/>
                    </a:xfrm>
                    <a:prstGeom prst="rect">
                      <a:avLst/>
                    </a:prstGeom>
                  </pic:spPr>
                </pic:pic>
              </a:graphicData>
            </a:graphic>
          </wp:inline>
        </w:drawing>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 exited 2025 with tailwinds that positioned Snail for stronger and more stable growth and results,” said Company CEO Hai Shi. “Momentum from the </w:t>
      </w:r>
      <w:r>
        <w:rPr>
          <w:rFonts w:ascii="Times New Roman;Times;Serif" w:hAnsi="Times New Roman;Times;Serif"/>
          <w:b w:val="false"/>
          <w:i/>
          <w:caps w:val="false"/>
          <w:smallCaps w:val="false"/>
          <w:sz w:val="20"/>
        </w:rPr>
        <w:t>ASA</w:t>
      </w:r>
      <w:r>
        <w:rPr>
          <w:rFonts w:ascii="Times New Roman;Times;Serif" w:hAnsi="Times New Roman;Times;Serif"/>
          <w:b w:val="false"/>
          <w:i w:val="false"/>
          <w:caps w:val="false"/>
          <w:smallCaps w:val="false"/>
          <w:sz w:val="20"/>
        </w:rPr>
        <w:t xml:space="preserve"> pipeline we announced in December, the launch of </w:t>
      </w:r>
      <w:r>
        <w:rPr>
          <w:rFonts w:ascii="Times New Roman;Times;Serif" w:hAnsi="Times New Roman;Times;Serif"/>
          <w:b w:val="false"/>
          <w:i/>
          <w:caps w:val="false"/>
          <w:smallCaps w:val="false"/>
          <w:sz w:val="20"/>
        </w:rPr>
        <w:t>ARK Lost Colony</w:t>
      </w:r>
      <w:r>
        <w:rPr>
          <w:rFonts w:ascii="Times New Roman;Times;Serif" w:hAnsi="Times New Roman;Times;Serif"/>
          <w:b w:val="false"/>
          <w:i w:val="false"/>
          <w:caps w:val="false"/>
          <w:smallCaps w:val="false"/>
          <w:sz w:val="20"/>
        </w:rPr>
        <w:t xml:space="preserve"> DLC, and the subsequent Steam Winter Sale event supported net revenue growth and a return to net income positive. Looking ahead, we aim to deliver year-over-year growth in Q2, driven by several upcoming ARK content releases. We have a </w:t>
      </w:r>
      <w:r>
        <w:rPr>
          <w:rFonts w:ascii="Times New Roman;Times;Serif" w:hAnsi="Times New Roman;Times;Serif"/>
          <w:b w:val="false"/>
          <w:i/>
          <w:caps w:val="false"/>
          <w:smallCaps w:val="false"/>
          <w:sz w:val="20"/>
        </w:rPr>
        <w:t xml:space="preserve">Fantastic Tames Season 1 Expansion Pack </w:t>
      </w:r>
      <w:r>
        <w:rPr>
          <w:rFonts w:ascii="Times New Roman;Times;Serif" w:hAnsi="Times New Roman;Times;Serif"/>
          <w:b w:val="false"/>
          <w:i w:val="false"/>
          <w:caps w:val="false"/>
          <w:smallCaps w:val="false"/>
          <w:sz w:val="20"/>
        </w:rPr>
        <w:t xml:space="preserve">coming in May 2026, and </w:t>
      </w:r>
      <w:r>
        <w:rPr>
          <w:rFonts w:ascii="Times New Roman;Times;Serif" w:hAnsi="Times New Roman;Times;Serif"/>
          <w:b w:val="false"/>
          <w:i/>
          <w:caps w:val="false"/>
          <w:smallCaps w:val="false"/>
          <w:sz w:val="20"/>
        </w:rPr>
        <w:t>ARK Tides of Fortune</w:t>
      </w:r>
      <w:r>
        <w:rPr>
          <w:rFonts w:ascii="Times New Roman;Times;Serif" w:hAnsi="Times New Roman;Times;Serif"/>
          <w:b w:val="false"/>
          <w:i w:val="false"/>
          <w:caps w:val="false"/>
          <w:smallCaps w:val="false"/>
          <w:sz w:val="20"/>
        </w:rPr>
        <w:t xml:space="preserve"> to launch alongside the remake of </w:t>
      </w:r>
      <w:r>
        <w:rPr>
          <w:rFonts w:ascii="Times New Roman;Times;Serif" w:hAnsi="Times New Roman;Times;Serif"/>
          <w:b w:val="false"/>
          <w:i/>
          <w:caps w:val="false"/>
          <w:smallCaps w:val="false"/>
          <w:sz w:val="20"/>
        </w:rPr>
        <w:t>Genesis Part 1</w:t>
      </w:r>
      <w:r>
        <w:rPr>
          <w:rFonts w:ascii="Times New Roman;Times;Serif" w:hAnsi="Times New Roman;Times;Serif"/>
          <w:b w:val="false"/>
          <w:i w:val="false"/>
          <w:caps w:val="false"/>
          <w:smallCaps w:val="false"/>
          <w:sz w:val="20"/>
        </w:rPr>
        <w:t xml:space="preserve"> coming to </w:t>
      </w:r>
      <w:r>
        <w:rPr>
          <w:rFonts w:ascii="Times New Roman;Times;Serif" w:hAnsi="Times New Roman;Times;Serif"/>
          <w:b w:val="false"/>
          <w:i/>
          <w:caps w:val="false"/>
          <w:smallCaps w:val="false"/>
          <w:sz w:val="20"/>
        </w:rPr>
        <w:t>ASA</w:t>
      </w:r>
      <w:r>
        <w:rPr>
          <w:rFonts w:ascii="Times New Roman;Times;Serif" w:hAnsi="Times New Roman;Times;Serif"/>
          <w:b w:val="false"/>
          <w:i w:val="false"/>
          <w:caps w:val="false"/>
          <w:smallCaps w:val="false"/>
          <w:sz w:val="20"/>
        </w:rPr>
        <w:t xml:space="preserve"> in June 2026 to provide a foundation for the quarter to build on. Approximately $11 million from our deferred revenue backlog is expected to be recognized upon the release of </w:t>
      </w:r>
      <w:r>
        <w:rPr>
          <w:rFonts w:ascii="Times New Roman;Times;Serif" w:hAnsi="Times New Roman;Times;Serif"/>
          <w:b w:val="false"/>
          <w:i/>
          <w:caps w:val="false"/>
          <w:smallCaps w:val="false"/>
          <w:sz w:val="20"/>
        </w:rPr>
        <w:t>Genesis Part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Beyond ARK, Snail Games continues to execute on its strategy to eventually become a fully integrated game developer and publisher. Our upcoming AAA titles represent an important step toward building new franchises with the potential for multi-year to multi-decade game lifespans that can complement the scale of </w:t>
      </w:r>
      <w:r>
        <w:rPr>
          <w:rFonts w:ascii="Times New Roman;Times;Serif" w:hAnsi="Times New Roman;Times;Serif"/>
          <w:b w:val="false"/>
          <w:i/>
          <w:caps w:val="false"/>
          <w:smallCaps w:val="false"/>
          <w:sz w:val="20"/>
        </w:rPr>
        <w:t>ASE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ASA</w:t>
      </w:r>
      <w:r>
        <w:rPr>
          <w:rFonts w:ascii="Times New Roman;Times;Serif" w:hAnsi="Times New Roman;Times;Serif"/>
          <w:b w:val="false"/>
          <w:i w:val="false"/>
          <w:caps w:val="false"/>
          <w:smallCaps w:val="false"/>
          <w:sz w:val="20"/>
        </w:rPr>
        <w:t xml:space="preserve">. As previously disclosed, these projects have entered their final phases of development, and the eventual launch of these games position us to meaningfully diversify our revenue mix beyond ARK. With multiple gaming events and planned updates throughout the year, we look forward to sharing additional information on </w:t>
      </w:r>
      <w:r>
        <w:rPr>
          <w:rFonts w:ascii="Times New Roman;Times;Serif" w:hAnsi="Times New Roman;Times;Serif"/>
          <w:b w:val="false"/>
          <w:i/>
          <w:caps w:val="false"/>
          <w:smallCaps w:val="false"/>
          <w:sz w:val="20"/>
        </w:rPr>
        <w:t>For the Stars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Nine Yin Sutra: Immortal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Nine Yin Sutra: Wushu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next 12-18 months will serve as an inflection period for Snail Games as we work to advance our ARK pipeline and deliver on the investments we have made across our broader pipeline. Over time, our ambition is for Snail Games to be recognized not only for ARK, but as a developer and publisher of multiple renown IPs and titles. We remain focused on unlocking the value of our pipeline and delivering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Highlights</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revenues</w:t>
      </w:r>
      <w:r>
        <w:rPr>
          <w:rFonts w:ascii="Times New Roman;Times;Serif" w:hAnsi="Times New Roman;Times;Serif"/>
          <w:b w:val="false"/>
          <w:i w:val="false"/>
          <w:caps w:val="false"/>
          <w:smallCaps w:val="false"/>
          <w:sz w:val="20"/>
        </w:rPr>
        <w:t xml:space="preserve"> increased 35.7% to $27.3 million compared to $20.1 million in the same period last year. The increase was primarily due to an increase of $4.2 million and $2.1 million in revenue related to </w:t>
      </w:r>
      <w:r>
        <w:rPr>
          <w:rFonts w:ascii="Times New Roman;Times;Serif" w:hAnsi="Times New Roman;Times;Serif"/>
          <w:b w:val="false"/>
          <w:i/>
          <w:caps w:val="false"/>
          <w:smallCaps w:val="false"/>
          <w:sz w:val="20"/>
        </w:rPr>
        <w:t>ASA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respectively, and a $2.5 million increase in deferred revenue recognized during the period, offset by a decrease in revenue from </w:t>
      </w:r>
      <w:r>
        <w:rPr>
          <w:rFonts w:ascii="Times New Roman;Times;Serif" w:hAnsi="Times New Roman;Times;Serif"/>
          <w:b w:val="false"/>
          <w:i/>
          <w:caps w:val="false"/>
          <w:smallCaps w:val="false"/>
          <w:sz w:val="20"/>
        </w:rPr>
        <w:t>ARK Mobile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ASE</w:t>
      </w:r>
      <w:r>
        <w:rPr>
          <w:rFonts w:ascii="Times New Roman;Times;Serif" w:hAnsi="Times New Roman;Times;Serif"/>
          <w:b w:val="false"/>
          <w:i w:val="false"/>
          <w:caps w:val="false"/>
          <w:smallCaps w:val="false"/>
          <w:sz w:val="20"/>
        </w:rPr>
        <w:t xml:space="preserve"> of $1.6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units sold</w:t>
      </w:r>
      <w:r>
        <w:rPr>
          <w:rFonts w:ascii="Times New Roman;Times;Serif" w:hAnsi="Times New Roman;Times;Serif"/>
          <w:b w:val="false"/>
          <w:i w:val="false"/>
          <w:caps w:val="false"/>
          <w:smallCaps w:val="false"/>
          <w:sz w:val="20"/>
        </w:rPr>
        <w:t xml:space="preserve"> increased 42.6% to 2.2 million units compared to 1.5 million units in the same period last year, primarily driven by an increase in sales of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IPs of 0.5 million units and </w:t>
      </w: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of 0.2 million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xml:space="preserve"> increased 210% to $2.1 million compared to a net loss of $1.9 million in the same period last year. The increase was primarily due to an increase in net revenue of $7.2 million and a decrease in total operating expenses of $0.3 million partially offset by an increase in provision for income taxes of $1.6 million, an increase in cost of revenues of $1.4 million and a decrease in total other income, net of $0.5 million.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jc w:val="center"/>
        <w:rPr>
          <w:caps w:val="false"/>
          <w:smallCaps w:val="false"/>
        </w:rPr>
      </w:pPr>
      <w:r>
        <w:rPr>
          <w:caps w:val="false"/>
          <w:smallCaps w:val="false"/>
        </w:rPr>
        <w:drawing>
          <wp:inline distT="0" distB="0" distL="0" distR="0">
            <wp:extent cx="1021080" cy="5867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1080" cy="586740"/>
                    </a:xfrm>
                    <a:prstGeom prst="rect">
                      <a:avLst/>
                    </a:prstGeom>
                  </pic:spPr>
                </pic:pic>
              </a:graphicData>
            </a:graphic>
          </wp:inline>
        </w:drawing>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Bookings</w:t>
      </w:r>
      <w:r>
        <w:rPr>
          <w:rFonts w:ascii="Times New Roman;Times;Serif" w:hAnsi="Times New Roman;Times;Serif"/>
          <w:b w:val="false"/>
          <w:i w:val="false"/>
          <w:caps w:val="false"/>
          <w:smallCaps w:val="false"/>
          <w:sz w:val="20"/>
        </w:rPr>
        <w:t xml:space="preserve"> increased 21.1% to $26.9 million compared to $22.2 million in the same period last year. The increase was primarily due to better sales promotions in 2026 compared to 2025, tailwind momentum from the December 2025 </w:t>
      </w:r>
      <w:r>
        <w:rPr>
          <w:rFonts w:ascii="Times New Roman;Times;Serif" w:hAnsi="Times New Roman;Times;Serif"/>
          <w:b w:val="false"/>
          <w:i/>
          <w:caps w:val="false"/>
          <w:smallCaps w:val="false"/>
          <w:sz w:val="20"/>
        </w:rPr>
        <w:t xml:space="preserve">ARK: Lost Colony DLC </w:t>
      </w:r>
      <w:r>
        <w:rPr>
          <w:rFonts w:ascii="Times New Roman;Times;Serif" w:hAnsi="Times New Roman;Times;Serif"/>
          <w:b w:val="false"/>
          <w:i w:val="false"/>
          <w:caps w:val="false"/>
          <w:smallCaps w:val="false"/>
          <w:sz w:val="20"/>
        </w:rPr>
        <w:t xml:space="preserve">release, and </w:t>
      </w:r>
      <w:r>
        <w:rPr>
          <w:rFonts w:ascii="Times New Roman;Times;Serif" w:hAnsi="Times New Roman;Times;Serif"/>
          <w:b w:val="false"/>
          <w:i/>
          <w:caps w:val="false"/>
          <w:smallCaps w:val="false"/>
          <w:sz w:val="20"/>
        </w:rPr>
        <w:t xml:space="preserve">Bellwright’s </w:t>
      </w:r>
      <w:r>
        <w:rPr>
          <w:rFonts w:ascii="Times New Roman;Times;Serif" w:hAnsi="Times New Roman;Times;Serif"/>
          <w:b w:val="false"/>
          <w:i w:val="false"/>
          <w:caps w:val="false"/>
          <w:smallCaps w:val="false"/>
          <w:sz w:val="20"/>
        </w:rPr>
        <w:t>highly regarded content update in late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xml:space="preserve"> increased 173.3% to $2.4 million compared to $(3.2) million in the same period last year. The increase was primarily due to an increase in net income of $4.1 million and a decrease in the benefit from income taxes of $1.6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t>
      </w:r>
      <w:r>
        <w:rPr>
          <w:rFonts w:ascii="Times New Roman;Times;Serif" w:hAnsi="Times New Roman;Times;Serif"/>
          <w:b/>
          <w:i w:val="false"/>
          <w:caps w:val="false"/>
          <w:smallCaps w:val="false"/>
          <w:sz w:val="20"/>
        </w:rPr>
        <w:t>unrestricted cash</w:t>
      </w:r>
      <w:r>
        <w:rPr>
          <w:rFonts w:ascii="Times New Roman;Times;Serif" w:hAnsi="Times New Roman;Times;Serif"/>
          <w:b w:val="false"/>
          <w:i w:val="false"/>
          <w:caps w:val="false"/>
          <w:smallCaps w:val="false"/>
          <w:sz w:val="20"/>
        </w:rPr>
        <w:t xml:space="preserve"> was $14.3 million compared to $8.6 million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financial results determined in accordance with U.S. generally accepted accounting principles, or GAAP, Snail believes Bookings and EBITDA, as non-GAAP measures, are useful in evaluating its operating performance. Bookings and EBITDA are non-GAAP financial measures that are presented as supplemental disclosures and should not be construed as alternatives to net income (loss) or revenue as indicators of operating performance, nor as alternatives to cash flow provided by operating activities as measures of liquidity, both as determined in accordance with GAAP. Snail supplementally presents Bookings and EBITDA because they are key operating measures used by management to assess financial performance. Bookings adjusts for the impact of deferrals and, Snail believes, provides a useful indicator of sales in a given period. Management believes Bookings and EBITDA are useful to investors and analysts in highlighting trends in Snail’s operating performance, while other measures can differ significantly depending on long-term strategic decisions regarding capital structure, the tax jurisdictions in which Snail operates and capital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Bookings is defined as the net amount of products and services sold digitally or physically in the period. Bookings is equal to revenues, excluding the impact from deferrals. Below is a reconciliation of total net revenue to Bookings, the closest GAAP financial measure.</w:t>
      </w:r>
    </w:p>
    <w:p>
      <w:pPr>
        <w:pStyle w:val="TextBody"/>
        <w:bidi w:val="0"/>
        <w:spacing w:before="0" w:after="0"/>
        <w:ind w:left="0" w:right="0" w:hanging="0"/>
        <w:jc w:val="left"/>
        <w:rPr>
          <w:caps w:val="false"/>
          <w:smallCaps w:val="false"/>
        </w:rPr>
      </w:pPr>
      <w:r>
        <w:rPr>
          <w:caps w:val="false"/>
          <w:smallCaps w:val="false"/>
        </w:rPr>
        <w:t> </w:t>
      </w:r>
    </w:p>
    <w:tbl>
      <w:tblPr>
        <w:tblW w:w="4866" w:type="dxa"/>
        <w:jc w:val="left"/>
        <w:tblInd w:w="0" w:type="dxa"/>
        <w:tblLayout w:type="fixed"/>
        <w:tblCellMar>
          <w:top w:w="0" w:type="dxa"/>
          <w:left w:w="0" w:type="dxa"/>
          <w:bottom w:w="0" w:type="dxa"/>
          <w:right w:w="0" w:type="dxa"/>
        </w:tblCellMar>
      </w:tblPr>
      <w:tblGrid>
        <w:gridCol w:w="3005"/>
        <w:gridCol w:w="60"/>
        <w:gridCol w:w="184"/>
        <w:gridCol w:w="578"/>
        <w:gridCol w:w="124"/>
        <w:gridCol w:w="78"/>
        <w:gridCol w:w="184"/>
        <w:gridCol w:w="578"/>
        <w:gridCol w:w="7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vAlign w:val="center"/>
          </w:tcPr>
          <w:p>
            <w:pPr>
              <w:pStyle w:val="TableContents"/>
              <w:bidi w:val="0"/>
              <w:spacing w:before="0" w:after="283"/>
              <w:jc w:val="center"/>
              <w:rPr>
                <w:b/>
              </w:rPr>
            </w:pPr>
            <w:r>
              <w:rPr>
                <w:b/>
              </w:rPr>
              <w:t>(in millions)</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Total net revenue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578" w:type="dxa"/>
            <w:tcBorders/>
            <w:shd w:fill="CCEEFF" w:val="clear"/>
            <w:vAlign w:val="center"/>
          </w:tcPr>
          <w:p>
            <w:pPr>
              <w:pStyle w:val="TableContents"/>
              <w:bidi w:val="0"/>
              <w:spacing w:before="0" w:after="283"/>
              <w:jc w:val="right"/>
              <w:rPr/>
            </w:pPr>
            <w:r>
              <w:rPr/>
              <w:t>27.3</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578" w:type="dxa"/>
            <w:tcBorders/>
            <w:shd w:fill="CCEEFF" w:val="clear"/>
            <w:vAlign w:val="center"/>
          </w:tcPr>
          <w:p>
            <w:pPr>
              <w:pStyle w:val="TableContents"/>
              <w:bidi w:val="0"/>
              <w:spacing w:before="0" w:after="283"/>
              <w:jc w:val="right"/>
              <w:rPr/>
            </w:pPr>
            <w:r>
              <w:rPr/>
              <w:t>20.1</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Change in deferred net revenue</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8" w:type="dxa"/>
            <w:tcBorders>
              <w:bottom w:val="single" w:sz="8" w:space="0" w:color="000000"/>
            </w:tcBorders>
            <w:shd w:fill="FFFFFF" w:val="clear"/>
            <w:tcMar>
              <w:bottom w:w="28" w:type="dxa"/>
            </w:tcMar>
            <w:vAlign w:val="center"/>
          </w:tcPr>
          <w:p>
            <w:pPr>
              <w:pStyle w:val="TableContents"/>
              <w:bidi w:val="0"/>
              <w:spacing w:before="0" w:after="283"/>
              <w:jc w:val="right"/>
              <w:rPr/>
            </w:pPr>
            <w:r>
              <w:rPr/>
              <w:t>(0.4</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8"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Bookings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8" w:type="dxa"/>
            <w:tcBorders>
              <w:bottom w:val="double" w:sz="6" w:space="0" w:color="000000"/>
            </w:tcBorders>
            <w:shd w:fill="CCEEFF" w:val="clear"/>
            <w:tcMar>
              <w:bottom w:w="28" w:type="dxa"/>
            </w:tcMar>
            <w:vAlign w:val="center"/>
          </w:tcPr>
          <w:p>
            <w:pPr>
              <w:pStyle w:val="TableContents"/>
              <w:bidi w:val="0"/>
              <w:spacing w:before="0" w:after="283"/>
              <w:jc w:val="right"/>
              <w:rPr/>
            </w:pPr>
            <w:r>
              <w:rPr/>
              <w:t>26.9</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8" w:type="dxa"/>
            <w:tcBorders>
              <w:bottom w:val="double" w:sz="6" w:space="0" w:color="000000"/>
            </w:tcBorders>
            <w:shd w:fill="CCEEFF" w:val="clear"/>
            <w:tcMar>
              <w:bottom w:w="28" w:type="dxa"/>
            </w:tcMar>
            <w:vAlign w:val="center"/>
          </w:tcPr>
          <w:p>
            <w:pPr>
              <w:pStyle w:val="TableContents"/>
              <w:bidi w:val="0"/>
              <w:spacing w:before="0" w:after="283"/>
              <w:jc w:val="right"/>
              <w:rPr/>
            </w:pPr>
            <w:r>
              <w:rPr/>
              <w:t>22.2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21080" cy="5867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1080" cy="58674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EBITDA as net income (loss) before (i) interest expense, (ii) interest income, (iii) provision for (benefit from) income taxes and (iv) depreciation expense. The following table provides a reconciliation from net income (loss) to EBITDA:</w:t>
      </w:r>
    </w:p>
    <w:p>
      <w:pPr>
        <w:pStyle w:val="TextBody"/>
        <w:bidi w:val="0"/>
        <w:spacing w:lineRule="auto" w:line="276" w:before="0" w:after="0"/>
        <w:ind w:left="0" w:right="0" w:hanging="0"/>
        <w:jc w:val="left"/>
        <w:rPr>
          <w:caps w:val="false"/>
          <w:smallCaps w:val="false"/>
        </w:rPr>
      </w:pPr>
      <w:r>
        <w:rPr>
          <w:caps w:val="false"/>
          <w:smallCaps w:val="false"/>
        </w:rPr>
        <w:t> </w:t>
      </w:r>
    </w:p>
    <w:tbl>
      <w:tblPr>
        <w:tblW w:w="6281" w:type="dxa"/>
        <w:jc w:val="left"/>
        <w:tblInd w:w="0" w:type="dxa"/>
        <w:tblLayout w:type="fixed"/>
        <w:tblCellMar>
          <w:top w:w="0" w:type="dxa"/>
          <w:left w:w="0" w:type="dxa"/>
          <w:bottom w:w="0" w:type="dxa"/>
          <w:right w:w="0" w:type="dxa"/>
        </w:tblCellMar>
      </w:tblPr>
      <w:tblGrid>
        <w:gridCol w:w="2885"/>
        <w:gridCol w:w="60"/>
        <w:gridCol w:w="405"/>
        <w:gridCol w:w="926"/>
        <w:gridCol w:w="173"/>
        <w:gridCol w:w="173"/>
        <w:gridCol w:w="405"/>
        <w:gridCol w:w="1144"/>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6" w:type="dxa"/>
            <w:gridSpan w:val="6"/>
            <w:tcBorders/>
            <w:vAlign w:val="center"/>
          </w:tcPr>
          <w:p>
            <w:pPr>
              <w:pStyle w:val="TableContents"/>
              <w:bidi w:val="0"/>
              <w:spacing w:before="0" w:after="283"/>
              <w:jc w:val="center"/>
              <w:rPr>
                <w:b/>
              </w:rPr>
            </w:pPr>
            <w:r>
              <w:rPr>
                <w:b/>
              </w:rPr>
              <w:t>(in millions)</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2.1</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0.2</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0.1</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Income tax (benefit) provision</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0.1</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b/>
              </w:rPr>
            </w:pPr>
            <w:r>
              <w:rPr>
                <w:b/>
              </w:rPr>
              <w:t>EBITDA</w:t>
            </w:r>
          </w:p>
        </w:tc>
        <w:tc>
          <w:tcPr>
            <w:tcW w:w="60" w:type="dxa"/>
            <w:tcBorders/>
            <w:shd w:fill="CCEEFF" w:val="clear"/>
            <w:vAlign w:val="center"/>
          </w:tcPr>
          <w:p>
            <w:pPr>
              <w:pStyle w:val="TableContents"/>
              <w:bidi w:val="0"/>
              <w:spacing w:before="0" w:after="283"/>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jc w:val="right"/>
              <w:rPr/>
            </w:pPr>
            <w:r>
              <w:rPr/>
              <w:t>2.4</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4" w:type="dxa"/>
            <w:tcBorders>
              <w:bottom w:val="double" w:sz="6" w:space="0" w:color="000000"/>
            </w:tcBorders>
            <w:shd w:fill="CCEEFF" w:val="clear"/>
            <w:tcMar>
              <w:bottom w:w="28" w:type="dxa"/>
            </w:tcMar>
            <w:vAlign w:val="center"/>
          </w:tcPr>
          <w:p>
            <w:pPr>
              <w:pStyle w:val="TableContents"/>
              <w:bidi w:val="0"/>
              <w:spacing w:before="0" w:after="283"/>
              <w:jc w:val="right"/>
              <w:rPr/>
            </w:pPr>
            <w:r>
              <w:rPr/>
              <w:t>(3.2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a webcast at 4:30 PM ET today to discuss its first quarter 2026 financial and operational results. Participants may access the live webcast and replay via the link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on the Company’s investor relations website at </w:t>
      </w:r>
      <w:r>
        <w:rPr>
          <w:rFonts w:ascii="Times New Roman;Times;Serif" w:hAnsi="Times New Roman;Times;Serif"/>
          <w:b w:val="false"/>
          <w:i w:val="false"/>
          <w:caps w:val="false"/>
          <w:smallCaps w:val="false"/>
          <w:sz w:val="20"/>
          <w:u w:val="single"/>
        </w:rPr>
        <w:t>https://investor.snail.com/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Snail,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Snail, Inc. (Nasdaq: SNAL) is a leading, global independent developer and publisher of interactive digital entertainment for consumers around the world, with a premier portfolio of premium games designed for use on a variety of platforms, including consoles, PCs, and mobile devices. For more information, please visit: </w:t>
      </w:r>
      <w:r>
        <w:rPr>
          <w:rFonts w:ascii="Times New Roman;Times;Serif" w:hAnsi="Times New Roman;Times;Serif"/>
          <w:b w:val="false"/>
          <w:i w:val="false"/>
          <w:caps w:val="false"/>
          <w:smallCaps w:val="false"/>
          <w:sz w:val="20"/>
          <w:u w:val="single"/>
        </w:rPr>
        <w:t>https://snail.com/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constitute forward-looking statements. Many of the forward-looking statements contained in this press release can be identified by the use of forward-looking words such as “anticipate,” “believe,” “could,” “expect,” “should,” “plan,” “intend,” “may,” “predict,” “continue,” “estimate” and “potential,” or the negative of these terms or other similar expressions. Forward-looking statements appear in a number of places in this press release and include, but are not limited to, statements regarding Snail’s intent, belief or current expectations. These forward-looking statements include information about possible or assumed future results of Snail’s business, financial condition, results of operations, liquidity, plans and objectives. The statements Snail makes regarding the following matters are forward-looking by their nature: exiting 2025 with tailwinds that position the Company for stronger and more stable growth and results; delivering year-over-year growth in Q2 driven by several upcoming ARK content releases; releasing Fantastic Tames Season 1 Expansion Pack in May 2026 and ARK Tides of Fortune alongside the remake of Genesis Part 1 coming to ASA in June 2026 providing a foundation for the quarter to build on; recognizing approximately $11 million of deferred revenue backlog upon the release of Genesis Part 1; continuing to execute on the Company’s strategy to become a fully integrated game developer and publisher; the upcoming AAA titles representing an important step toward building new franchises with the potential for multi-year to multi-decade game lifespans that can complement the scale of ASE and ASA; the eventual launch of the upcoming games positioning the Company to meaningfully diversify our revenue mix beyond ARK; sharing additional information on For the Stars, Nine Yin Sutra: Immortal, and Nine Yin Sutra: Wushu; the next 12-18 months being an inflection period for the Company as it advances its ARK pipeline and delivers on the investments it has have made across its broader pipeline; the Company being recognized not only for ARK, but as a developer and publisher of multiple renown IPs and titles; and remaining focused on unlocking the value of the Company pipeline and delivering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statements included herein reflect our current views, and they involve certain risks and uncertainties, including, among others, acceptance of our titles in the marketplace and the successful development, marketing or sale of our titles and our ability to retain our key employees or maintain our Nasdaq listing. These risks should not be construed as exhaustive and should be read together with the other cautionary statement included in our Annual Report on Form 10-K for the year ended December 31, 2025, subsequent Quarterly Reports on Form 10-Q and current reports on Form 8-K filed with the Securities and Exchange Commission. Any forward-looking statement speaks only as of the date on which it was initially made. We undertake no obligation to publicly update or revise any forward-looking statement, whether as a result of new information, future events, changed circumstances or otherwise, unless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Yi and Steven Shinmachi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Gateway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949-574-3860</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SNAL@gateway-grp.com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jc w:val="center"/>
        <w:rPr>
          <w:caps w:val="false"/>
          <w:smallCaps w:val="false"/>
        </w:rPr>
      </w:pPr>
      <w:r>
        <w:rPr>
          <w:caps w:val="false"/>
          <w:smallCaps w:val="false"/>
        </w:rPr>
        <w:drawing>
          <wp:inline distT="0" distB="0" distL="0" distR="0">
            <wp:extent cx="1021080" cy="5867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1080" cy="586740"/>
                    </a:xfrm>
                    <a:prstGeom prst="rect">
                      <a:avLst/>
                    </a:prstGeom>
                  </pic:spPr>
                </pic:pic>
              </a:graphicData>
            </a:graphic>
          </wp:inline>
        </w:drawing>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as of March 31, 2026 and December 31, 2025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51"/>
        <w:gridCol w:w="60"/>
        <w:gridCol w:w="146"/>
        <w:gridCol w:w="1229"/>
        <w:gridCol w:w="95"/>
        <w:gridCol w:w="60"/>
        <w:gridCol w:w="154"/>
        <w:gridCol w:w="1297"/>
        <w:gridCol w:w="113"/>
      </w:tblGrid>
      <w:tr>
        <w:trPr/>
        <w:tc>
          <w:tcPr>
            <w:tcW w:w="70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December 31, 2025</w:t>
            </w:r>
          </w:p>
        </w:tc>
        <w:tc>
          <w:tcPr>
            <w:tcW w:w="113" w:type="dxa"/>
            <w:tcBorders/>
            <w:vAlign w:val="center"/>
          </w:tcPr>
          <w:p>
            <w:pPr>
              <w:pStyle w:val="TableContents"/>
              <w:bidi w:val="0"/>
              <w:spacing w:before="0" w:after="283"/>
              <w:jc w:val="left"/>
              <w:rPr/>
            </w:pPr>
            <w:r>
              <w:rPr/>
              <w:t> </w:t>
            </w:r>
          </w:p>
        </w:tc>
      </w:tr>
      <w:tr>
        <w:trPr/>
        <w:tc>
          <w:tcPr>
            <w:tcW w:w="7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229" w:type="dxa"/>
            <w:tcBorders/>
            <w:shd w:fill="FFFFFF" w:val="clear"/>
            <w:vAlign w:val="center"/>
          </w:tcPr>
          <w:p>
            <w:pPr>
              <w:pStyle w:val="TableContents"/>
              <w:bidi w:val="0"/>
              <w:spacing w:before="0" w:after="283"/>
              <w:jc w:val="right"/>
              <w:rPr/>
            </w:pPr>
            <w:r>
              <w:rPr/>
              <w:t>14,259,168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97" w:type="dxa"/>
            <w:tcBorders/>
            <w:shd w:fill="FFFFFF" w:val="clear"/>
            <w:vAlign w:val="center"/>
          </w:tcPr>
          <w:p>
            <w:pPr>
              <w:pStyle w:val="TableContents"/>
              <w:bidi w:val="0"/>
              <w:spacing w:before="0" w:after="283"/>
              <w:jc w:val="right"/>
              <w:rPr/>
            </w:pPr>
            <w:r>
              <w:rPr/>
              <w:t>8,568,164</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187,000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187,000</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Accounts receivable, net of allowances for credit losses of $523,500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9,206,357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12,528,347</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Loan and interest receivable – related party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108,252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107,759</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Prepaid expenses – related party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2,647,267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2,700,474</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1,485,655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2,232,485</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Prepaid taxes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904,099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FFFFFF" w:val="clear"/>
            <w:tcMar>
              <w:bottom w:w="28" w:type="dxa"/>
            </w:tcMar>
            <w:vAlign w:val="center"/>
          </w:tcPr>
          <w:p>
            <w:pPr>
              <w:pStyle w:val="TableContents"/>
              <w:bidi w:val="0"/>
              <w:spacing w:before="0" w:after="283"/>
              <w:jc w:val="right"/>
              <w:rPr/>
            </w:pPr>
            <w:r>
              <w:rPr/>
              <w:t>4,734,007</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28,797,798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31,058,236</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Restricted cash and cash equivalents, net of current portion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1,748,000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1,748,000</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Prepaid expenses – related party, net of current portion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8,229,767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8,282,974</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4,133,441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4,146,175</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3,848,124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3,827,927</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Intangible assets, net – related party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4,666,667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4,916,667</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Other noncurrent assets, net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836,060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604,793</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4,581,907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CCEEFF" w:val="clear"/>
            <w:tcMar>
              <w:bottom w:w="28" w:type="dxa"/>
            </w:tcMar>
            <w:vAlign w:val="center"/>
          </w:tcPr>
          <w:p>
            <w:pPr>
              <w:pStyle w:val="TableContents"/>
              <w:bidi w:val="0"/>
              <w:spacing w:before="0" w:after="283"/>
              <w:jc w:val="right"/>
              <w:rPr/>
            </w:pPr>
            <w:r>
              <w:rPr/>
              <w:t>4,722,366</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9" w:type="dxa"/>
            <w:tcBorders>
              <w:bottom w:val="double" w:sz="6" w:space="0" w:color="000000"/>
            </w:tcBorders>
            <w:shd w:fill="FFFFFF" w:val="clear"/>
            <w:tcMar>
              <w:bottom w:w="28" w:type="dxa"/>
            </w:tcMar>
            <w:vAlign w:val="center"/>
          </w:tcPr>
          <w:p>
            <w:pPr>
              <w:pStyle w:val="TableContents"/>
              <w:bidi w:val="0"/>
              <w:spacing w:before="0" w:after="283"/>
              <w:jc w:val="right"/>
              <w:rPr/>
            </w:pPr>
            <w:r>
              <w:rPr/>
              <w:t>56,841,764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7" w:type="dxa"/>
            <w:tcBorders>
              <w:bottom w:val="double" w:sz="6" w:space="0" w:color="000000"/>
            </w:tcBorders>
            <w:shd w:fill="FFFFFF" w:val="clear"/>
            <w:tcMar>
              <w:bottom w:w="28" w:type="dxa"/>
            </w:tcMar>
            <w:vAlign w:val="center"/>
          </w:tcPr>
          <w:p>
            <w:pPr>
              <w:pStyle w:val="TableContents"/>
              <w:bidi w:val="0"/>
              <w:spacing w:before="0" w:after="283"/>
              <w:jc w:val="right"/>
              <w:rPr/>
            </w:pPr>
            <w:r>
              <w:rPr/>
              <w:t>59,307,138</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b/>
              </w:rPr>
            </w:pPr>
            <w:r>
              <w:rPr>
                <w:b/>
              </w:rPr>
              <w:t>LIABILITIES, NONCONTROLLING INTERESTS AND STOCKHOLDERS’ DEFICIT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3,907,540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5,506,332</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Accounts payable – related parties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21,648,949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20,067,013</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3,267,643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3,364,150</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Interest payable – related parties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527,770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527,770</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Convertible notes at fair value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2,382,255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3,842,189</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1,329,123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1,305,880</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Current portion of deferred revenue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14,533,507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14,799,840</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441,316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FFFFFF" w:val="clear"/>
            <w:tcMar>
              <w:bottom w:w="28" w:type="dxa"/>
            </w:tcMar>
            <w:vAlign w:val="center"/>
          </w:tcPr>
          <w:p>
            <w:pPr>
              <w:pStyle w:val="TableContents"/>
              <w:bidi w:val="0"/>
              <w:spacing w:before="0" w:after="283"/>
              <w:jc w:val="right"/>
              <w:rPr/>
            </w:pPr>
            <w:r>
              <w:rPr/>
              <w:t>393,448</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48,038,103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49,806,622</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625,354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468,106</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Revolving loan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2,500,000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5,000,000</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Long-term debt, net of current portion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3,974,176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4,292,538</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17,190,514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17,282,685</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4,234,747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CCEEFF" w:val="clear"/>
            <w:tcMar>
              <w:bottom w:w="28" w:type="dxa"/>
            </w:tcMar>
            <w:vAlign w:val="center"/>
          </w:tcPr>
          <w:p>
            <w:pPr>
              <w:pStyle w:val="TableContents"/>
              <w:bidi w:val="0"/>
              <w:spacing w:before="0" w:after="283"/>
              <w:jc w:val="right"/>
              <w:rPr/>
            </w:pPr>
            <w:r>
              <w:rPr/>
              <w:t>4,336,240</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76,562,894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FFFFFF" w:val="clear"/>
            <w:tcMar>
              <w:bottom w:w="28" w:type="dxa"/>
            </w:tcMar>
            <w:vAlign w:val="center"/>
          </w:tcPr>
          <w:p>
            <w:pPr>
              <w:pStyle w:val="TableContents"/>
              <w:bidi w:val="0"/>
              <w:spacing w:before="0" w:after="283"/>
              <w:jc w:val="right"/>
              <w:rPr/>
            </w:pPr>
            <w:r>
              <w:rPr/>
              <w:t>81,186,191</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Class A common stock, $0.0001 par value, 500,000,000 shares authorized; 10,415,669 shares issued and 9,065,394 shares outstanding as of March 31, 2026, and 10,382,336 shares issued and 9,032,061 shares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1,038</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Class B common stock, $0.0001 par value, 100,000,000 shares authorized; 28,748,580 shares issued and outstanding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2,875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2,875</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26,967,992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26,923,115</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(296,562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(275,049</w:t>
            </w:r>
          </w:p>
        </w:tc>
        <w:tc>
          <w:tcPr>
            <w:tcW w:w="113" w:type="dxa"/>
            <w:tcBorders/>
            <w:shd w:fill="CCEEFF" w:val="clear"/>
            <w:vAlign w:val="center"/>
          </w:tcPr>
          <w:p>
            <w:pPr>
              <w:pStyle w:val="TableContents"/>
              <w:bidi w:val="0"/>
              <w:spacing w:before="0" w:after="283"/>
              <w:jc w:val="left"/>
              <w:rPr/>
            </w:pPr>
            <w:r>
              <w:rPr/>
              <w:t>)</w:t>
            </w:r>
          </w:p>
        </w:tc>
      </w:tr>
      <w:tr>
        <w:trPr/>
        <w:tc>
          <w:tcPr>
            <w:tcW w:w="7051"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(37,217,804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(39,352,510</w:t>
            </w:r>
          </w:p>
        </w:tc>
        <w:tc>
          <w:tcPr>
            <w:tcW w:w="113" w:type="dxa"/>
            <w:tcBorders/>
            <w:shd w:fill="FFFFFF" w:val="clear"/>
            <w:vAlign w:val="center"/>
          </w:tcPr>
          <w:p>
            <w:pPr>
              <w:pStyle w:val="TableContents"/>
              <w:bidi w:val="0"/>
              <w:spacing w:before="0" w:after="283"/>
              <w:jc w:val="left"/>
              <w:rPr/>
            </w:pPr>
            <w:r>
              <w:rPr/>
              <w:t>)</w:t>
            </w:r>
          </w:p>
        </w:tc>
      </w:tr>
      <w:tr>
        <w:trPr/>
        <w:tc>
          <w:tcPr>
            <w:tcW w:w="7051" w:type="dxa"/>
            <w:tcBorders/>
            <w:shd w:fill="CCEEFF" w:val="clear"/>
            <w:vAlign w:val="center"/>
          </w:tcPr>
          <w:p>
            <w:pPr>
              <w:pStyle w:val="TableContents"/>
              <w:bidi w:val="0"/>
              <w:spacing w:before="0" w:after="283"/>
              <w:jc w:val="left"/>
              <w:rPr/>
            </w:pPr>
            <w:r>
              <w:rPr/>
              <w:t>Treasury stock at cost (1,350,275 shares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(3,671,806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CCEEFF" w:val="clear"/>
            <w:tcMar>
              <w:bottom w:w="28" w:type="dxa"/>
            </w:tcMar>
            <w:vAlign w:val="center"/>
          </w:tcPr>
          <w:p>
            <w:pPr>
              <w:pStyle w:val="TableContents"/>
              <w:bidi w:val="0"/>
              <w:spacing w:before="0" w:after="283"/>
              <w:jc w:val="right"/>
              <w:rPr/>
            </w:pPr>
            <w:r>
              <w:rPr/>
              <w:t>(3,671,806</w:t>
            </w:r>
          </w:p>
        </w:tc>
        <w:tc>
          <w:tcPr>
            <w:tcW w:w="113" w:type="dxa"/>
            <w:tcBorders/>
            <w:shd w:fill="CCEEFF" w:val="clear"/>
            <w:vAlign w:val="center"/>
          </w:tcPr>
          <w:p>
            <w:pPr>
              <w:pStyle w:val="TableContents"/>
              <w:bidi w:val="0"/>
              <w:spacing w:before="0" w:after="283"/>
              <w:jc w:val="left"/>
              <w:rPr/>
            </w:pPr>
            <w:r>
              <w:rPr/>
              <w:t>)</w:t>
            </w:r>
          </w:p>
        </w:tc>
      </w:tr>
      <w:tr>
        <w:trPr/>
        <w:tc>
          <w:tcPr>
            <w:tcW w:w="7051" w:type="dxa"/>
            <w:tcBorders/>
            <w:shd w:fill="FFFFFF" w:val="clear"/>
            <w:vAlign w:val="center"/>
          </w:tcPr>
          <w:p>
            <w:pPr>
              <w:pStyle w:val="TableContents"/>
              <w:bidi w:val="0"/>
              <w:spacing w:before="0" w:after="283"/>
              <w:jc w:val="left"/>
              <w:rPr/>
            </w:pPr>
            <w:r>
              <w:rPr/>
              <w:t>Total Snail, Inc. deficit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(14,214,264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(16,372,337</w:t>
            </w:r>
          </w:p>
        </w:tc>
        <w:tc>
          <w:tcPr>
            <w:tcW w:w="113" w:type="dxa"/>
            <w:tcBorders/>
            <w:shd w:fill="FFFFFF" w:val="clear"/>
            <w:vAlign w:val="center"/>
          </w:tcPr>
          <w:p>
            <w:pPr>
              <w:pStyle w:val="TableContents"/>
              <w:bidi w:val="0"/>
              <w:spacing w:before="0" w:after="283"/>
              <w:jc w:val="left"/>
              <w:rPr/>
            </w:pPr>
            <w:r>
              <w:rPr/>
              <w:t>)</w:t>
            </w:r>
          </w:p>
        </w:tc>
      </w:tr>
      <w:tr>
        <w:trPr/>
        <w:tc>
          <w:tcPr>
            <w:tcW w:w="7051"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(5,506,866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CCEEFF" w:val="clear"/>
            <w:tcMar>
              <w:bottom w:w="28" w:type="dxa"/>
            </w:tcMar>
            <w:vAlign w:val="center"/>
          </w:tcPr>
          <w:p>
            <w:pPr>
              <w:pStyle w:val="TableContents"/>
              <w:bidi w:val="0"/>
              <w:spacing w:before="0" w:after="283"/>
              <w:jc w:val="right"/>
              <w:rPr/>
            </w:pPr>
            <w:r>
              <w:rPr/>
              <w:t>(5,506,716</w:t>
            </w:r>
          </w:p>
        </w:tc>
        <w:tc>
          <w:tcPr>
            <w:tcW w:w="113" w:type="dxa"/>
            <w:tcBorders/>
            <w:shd w:fill="CCEEFF" w:val="clear"/>
            <w:vAlign w:val="center"/>
          </w:tcPr>
          <w:p>
            <w:pPr>
              <w:pStyle w:val="TableContents"/>
              <w:bidi w:val="0"/>
              <w:spacing w:before="0" w:after="283"/>
              <w:jc w:val="left"/>
              <w:rPr/>
            </w:pPr>
            <w:r>
              <w:rPr/>
              <w:t>)</w:t>
            </w:r>
          </w:p>
        </w:tc>
      </w:tr>
      <w:tr>
        <w:trPr/>
        <w:tc>
          <w:tcPr>
            <w:tcW w:w="7051" w:type="dxa"/>
            <w:tcBorders/>
            <w:shd w:fill="FFFFFF" w:val="clear"/>
            <w:vAlign w:val="center"/>
          </w:tcPr>
          <w:p>
            <w:pPr>
              <w:pStyle w:val="TableContents"/>
              <w:bidi w:val="0"/>
              <w:spacing w:before="0" w:after="283"/>
              <w:jc w:val="left"/>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(19,721,130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FFFFFF" w:val="clear"/>
            <w:tcMar>
              <w:bottom w:w="28" w:type="dxa"/>
            </w:tcMar>
            <w:vAlign w:val="center"/>
          </w:tcPr>
          <w:p>
            <w:pPr>
              <w:pStyle w:val="TableContents"/>
              <w:bidi w:val="0"/>
              <w:spacing w:before="0" w:after="283"/>
              <w:jc w:val="right"/>
              <w:rPr/>
            </w:pPr>
            <w:r>
              <w:rPr/>
              <w:t>(21,879,053</w:t>
            </w:r>
          </w:p>
        </w:tc>
        <w:tc>
          <w:tcPr>
            <w:tcW w:w="113" w:type="dxa"/>
            <w:tcBorders/>
            <w:shd w:fill="FFFFFF" w:val="clear"/>
            <w:vAlign w:val="center"/>
          </w:tcPr>
          <w:p>
            <w:pPr>
              <w:pStyle w:val="TableContents"/>
              <w:bidi w:val="0"/>
              <w:spacing w:before="0" w:after="283"/>
              <w:jc w:val="left"/>
              <w:rPr/>
            </w:pPr>
            <w:r>
              <w:rPr/>
              <w:t>)</w:t>
            </w:r>
          </w:p>
        </w:tc>
      </w:tr>
      <w:tr>
        <w:trPr/>
        <w:tc>
          <w:tcPr>
            <w:tcW w:w="7051" w:type="dxa"/>
            <w:tcBorders/>
            <w:shd w:fill="CCEEFF" w:val="clear"/>
            <w:vAlign w:val="center"/>
          </w:tcPr>
          <w:p>
            <w:pPr>
              <w:pStyle w:val="TableContents"/>
              <w:bidi w:val="0"/>
              <w:spacing w:before="0" w:after="283"/>
              <w:jc w:val="left"/>
              <w:rPr/>
            </w:pPr>
            <w:r>
              <w:rPr/>
              <w:t>Total liabilities, noncontrolling interests and stockholders’ deficit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jc w:val="right"/>
              <w:rPr/>
            </w:pPr>
            <w:r>
              <w:rPr/>
              <w:t>56,841,764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7" w:type="dxa"/>
            <w:tcBorders>
              <w:bottom w:val="double" w:sz="6" w:space="0" w:color="000000"/>
            </w:tcBorders>
            <w:shd w:fill="CCEEFF" w:val="clear"/>
            <w:tcMar>
              <w:bottom w:w="28" w:type="dxa"/>
            </w:tcMar>
            <w:vAlign w:val="center"/>
          </w:tcPr>
          <w:p>
            <w:pPr>
              <w:pStyle w:val="TableContents"/>
              <w:bidi w:val="0"/>
              <w:spacing w:before="0" w:after="283"/>
              <w:jc w:val="right"/>
              <w:rPr/>
            </w:pPr>
            <w:r>
              <w:rPr/>
              <w:t>59,307,138</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jc w:val="center"/>
        <w:rPr>
          <w:caps w:val="false"/>
          <w:smallCaps w:val="false"/>
        </w:rPr>
      </w:pPr>
      <w:r>
        <w:rPr>
          <w:caps w:val="false"/>
          <w:smallCaps w:val="false"/>
        </w:rPr>
        <w:t> </w:t>
      </w:r>
    </w:p>
    <w:p>
      <w:pPr>
        <w:pStyle w:val="TextBody"/>
        <w:bidi w:val="0"/>
        <w:spacing w:lineRule="auto" w:line="276" w:before="0" w:after="0"/>
        <w:jc w:val="center"/>
        <w:rPr>
          <w:caps w:val="false"/>
          <w:smallCaps w:val="false"/>
        </w:rPr>
      </w:pPr>
      <w:r>
        <w:rPr>
          <w:caps w:val="false"/>
          <w:smallCaps w:val="false"/>
        </w:rPr>
        <w:drawing>
          <wp:inline distT="0" distB="0" distL="0" distR="0">
            <wp:extent cx="1021080" cy="58674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1080" cy="586740"/>
                    </a:xfrm>
                    <a:prstGeom prst="rect">
                      <a:avLst/>
                    </a:prstGeom>
                  </pic:spPr>
                </pic:pic>
              </a:graphicData>
            </a:graphic>
          </wp:inline>
        </w:drawing>
      </w:r>
    </w:p>
    <w:p>
      <w:pPr>
        <w:pStyle w:val="TextBody"/>
        <w:bidi w:val="0"/>
        <w:spacing w:lineRule="auto" w:line="276"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Income (Loss) for the Three months Ended March 31, 2026 and 2025 (Unaudited)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75"/>
        <w:gridCol w:w="60"/>
        <w:gridCol w:w="156"/>
        <w:gridCol w:w="1235"/>
        <w:gridCol w:w="106"/>
        <w:gridCol w:w="67"/>
        <w:gridCol w:w="156"/>
        <w:gridCol w:w="1235"/>
        <w:gridCol w:w="115"/>
      </w:tblGrid>
      <w:tr>
        <w:trPr/>
        <w:tc>
          <w:tcPr>
            <w:tcW w:w="7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5" w:type="dxa"/>
            <w:tcBorders/>
            <w:vAlign w:val="center"/>
          </w:tcPr>
          <w:p>
            <w:pPr>
              <w:pStyle w:val="TableContents"/>
              <w:bidi w:val="0"/>
              <w:spacing w:before="0" w:after="283"/>
              <w:jc w:val="left"/>
              <w:rPr/>
            </w:pPr>
            <w:r>
              <w:rPr/>
              <w:t> </w:t>
            </w:r>
          </w:p>
        </w:tc>
      </w:tr>
      <w:tr>
        <w:trPr/>
        <w:tc>
          <w:tcPr>
            <w:tcW w:w="7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5" w:type="dxa"/>
            <w:tcBorders/>
            <w:vAlign w:val="center"/>
          </w:tcPr>
          <w:p>
            <w:pPr>
              <w:pStyle w:val="TableContents"/>
              <w:bidi w:val="0"/>
              <w:spacing w:before="0" w:after="283"/>
              <w:jc w:val="left"/>
              <w:rPr/>
            </w:pPr>
            <w:r>
              <w:rPr/>
              <w:t> </w:t>
            </w:r>
          </w:p>
        </w:tc>
      </w:tr>
      <w:tr>
        <w:trPr/>
        <w:tc>
          <w:tcPr>
            <w:tcW w:w="70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vAlign w:val="center"/>
          </w:tcPr>
          <w:p>
            <w:pPr>
              <w:pStyle w:val="TableContents"/>
              <w:bidi w:val="0"/>
              <w:spacing w:before="0" w:after="283"/>
              <w:jc w:val="right"/>
              <w:rPr/>
            </w:pPr>
            <w:r>
              <w:rPr/>
              <w:t> </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91"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27,294,654</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20,110,872</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15,638,213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14,263,345</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11,656,441</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5,847,527</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4,650,757</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4,964,351</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4,014,669</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3,609,745</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868,789</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1,306,365</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12,734</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67,904</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Impairment expenses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69,149</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9,616,098</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9,948,365</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2,040,343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(4,100,838</w:t>
            </w:r>
          </w:p>
        </w:tc>
        <w:tc>
          <w:tcPr>
            <w:tcW w:w="115" w:type="dxa"/>
            <w:tcBorders/>
            <w:shd w:fill="FFFFFF" w:val="clear"/>
            <w:vAlign w:val="center"/>
          </w:tcPr>
          <w:p>
            <w:pPr>
              <w:pStyle w:val="TableContents"/>
              <w:bidi w:val="0"/>
              <w:spacing w:before="0" w:after="283"/>
              <w:jc w:val="left"/>
              <w:rPr/>
            </w:pPr>
            <w:r>
              <w:rPr/>
              <w:t>)</w:t>
            </w:r>
          </w:p>
        </w:tc>
      </w:tr>
      <w:tr>
        <w:trPr/>
        <w:tc>
          <w:tcPr>
            <w:tcW w:w="7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41,847</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29,906</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Interest income – related parties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493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493</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(206,046</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(80,828</w:t>
            </w:r>
          </w:p>
        </w:tc>
        <w:tc>
          <w:tcPr>
            <w:tcW w:w="115" w:type="dxa"/>
            <w:tcBorders/>
            <w:shd w:fill="CCEEFF" w:val="clear"/>
            <w:vAlign w:val="center"/>
          </w:tcPr>
          <w:p>
            <w:pPr>
              <w:pStyle w:val="TableContents"/>
              <w:bidi w:val="0"/>
              <w:spacing w:before="0" w:after="283"/>
              <w:jc w:val="left"/>
              <w:rPr/>
            </w:pPr>
            <w:r>
              <w:rPr/>
              <w:t>)</w:t>
            </w:r>
          </w:p>
        </w:tc>
      </w:tr>
      <w:tr>
        <w:trPr/>
        <w:tc>
          <w:tcPr>
            <w:tcW w:w="707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355,051</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769,762</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Foreign currency transaction gain (loss)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9,692</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(36,288</w:t>
            </w:r>
          </w:p>
        </w:tc>
        <w:tc>
          <w:tcPr>
            <w:tcW w:w="115" w:type="dxa"/>
            <w:tcBorders/>
            <w:shd w:fill="CCEEFF" w:val="clear"/>
            <w:vAlign w:val="center"/>
          </w:tcPr>
          <w:p>
            <w:pPr>
              <w:pStyle w:val="TableContents"/>
              <w:bidi w:val="0"/>
              <w:spacing w:before="0" w:after="283"/>
              <w:jc w:val="left"/>
              <w:rPr/>
            </w:pPr>
            <w:r>
              <w:rPr/>
              <w:t>)</w:t>
            </w:r>
          </w:p>
        </w:tc>
      </w:tr>
      <w:tr>
        <w:trPr/>
        <w:tc>
          <w:tcPr>
            <w:tcW w:w="7075"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201,037</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683,045</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Income (loss) before 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2,241,380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(3,417,793</w:t>
            </w:r>
          </w:p>
        </w:tc>
        <w:tc>
          <w:tcPr>
            <w:tcW w:w="115" w:type="dxa"/>
            <w:tcBorders/>
            <w:shd w:fill="FFFFFF" w:val="clear"/>
            <w:vAlign w:val="center"/>
          </w:tcPr>
          <w:p>
            <w:pPr>
              <w:pStyle w:val="TableContents"/>
              <w:bidi w:val="0"/>
              <w:spacing w:before="0" w:after="283"/>
              <w:jc w:val="left"/>
              <w:rPr/>
            </w:pPr>
            <w:r>
              <w:rPr/>
              <w:t>)</w:t>
            </w:r>
          </w:p>
        </w:tc>
      </w:tr>
      <w:tr>
        <w:trPr/>
        <w:tc>
          <w:tcPr>
            <w:tcW w:w="7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106,824</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(1,470,830</w:t>
            </w:r>
          </w:p>
        </w:tc>
        <w:tc>
          <w:tcPr>
            <w:tcW w:w="115" w:type="dxa"/>
            <w:tcBorders/>
            <w:shd w:fill="FFFFFF" w:val="clear"/>
            <w:vAlign w:val="center"/>
          </w:tcPr>
          <w:p>
            <w:pPr>
              <w:pStyle w:val="TableContents"/>
              <w:bidi w:val="0"/>
              <w:spacing w:before="0" w:after="283"/>
              <w:jc w:val="left"/>
              <w:rPr/>
            </w:pPr>
            <w:r>
              <w:rPr/>
              <w:t>)</w:t>
            </w:r>
          </w:p>
        </w:tc>
      </w:tr>
      <w:tr>
        <w:trPr/>
        <w:tc>
          <w:tcPr>
            <w:tcW w:w="7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2,134,556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(1,946,963</w:t>
            </w:r>
          </w:p>
        </w:tc>
        <w:tc>
          <w:tcPr>
            <w:tcW w:w="115" w:type="dxa"/>
            <w:tcBorders/>
            <w:shd w:fill="FFFFFF" w:val="clear"/>
            <w:vAlign w:val="center"/>
          </w:tcPr>
          <w:p>
            <w:pPr>
              <w:pStyle w:val="TableContents"/>
              <w:bidi w:val="0"/>
              <w:spacing w:before="0" w:after="283"/>
              <w:jc w:val="left"/>
              <w:rPr/>
            </w:pPr>
            <w:r>
              <w:rPr/>
              <w:t>)</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(150</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(956</w:t>
            </w:r>
          </w:p>
        </w:tc>
        <w:tc>
          <w:tcPr>
            <w:tcW w:w="115" w:type="dxa"/>
            <w:tcBorders/>
            <w:shd w:fill="FFFFFF" w:val="clear"/>
            <w:vAlign w:val="center"/>
          </w:tcPr>
          <w:p>
            <w:pPr>
              <w:pStyle w:val="TableContents"/>
              <w:bidi w:val="0"/>
              <w:spacing w:before="0" w:after="283"/>
              <w:jc w:val="left"/>
              <w:rPr/>
            </w:pPr>
            <w:r>
              <w:rPr/>
              <w:t>)</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Net income (loss) attributable to Snail, Inc.</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pPr>
            <w:r>
              <w:rPr/>
              <w:t>2,134,706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pPr>
            <w:r>
              <w:rPr/>
              <w:t>(1,946,007</w:t>
            </w:r>
          </w:p>
        </w:tc>
        <w:tc>
          <w:tcPr>
            <w:tcW w:w="115" w:type="dxa"/>
            <w:tcBorders/>
            <w:shd w:fill="FFFFFF" w:val="clear"/>
            <w:vAlign w:val="center"/>
          </w:tcPr>
          <w:p>
            <w:pPr>
              <w:pStyle w:val="TableContents"/>
              <w:bidi w:val="0"/>
              <w:spacing w:before="0" w:after="283"/>
              <w:jc w:val="left"/>
              <w:rPr/>
            </w:pPr>
            <w:r>
              <w:rPr/>
              <w:t>)</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b/>
              </w:rPr>
            </w:pPr>
            <w:r>
              <w:rPr>
                <w:b/>
              </w:rPr>
              <w:t>Comprehensive income (loss) statement: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2,134,556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(1,946,963</w:t>
            </w:r>
          </w:p>
        </w:tc>
        <w:tc>
          <w:tcPr>
            <w:tcW w:w="115" w:type="dxa"/>
            <w:tcBorders/>
            <w:shd w:fill="FFFFFF" w:val="clear"/>
            <w:vAlign w:val="center"/>
          </w:tcPr>
          <w:p>
            <w:pPr>
              <w:pStyle w:val="TableContents"/>
              <w:bidi w:val="0"/>
              <w:spacing w:before="0" w:after="283"/>
              <w:jc w:val="left"/>
              <w:rPr/>
            </w:pPr>
            <w:r>
              <w:rPr/>
              <w:t>)</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Other comprehensive income (loss) related to foreign currency translation adjustments, net of tax</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(26,823</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33,232</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Other comprehensive income related to credit adjustments, net of tax</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5,310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22,023</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Total comprehensive income (loss)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pPr>
            <w:r>
              <w:rPr/>
              <w:t>2,113,043</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pPr>
            <w:r>
              <w:rPr/>
              <w:t>(1,891,708</w:t>
            </w:r>
          </w:p>
        </w:tc>
        <w:tc>
          <w:tcPr>
            <w:tcW w:w="115" w:type="dxa"/>
            <w:tcBorders/>
            <w:shd w:fill="CCEEFF" w:val="clear"/>
            <w:vAlign w:val="center"/>
          </w:tcPr>
          <w:p>
            <w:pPr>
              <w:pStyle w:val="TableContents"/>
              <w:bidi w:val="0"/>
              <w:spacing w:before="0" w:after="283"/>
              <w:jc w:val="left"/>
              <w:rPr/>
            </w:pPr>
            <w:r>
              <w:rPr/>
              <w:t>)</w:t>
            </w:r>
          </w:p>
        </w:tc>
      </w:tr>
      <w:tr>
        <w:trPr/>
        <w:tc>
          <w:tcPr>
            <w:tcW w:w="7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b/>
              </w:rPr>
            </w:pPr>
            <w:r>
              <w:rPr>
                <w:b/>
              </w:rPr>
              <w:t>Net income (loss)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510,510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(441,731</w:t>
            </w:r>
          </w:p>
        </w:tc>
        <w:tc>
          <w:tcPr>
            <w:tcW w:w="115" w:type="dxa"/>
            <w:tcBorders/>
            <w:shd w:fill="FFFFFF" w:val="clear"/>
            <w:vAlign w:val="center"/>
          </w:tcPr>
          <w:p>
            <w:pPr>
              <w:pStyle w:val="TableContents"/>
              <w:bidi w:val="0"/>
              <w:spacing w:before="0" w:after="283"/>
              <w:jc w:val="left"/>
              <w:rPr>
                <w:b/>
              </w:rPr>
            </w:pPr>
            <w:r>
              <w:rPr>
                <w:b/>
              </w:rPr>
              <w:t>)</w:t>
            </w:r>
          </w:p>
        </w:tc>
      </w:tr>
      <w:tr>
        <w:trPr/>
        <w:tc>
          <w:tcPr>
            <w:tcW w:w="707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510,843</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(521,393</w:t>
            </w:r>
          </w:p>
        </w:tc>
        <w:tc>
          <w:tcPr>
            <w:tcW w:w="115" w:type="dxa"/>
            <w:tcBorders/>
            <w:shd w:fill="CCEEFF" w:val="clear"/>
            <w:vAlign w:val="center"/>
          </w:tcPr>
          <w:p>
            <w:pPr>
              <w:pStyle w:val="TableContents"/>
              <w:bidi w:val="0"/>
              <w:spacing w:before="0" w:after="283"/>
              <w:jc w:val="left"/>
              <w:rPr>
                <w:b/>
              </w:rPr>
            </w:pPr>
            <w:r>
              <w:rPr>
                <w:b/>
              </w:rPr>
              <w:t>)</w:t>
            </w:r>
          </w:p>
        </w:tc>
      </w:tr>
      <w:tr>
        <w:trPr/>
        <w:tc>
          <w:tcPr>
            <w:tcW w:w="7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b/>
              </w:rPr>
            </w:pPr>
            <w:r>
              <w:rPr>
                <w:b/>
              </w:rPr>
              <w:t>Net income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1,624,196</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(1,504,276</w:t>
            </w:r>
          </w:p>
        </w:tc>
        <w:tc>
          <w:tcPr>
            <w:tcW w:w="115" w:type="dxa"/>
            <w:tcBorders/>
            <w:shd w:fill="CCEEFF" w:val="clear"/>
            <w:vAlign w:val="center"/>
          </w:tcPr>
          <w:p>
            <w:pPr>
              <w:pStyle w:val="TableContents"/>
              <w:bidi w:val="0"/>
              <w:spacing w:before="0" w:after="283"/>
              <w:jc w:val="left"/>
              <w:rPr>
                <w:b/>
              </w:rPr>
            </w:pPr>
            <w:r>
              <w:rPr>
                <w:b/>
              </w:rPr>
              <w:t>)</w:t>
            </w:r>
          </w:p>
        </w:tc>
      </w:tr>
      <w:tr>
        <w:trPr/>
        <w:tc>
          <w:tcPr>
            <w:tcW w:w="707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1,624,196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(1,775,558</w:t>
            </w:r>
          </w:p>
        </w:tc>
        <w:tc>
          <w:tcPr>
            <w:tcW w:w="115" w:type="dxa"/>
            <w:tcBorders/>
            <w:shd w:fill="FFFFFF" w:val="clear"/>
            <w:vAlign w:val="center"/>
          </w:tcPr>
          <w:p>
            <w:pPr>
              <w:pStyle w:val="TableContents"/>
              <w:bidi w:val="0"/>
              <w:spacing w:before="0" w:after="283"/>
              <w:jc w:val="left"/>
              <w:rPr>
                <w:b/>
              </w:rPr>
            </w:pPr>
            <w:r>
              <w:rPr>
                <w:b/>
              </w:rPr>
              <w:t>)</w:t>
            </w:r>
          </w:p>
        </w:tc>
      </w:tr>
      <w:tr>
        <w:trPr/>
        <w:tc>
          <w:tcPr>
            <w:tcW w:w="7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b/>
              </w:rPr>
            </w:pPr>
            <w:r>
              <w:rPr>
                <w:b/>
              </w:rPr>
              <w:t>Income (loss) per share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0.06</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(0.05</w:t>
            </w:r>
          </w:p>
        </w:tc>
        <w:tc>
          <w:tcPr>
            <w:tcW w:w="115" w:type="dxa"/>
            <w:tcBorders/>
            <w:shd w:fill="CCEEFF" w:val="clear"/>
            <w:vAlign w:val="center"/>
          </w:tcPr>
          <w:p>
            <w:pPr>
              <w:pStyle w:val="TableContents"/>
              <w:bidi w:val="0"/>
              <w:spacing w:before="0" w:after="283"/>
              <w:jc w:val="left"/>
              <w:rPr>
                <w:b/>
              </w:rPr>
            </w:pPr>
            <w:r>
              <w:rPr>
                <w:b/>
              </w:rPr>
              <w:t>)</w:t>
            </w:r>
          </w:p>
        </w:tc>
      </w:tr>
      <w:tr>
        <w:trPr/>
        <w:tc>
          <w:tcPr>
            <w:tcW w:w="707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0.05</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(0.06</w:t>
            </w:r>
          </w:p>
        </w:tc>
        <w:tc>
          <w:tcPr>
            <w:tcW w:w="115" w:type="dxa"/>
            <w:tcBorders/>
            <w:shd w:fill="FFFFFF" w:val="clear"/>
            <w:vAlign w:val="center"/>
          </w:tcPr>
          <w:p>
            <w:pPr>
              <w:pStyle w:val="TableContents"/>
              <w:bidi w:val="0"/>
              <w:spacing w:before="0" w:after="283"/>
              <w:jc w:val="left"/>
              <w:rPr>
                <w:b/>
              </w:rPr>
            </w:pPr>
            <w:r>
              <w:rPr>
                <w:b/>
              </w:rPr>
              <w:t>)</w:t>
            </w:r>
          </w:p>
        </w:tc>
      </w:tr>
      <w:tr>
        <w:trPr/>
        <w:tc>
          <w:tcPr>
            <w:tcW w:w="7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b/>
              </w:rPr>
            </w:pPr>
            <w:r>
              <w:rPr>
                <w:b/>
              </w:rPr>
              <w:t>Income (loss) per share attributable to Class B common stockholders: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0.06</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(0.05</w:t>
            </w:r>
          </w:p>
        </w:tc>
        <w:tc>
          <w:tcPr>
            <w:tcW w:w="115" w:type="dxa"/>
            <w:tcBorders/>
            <w:shd w:fill="CCEEFF" w:val="clear"/>
            <w:vAlign w:val="center"/>
          </w:tcPr>
          <w:p>
            <w:pPr>
              <w:pStyle w:val="TableContents"/>
              <w:bidi w:val="0"/>
              <w:spacing w:before="0" w:after="283"/>
              <w:jc w:val="left"/>
              <w:rPr>
                <w:b/>
              </w:rPr>
            </w:pPr>
            <w:r>
              <w:rPr>
                <w:b/>
              </w:rPr>
              <w:t>)</w:t>
            </w:r>
          </w:p>
        </w:tc>
      </w:tr>
      <w:tr>
        <w:trPr/>
        <w:tc>
          <w:tcPr>
            <w:tcW w:w="707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(0.06</w:t>
            </w:r>
          </w:p>
        </w:tc>
        <w:tc>
          <w:tcPr>
            <w:tcW w:w="115" w:type="dxa"/>
            <w:tcBorders/>
            <w:shd w:fill="FFFFFF" w:val="clear"/>
            <w:vAlign w:val="center"/>
          </w:tcPr>
          <w:p>
            <w:pPr>
              <w:pStyle w:val="TableContents"/>
              <w:bidi w:val="0"/>
              <w:spacing w:before="0" w:after="283"/>
              <w:jc w:val="left"/>
              <w:rPr>
                <w:b/>
              </w:rPr>
            </w:pPr>
            <w:r>
              <w:rPr>
                <w:b/>
              </w:rPr>
              <w:t>)</w:t>
            </w:r>
          </w:p>
        </w:tc>
      </w:tr>
      <w:tr>
        <w:trPr/>
        <w:tc>
          <w:tcPr>
            <w:tcW w:w="7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b/>
              </w:rPr>
            </w:pPr>
            <w:r>
              <w:rPr>
                <w:b/>
              </w:rPr>
              <w:t>Weighted-average shares used to compute income (loss) per share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9,036,135</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8,442,025</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9,529,396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9,241,822</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b/>
              </w:rPr>
            </w:pPr>
            <w:r>
              <w:rPr>
                <w:b/>
              </w:rPr>
              <w:t>Weighted-average shares used to compute income (loss) per share attributable to Class B common stockholders: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115" w:type="dxa"/>
            <w:tcBorders/>
            <w:shd w:fill="FFFFFF" w:val="clear"/>
            <w:vAlign w:val="center"/>
          </w:tcPr>
          <w:p>
            <w:pPr>
              <w:pStyle w:val="TableContents"/>
              <w:bidi w:val="0"/>
              <w:spacing w:before="0" w:after="283"/>
              <w:jc w:val="left"/>
              <w:rPr/>
            </w:pPr>
            <w:r>
              <w:rPr/>
              <w:t> </w:t>
            </w:r>
          </w:p>
        </w:tc>
      </w:tr>
      <w:tr>
        <w:trPr/>
        <w:tc>
          <w:tcPr>
            <w:tcW w:w="707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21080" cy="58674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21080" cy="58674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for the Three Months Ended March 31, 2026 and 2025 (Unaudited)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2,134,556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(1,946,963</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Adjustments to reconcile net income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Amortization – 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150,442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35,516</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Amortization – intangible assets, net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Amortization – film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140,709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212,709</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Amortization – loan origination fees and debt discounts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(1,889</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(Gain) loss on 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(117,105</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Gain on 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(410,658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(639,518</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Depreciation –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67,904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Impairment of film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Stock-based compensation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843,619</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Deferred taxes,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(2,041,515</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3,321,990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696,553</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Accounts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2,503,407</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Prepaid expenses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106,414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(544,532</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746,830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377,962</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Prepaid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3,829,908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143,451</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(422,573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(656,562</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(1,621,431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(198,705</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1,581,936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623,430</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471,399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(650,236</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Loan and interest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(493</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(80,510</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(358,504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2,138,026</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10,207,831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764,549</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Acquisition of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(290,000</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Acquisition of software licenses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(1,412,000</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Investments in software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(177,002</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(1,879,002</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both"/>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Repayments on promissory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(21,546</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Repayments on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(295,119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Repayments on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(1,525,384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Repayments on revolving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Cash proceeds from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159,000</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Proceeds from issuance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3,000,000</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Payments of loan origination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(4,328,003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3,137,454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(26,824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32,171</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Net increase in cash and cash equivalents, and 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5,691,004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2,055,172</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Cash and cash equivalents, and restricted cash and cash equivalents –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10,503,164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8,238,944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b/>
              </w:rPr>
            </w:pPr>
            <w:r>
              <w:rPr>
                <w:b/>
              </w:rPr>
              <w:t>Cash and cash equivalents, and restricted cash and cash equivalents –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16,194,168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10,294,116</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b/>
              </w:rPr>
            </w:pPr>
            <w:r>
              <w:rPr>
                <w:b/>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228,053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97,260</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184,707</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b/>
              </w:rPr>
            </w:pPr>
            <w:r>
              <w:rPr>
                <w:b/>
              </w:rPr>
              <w:t>Noncash transactions during the period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Liabilities converted to equity upon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323,113</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Acquisition of film licenses in 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152,000</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Acquisition of software and software licenses in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(8,639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51,741</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Change in fair value of notes recorded in 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22,023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3798</Words>
  <Characters>21265</Characters>
  <CharactersWithSpaces>25923</CharactersWithSpaces>
  <Paragraphs>2395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