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5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i w:val="false"/>
          <w:caps w:val="false"/>
          <w:smallCaps w:val="false"/>
          <w:sz w:val="20"/>
        </w:rPr>
        <w:t xml:space="preserve">June 30, </w:t>
      </w:r>
      <w:bookmarkStart w:id="5" w:name="xdx_905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6" w:name="xdx_907_edei--DocumentTransitionReport_c"/>
            <w:bookmarkEnd w:id="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40101"/>
      <w:bookmarkEnd w:id="7"/>
      <w:r>
        <w:rPr>
          <w:rFonts w:ascii="Times New Roman;Times;Serif" w:hAnsi="Times New Roman;Times;Serif"/>
          <w:b/>
          <w:i w:val="false"/>
          <w:caps w:val="false"/>
          <w:smallCaps w:val="false"/>
          <w:sz w:val="20"/>
        </w:rPr>
        <w:t>001-41556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0_edei--EntityRegistrantName_c2024"/>
      <w:bookmarkEnd w:id="8"/>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C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TaxIdentificationNum"/>
            <w:bookmarkEnd w:id="10"/>
            <w:r>
              <w:rPr>
                <w:rFonts w:ascii="Times New Roman;Times;Serif" w:hAnsi="Times New Roman;Times;Serif"/>
                <w:b/>
                <w:i w:val="false"/>
                <w:caps w:val="false"/>
                <w:smallCaps w:val="false"/>
                <w:sz w:val="20"/>
              </w:rPr>
              <w:t>88-4146991</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90"/>
        <w:gridCol w:w="60"/>
        <w:gridCol w:w="890"/>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12049 Jefferson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D_edei--EntityAddressCityOrTown_c2"/>
            <w:bookmarkEnd w:id="12"/>
            <w:r>
              <w:rPr>
                <w:rFonts w:ascii="Times New Roman;Times;Serif" w:hAnsi="Times New Roman;Times;Serif"/>
                <w:b/>
                <w:i w:val="false"/>
                <w:caps w:val="false"/>
                <w:smallCaps w:val="false"/>
                <w:sz w:val="20"/>
              </w:rPr>
              <w:t xml:space="preserve">Culver City, </w:t>
            </w:r>
            <w:bookmarkStart w:id="13" w:name="xdx_90D_edei--EntityAddressStateOrProvin"/>
            <w:bookmarkEnd w:id="13"/>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1_edei--EntityAddressPostalZipCode"/>
            <w:bookmarkEnd w:id="14"/>
            <w:r>
              <w:rPr>
                <w:rFonts w:ascii="Times New Roman;Times;Serif" w:hAnsi="Times New Roman;Times;Serif"/>
                <w:b/>
                <w:i w:val="false"/>
                <w:caps w:val="false"/>
                <w:smallCaps w:val="false"/>
                <w:sz w:val="20"/>
              </w:rPr>
              <w:t>90230</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+1 </w:t>
      </w:r>
      <w:bookmarkStart w:id="15" w:name="xdx_904_edei--CityAreaCode_c20240101__20"/>
      <w:bookmarkEnd w:id="15"/>
      <w:r>
        <w:rPr>
          <w:rFonts w:ascii="Times New Roman;Times;Serif" w:hAnsi="Times New Roman;Times;Serif"/>
          <w:b/>
          <w:i w:val="false"/>
          <w:caps w:val="false"/>
          <w:smallCaps w:val="false"/>
          <w:sz w:val="20"/>
        </w:rPr>
        <w:t xml:space="preserve">(310) </w:t>
      </w:r>
      <w:bookmarkStart w:id="16" w:name="xdx_90A_edei--LocalPhoneNumber_c20240101"/>
      <w:bookmarkEnd w:id="16"/>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05"/>
        <w:gridCol w:w="60"/>
        <w:gridCol w:w="1655"/>
        <w:gridCol w:w="60"/>
        <w:gridCol w:w="3710"/>
      </w:tblGrid>
      <w:tr>
        <w:trPr/>
        <w:tc>
          <w:tcPr>
            <w:tcW w:w="42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4_edei--Security12bTitle_c20240101"/>
            <w:bookmarkEnd w:id="17"/>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TradingSymbol_c20240101__2"/>
            <w:bookmarkEnd w:id="18"/>
            <w:r>
              <w:rPr>
                <w:rFonts w:ascii="Times New Roman;Times;Serif" w:hAnsi="Times New Roman;Times;Serif"/>
                <w:b w:val="false"/>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6_edei--SecurityExchangeName_c2024"/>
            <w:bookmarkEnd w:id="19"/>
            <w:r>
              <w:rPr>
                <w:rFonts w:ascii="Times New Roman;Times;Serif" w:hAnsi="Times New Roman;Times;Serif"/>
                <w:b w:val="false"/>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15(d) of the Act. 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7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1" w:name="xdx_90C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6_edei--EntityFilerCategory_c2024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4_edei--EntitySmallBusiness_c20240"/>
            <w:bookmarkEnd w:id="23"/>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4" w:name="xdx_90A_edei--EntityEmergingGrowthCompan"/>
            <w:bookmarkEnd w:id="24"/>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D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5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4460"/>
        <w:gridCol w:w="60"/>
        <w:gridCol w:w="3515"/>
      </w:tblGrid>
      <w:tr>
        <w:trPr/>
        <w:tc>
          <w:tcPr>
            <w:tcW w:w="44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Shares as of August 12, 2024</w:t>
            </w:r>
          </w:p>
        </w:tc>
      </w:tr>
      <w:tr>
        <w:trPr/>
        <w:tc>
          <w:tcPr>
            <w:tcW w:w="4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w:t>
            </w:r>
            <w:bookmarkStart w:id="27" w:name="xdx_90F_edei--EntityListingParValuePerSh"/>
            <w:bookmarkEnd w:id="27"/>
            <w:r>
              <w:rPr>
                <w:rFonts w:ascii="Times New Roman;Times;Serif" w:hAnsi="Times New Roman;Times;Serif"/>
                <w:b/>
                <w:i w:val="false"/>
                <w:caps w:val="false"/>
                <w:smallCaps w:val="false"/>
                <w:sz w:val="20"/>
              </w:rPr>
              <w:t>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8" w:name="xdx_90E_edei--EntityCommonStockSharesOut"/>
            <w:bookmarkEnd w:id="28"/>
            <w:r>
              <w:rPr>
                <w:rFonts w:ascii="Times New Roman;Times;Serif" w:hAnsi="Times New Roman;Times;Serif"/>
                <w:b/>
                <w:i w:val="false"/>
                <w:caps w:val="false"/>
                <w:smallCaps w:val="false"/>
                <w:sz w:val="20"/>
              </w:rPr>
              <w:t>8,018,344</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 par value $</w:t>
            </w:r>
            <w:bookmarkStart w:id="29" w:name="xdx_90C_edei--EntityListingParValuePerSh"/>
            <w:bookmarkEnd w:id="29"/>
            <w:r>
              <w:rPr>
                <w:rFonts w:ascii="Times New Roman;Times;Serif" w:hAnsi="Times New Roman;Times;Serif"/>
                <w:b/>
                <w:i w:val="false"/>
                <w:caps w:val="false"/>
                <w:smallCaps w:val="false"/>
                <w:sz w:val="20"/>
              </w:rPr>
              <w:t>0.0001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0" w:name="xdx_909_edei--EntityCommonStockSharesOut"/>
            <w:bookmarkEnd w:id="30"/>
            <w:r>
              <w:rPr>
                <w:rFonts w:ascii="Times New Roman;Times;Serif" w:hAnsi="Times New Roman;Times;Serif"/>
                <w:b/>
                <w:i w:val="false"/>
                <w:caps w:val="false"/>
                <w:smallCaps w:val="false"/>
                <w:sz w:val="20"/>
              </w:rPr>
              <w:t>28,748,580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June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0"/>
        <w:gridCol w:w="8530"/>
        <w:gridCol w:w="45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853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CCEEFF" w:val="clear"/>
            <w:vAlign w:val="center"/>
          </w:tcPr>
          <w:p>
            <w:pPr>
              <w:pStyle w:val="TableContents"/>
              <w:bidi w:val="0"/>
              <w:spacing w:before="0" w:after="283"/>
              <w:jc w:val="both"/>
              <w:rPr/>
            </w:pPr>
            <w:hyperlink w:anchor="Yu_001">
              <w:r>
                <w:rPr>
                  <w:rStyle w:val="InternetLink"/>
                  <w:rFonts w:ascii="Times New Roman;Times;Serif" w:hAnsi="Times New Roman;Times;Serif"/>
                  <w:b w:val="false"/>
                  <w:i w:val="false"/>
                  <w:caps w:val="false"/>
                  <w:smallCaps w:val="false"/>
                  <w:sz w:val="20"/>
                </w:rPr>
                <w:t>Cautionary Statement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750" w:type="dxa"/>
            <w:gridSpan w:val="2"/>
            <w:tcBorders/>
            <w:shd w:fill="FFFFFF" w:val="clear"/>
            <w:vAlign w:val="center"/>
          </w:tcPr>
          <w:p>
            <w:pPr>
              <w:pStyle w:val="TableContents"/>
              <w:bidi w:val="0"/>
              <w:spacing w:before="0" w:after="283"/>
              <w:jc w:val="left"/>
              <w:rPr/>
            </w:pPr>
            <w:hyperlink w:anchor="Yu_002">
              <w:r>
                <w:rPr>
                  <w:rStyle w:val="InternetLink"/>
                  <w:rFonts w:ascii="Times New Roman;Times;Serif" w:hAnsi="Times New Roman;Times;Serif"/>
                  <w:b/>
                  <w:i w:val="false"/>
                  <w:caps w:val="false"/>
                  <w:smallCaps w:val="false"/>
                  <w:sz w:val="20"/>
                </w:rPr>
                <w:t>PART I. FINANCIAL INFORMATION</w:t>
              </w:r>
            </w:hyperlink>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30" w:type="dxa"/>
            <w:tcBorders/>
            <w:shd w:fill="CCEEFF" w:val="clear"/>
            <w:vAlign w:val="center"/>
          </w:tcPr>
          <w:p>
            <w:pPr>
              <w:pStyle w:val="TableContents"/>
              <w:bidi w:val="0"/>
              <w:spacing w:before="0" w:after="283"/>
              <w:jc w:val="both"/>
              <w:rPr/>
            </w:pPr>
            <w:hyperlink w:anchor="Yu_003">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FFFFFF" w:val="clear"/>
            <w:vAlign w:val="center"/>
          </w:tcPr>
          <w:p>
            <w:pPr>
              <w:pStyle w:val="TableContents"/>
              <w:bidi w:val="0"/>
              <w:spacing w:before="0" w:after="283"/>
              <w:jc w:val="both"/>
              <w:rPr/>
            </w:pPr>
            <w:hyperlink w:anchor="Yu_004">
              <w:r>
                <w:rPr>
                  <w:rStyle w:val="InternetLink"/>
                  <w:rFonts w:ascii="Times New Roman;Times;Serif" w:hAnsi="Times New Roman;Times;Serif"/>
                  <w:b w:val="false"/>
                  <w:i w:val="false"/>
                  <w:caps w:val="false"/>
                  <w:smallCaps w:val="false"/>
                  <w:sz w:val="20"/>
                </w:rPr>
                <w:t>Snail, Inc. and Subsidiaries Condensed Consolidated Balance Sheets as of June 30, 2024 and December 31, 2023</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CCEEFF" w:val="clear"/>
            <w:vAlign w:val="center"/>
          </w:tcPr>
          <w:p>
            <w:pPr>
              <w:pStyle w:val="TableContents"/>
              <w:bidi w:val="0"/>
              <w:spacing w:before="0" w:after="283"/>
              <w:jc w:val="both"/>
              <w:rPr/>
            </w:pPr>
            <w:hyperlink w:anchor="Yu_005">
              <w:r>
                <w:rPr>
                  <w:rStyle w:val="InternetLink"/>
                  <w:rFonts w:ascii="Times New Roman;Times;Serif" w:hAnsi="Times New Roman;Times;Serif"/>
                  <w:b w:val="false"/>
                  <w:i w:val="false"/>
                  <w:caps w:val="false"/>
                  <w:smallCaps w:val="false"/>
                  <w:sz w:val="20"/>
                </w:rPr>
                <w:t>Snail, Inc. and Subsidiaries Condensed Consolidated Statements of Operations and Comprehensive Income (Loss) for the three and six months ended June 30, 2024 and 2023</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FFFFFF" w:val="clear"/>
            <w:vAlign w:val="center"/>
          </w:tcPr>
          <w:p>
            <w:pPr>
              <w:pStyle w:val="TableContents"/>
              <w:bidi w:val="0"/>
              <w:spacing w:before="0" w:after="283"/>
              <w:jc w:val="both"/>
              <w:rPr/>
            </w:pPr>
            <w:hyperlink w:anchor="Yu_006">
              <w:r>
                <w:rPr>
                  <w:rStyle w:val="InternetLink"/>
                  <w:rFonts w:ascii="Times New Roman;Times;Serif" w:hAnsi="Times New Roman;Times;Serif"/>
                  <w:b w:val="false"/>
                  <w:i w:val="false"/>
                  <w:caps w:val="false"/>
                  <w:smallCaps w:val="false"/>
                  <w:sz w:val="20"/>
                </w:rPr>
                <w:t>Snail, Inc. and Subsidiaries Condensed Consolidated Statements of Equity for the three and six months ended June 30, 2024 and 2023</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CCEEFF" w:val="clear"/>
            <w:vAlign w:val="center"/>
          </w:tcPr>
          <w:p>
            <w:pPr>
              <w:pStyle w:val="TableContents"/>
              <w:bidi w:val="0"/>
              <w:spacing w:before="0" w:after="283"/>
              <w:jc w:val="both"/>
              <w:rPr/>
            </w:pPr>
            <w:hyperlink w:anchor="Yu_007">
              <w:r>
                <w:rPr>
                  <w:rStyle w:val="InternetLink"/>
                  <w:rFonts w:ascii="Times New Roman;Times;Serif" w:hAnsi="Times New Roman;Times;Serif"/>
                  <w:b w:val="false"/>
                  <w:i w:val="false"/>
                  <w:caps w:val="false"/>
                  <w:smallCaps w:val="false"/>
                  <w:sz w:val="20"/>
                </w:rPr>
                <w:t>Snail, Inc. and Subsidiaries Condensed Consolidated Statements of Cash Flows for the six months ended June 30, 2024 and 2023</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FFFFFF" w:val="clear"/>
            <w:vAlign w:val="center"/>
          </w:tcPr>
          <w:p>
            <w:pPr>
              <w:pStyle w:val="TableContents"/>
              <w:bidi w:val="0"/>
              <w:spacing w:before="0" w:after="283"/>
              <w:jc w:val="both"/>
              <w:rPr/>
            </w:pPr>
            <w:hyperlink w:anchor="Yu_008">
              <w:r>
                <w:rPr>
                  <w:rStyle w:val="InternetLink"/>
                  <w:rFonts w:ascii="Times New Roman;Times;Serif" w:hAnsi="Times New Roman;Times;Serif"/>
                  <w:b w:val="false"/>
                  <w:i w:val="false"/>
                  <w:caps w:val="false"/>
                  <w:smallCaps w:val="false"/>
                  <w:sz w:val="20"/>
                </w:rPr>
                <w:t>Snail, Inc. and Subsidiaries Notes to Condensed Consolidated Financial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p>
        </w:tc>
        <w:tc>
          <w:tcPr>
            <w:tcW w:w="8530" w:type="dxa"/>
            <w:tcBorders/>
            <w:shd w:fill="CCEEFF" w:val="clear"/>
            <w:vAlign w:val="center"/>
          </w:tcPr>
          <w:p>
            <w:pPr>
              <w:pStyle w:val="TableContents"/>
              <w:bidi w:val="0"/>
              <w:spacing w:before="0" w:after="283"/>
              <w:jc w:val="both"/>
              <w:rPr/>
            </w:pPr>
            <w:hyperlink w:anchor="ak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p>
        </w:tc>
        <w:tc>
          <w:tcPr>
            <w:tcW w:w="8530" w:type="dxa"/>
            <w:tcBorders/>
            <w:shd w:fill="FFFFFF" w:val="clear"/>
            <w:vAlign w:val="center"/>
          </w:tcPr>
          <w:p>
            <w:pPr>
              <w:pStyle w:val="TableContents"/>
              <w:bidi w:val="0"/>
              <w:spacing w:before="0" w:after="283"/>
              <w:jc w:val="both"/>
              <w:rPr/>
            </w:pPr>
            <w:hyperlink w:anchor="GK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30" w:type="dxa"/>
            <w:tcBorders/>
            <w:shd w:fill="CCEEFF" w:val="clear"/>
            <w:vAlign w:val="center"/>
          </w:tcPr>
          <w:p>
            <w:pPr>
              <w:pStyle w:val="TableContents"/>
              <w:bidi w:val="0"/>
              <w:spacing w:before="0" w:after="283"/>
              <w:jc w:val="both"/>
              <w:rPr/>
            </w:pPr>
            <w:hyperlink w:anchor="GK_002">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750" w:type="dxa"/>
            <w:gridSpan w:val="2"/>
            <w:tcBorders/>
            <w:shd w:fill="FFFFFF" w:val="clear"/>
            <w:vAlign w:val="center"/>
          </w:tcPr>
          <w:p>
            <w:pPr>
              <w:pStyle w:val="TableContents"/>
              <w:bidi w:val="0"/>
              <w:spacing w:before="0" w:after="283"/>
              <w:jc w:val="left"/>
              <w:rPr/>
            </w:pPr>
            <w:hyperlink w:anchor="GK_003">
              <w:r>
                <w:rPr>
                  <w:rStyle w:val="InternetLink"/>
                  <w:rFonts w:ascii="Times New Roman;Times;Serif" w:hAnsi="Times New Roman;Times;Serif"/>
                  <w:b/>
                  <w:i w:val="false"/>
                  <w:caps w:val="false"/>
                  <w:smallCaps w:val="false"/>
                  <w:sz w:val="20"/>
                </w:rPr>
                <w:t>PART II. OTHER INFORMATION</w:t>
              </w:r>
            </w:hyperlink>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30" w:type="dxa"/>
            <w:tcBorders/>
            <w:shd w:fill="CCEEFF" w:val="clear"/>
            <w:vAlign w:val="center"/>
          </w:tcPr>
          <w:p>
            <w:pPr>
              <w:pStyle w:val="TableContents"/>
              <w:bidi w:val="0"/>
              <w:spacing w:before="0" w:after="283"/>
              <w:jc w:val="both"/>
              <w:rPr/>
            </w:pPr>
            <w:hyperlink w:anchor="GK_004">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530" w:type="dxa"/>
            <w:tcBorders/>
            <w:shd w:fill="FFFFFF" w:val="clear"/>
            <w:vAlign w:val="center"/>
          </w:tcPr>
          <w:p>
            <w:pPr>
              <w:pStyle w:val="TableContents"/>
              <w:bidi w:val="0"/>
              <w:spacing w:before="0" w:after="283"/>
              <w:jc w:val="both"/>
              <w:rPr/>
            </w:pPr>
            <w:hyperlink w:anchor="GK_005">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30" w:type="dxa"/>
            <w:tcBorders/>
            <w:shd w:fill="CCEEFF" w:val="clear"/>
            <w:vAlign w:val="center"/>
          </w:tcPr>
          <w:p>
            <w:pPr>
              <w:pStyle w:val="TableContents"/>
              <w:bidi w:val="0"/>
              <w:spacing w:before="0" w:after="283"/>
              <w:jc w:val="both"/>
              <w:rPr/>
            </w:pPr>
            <w:hyperlink w:anchor="Rk_001">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30" w:type="dxa"/>
            <w:tcBorders/>
            <w:shd w:fill="FFFFFF" w:val="clear"/>
            <w:vAlign w:val="center"/>
          </w:tcPr>
          <w:p>
            <w:pPr>
              <w:pStyle w:val="TableContents"/>
              <w:bidi w:val="0"/>
              <w:spacing w:before="0" w:after="283"/>
              <w:jc w:val="both"/>
              <w:rPr/>
            </w:pPr>
            <w:hyperlink w:anchor="Rk_002">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30" w:type="dxa"/>
            <w:tcBorders/>
            <w:shd w:fill="CCEEFF" w:val="clear"/>
            <w:vAlign w:val="center"/>
          </w:tcPr>
          <w:p>
            <w:pPr>
              <w:pStyle w:val="TableContents"/>
              <w:bidi w:val="0"/>
              <w:spacing w:before="0" w:after="283"/>
              <w:jc w:val="both"/>
              <w:rPr/>
            </w:pPr>
            <w:hyperlink w:anchor="Rk_003">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530" w:type="dxa"/>
            <w:tcBorders/>
            <w:shd w:fill="FFFFFF" w:val="clear"/>
            <w:vAlign w:val="center"/>
          </w:tcPr>
          <w:p>
            <w:pPr>
              <w:pStyle w:val="TableContents"/>
              <w:bidi w:val="0"/>
              <w:spacing w:before="0" w:after="283"/>
              <w:jc w:val="both"/>
              <w:rPr/>
            </w:pPr>
            <w:hyperlink w:anchor="Rk_004">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530" w:type="dxa"/>
            <w:tcBorders/>
            <w:shd w:fill="CCEEFF" w:val="clear"/>
            <w:vAlign w:val="center"/>
          </w:tcPr>
          <w:p>
            <w:pPr>
              <w:pStyle w:val="TableContents"/>
              <w:bidi w:val="0"/>
              <w:spacing w:before="0" w:after="283"/>
              <w:jc w:val="both"/>
              <w:rPr/>
            </w:pPr>
            <w:hyperlink w:anchor="Rk_005">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220" w:type="dxa"/>
            <w:tcBorders/>
            <w:shd w:fill="FFFFFF" w:val="clear"/>
            <w:vAlign w:val="center"/>
          </w:tcPr>
          <w:p>
            <w:pPr>
              <w:pStyle w:val="TableContents"/>
              <w:bidi w:val="0"/>
              <w:spacing w:before="0" w:after="283"/>
              <w:jc w:val="left"/>
              <w:rPr/>
            </w:pPr>
            <w:hyperlink w:anchor="Rk_006">
              <w:r>
                <w:rPr>
                  <w:rStyle w:val="InternetLink"/>
                  <w:rFonts w:ascii="Times New Roman;Times;Serif" w:hAnsi="Times New Roman;Times;Serif"/>
                  <w:b w:val="false"/>
                  <w:i w:val="false"/>
                  <w:caps w:val="false"/>
                  <w:smallCaps w:val="false"/>
                  <w:sz w:val="20"/>
                </w:rPr>
                <w:t>SIGNATURES</w:t>
              </w:r>
            </w:hyperlink>
          </w:p>
        </w:tc>
        <w:tc>
          <w:tcPr>
            <w:tcW w:w="85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Yu_001"/>
      <w:bookmarkEnd w:id="31"/>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re-establish profitable operations, raise additional capital or renegotiate our debt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new games and additional functionality to games that are commercially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significant drivers of our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or regain compliance with the continued listing requirements of the Nasdaq Capital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our player base and develop new video games and enhance our existing games;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companies in a number of industries, including other casual game developers and publishers and both large and small, public and private multimedia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a qualified management team and other team members while controlling our labor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third-party platforms such as Xbox Live and Game Pass, PlayStation Network, Steam, Epic Games Store, the Apple App Store, the Google Play Store, My Nintendo Store and the Amazon Appstore;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enter new markets and manage our international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and developing our brand and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defending intellectual property infringement and other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rulings by courts or other governmental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(as defined below), including expectations regarding the timing and manner of repurchases made under the Share Repurchase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pursue and successfully integrate strategic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this Quarterly Report, including those described in Item 1A of Part II, “Risk Factors”;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any of the foregoing.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Yu_002"/>
      <w:bookmarkEnd w:id="3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Yu_003"/>
      <w:bookmarkEnd w:id="33"/>
      <w:r>
        <w:rPr>
          <w:rFonts w:ascii="Times New Roman;Times;Serif" w:hAnsi="Times New Roman;Times;Serif"/>
          <w:b/>
          <w:i w:val="false"/>
          <w:caps w:val="false"/>
          <w:smallCaps w:val="false"/>
          <w:sz w:val="20"/>
        </w:rPr>
        <w:t>Item 1. Condensed Consolidated Financial Statement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Yu_004"/>
      <w:bookmarkEnd w:id="34"/>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as of June 30, 2024 and December 31, 2023</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1_111_zuELd5DgmGT7"/>
      <w:bookmarkStart w:id="36" w:name="xdx_301_111_zuELd5DgmGT7"/>
      <w:bookmarkEnd w:id="36"/>
    </w:p>
    <w:tbl>
      <w:tblPr>
        <w:tblW w:w="10205" w:type="dxa"/>
        <w:jc w:val="left"/>
        <w:tblInd w:w="0" w:type="dxa"/>
        <w:tblLayout w:type="fixed"/>
        <w:tblCellMar>
          <w:top w:w="0" w:type="dxa"/>
          <w:left w:w="0" w:type="dxa"/>
          <w:bottom w:w="0" w:type="dxa"/>
          <w:right w:w="0" w:type="dxa"/>
        </w:tblCellMar>
      </w:tblPr>
      <w:tblGrid>
        <w:gridCol w:w="7085"/>
        <w:gridCol w:w="60"/>
        <w:gridCol w:w="142"/>
        <w:gridCol w:w="1196"/>
        <w:gridCol w:w="95"/>
        <w:gridCol w:w="60"/>
        <w:gridCol w:w="154"/>
        <w:gridCol w:w="1300"/>
        <w:gridCol w:w="113"/>
      </w:tblGrid>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 w:name="xdx_496_20240630_zbxVF76hHA0h"/>
            <w:bookmarkEnd w:id="37"/>
          </w:p>
        </w:tc>
        <w:tc>
          <w:tcPr>
            <w:tcW w:w="1338"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490_20231231_zYgi6jBetp1d"/>
            <w:bookmarkEnd w:id="38"/>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December 31, 2023</w:t>
            </w:r>
          </w:p>
        </w:tc>
        <w:tc>
          <w:tcPr>
            <w:tcW w:w="113"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39" w:name="xdx_400_eus-gaap--AssetsAbstract_iB_zXQY"/>
            <w:bookmarkEnd w:id="39"/>
          </w:p>
        </w:tc>
      </w:tr>
      <w:tr>
        <w:trPr/>
        <w:tc>
          <w:tcPr>
            <w:tcW w:w="708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0" w:name="xdx_40C_eus-gaap--AssetsCurrentAbstract_"/>
            <w:bookmarkEnd w:id="40"/>
          </w:p>
        </w:tc>
      </w:tr>
      <w:tr>
        <w:trPr/>
        <w:tc>
          <w:tcPr>
            <w:tcW w:w="708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1" w:name="xdx_40F_eus-gaap--CashAndCashEquivalents"/>
            <w:bookmarkEnd w:id="41"/>
          </w:p>
        </w:tc>
      </w:tr>
      <w:tr>
        <w:trPr/>
        <w:tc>
          <w:tcPr>
            <w:tcW w:w="708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96" w:type="dxa"/>
            <w:tcBorders/>
            <w:shd w:fill="FFFFFF" w:val="clear"/>
            <w:vAlign w:val="center"/>
          </w:tcPr>
          <w:p>
            <w:pPr>
              <w:pStyle w:val="TableContents"/>
              <w:bidi w:val="0"/>
              <w:spacing w:before="0" w:after="283"/>
              <w:jc w:val="right"/>
              <w:rPr/>
            </w:pPr>
            <w:r>
              <w:rPr/>
              <w:t>15,494,156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15,198,123</w:t>
            </w:r>
          </w:p>
        </w:tc>
        <w:tc>
          <w:tcPr>
            <w:tcW w:w="113" w:type="dxa"/>
            <w:tcBorders/>
            <w:shd w:fill="FFFFFF" w:val="clear"/>
            <w:vAlign w:val="center"/>
          </w:tcPr>
          <w:p>
            <w:pPr>
              <w:pStyle w:val="TableContents"/>
              <w:bidi w:val="0"/>
              <w:spacing w:before="0" w:after="283"/>
              <w:jc w:val="left"/>
              <w:rPr/>
            </w:pPr>
            <w:r>
              <w:rPr/>
              <w:t> </w:t>
            </w:r>
            <w:bookmarkStart w:id="42" w:name="xdx_409_eus-gaap--AccountsReceivableNetC"/>
            <w:bookmarkEnd w:id="42"/>
          </w:p>
        </w:tc>
      </w:tr>
      <w:tr>
        <w:trPr/>
        <w:tc>
          <w:tcPr>
            <w:tcW w:w="7085" w:type="dxa"/>
            <w:tcBorders/>
            <w:shd w:fill="CCEEFF" w:val="clear"/>
            <w:vAlign w:val="center"/>
          </w:tcPr>
          <w:p>
            <w:pPr>
              <w:pStyle w:val="TableContents"/>
              <w:bidi w:val="0"/>
              <w:spacing w:before="0" w:after="283"/>
              <w:jc w:val="left"/>
              <w:rPr/>
            </w:pPr>
            <w:r>
              <w:rPr/>
              <w:t>Accounts receivable, net of allowances for credit losses of $</w:t>
            </w:r>
            <w:bookmarkStart w:id="43" w:name="xdx_904_eus-gaap--AllowanceForDoubtfulAc"/>
            <w:bookmarkStart w:id="44" w:name="xdx_90B_eus-gaap--AllowanceForDoubtfulAc"/>
            <w:bookmarkEnd w:id="43"/>
            <w:bookmarkEnd w:id="44"/>
            <w:r>
              <w:rPr/>
              <w:t>523,500 as of June 30, 2024 and December 31, 2023</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8,212,318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25,134,808</w:t>
            </w:r>
          </w:p>
        </w:tc>
        <w:tc>
          <w:tcPr>
            <w:tcW w:w="113" w:type="dxa"/>
            <w:tcBorders/>
            <w:shd w:fill="CCEEFF" w:val="clear"/>
            <w:vAlign w:val="center"/>
          </w:tcPr>
          <w:p>
            <w:pPr>
              <w:pStyle w:val="TableContents"/>
              <w:bidi w:val="0"/>
              <w:spacing w:before="0" w:after="283"/>
              <w:jc w:val="left"/>
              <w:rPr/>
            </w:pPr>
            <w:r>
              <w:rPr/>
              <w:t> </w:t>
            </w:r>
            <w:bookmarkStart w:id="45" w:name="xdx_40C_eus-gaap--AccountsReceivableNetC"/>
            <w:bookmarkEnd w:id="45"/>
          </w:p>
        </w:tc>
      </w:tr>
      <w:tr>
        <w:trPr/>
        <w:tc>
          <w:tcPr>
            <w:tcW w:w="7085" w:type="dxa"/>
            <w:tcBorders/>
            <w:shd w:fill="FFFFFF" w:val="clear"/>
            <w:vAlign w:val="center"/>
          </w:tcPr>
          <w:p>
            <w:pPr>
              <w:pStyle w:val="TableContents"/>
              <w:bidi w:val="0"/>
              <w:spacing w:before="0" w:after="283"/>
              <w:jc w:val="left"/>
              <w:rPr/>
            </w:pPr>
            <w:r>
              <w:rPr/>
              <w:t>Accounts receivable - related party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2,690,306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46" w:name="xdx_40A_eus-gaap--AccountsReceivableNetC"/>
            <w:bookmarkEnd w:id="46"/>
          </w:p>
        </w:tc>
      </w:tr>
      <w:tr>
        <w:trPr/>
        <w:tc>
          <w:tcPr>
            <w:tcW w:w="708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2,690,306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47" w:name="xdx_40B_eus-gaap--OtherReceivablesNetCur"/>
            <w:bookmarkEnd w:id="47"/>
          </w:p>
        </w:tc>
      </w:tr>
      <w:tr>
        <w:trPr/>
        <w:tc>
          <w:tcPr>
            <w:tcW w:w="7085"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104,751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103,753</w:t>
            </w:r>
          </w:p>
        </w:tc>
        <w:tc>
          <w:tcPr>
            <w:tcW w:w="113" w:type="dxa"/>
            <w:tcBorders/>
            <w:shd w:fill="CCEEFF" w:val="clear"/>
            <w:vAlign w:val="center"/>
          </w:tcPr>
          <w:p>
            <w:pPr>
              <w:pStyle w:val="TableContents"/>
              <w:bidi w:val="0"/>
              <w:spacing w:before="0" w:after="283"/>
              <w:jc w:val="left"/>
              <w:rPr/>
            </w:pPr>
            <w:r>
              <w:rPr/>
              <w:t> </w:t>
            </w:r>
            <w:bookmarkStart w:id="48" w:name="xdx_402_ecustom--PrepaidExpensesRelatedP"/>
            <w:bookmarkEnd w:id="48"/>
          </w:p>
        </w:tc>
      </w:tr>
      <w:tr>
        <w:trPr/>
        <w:tc>
          <w:tcPr>
            <w:tcW w:w="7085"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4,151,547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6,044,404</w:t>
            </w:r>
          </w:p>
        </w:tc>
        <w:tc>
          <w:tcPr>
            <w:tcW w:w="113" w:type="dxa"/>
            <w:tcBorders/>
            <w:shd w:fill="FFFFFF" w:val="clear"/>
            <w:vAlign w:val="center"/>
          </w:tcPr>
          <w:p>
            <w:pPr>
              <w:pStyle w:val="TableContents"/>
              <w:bidi w:val="0"/>
              <w:spacing w:before="0" w:after="283"/>
              <w:jc w:val="left"/>
              <w:rPr/>
            </w:pPr>
            <w:r>
              <w:rPr/>
              <w:t> </w:t>
            </w:r>
            <w:bookmarkStart w:id="49" w:name="xdx_400_eus-gaap--PrepaidExpenseAndOther"/>
            <w:bookmarkEnd w:id="49"/>
          </w:p>
        </w:tc>
      </w:tr>
      <w:tr>
        <w:trPr/>
        <w:tc>
          <w:tcPr>
            <w:tcW w:w="708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1,290,375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639,693</w:t>
            </w:r>
          </w:p>
        </w:tc>
        <w:tc>
          <w:tcPr>
            <w:tcW w:w="113" w:type="dxa"/>
            <w:tcBorders/>
            <w:shd w:fill="CCEEFF" w:val="clear"/>
            <w:vAlign w:val="center"/>
          </w:tcPr>
          <w:p>
            <w:pPr>
              <w:pStyle w:val="TableContents"/>
              <w:bidi w:val="0"/>
              <w:spacing w:before="0" w:after="283"/>
              <w:jc w:val="left"/>
              <w:rPr/>
            </w:pPr>
            <w:r>
              <w:rPr/>
              <w:t> </w:t>
            </w:r>
            <w:bookmarkStart w:id="50" w:name="xdx_409_eus-gaap--PrepaidTaxes_i02I_maAC"/>
            <w:bookmarkEnd w:id="50"/>
          </w:p>
        </w:tc>
      </w:tr>
      <w:tr>
        <w:trPr/>
        <w:tc>
          <w:tcPr>
            <w:tcW w:w="7085"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9,640,169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9,529,755</w:t>
            </w:r>
          </w:p>
        </w:tc>
        <w:tc>
          <w:tcPr>
            <w:tcW w:w="113" w:type="dxa"/>
            <w:tcBorders/>
            <w:shd w:fill="FFFFFF" w:val="clear"/>
            <w:vAlign w:val="center"/>
          </w:tcPr>
          <w:p>
            <w:pPr>
              <w:pStyle w:val="TableContents"/>
              <w:bidi w:val="0"/>
              <w:spacing w:before="0" w:after="283"/>
              <w:jc w:val="left"/>
              <w:rPr/>
            </w:pPr>
            <w:r>
              <w:rPr/>
              <w:t> </w:t>
            </w:r>
            <w:bookmarkStart w:id="51" w:name="xdx_40D_eus-gaap--AssetsCurrent_i02TI_mt"/>
            <w:bookmarkEnd w:id="51"/>
          </w:p>
        </w:tc>
      </w:tr>
      <w:tr>
        <w:trPr/>
        <w:tc>
          <w:tcPr>
            <w:tcW w:w="708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41,583,622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56,650,536</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2" w:name="xdx_403_eus-gaap--RestrictedCashAndCashE"/>
            <w:bookmarkEnd w:id="52"/>
          </w:p>
        </w:tc>
      </w:tr>
      <w:tr>
        <w:trPr/>
        <w:tc>
          <w:tcPr>
            <w:tcW w:w="7085" w:type="dxa"/>
            <w:tcBorders/>
            <w:shd w:fill="CCEEFF" w:val="clear"/>
            <w:vAlign w:val="center"/>
          </w:tcPr>
          <w:p>
            <w:pPr>
              <w:pStyle w:val="TableContents"/>
              <w:bidi w:val="0"/>
              <w:spacing w:before="0" w:after="283"/>
              <w:jc w:val="left"/>
              <w:rPr/>
            </w:pPr>
            <w:r>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1,118,437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1,116,196</w:t>
            </w:r>
          </w:p>
        </w:tc>
        <w:tc>
          <w:tcPr>
            <w:tcW w:w="113" w:type="dxa"/>
            <w:tcBorders/>
            <w:shd w:fill="CCEEFF" w:val="clear"/>
            <w:vAlign w:val="center"/>
          </w:tcPr>
          <w:p>
            <w:pPr>
              <w:pStyle w:val="TableContents"/>
              <w:bidi w:val="0"/>
              <w:spacing w:before="0" w:after="283"/>
              <w:jc w:val="left"/>
              <w:rPr/>
            </w:pPr>
            <w:r>
              <w:rPr/>
              <w:t> </w:t>
            </w:r>
            <w:bookmarkStart w:id="53" w:name="xdx_401_eus-gaap--AccountsReceivableNetN"/>
            <w:bookmarkEnd w:id="53"/>
          </w:p>
        </w:tc>
      </w:tr>
      <w:tr>
        <w:trPr/>
        <w:tc>
          <w:tcPr>
            <w:tcW w:w="7085" w:type="dxa"/>
            <w:tcBorders/>
            <w:shd w:fill="FFFFFF" w:val="clear"/>
            <w:vAlign w:val="center"/>
          </w:tcPr>
          <w:p>
            <w:pPr>
              <w:pStyle w:val="TableContents"/>
              <w:bidi w:val="0"/>
              <w:spacing w:before="0" w:after="283"/>
              <w:jc w:val="left"/>
              <w:rPr/>
            </w:pPr>
            <w:r>
              <w:rPr/>
              <w:t>Accounts receivable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4,500,592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7,500,592</w:t>
            </w:r>
          </w:p>
        </w:tc>
        <w:tc>
          <w:tcPr>
            <w:tcW w:w="113" w:type="dxa"/>
            <w:tcBorders/>
            <w:shd w:fill="FFFFFF" w:val="clear"/>
            <w:vAlign w:val="center"/>
          </w:tcPr>
          <w:p>
            <w:pPr>
              <w:pStyle w:val="TableContents"/>
              <w:bidi w:val="0"/>
              <w:spacing w:before="0" w:after="283"/>
              <w:jc w:val="left"/>
              <w:rPr/>
            </w:pPr>
            <w:r>
              <w:rPr/>
              <w:t> </w:t>
            </w:r>
            <w:bookmarkStart w:id="54" w:name="xdx_40A_ecustom--PrepaidExpensesRelatedP"/>
            <w:bookmarkEnd w:id="54"/>
          </w:p>
        </w:tc>
      </w:tr>
      <w:tr>
        <w:trPr/>
        <w:tc>
          <w:tcPr>
            <w:tcW w:w="7085" w:type="dxa"/>
            <w:tcBorders/>
            <w:shd w:fill="CCEEFF" w:val="clear"/>
            <w:vAlign w:val="center"/>
          </w:tcPr>
          <w:p>
            <w:pPr>
              <w:pStyle w:val="TableContents"/>
              <w:bidi w:val="0"/>
              <w:spacing w:before="0" w:after="283"/>
              <w:jc w:val="left"/>
              <w:rPr/>
            </w:pPr>
            <w:r>
              <w:rPr/>
              <w:t>Prepaid expenses - related party,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11,209,590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7,784,062</w:t>
            </w:r>
          </w:p>
        </w:tc>
        <w:tc>
          <w:tcPr>
            <w:tcW w:w="113" w:type="dxa"/>
            <w:tcBorders/>
            <w:shd w:fill="CCEEFF" w:val="clear"/>
            <w:vAlign w:val="center"/>
          </w:tcPr>
          <w:p>
            <w:pPr>
              <w:pStyle w:val="TableContents"/>
              <w:bidi w:val="0"/>
              <w:spacing w:before="0" w:after="283"/>
              <w:jc w:val="left"/>
              <w:rPr/>
            </w:pPr>
            <w:r>
              <w:rPr/>
              <w:t> </w:t>
            </w:r>
            <w:bookmarkStart w:id="55" w:name="xdx_402_eus-gaap--PropertyPlantAndEquipm"/>
            <w:bookmarkEnd w:id="55"/>
          </w:p>
        </w:tc>
      </w:tr>
      <w:tr>
        <w:trPr/>
        <w:tc>
          <w:tcPr>
            <w:tcW w:w="708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4,519,174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4,682,066</w:t>
            </w:r>
          </w:p>
        </w:tc>
        <w:tc>
          <w:tcPr>
            <w:tcW w:w="113" w:type="dxa"/>
            <w:tcBorders/>
            <w:shd w:fill="FFFFFF" w:val="clear"/>
            <w:vAlign w:val="center"/>
          </w:tcPr>
          <w:p>
            <w:pPr>
              <w:pStyle w:val="TableContents"/>
              <w:bidi w:val="0"/>
              <w:spacing w:before="0" w:after="283"/>
              <w:jc w:val="left"/>
              <w:rPr/>
            </w:pPr>
            <w:r>
              <w:rPr/>
              <w:t> </w:t>
            </w:r>
            <w:bookmarkStart w:id="56" w:name="xdx_408_eus-gaap--OtherIntangibleAssetsN"/>
            <w:bookmarkEnd w:id="56"/>
          </w:p>
        </w:tc>
      </w:tr>
      <w:tr>
        <w:trPr/>
        <w:tc>
          <w:tcPr>
            <w:tcW w:w="7085" w:type="dxa"/>
            <w:tcBorders/>
            <w:shd w:fill="CCEEFF" w:val="clear"/>
            <w:vAlign w:val="center"/>
          </w:tcPr>
          <w:p>
            <w:pPr>
              <w:pStyle w:val="TableContents"/>
              <w:bidi w:val="0"/>
              <w:spacing w:before="0" w:after="283"/>
              <w:jc w:val="left"/>
              <w:rPr/>
            </w:pPr>
            <w:r>
              <w:rPr/>
              <w:t>Intangible assets, net - other</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271,316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271,717</w:t>
            </w:r>
          </w:p>
        </w:tc>
        <w:tc>
          <w:tcPr>
            <w:tcW w:w="113" w:type="dxa"/>
            <w:tcBorders/>
            <w:shd w:fill="CCEEFF" w:val="clear"/>
            <w:vAlign w:val="center"/>
          </w:tcPr>
          <w:p>
            <w:pPr>
              <w:pStyle w:val="TableContents"/>
              <w:bidi w:val="0"/>
              <w:spacing w:before="0" w:after="283"/>
              <w:jc w:val="left"/>
              <w:rPr/>
            </w:pPr>
            <w:r>
              <w:rPr/>
              <w:t> </w:t>
            </w:r>
            <w:bookmarkStart w:id="57" w:name="xdx_40C_eus-gaap--DeferredIncomeTaxAsset"/>
            <w:bookmarkEnd w:id="57"/>
          </w:p>
        </w:tc>
      </w:tr>
      <w:tr>
        <w:trPr/>
        <w:tc>
          <w:tcPr>
            <w:tcW w:w="7085"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10,187,267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10,247,500</w:t>
            </w:r>
          </w:p>
        </w:tc>
        <w:tc>
          <w:tcPr>
            <w:tcW w:w="113" w:type="dxa"/>
            <w:tcBorders/>
            <w:shd w:fill="FFFFFF" w:val="clear"/>
            <w:vAlign w:val="center"/>
          </w:tcPr>
          <w:p>
            <w:pPr>
              <w:pStyle w:val="TableContents"/>
              <w:bidi w:val="0"/>
              <w:spacing w:before="0" w:after="283"/>
              <w:jc w:val="left"/>
              <w:rPr/>
            </w:pPr>
            <w:r>
              <w:rPr/>
              <w:t> </w:t>
            </w:r>
            <w:bookmarkStart w:id="58" w:name="xdx_401_eus-gaap--OtherAssetsNoncurrent_"/>
            <w:bookmarkEnd w:id="58"/>
          </w:p>
        </w:tc>
      </w:tr>
      <w:tr>
        <w:trPr/>
        <w:tc>
          <w:tcPr>
            <w:tcW w:w="708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166,303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164,170</w:t>
            </w:r>
          </w:p>
        </w:tc>
        <w:tc>
          <w:tcPr>
            <w:tcW w:w="113" w:type="dxa"/>
            <w:tcBorders/>
            <w:shd w:fill="CCEEFF" w:val="clear"/>
            <w:vAlign w:val="center"/>
          </w:tcPr>
          <w:p>
            <w:pPr>
              <w:pStyle w:val="TableContents"/>
              <w:bidi w:val="0"/>
              <w:spacing w:before="0" w:after="283"/>
              <w:jc w:val="left"/>
              <w:rPr/>
            </w:pPr>
            <w:r>
              <w:rPr/>
              <w:t> </w:t>
            </w:r>
            <w:bookmarkStart w:id="59" w:name="xdx_409_eus-gaap--OperatingLeaseRightOfU"/>
            <w:bookmarkEnd w:id="59"/>
          </w:p>
        </w:tc>
      </w:tr>
      <w:tr>
        <w:trPr/>
        <w:tc>
          <w:tcPr>
            <w:tcW w:w="7085"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1,831,269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2,440,690</w:t>
            </w:r>
          </w:p>
        </w:tc>
        <w:tc>
          <w:tcPr>
            <w:tcW w:w="113" w:type="dxa"/>
            <w:tcBorders/>
            <w:shd w:fill="FFFFFF" w:val="clear"/>
            <w:vAlign w:val="center"/>
          </w:tcPr>
          <w:p>
            <w:pPr>
              <w:pStyle w:val="TableContents"/>
              <w:bidi w:val="0"/>
              <w:spacing w:before="0" w:after="283"/>
              <w:jc w:val="left"/>
              <w:rPr/>
            </w:pPr>
            <w:r>
              <w:rPr/>
              <w:t> </w:t>
            </w:r>
            <w:bookmarkStart w:id="60" w:name="xdx_40B_eus-gaap--Assets_i01TI_mtAz86R_z"/>
            <w:bookmarkEnd w:id="60"/>
          </w:p>
        </w:tc>
      </w:tr>
      <w:tr>
        <w:trPr/>
        <w:tc>
          <w:tcPr>
            <w:tcW w:w="708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75,387,570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90,857,529</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1" w:name="xdx_408_eus-gaap--LiabilitiesAndStockhol"/>
            <w:bookmarkEnd w:id="61"/>
          </w:p>
        </w:tc>
      </w:tr>
      <w:tr>
        <w:trPr/>
        <w:tc>
          <w:tcPr>
            <w:tcW w:w="7085" w:type="dxa"/>
            <w:tcBorders/>
            <w:shd w:fill="CCEEFF" w:val="clear"/>
            <w:vAlign w:val="center"/>
          </w:tcPr>
          <w:p>
            <w:pPr>
              <w:pStyle w:val="TableContents"/>
              <w:bidi w:val="0"/>
              <w:spacing w:before="0" w:after="283"/>
              <w:jc w:val="left"/>
              <w:rPr>
                <w:b/>
              </w:rPr>
            </w:pPr>
            <w:r>
              <w:rPr>
                <w:b/>
              </w:rPr>
              <w:t>LIABILITIES, NONCONTROLLING INTERESTS AND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7_eus-gaap--LiabilitiesCurrentAbst"/>
            <w:bookmarkEnd w:id="62"/>
          </w:p>
        </w:tc>
      </w:tr>
      <w:tr>
        <w:trPr/>
        <w:tc>
          <w:tcPr>
            <w:tcW w:w="708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3" w:name="xdx_404_eus-gaap--AccountsPayableCurrent"/>
            <w:bookmarkEnd w:id="63"/>
          </w:p>
        </w:tc>
      </w:tr>
      <w:tr>
        <w:trPr/>
        <w:tc>
          <w:tcPr>
            <w:tcW w:w="708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96" w:type="dxa"/>
            <w:tcBorders/>
            <w:shd w:fill="FFFFFF" w:val="clear"/>
            <w:vAlign w:val="center"/>
          </w:tcPr>
          <w:p>
            <w:pPr>
              <w:pStyle w:val="TableContents"/>
              <w:bidi w:val="0"/>
              <w:spacing w:before="0" w:after="283"/>
              <w:jc w:val="right"/>
              <w:rPr/>
            </w:pPr>
            <w:r>
              <w:rPr/>
              <w:t>5,021,234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12,102,929</w:t>
            </w:r>
          </w:p>
        </w:tc>
        <w:tc>
          <w:tcPr>
            <w:tcW w:w="113" w:type="dxa"/>
            <w:tcBorders/>
            <w:shd w:fill="FFFFFF" w:val="clear"/>
            <w:vAlign w:val="center"/>
          </w:tcPr>
          <w:p>
            <w:pPr>
              <w:pStyle w:val="TableContents"/>
              <w:bidi w:val="0"/>
              <w:spacing w:before="0" w:after="283"/>
              <w:jc w:val="left"/>
              <w:rPr/>
            </w:pPr>
            <w:r>
              <w:rPr/>
              <w:t> </w:t>
            </w:r>
            <w:bookmarkStart w:id="64" w:name="xdx_40C_eus-gaap--AccountsPayableCurrent"/>
            <w:bookmarkEnd w:id="64"/>
          </w:p>
        </w:tc>
      </w:tr>
      <w:tr>
        <w:trPr/>
        <w:tc>
          <w:tcPr>
            <w:tcW w:w="7085"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16,742,358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23,094,436</w:t>
            </w:r>
          </w:p>
        </w:tc>
        <w:tc>
          <w:tcPr>
            <w:tcW w:w="113" w:type="dxa"/>
            <w:tcBorders/>
            <w:shd w:fill="CCEEFF" w:val="clear"/>
            <w:vAlign w:val="center"/>
          </w:tcPr>
          <w:p>
            <w:pPr>
              <w:pStyle w:val="TableContents"/>
              <w:bidi w:val="0"/>
              <w:spacing w:before="0" w:after="283"/>
              <w:jc w:val="left"/>
              <w:rPr/>
            </w:pPr>
            <w:r>
              <w:rPr/>
              <w:t> </w:t>
            </w:r>
            <w:bookmarkStart w:id="65" w:name="xdx_40E_eus-gaap--AccountsPayableCurrent"/>
            <w:bookmarkEnd w:id="65"/>
          </w:p>
        </w:tc>
      </w:tr>
      <w:tr>
        <w:trPr/>
        <w:tc>
          <w:tcPr>
            <w:tcW w:w="708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16,742,358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23,094,436</w:t>
            </w:r>
          </w:p>
        </w:tc>
        <w:tc>
          <w:tcPr>
            <w:tcW w:w="113" w:type="dxa"/>
            <w:tcBorders/>
            <w:shd w:fill="CCEEFF" w:val="clear"/>
            <w:vAlign w:val="center"/>
          </w:tcPr>
          <w:p>
            <w:pPr>
              <w:pStyle w:val="TableContents"/>
              <w:bidi w:val="0"/>
              <w:spacing w:before="0" w:after="283"/>
              <w:jc w:val="left"/>
              <w:rPr/>
            </w:pPr>
            <w:r>
              <w:rPr/>
              <w:t> </w:t>
            </w:r>
            <w:bookmarkStart w:id="66" w:name="xdx_405_ecustom--AccruedExpensesAndOther"/>
            <w:bookmarkEnd w:id="66"/>
          </w:p>
        </w:tc>
      </w:tr>
      <w:tr>
        <w:trPr/>
        <w:tc>
          <w:tcPr>
            <w:tcW w:w="7085"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2,166,996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2,887,193</w:t>
            </w:r>
          </w:p>
        </w:tc>
        <w:tc>
          <w:tcPr>
            <w:tcW w:w="113" w:type="dxa"/>
            <w:tcBorders/>
            <w:shd w:fill="FFFFFF" w:val="clear"/>
            <w:vAlign w:val="center"/>
          </w:tcPr>
          <w:p>
            <w:pPr>
              <w:pStyle w:val="TableContents"/>
              <w:bidi w:val="0"/>
              <w:spacing w:before="0" w:after="283"/>
              <w:jc w:val="left"/>
              <w:rPr/>
            </w:pPr>
            <w:r>
              <w:rPr/>
              <w:t> </w:t>
            </w:r>
            <w:bookmarkStart w:id="67" w:name="xdx_401_ecustom--InterestPayableRelatedP"/>
            <w:bookmarkEnd w:id="67"/>
          </w:p>
        </w:tc>
      </w:tr>
      <w:tr>
        <w:trPr/>
        <w:tc>
          <w:tcPr>
            <w:tcW w:w="7085" w:type="dxa"/>
            <w:tcBorders/>
            <w:shd w:fill="CCEEFF" w:val="clear"/>
            <w:vAlign w:val="center"/>
          </w:tcPr>
          <w:p>
            <w:pPr>
              <w:pStyle w:val="TableContents"/>
              <w:bidi w:val="0"/>
              <w:spacing w:before="0" w:after="283"/>
              <w:jc w:val="left"/>
              <w:rPr/>
            </w:pPr>
            <w:r>
              <w:rPr/>
              <w:t>Interest payable - related parties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527,770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527,770</w:t>
            </w:r>
          </w:p>
        </w:tc>
        <w:tc>
          <w:tcPr>
            <w:tcW w:w="113" w:type="dxa"/>
            <w:tcBorders/>
            <w:shd w:fill="CCEEFF" w:val="clear"/>
            <w:vAlign w:val="center"/>
          </w:tcPr>
          <w:p>
            <w:pPr>
              <w:pStyle w:val="TableContents"/>
              <w:bidi w:val="0"/>
              <w:spacing w:before="0" w:after="283"/>
              <w:jc w:val="left"/>
              <w:rPr/>
            </w:pPr>
            <w:r>
              <w:rPr/>
              <w:t> </w:t>
            </w:r>
            <w:bookmarkStart w:id="68" w:name="xdx_40A_ecustom--RevolvingLoanPayableCur"/>
            <w:bookmarkEnd w:id="68"/>
          </w:p>
        </w:tc>
      </w:tr>
      <w:tr>
        <w:trPr/>
        <w:tc>
          <w:tcPr>
            <w:tcW w:w="7085"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6,000,000</w:t>
            </w:r>
          </w:p>
        </w:tc>
        <w:tc>
          <w:tcPr>
            <w:tcW w:w="113" w:type="dxa"/>
            <w:tcBorders/>
            <w:shd w:fill="FFFFFF" w:val="clear"/>
            <w:vAlign w:val="center"/>
          </w:tcPr>
          <w:p>
            <w:pPr>
              <w:pStyle w:val="TableContents"/>
              <w:bidi w:val="0"/>
              <w:spacing w:before="0" w:after="283"/>
              <w:jc w:val="left"/>
              <w:rPr/>
            </w:pPr>
            <w:r>
              <w:rPr/>
              <w:t> </w:t>
            </w:r>
            <w:bookmarkStart w:id="69" w:name="xdx_407_eus-gaap--NotesPayableCurrent_i0"/>
            <w:bookmarkEnd w:id="69"/>
          </w:p>
        </w:tc>
      </w:tr>
      <w:tr>
        <w:trPr/>
        <w:tc>
          <w:tcPr>
            <w:tcW w:w="7085"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2,333,333</w:t>
            </w:r>
          </w:p>
        </w:tc>
        <w:tc>
          <w:tcPr>
            <w:tcW w:w="113" w:type="dxa"/>
            <w:tcBorders/>
            <w:shd w:fill="CCEEFF" w:val="clear"/>
            <w:vAlign w:val="center"/>
          </w:tcPr>
          <w:p>
            <w:pPr>
              <w:pStyle w:val="TableContents"/>
              <w:bidi w:val="0"/>
              <w:spacing w:before="0" w:after="283"/>
              <w:jc w:val="left"/>
              <w:rPr/>
            </w:pPr>
            <w:r>
              <w:rPr/>
              <w:t> </w:t>
            </w:r>
            <w:bookmarkStart w:id="70" w:name="xdx_400_eus-gaap--ConvertibleDebtCurrent"/>
            <w:bookmarkEnd w:id="70"/>
          </w:p>
        </w:tc>
      </w:tr>
      <w:tr>
        <w:trPr/>
        <w:tc>
          <w:tcPr>
            <w:tcW w:w="7085" w:type="dxa"/>
            <w:tcBorders/>
            <w:shd w:fill="FFFFFF" w:val="clear"/>
            <w:vAlign w:val="center"/>
          </w:tcPr>
          <w:p>
            <w:pPr>
              <w:pStyle w:val="TableContents"/>
              <w:bidi w:val="0"/>
              <w:spacing w:before="0" w:after="283"/>
              <w:jc w:val="left"/>
              <w:rPr/>
            </w:pPr>
            <w:r>
              <w:rPr/>
              <w:t>Convertible notes, net of discount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797,361</w:t>
            </w:r>
          </w:p>
        </w:tc>
        <w:tc>
          <w:tcPr>
            <w:tcW w:w="113" w:type="dxa"/>
            <w:tcBorders/>
            <w:shd w:fill="FFFFFF" w:val="clear"/>
            <w:vAlign w:val="center"/>
          </w:tcPr>
          <w:p>
            <w:pPr>
              <w:pStyle w:val="TableContents"/>
              <w:bidi w:val="0"/>
              <w:spacing w:before="0" w:after="283"/>
              <w:jc w:val="left"/>
              <w:rPr/>
            </w:pPr>
            <w:r>
              <w:rPr/>
              <w:t> </w:t>
            </w:r>
            <w:bookmarkStart w:id="71" w:name="xdx_402_ecustom--CurrentPortionOfLongter"/>
            <w:bookmarkEnd w:id="71"/>
          </w:p>
        </w:tc>
      </w:tr>
      <w:tr>
        <w:trPr/>
        <w:tc>
          <w:tcPr>
            <w:tcW w:w="7085" w:type="dxa"/>
            <w:tcBorders/>
            <w:shd w:fill="CCEEFF" w:val="clear"/>
            <w:vAlign w:val="center"/>
          </w:tcPr>
          <w:p>
            <w:pPr>
              <w:pStyle w:val="TableContents"/>
              <w:bidi w:val="0"/>
              <w:spacing w:before="0" w:after="283"/>
              <w:jc w:val="left"/>
              <w:rPr/>
            </w:pPr>
            <w:r>
              <w:rPr/>
              <w:t>Current portion of long-term promissory note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2,771,040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2,811,923</w:t>
            </w:r>
          </w:p>
        </w:tc>
        <w:tc>
          <w:tcPr>
            <w:tcW w:w="113" w:type="dxa"/>
            <w:tcBorders/>
            <w:shd w:fill="CCEEFF" w:val="clear"/>
            <w:vAlign w:val="center"/>
          </w:tcPr>
          <w:p>
            <w:pPr>
              <w:pStyle w:val="TableContents"/>
              <w:bidi w:val="0"/>
              <w:spacing w:before="0" w:after="283"/>
              <w:jc w:val="left"/>
              <w:rPr/>
            </w:pPr>
            <w:r>
              <w:rPr/>
              <w:t> </w:t>
            </w:r>
            <w:bookmarkStart w:id="72" w:name="xdx_40D_eus-gaap--ContractWithCustomerLi"/>
            <w:bookmarkEnd w:id="72"/>
          </w:p>
        </w:tc>
      </w:tr>
      <w:tr>
        <w:trPr/>
        <w:tc>
          <w:tcPr>
            <w:tcW w:w="7085" w:type="dxa"/>
            <w:tcBorders/>
            <w:shd w:fill="FFFFFF" w:val="clear"/>
            <w:vAlign w:val="center"/>
          </w:tcPr>
          <w:p>
            <w:pPr>
              <w:pStyle w:val="TableContents"/>
              <w:bidi w:val="0"/>
              <w:spacing w:before="0" w:after="283"/>
              <w:jc w:val="left"/>
              <w:rPr/>
            </w:pPr>
            <w:r>
              <w:rPr/>
              <w:t>Current portion of deferred revenue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21,451,307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19,252,628</w:t>
            </w:r>
          </w:p>
        </w:tc>
        <w:tc>
          <w:tcPr>
            <w:tcW w:w="113" w:type="dxa"/>
            <w:tcBorders/>
            <w:shd w:fill="FFFFFF" w:val="clear"/>
            <w:vAlign w:val="center"/>
          </w:tcPr>
          <w:p>
            <w:pPr>
              <w:pStyle w:val="TableContents"/>
              <w:bidi w:val="0"/>
              <w:spacing w:before="0" w:after="283"/>
              <w:jc w:val="left"/>
              <w:rPr/>
            </w:pPr>
            <w:r>
              <w:rPr/>
              <w:t> </w:t>
            </w:r>
            <w:bookmarkStart w:id="73" w:name="xdx_40C_eus-gaap--OperatingLeaseLiabilit"/>
            <w:bookmarkEnd w:id="73"/>
          </w:p>
        </w:tc>
      </w:tr>
      <w:tr>
        <w:trPr/>
        <w:tc>
          <w:tcPr>
            <w:tcW w:w="7085"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1,575,578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1,505,034</w:t>
            </w:r>
          </w:p>
        </w:tc>
        <w:tc>
          <w:tcPr>
            <w:tcW w:w="113" w:type="dxa"/>
            <w:tcBorders/>
            <w:shd w:fill="CCEEFF" w:val="clear"/>
            <w:vAlign w:val="center"/>
          </w:tcPr>
          <w:p>
            <w:pPr>
              <w:pStyle w:val="TableContents"/>
              <w:bidi w:val="0"/>
              <w:spacing w:before="0" w:after="283"/>
              <w:jc w:val="left"/>
              <w:rPr/>
            </w:pPr>
            <w:r>
              <w:rPr/>
              <w:t> </w:t>
            </w:r>
            <w:bookmarkStart w:id="74" w:name="xdx_408_eus-gaap--LiabilitiesCurrent_i02"/>
            <w:bookmarkEnd w:id="74"/>
          </w:p>
        </w:tc>
      </w:tr>
      <w:tr>
        <w:trPr/>
        <w:tc>
          <w:tcPr>
            <w:tcW w:w="708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53,256,283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71,312,607</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5" w:name="xdx_401_eus-gaap--AccountsPayableAndAccr"/>
            <w:bookmarkEnd w:id="75"/>
          </w:p>
        </w:tc>
      </w:tr>
      <w:tr>
        <w:trPr/>
        <w:tc>
          <w:tcPr>
            <w:tcW w:w="708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254,731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254,731</w:t>
            </w:r>
          </w:p>
        </w:tc>
        <w:tc>
          <w:tcPr>
            <w:tcW w:w="113" w:type="dxa"/>
            <w:tcBorders/>
            <w:shd w:fill="FFFFFF" w:val="clear"/>
            <w:vAlign w:val="center"/>
          </w:tcPr>
          <w:p>
            <w:pPr>
              <w:pStyle w:val="TableContents"/>
              <w:bidi w:val="0"/>
              <w:spacing w:before="0" w:after="283"/>
              <w:jc w:val="left"/>
              <w:rPr/>
            </w:pPr>
            <w:r>
              <w:rPr/>
              <w:t> </w:t>
            </w:r>
            <w:bookmarkStart w:id="76" w:name="xdx_40A_eus-gaap--ContractWithCustomerLi"/>
            <w:bookmarkEnd w:id="76"/>
          </w:p>
        </w:tc>
      </w:tr>
      <w:tr>
        <w:trPr/>
        <w:tc>
          <w:tcPr>
            <w:tcW w:w="7085"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18,866,375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15,064,078</w:t>
            </w:r>
          </w:p>
        </w:tc>
        <w:tc>
          <w:tcPr>
            <w:tcW w:w="113" w:type="dxa"/>
            <w:tcBorders/>
            <w:shd w:fill="CCEEFF" w:val="clear"/>
            <w:vAlign w:val="center"/>
          </w:tcPr>
          <w:p>
            <w:pPr>
              <w:pStyle w:val="TableContents"/>
              <w:bidi w:val="0"/>
              <w:spacing w:before="0" w:after="283"/>
              <w:jc w:val="left"/>
              <w:rPr/>
            </w:pPr>
            <w:r>
              <w:rPr/>
              <w:t> </w:t>
            </w:r>
            <w:bookmarkStart w:id="77" w:name="xdx_406_eus-gaap--OperatingLeaseLiabilit"/>
            <w:bookmarkEnd w:id="77"/>
          </w:p>
        </w:tc>
      </w:tr>
      <w:tr>
        <w:trPr/>
        <w:tc>
          <w:tcPr>
            <w:tcW w:w="7085" w:type="dxa"/>
            <w:tcBorders/>
            <w:shd w:fill="FFFFFF" w:val="clear"/>
            <w:vAlign w:val="center"/>
          </w:tcPr>
          <w:p>
            <w:pPr>
              <w:pStyle w:val="TableContents"/>
              <w:bidi w:val="0"/>
              <w:spacing w:before="0" w:after="283"/>
              <w:jc w:val="left"/>
              <w:rPr/>
            </w:pPr>
            <w:r>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615,887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1,425,494</w:t>
            </w:r>
          </w:p>
        </w:tc>
        <w:tc>
          <w:tcPr>
            <w:tcW w:w="113" w:type="dxa"/>
            <w:tcBorders/>
            <w:shd w:fill="FFFFFF" w:val="clear"/>
            <w:vAlign w:val="center"/>
          </w:tcPr>
          <w:p>
            <w:pPr>
              <w:pStyle w:val="TableContents"/>
              <w:bidi w:val="0"/>
              <w:spacing w:before="0" w:after="283"/>
              <w:jc w:val="left"/>
              <w:rPr/>
            </w:pPr>
            <w:r>
              <w:rPr/>
              <w:t> </w:t>
            </w:r>
            <w:bookmarkStart w:id="78" w:name="xdx_401_eus-gaap--Liabilities_i01TI_mtLz"/>
            <w:bookmarkEnd w:id="78"/>
          </w:p>
        </w:tc>
      </w:tr>
      <w:tr>
        <w:trPr/>
        <w:tc>
          <w:tcPr>
            <w:tcW w:w="708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72,993,276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88,056,910</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9" w:name="xdx_400_eus-gaap--CommitmentsAndContinge"/>
            <w:bookmarkEnd w:id="79"/>
          </w:p>
        </w:tc>
      </w:tr>
      <w:tr>
        <w:trPr/>
        <w:tc>
          <w:tcPr>
            <w:tcW w:w="708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0" w:name="xdx_40A_eus-gaap--StockholdersEquityIncl"/>
            <w:bookmarkEnd w:id="80"/>
          </w:p>
        </w:tc>
      </w:tr>
      <w:tr>
        <w:trPr/>
        <w:tc>
          <w:tcPr>
            <w:tcW w:w="7085"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1" w:name="xdx_409_eus-gaap--CommonStockValue_i02I_"/>
            <w:bookmarkEnd w:id="81"/>
          </w:p>
        </w:tc>
      </w:tr>
      <w:tr>
        <w:trPr/>
        <w:tc>
          <w:tcPr>
            <w:tcW w:w="7085" w:type="dxa"/>
            <w:tcBorders/>
            <w:shd w:fill="FFFFFF" w:val="clear"/>
            <w:vAlign w:val="center"/>
          </w:tcPr>
          <w:p>
            <w:pPr>
              <w:pStyle w:val="TableContents"/>
              <w:bidi w:val="0"/>
              <w:spacing w:before="0" w:after="283"/>
              <w:jc w:val="left"/>
              <w:rPr/>
            </w:pPr>
            <w:r>
              <w:rPr/>
              <w:t>Class A common stock, $</w:t>
            </w:r>
            <w:bookmarkStart w:id="82" w:name="xdx_90C_eus-gaap--CommonStockParOrStated"/>
            <w:bookmarkStart w:id="83" w:name="xdx_904_eus-gaap--CommonStockParOrStated"/>
            <w:bookmarkEnd w:id="82"/>
            <w:bookmarkEnd w:id="83"/>
            <w:r>
              <w:rPr/>
              <w:t xml:space="preserve">0.0001 par value, </w:t>
            </w:r>
            <w:bookmarkStart w:id="84" w:name="xdx_909_eus-gaap--CommonStockSharesAutho"/>
            <w:bookmarkStart w:id="85" w:name="xdx_905_eus-gaap--CommonStockSharesAutho"/>
            <w:bookmarkEnd w:id="84"/>
            <w:bookmarkEnd w:id="85"/>
            <w:r>
              <w:rPr/>
              <w:t xml:space="preserve">500,000,000 shares authorized; </w:t>
            </w:r>
            <w:bookmarkStart w:id="86" w:name="xdx_90B_eus-gaap--CommonStockSharesIssue"/>
            <w:bookmarkEnd w:id="86"/>
            <w:r>
              <w:rPr/>
              <w:t xml:space="preserve">9,368,619 shares issued and </w:t>
            </w:r>
            <w:bookmarkStart w:id="87" w:name="xdx_902_eus-gaap--CommonStockSharesOutst"/>
            <w:bookmarkEnd w:id="87"/>
            <w:r>
              <w:rPr/>
              <w:t xml:space="preserve">8,018,344 shares outstanding as of June 30, 2024, and </w:t>
            </w:r>
            <w:bookmarkStart w:id="88" w:name="xdx_908_eus-gaap--CommonStockSharesIssue"/>
            <w:bookmarkEnd w:id="88"/>
            <w:r>
              <w:rPr/>
              <w:t xml:space="preserve">9,275,420 shares issued and </w:t>
            </w:r>
            <w:bookmarkStart w:id="89" w:name="xdx_902_eus-gaap--CommonStockSharesOutst"/>
            <w:bookmarkEnd w:id="89"/>
            <w:r>
              <w:rPr/>
              <w:t>7,925,145 shares outstanding as of December 31, 2023</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927</w:t>
            </w:r>
          </w:p>
        </w:tc>
        <w:tc>
          <w:tcPr>
            <w:tcW w:w="113" w:type="dxa"/>
            <w:tcBorders/>
            <w:shd w:fill="FFFFFF" w:val="clear"/>
            <w:vAlign w:val="center"/>
          </w:tcPr>
          <w:p>
            <w:pPr>
              <w:pStyle w:val="TableContents"/>
              <w:bidi w:val="0"/>
              <w:spacing w:before="0" w:after="283"/>
              <w:jc w:val="left"/>
              <w:rPr/>
            </w:pPr>
            <w:r>
              <w:rPr/>
              <w:t> </w:t>
            </w:r>
            <w:bookmarkStart w:id="90" w:name="xdx_407_eus-gaap--CommonStockValue_i02I_"/>
            <w:bookmarkEnd w:id="90"/>
          </w:p>
        </w:tc>
      </w:tr>
      <w:tr>
        <w:trPr/>
        <w:tc>
          <w:tcPr>
            <w:tcW w:w="7085" w:type="dxa"/>
            <w:tcBorders/>
            <w:shd w:fill="CCEEFF" w:val="clear"/>
            <w:vAlign w:val="center"/>
          </w:tcPr>
          <w:p>
            <w:pPr>
              <w:pStyle w:val="TableContents"/>
              <w:bidi w:val="0"/>
              <w:spacing w:before="0" w:after="283"/>
              <w:jc w:val="left"/>
              <w:rPr/>
            </w:pPr>
            <w:r>
              <w:rPr/>
              <w:t>Class B common stock, $</w:t>
            </w:r>
            <w:bookmarkStart w:id="91" w:name="xdx_904_eus-gaap--CommonStockParOrStated"/>
            <w:bookmarkStart w:id="92" w:name="xdx_901_eus-gaap--CommonStockParOrStated"/>
            <w:bookmarkEnd w:id="91"/>
            <w:bookmarkEnd w:id="92"/>
            <w:r>
              <w:rPr/>
              <w:t xml:space="preserve">0.0001 par value, </w:t>
            </w:r>
            <w:bookmarkStart w:id="93" w:name="xdx_900_eus-gaap--CommonStockSharesAutho"/>
            <w:bookmarkStart w:id="94" w:name="xdx_906_eus-gaap--CommonStockSharesAutho"/>
            <w:bookmarkEnd w:id="93"/>
            <w:bookmarkEnd w:id="94"/>
            <w:r>
              <w:rPr/>
              <w:t xml:space="preserve">100,000,000 shares authorized; </w:t>
            </w:r>
            <w:bookmarkStart w:id="95" w:name="xdx_90F_eus-gaap--CommonStockSharesOutst"/>
            <w:bookmarkStart w:id="96" w:name="xdx_90C_eus-gaap--CommonStockSharesIssue"/>
            <w:bookmarkStart w:id="97" w:name="xdx_904_eus-gaap--CommonStockSharesOutst"/>
            <w:bookmarkStart w:id="98" w:name="xdx_904_eus-gaap--CommonStockSharesIssue"/>
            <w:bookmarkEnd w:id="95"/>
            <w:bookmarkEnd w:id="96"/>
            <w:bookmarkEnd w:id="97"/>
            <w:bookmarkEnd w:id="98"/>
            <w:r>
              <w:rPr/>
              <w:t>28,748,580 shares issued and outstanding as of June 30, 2024 and December 31, 2023.</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2,875</w:t>
            </w:r>
          </w:p>
        </w:tc>
        <w:tc>
          <w:tcPr>
            <w:tcW w:w="113" w:type="dxa"/>
            <w:tcBorders/>
            <w:shd w:fill="CCEEFF" w:val="clear"/>
            <w:vAlign w:val="center"/>
          </w:tcPr>
          <w:p>
            <w:pPr>
              <w:pStyle w:val="TableContents"/>
              <w:bidi w:val="0"/>
              <w:spacing w:before="0" w:after="283"/>
              <w:jc w:val="left"/>
              <w:rPr/>
            </w:pPr>
            <w:r>
              <w:rPr/>
              <w:t> </w:t>
            </w:r>
            <w:bookmarkStart w:id="99" w:name="xdx_40C_eus-gaap--CommonStockValue_i02I_"/>
            <w:bookmarkEnd w:id="99"/>
          </w:p>
        </w:tc>
      </w:tr>
      <w:tr>
        <w:trPr/>
        <w:tc>
          <w:tcPr>
            <w:tcW w:w="7085" w:type="dxa"/>
            <w:tcBorders/>
            <w:shd w:fill="CCEEFF" w:val="clear"/>
            <w:vAlign w:val="center"/>
          </w:tcPr>
          <w:p>
            <w:pPr>
              <w:pStyle w:val="TableContents"/>
              <w:bidi w:val="0"/>
              <w:spacing w:before="0" w:after="283"/>
              <w:jc w:val="left"/>
              <w:rPr/>
            </w:pPr>
            <w:r>
              <w:rPr/>
              <w:t>Common stock,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2,875</w:t>
            </w:r>
          </w:p>
        </w:tc>
        <w:tc>
          <w:tcPr>
            <w:tcW w:w="113" w:type="dxa"/>
            <w:tcBorders/>
            <w:shd w:fill="CCEEFF" w:val="clear"/>
            <w:vAlign w:val="center"/>
          </w:tcPr>
          <w:p>
            <w:pPr>
              <w:pStyle w:val="TableContents"/>
              <w:bidi w:val="0"/>
              <w:spacing w:before="0" w:after="283"/>
              <w:jc w:val="left"/>
              <w:rPr/>
            </w:pPr>
            <w:r>
              <w:rPr/>
              <w:t> </w:t>
            </w:r>
            <w:bookmarkStart w:id="100" w:name="xdx_407_eus-gaap--AdditionalPaidInCapita"/>
            <w:bookmarkEnd w:id="100"/>
          </w:p>
        </w:tc>
      </w:tr>
      <w:tr>
        <w:trPr/>
        <w:tc>
          <w:tcPr>
            <w:tcW w:w="708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25,319,673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26,171,575</w:t>
            </w:r>
          </w:p>
        </w:tc>
        <w:tc>
          <w:tcPr>
            <w:tcW w:w="113" w:type="dxa"/>
            <w:tcBorders/>
            <w:shd w:fill="FFFFFF" w:val="clear"/>
            <w:vAlign w:val="center"/>
          </w:tcPr>
          <w:p>
            <w:pPr>
              <w:pStyle w:val="TableContents"/>
              <w:bidi w:val="0"/>
              <w:spacing w:before="0" w:after="283"/>
              <w:jc w:val="left"/>
              <w:rPr/>
            </w:pPr>
            <w:r>
              <w:rPr/>
              <w:t> </w:t>
            </w:r>
            <w:bookmarkStart w:id="101" w:name="xdx_40B_eus-gaap--AccumulatedOtherCompre"/>
            <w:bookmarkEnd w:id="101"/>
          </w:p>
        </w:tc>
      </w:tr>
      <w:tr>
        <w:trPr/>
        <w:tc>
          <w:tcPr>
            <w:tcW w:w="7085"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(282,973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(254,383</w:t>
            </w:r>
          </w:p>
        </w:tc>
        <w:tc>
          <w:tcPr>
            <w:tcW w:w="113" w:type="dxa"/>
            <w:tcBorders/>
            <w:shd w:fill="CCEEFF" w:val="clear"/>
            <w:vAlign w:val="center"/>
          </w:tcPr>
          <w:p>
            <w:pPr>
              <w:pStyle w:val="TableContents"/>
              <w:bidi w:val="0"/>
              <w:spacing w:before="0" w:after="283"/>
              <w:jc w:val="left"/>
              <w:rPr/>
            </w:pPr>
            <w:r>
              <w:rPr/>
              <w:t>)</w:t>
            </w:r>
            <w:bookmarkStart w:id="102" w:name="xdx_40F_eus-gaap--RetainedEarningsAccumu"/>
            <w:bookmarkEnd w:id="102"/>
          </w:p>
        </w:tc>
      </w:tr>
      <w:tr>
        <w:trPr/>
        <w:tc>
          <w:tcPr>
            <w:tcW w:w="708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(13,472,503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(13,949,325</w:t>
            </w:r>
          </w:p>
        </w:tc>
        <w:tc>
          <w:tcPr>
            <w:tcW w:w="113" w:type="dxa"/>
            <w:tcBorders/>
            <w:shd w:fill="FFFFFF" w:val="clear"/>
            <w:vAlign w:val="center"/>
          </w:tcPr>
          <w:p>
            <w:pPr>
              <w:pStyle w:val="TableContents"/>
              <w:bidi w:val="0"/>
              <w:spacing w:before="0" w:after="283"/>
              <w:jc w:val="left"/>
              <w:rPr/>
            </w:pPr>
            <w:r>
              <w:rPr/>
              <w:t>)</w:t>
            </w:r>
            <w:bookmarkStart w:id="103" w:name="xdx_401_eus-gaap--TreasuryStockValue_i02"/>
            <w:bookmarkEnd w:id="103"/>
          </w:p>
        </w:tc>
      </w:tr>
      <w:tr>
        <w:trPr/>
        <w:tc>
          <w:tcPr>
            <w:tcW w:w="7085" w:type="dxa"/>
            <w:tcBorders/>
            <w:shd w:fill="CCEEFF" w:val="clear"/>
            <w:vAlign w:val="center"/>
          </w:tcPr>
          <w:p>
            <w:pPr>
              <w:pStyle w:val="TableContents"/>
              <w:bidi w:val="0"/>
              <w:spacing w:before="0" w:after="283"/>
              <w:jc w:val="left"/>
              <w:rPr/>
            </w:pPr>
            <w:r>
              <w:rPr/>
              <w:t>Treasury stock at cost (</w:t>
            </w:r>
            <w:bookmarkStart w:id="104" w:name="xdx_90F_eus-gaap--TreasuryStockCommonSha"/>
            <w:bookmarkStart w:id="105" w:name="xdx_905_eus-gaap--TreasuryStockCommonSha"/>
            <w:bookmarkEnd w:id="104"/>
            <w:bookmarkEnd w:id="105"/>
            <w:r>
              <w:rPr/>
              <w:t>1,350,275 shares as of June 30, 2024 and December 31, 2023)</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(3,671,806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(3,671,806</w:t>
            </w:r>
          </w:p>
        </w:tc>
        <w:tc>
          <w:tcPr>
            <w:tcW w:w="113" w:type="dxa"/>
            <w:tcBorders/>
            <w:shd w:fill="CCEEFF" w:val="clear"/>
            <w:vAlign w:val="center"/>
          </w:tcPr>
          <w:p>
            <w:pPr>
              <w:pStyle w:val="TableContents"/>
              <w:bidi w:val="0"/>
              <w:spacing w:before="0" w:after="283"/>
              <w:jc w:val="left"/>
              <w:rPr/>
            </w:pPr>
            <w:r>
              <w:rPr/>
              <w:t>)</w:t>
            </w:r>
            <w:bookmarkStart w:id="106" w:name="xdx_409_eus-gaap--StockholdersEquity_i02"/>
            <w:bookmarkEnd w:id="106"/>
          </w:p>
        </w:tc>
      </w:tr>
      <w:tr>
        <w:trPr/>
        <w:tc>
          <w:tcPr>
            <w:tcW w:w="7085" w:type="dxa"/>
            <w:tcBorders/>
            <w:shd w:fill="FFFFFF" w:val="clear"/>
            <w:vAlign w:val="center"/>
          </w:tcPr>
          <w:p>
            <w:pPr>
              <w:pStyle w:val="TableContents"/>
              <w:bidi w:val="0"/>
              <w:spacing w:before="0" w:after="283"/>
              <w:jc w:val="left"/>
              <w:rPr/>
            </w:pPr>
            <w:r>
              <w:rPr/>
              <w:t>Total Snail, Inc.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7,896,202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8,299,863</w:t>
            </w:r>
          </w:p>
        </w:tc>
        <w:tc>
          <w:tcPr>
            <w:tcW w:w="113" w:type="dxa"/>
            <w:tcBorders/>
            <w:shd w:fill="FFFFFF" w:val="clear"/>
            <w:vAlign w:val="center"/>
          </w:tcPr>
          <w:p>
            <w:pPr>
              <w:pStyle w:val="TableContents"/>
              <w:bidi w:val="0"/>
              <w:spacing w:before="0" w:after="283"/>
              <w:jc w:val="left"/>
              <w:rPr/>
            </w:pPr>
            <w:r>
              <w:rPr/>
              <w:t> </w:t>
            </w:r>
            <w:bookmarkStart w:id="107" w:name="xdx_40B_eus-gaap--MinorityInterest_i02I_"/>
            <w:bookmarkEnd w:id="107"/>
          </w:p>
        </w:tc>
      </w:tr>
      <w:tr>
        <w:trPr/>
        <w:tc>
          <w:tcPr>
            <w:tcW w:w="708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(5,501,908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(5,499,244</w:t>
            </w:r>
          </w:p>
        </w:tc>
        <w:tc>
          <w:tcPr>
            <w:tcW w:w="113" w:type="dxa"/>
            <w:tcBorders/>
            <w:shd w:fill="CCEEFF" w:val="clear"/>
            <w:vAlign w:val="center"/>
          </w:tcPr>
          <w:p>
            <w:pPr>
              <w:pStyle w:val="TableContents"/>
              <w:bidi w:val="0"/>
              <w:spacing w:before="0" w:after="283"/>
              <w:jc w:val="left"/>
              <w:rPr/>
            </w:pPr>
            <w:r>
              <w:rPr/>
              <w:t>)</w:t>
            </w:r>
            <w:bookmarkStart w:id="108" w:name="xdx_40D_eus-gaap--StockholdersEquityIncl"/>
            <w:bookmarkEnd w:id="108"/>
          </w:p>
        </w:tc>
      </w:tr>
      <w:tr>
        <w:trPr/>
        <w:tc>
          <w:tcPr>
            <w:tcW w:w="708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2,394,294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2,800,619</w:t>
            </w:r>
          </w:p>
        </w:tc>
        <w:tc>
          <w:tcPr>
            <w:tcW w:w="113" w:type="dxa"/>
            <w:tcBorders/>
            <w:shd w:fill="FFFFFF" w:val="clear"/>
            <w:vAlign w:val="center"/>
          </w:tcPr>
          <w:p>
            <w:pPr>
              <w:pStyle w:val="TableContents"/>
              <w:bidi w:val="0"/>
              <w:spacing w:before="0" w:after="283"/>
              <w:jc w:val="left"/>
              <w:rPr/>
            </w:pPr>
            <w:r>
              <w:rPr/>
              <w:t> </w:t>
            </w:r>
            <w:bookmarkStart w:id="109" w:name="xdx_409_eus-gaap--LiabilitiesAndStockhol"/>
            <w:bookmarkEnd w:id="109"/>
          </w:p>
        </w:tc>
      </w:tr>
      <w:tr>
        <w:trPr/>
        <w:tc>
          <w:tcPr>
            <w:tcW w:w="7085" w:type="dxa"/>
            <w:tcBorders/>
            <w:shd w:fill="CCEEFF" w:val="clear"/>
            <w:vAlign w:val="center"/>
          </w:tcPr>
          <w:p>
            <w:pPr>
              <w:pStyle w:val="TableContents"/>
              <w:bidi w:val="0"/>
              <w:spacing w:before="0" w:after="283"/>
              <w:jc w:val="left"/>
              <w:rPr/>
            </w:pPr>
            <w:r>
              <w:rPr/>
              <w:t>Total liabilities, noncontrolling interests and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75,387,570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90,857,529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0" w:name="Yu_005"/>
      <w:bookmarkEnd w:id="110"/>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Income (Loss) for the Three and Six Months Ended June 30, 2024 and 2023</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1" w:name="xdx_306_113_zpZBi407Hgw6"/>
      <w:bookmarkStart w:id="112" w:name="xdx_306_113_zpZBi407Hgw6"/>
      <w:bookmarkEnd w:id="112"/>
    </w:p>
    <w:tbl>
      <w:tblPr>
        <w:tblW w:w="10205" w:type="dxa"/>
        <w:jc w:val="left"/>
        <w:tblInd w:w="0" w:type="dxa"/>
        <w:tblLayout w:type="fixed"/>
        <w:tblCellMar>
          <w:top w:w="0" w:type="dxa"/>
          <w:left w:w="0" w:type="dxa"/>
          <w:bottom w:w="0" w:type="dxa"/>
          <w:right w:w="0" w:type="dxa"/>
        </w:tblCellMar>
      </w:tblPr>
      <w:tblGrid>
        <w:gridCol w:w="4474"/>
        <w:gridCol w:w="60"/>
        <w:gridCol w:w="145"/>
        <w:gridCol w:w="1145"/>
        <w:gridCol w:w="98"/>
        <w:gridCol w:w="62"/>
        <w:gridCol w:w="145"/>
        <w:gridCol w:w="1145"/>
        <w:gridCol w:w="95"/>
        <w:gridCol w:w="60"/>
        <w:gridCol w:w="141"/>
        <w:gridCol w:w="1111"/>
        <w:gridCol w:w="95"/>
        <w:gridCol w:w="60"/>
        <w:gridCol w:w="141"/>
        <w:gridCol w:w="1111"/>
        <w:gridCol w:w="117"/>
      </w:tblGrid>
      <w:tr>
        <w:trPr/>
        <w:tc>
          <w:tcPr>
            <w:tcW w:w="447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13" w:name="xdx_49D_20240401__20240630_zxbo2bHUH2Nl"/>
            <w:bookmarkEnd w:id="113"/>
          </w:p>
        </w:tc>
        <w:tc>
          <w:tcPr>
            <w:tcW w:w="1145" w:type="dxa"/>
            <w:tcBorders/>
            <w:shd w:fill="FFFFFF" w:val="clear"/>
            <w:vAlign w:val="center"/>
          </w:tcPr>
          <w:p>
            <w:pPr>
              <w:pStyle w:val="TableContents"/>
              <w:bidi w:val="0"/>
              <w:spacing w:before="0" w:after="283"/>
              <w:jc w:val="center"/>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14" w:name="xdx_49D_20230401__20230630_zu8rrJVEcW02"/>
            <w:bookmarkEnd w:id="114"/>
          </w:p>
        </w:tc>
        <w:tc>
          <w:tcPr>
            <w:tcW w:w="114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15" w:name="xdx_491_20240101__20240630_zHCH9iAJWIjb"/>
            <w:bookmarkEnd w:id="115"/>
          </w:p>
        </w:tc>
        <w:tc>
          <w:tcPr>
            <w:tcW w:w="1111"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16" w:name="xdx_496_20230101__20230630_z8W2f5I5SHQ3"/>
            <w:bookmarkEnd w:id="116"/>
          </w:p>
        </w:tc>
        <w:tc>
          <w:tcPr>
            <w:tcW w:w="1111" w:type="dxa"/>
            <w:tcBorders/>
            <w:shd w:fill="FFFFFF" w:val="clear"/>
            <w:vAlign w:val="center"/>
          </w:tcPr>
          <w:p>
            <w:pPr>
              <w:pStyle w:val="TableContents"/>
              <w:bidi w:val="0"/>
              <w:spacing w:before="0" w:after="283"/>
              <w:jc w:val="center"/>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44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7" w:type="dxa"/>
            <w:tcBorders/>
            <w:vAlign w:val="center"/>
          </w:tcPr>
          <w:p>
            <w:pPr>
              <w:pStyle w:val="TableContents"/>
              <w:bidi w:val="0"/>
              <w:spacing w:before="0" w:after="283"/>
              <w:jc w:val="left"/>
              <w:rPr/>
            </w:pPr>
            <w:r>
              <w:rPr/>
              <w:t> </w:t>
            </w:r>
          </w:p>
        </w:tc>
      </w:tr>
      <w:tr>
        <w:trPr/>
        <w:tc>
          <w:tcPr>
            <w:tcW w:w="44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2023</w:t>
            </w:r>
          </w:p>
        </w:tc>
        <w:tc>
          <w:tcPr>
            <w:tcW w:w="117" w:type="dxa"/>
            <w:tcBorders/>
            <w:vAlign w:val="center"/>
          </w:tcPr>
          <w:p>
            <w:pPr>
              <w:pStyle w:val="TableContents"/>
              <w:bidi w:val="0"/>
              <w:spacing w:before="0" w:after="283"/>
              <w:jc w:val="left"/>
              <w:rPr/>
            </w:pPr>
            <w:r>
              <w:rPr/>
              <w:t> </w:t>
            </w:r>
          </w:p>
        </w:tc>
      </w:tr>
      <w:tr>
        <w:trPr/>
        <w:tc>
          <w:tcPr>
            <w:tcW w:w="44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bookmarkStart w:id="117" w:name="xdx_408_eus-gaap--RevenueFromContractWit"/>
            <w:bookmarkEnd w:id="117"/>
          </w:p>
        </w:tc>
      </w:tr>
      <w:tr>
        <w:trPr/>
        <w:tc>
          <w:tcPr>
            <w:tcW w:w="4474"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21,606,650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9,892,253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35,722,379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23,350,741</w:t>
            </w:r>
          </w:p>
        </w:tc>
        <w:tc>
          <w:tcPr>
            <w:tcW w:w="117" w:type="dxa"/>
            <w:tcBorders/>
            <w:shd w:fill="CCEEFF" w:val="clear"/>
            <w:vAlign w:val="center"/>
          </w:tcPr>
          <w:p>
            <w:pPr>
              <w:pStyle w:val="TableContents"/>
              <w:bidi w:val="0"/>
              <w:spacing w:before="0" w:after="283"/>
              <w:jc w:val="left"/>
              <w:rPr/>
            </w:pPr>
            <w:r>
              <w:rPr/>
              <w:t> </w:t>
            </w:r>
            <w:bookmarkStart w:id="118" w:name="xdx_402_eus-gaap--CostOfGoodsAndServices"/>
            <w:bookmarkEnd w:id="118"/>
          </w:p>
        </w:tc>
      </w:tr>
      <w:tr>
        <w:trPr/>
        <w:tc>
          <w:tcPr>
            <w:tcW w:w="4474"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13,504,174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9,335,765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25,545,872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20,196,702</w:t>
            </w:r>
          </w:p>
        </w:tc>
        <w:tc>
          <w:tcPr>
            <w:tcW w:w="117" w:type="dxa"/>
            <w:tcBorders/>
            <w:shd w:fill="FFFFFF" w:val="clear"/>
            <w:vAlign w:val="center"/>
          </w:tcPr>
          <w:p>
            <w:pPr>
              <w:pStyle w:val="TableContents"/>
              <w:bidi w:val="0"/>
              <w:spacing w:before="0" w:after="283"/>
              <w:jc w:val="left"/>
              <w:rPr/>
            </w:pPr>
            <w:r>
              <w:rPr/>
              <w:t> </w:t>
            </w:r>
          </w:p>
        </w:tc>
      </w:tr>
      <w:tr>
        <w:trPr/>
        <w:tc>
          <w:tcPr>
            <w:tcW w:w="4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19" w:name="xdx_40F_eus-gaap--GrossProfit_iT_mtGPzkD"/>
            <w:bookmarkEnd w:id="119"/>
          </w:p>
        </w:tc>
      </w:tr>
      <w:tr>
        <w:trPr/>
        <w:tc>
          <w:tcPr>
            <w:tcW w:w="4474"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8,102,476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556,488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10,176,507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3,154,039</w:t>
            </w:r>
          </w:p>
        </w:tc>
        <w:tc>
          <w:tcPr>
            <w:tcW w:w="117" w:type="dxa"/>
            <w:tcBorders/>
            <w:shd w:fill="FFFFFF" w:val="clear"/>
            <w:vAlign w:val="center"/>
          </w:tcPr>
          <w:p>
            <w:pPr>
              <w:pStyle w:val="TableContents"/>
              <w:bidi w:val="0"/>
              <w:spacing w:before="0" w:after="283"/>
              <w:jc w:val="left"/>
              <w:rPr/>
            </w:pPr>
            <w:r>
              <w:rPr/>
              <w:t> </w:t>
            </w:r>
          </w:p>
        </w:tc>
      </w:tr>
      <w:tr>
        <w:trPr/>
        <w:tc>
          <w:tcPr>
            <w:tcW w:w="4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20" w:name="xdx_407_eus-gaap--OperatingExpensesAbstr"/>
            <w:bookmarkEnd w:id="120"/>
          </w:p>
        </w:tc>
      </w:tr>
      <w:tr>
        <w:trPr/>
        <w:tc>
          <w:tcPr>
            <w:tcW w:w="4474"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21" w:name="xdx_40F_eus-gaap--GeneralAndAdministrati"/>
            <w:bookmarkEnd w:id="121"/>
          </w:p>
        </w:tc>
      </w:tr>
      <w:tr>
        <w:trPr/>
        <w:tc>
          <w:tcPr>
            <w:tcW w:w="447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2,795,884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3,937,234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5,077,924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8,462,985</w:t>
            </w:r>
          </w:p>
        </w:tc>
        <w:tc>
          <w:tcPr>
            <w:tcW w:w="117" w:type="dxa"/>
            <w:tcBorders/>
            <w:shd w:fill="CCEEFF" w:val="clear"/>
            <w:vAlign w:val="center"/>
          </w:tcPr>
          <w:p>
            <w:pPr>
              <w:pStyle w:val="TableContents"/>
              <w:bidi w:val="0"/>
              <w:spacing w:before="0" w:after="283"/>
              <w:jc w:val="left"/>
              <w:rPr/>
            </w:pPr>
            <w:r>
              <w:rPr/>
              <w:t> </w:t>
            </w:r>
            <w:bookmarkStart w:id="122" w:name="xdx_40D_eus-gaap--ResearchAndDevelopment"/>
            <w:bookmarkEnd w:id="122"/>
          </w:p>
        </w:tc>
      </w:tr>
      <w:tr>
        <w:trPr/>
        <w:tc>
          <w:tcPr>
            <w:tcW w:w="4474"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1,860,881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1,200,842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3,637,403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2,574,639</w:t>
            </w:r>
          </w:p>
        </w:tc>
        <w:tc>
          <w:tcPr>
            <w:tcW w:w="117" w:type="dxa"/>
            <w:tcBorders/>
            <w:shd w:fill="FFFFFF" w:val="clear"/>
            <w:vAlign w:val="center"/>
          </w:tcPr>
          <w:p>
            <w:pPr>
              <w:pStyle w:val="TableContents"/>
              <w:bidi w:val="0"/>
              <w:spacing w:before="0" w:after="283"/>
              <w:jc w:val="left"/>
              <w:rPr/>
            </w:pPr>
            <w:r>
              <w:rPr/>
              <w:t> </w:t>
            </w:r>
            <w:bookmarkStart w:id="123" w:name="xdx_40E_eus-gaap--MarketingAndAdvertisin"/>
            <w:bookmarkEnd w:id="123"/>
          </w:p>
        </w:tc>
      </w:tr>
      <w:tr>
        <w:trPr/>
        <w:tc>
          <w:tcPr>
            <w:tcW w:w="4474"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694,195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168,292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835,225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272,841</w:t>
            </w:r>
          </w:p>
        </w:tc>
        <w:tc>
          <w:tcPr>
            <w:tcW w:w="117" w:type="dxa"/>
            <w:tcBorders/>
            <w:shd w:fill="CCEEFF" w:val="clear"/>
            <w:vAlign w:val="center"/>
          </w:tcPr>
          <w:p>
            <w:pPr>
              <w:pStyle w:val="TableContents"/>
              <w:bidi w:val="0"/>
              <w:spacing w:before="0" w:after="283"/>
              <w:jc w:val="left"/>
              <w:rPr/>
            </w:pPr>
            <w:r>
              <w:rPr/>
              <w:t> </w:t>
            </w:r>
            <w:bookmarkStart w:id="124" w:name="xdx_404_eus-gaap--DepreciationAndAmortiz"/>
            <w:bookmarkEnd w:id="124"/>
          </w:p>
        </w:tc>
      </w:tr>
      <w:tr>
        <w:trPr/>
        <w:tc>
          <w:tcPr>
            <w:tcW w:w="4474"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80,554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118,110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162,892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233,170</w:t>
            </w:r>
          </w:p>
        </w:tc>
        <w:tc>
          <w:tcPr>
            <w:tcW w:w="117" w:type="dxa"/>
            <w:tcBorders/>
            <w:shd w:fill="FFFFFF" w:val="clear"/>
            <w:vAlign w:val="center"/>
          </w:tcPr>
          <w:p>
            <w:pPr>
              <w:pStyle w:val="TableContents"/>
              <w:bidi w:val="0"/>
              <w:spacing w:before="0" w:after="283"/>
              <w:jc w:val="left"/>
              <w:rPr/>
            </w:pPr>
            <w:r>
              <w:rPr/>
              <w:t> </w:t>
            </w:r>
            <w:bookmarkStart w:id="125" w:name="xdx_405_eus-gaap--OperatingExpenses_i01T"/>
            <w:bookmarkEnd w:id="125"/>
          </w:p>
        </w:tc>
      </w:tr>
      <w:tr>
        <w:trPr/>
        <w:tc>
          <w:tcPr>
            <w:tcW w:w="4474"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5,431,514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5,424,478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9,713,444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11,543,635</w:t>
            </w:r>
          </w:p>
        </w:tc>
        <w:tc>
          <w:tcPr>
            <w:tcW w:w="117" w:type="dxa"/>
            <w:tcBorders/>
            <w:shd w:fill="CCEEFF" w:val="clear"/>
            <w:vAlign w:val="center"/>
          </w:tcPr>
          <w:p>
            <w:pPr>
              <w:pStyle w:val="TableContents"/>
              <w:bidi w:val="0"/>
              <w:spacing w:before="0" w:after="283"/>
              <w:jc w:val="left"/>
              <w:rPr/>
            </w:pPr>
            <w:r>
              <w:rPr/>
              <w:t> </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26" w:name="xdx_40A_eus-gaap--OperatingIncomeLoss_iT"/>
            <w:bookmarkEnd w:id="126"/>
          </w:p>
        </w:tc>
      </w:tr>
      <w:tr>
        <w:trPr/>
        <w:tc>
          <w:tcPr>
            <w:tcW w:w="4474"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2,670,962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(4,867,990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463,063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(8,389,596</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27" w:name="xdx_404_eus-gaap--NonoperatingIncomeExpe"/>
            <w:bookmarkEnd w:id="127"/>
          </w:p>
        </w:tc>
      </w:tr>
      <w:tr>
        <w:trPr/>
        <w:tc>
          <w:tcPr>
            <w:tcW w:w="4474"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28" w:name="xdx_403_eus-gaap--InterestIncomeOther_i0"/>
            <w:bookmarkEnd w:id="128"/>
          </w:p>
        </w:tc>
      </w:tr>
      <w:tr>
        <w:trPr/>
        <w:tc>
          <w:tcPr>
            <w:tcW w:w="4474"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64,790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19,791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164,552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51,264</w:t>
            </w:r>
          </w:p>
        </w:tc>
        <w:tc>
          <w:tcPr>
            <w:tcW w:w="117" w:type="dxa"/>
            <w:tcBorders/>
            <w:shd w:fill="FFFFFF" w:val="clear"/>
            <w:vAlign w:val="center"/>
          </w:tcPr>
          <w:p>
            <w:pPr>
              <w:pStyle w:val="TableContents"/>
              <w:bidi w:val="0"/>
              <w:spacing w:before="0" w:after="283"/>
              <w:jc w:val="left"/>
              <w:rPr/>
            </w:pPr>
            <w:r>
              <w:rPr/>
              <w:t> </w:t>
            </w:r>
            <w:bookmarkStart w:id="129" w:name="xdx_40B_eus-gaap--InterestIncomeOther_i0"/>
            <w:bookmarkEnd w:id="129"/>
          </w:p>
        </w:tc>
      </w:tr>
      <w:tr>
        <w:trPr/>
        <w:tc>
          <w:tcPr>
            <w:tcW w:w="4474" w:type="dxa"/>
            <w:tcBorders/>
            <w:shd w:fill="CCEEFF" w:val="clear"/>
            <w:vAlign w:val="center"/>
          </w:tcPr>
          <w:p>
            <w:pPr>
              <w:pStyle w:val="TableContents"/>
              <w:bidi w:val="0"/>
              <w:spacing w:before="0" w:after="283"/>
              <w:jc w:val="left"/>
              <w:rPr/>
            </w:pPr>
            <w:r>
              <w:rPr/>
              <w:t>Interest income - related parties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498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992</w:t>
            </w:r>
          </w:p>
        </w:tc>
        <w:tc>
          <w:tcPr>
            <w:tcW w:w="117" w:type="dxa"/>
            <w:tcBorders/>
            <w:shd w:fill="CCEEFF" w:val="clear"/>
            <w:vAlign w:val="center"/>
          </w:tcPr>
          <w:p>
            <w:pPr>
              <w:pStyle w:val="TableContents"/>
              <w:bidi w:val="0"/>
              <w:spacing w:before="0" w:after="283"/>
              <w:jc w:val="left"/>
              <w:rPr/>
            </w:pPr>
            <w:r>
              <w:rPr/>
              <w:t> </w:t>
            </w:r>
            <w:bookmarkStart w:id="130" w:name="xdx_403_eus-gaap--InterestIncomeOther_i0"/>
            <w:bookmarkEnd w:id="130"/>
          </w:p>
        </w:tc>
      </w:tr>
      <w:tr>
        <w:trPr/>
        <w:tc>
          <w:tcPr>
            <w:tcW w:w="4474"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4"/>
                <w:szCs w:val="4"/>
              </w:rPr>
            </w:pPr>
            <w:r>
              <w:rPr>
                <w:sz w:val="4"/>
                <w:szCs w:val="4"/>
              </w:rPr>
            </w:r>
          </w:p>
        </w:tc>
        <w:tc>
          <w:tcPr>
            <w:tcW w:w="1145" w:type="dxa"/>
            <w:tcBorders/>
            <w:shd w:fill="FFFFFF" w:val="clear"/>
            <w:vAlign w:val="center"/>
          </w:tcPr>
          <w:p>
            <w:pPr>
              <w:pStyle w:val="TableContents"/>
              <w:bidi w:val="0"/>
              <w:spacing w:before="0" w:after="283"/>
              <w:jc w:val="right"/>
              <w:rPr/>
            </w:pPr>
            <w:r>
              <w:rPr/>
              <w:t>498</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4"/>
                <w:szCs w:val="4"/>
              </w:rPr>
            </w:pPr>
            <w:r>
              <w:rPr>
                <w:sz w:val="4"/>
                <w:szCs w:val="4"/>
              </w:rPr>
            </w:r>
          </w:p>
        </w:tc>
        <w:tc>
          <w:tcPr>
            <w:tcW w:w="1145" w:type="dxa"/>
            <w:tcBorders/>
            <w:shd w:fill="FFFFFF" w:val="clear"/>
            <w:vAlign w:val="center"/>
          </w:tcPr>
          <w:p>
            <w:pPr>
              <w:pStyle w:val="TableContents"/>
              <w:bidi w:val="0"/>
              <w:spacing w:before="0" w:after="283"/>
              <w:jc w:val="right"/>
              <w:rPr/>
            </w:pPr>
            <w:r>
              <w:rPr/>
              <w:t>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right"/>
              <w:rPr/>
            </w:pPr>
            <w:r>
              <w:rPr/>
              <w:t>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992</w:t>
            </w:r>
          </w:p>
        </w:tc>
        <w:tc>
          <w:tcPr>
            <w:tcW w:w="117" w:type="dxa"/>
            <w:tcBorders/>
            <w:shd w:fill="FFFFFF" w:val="clear"/>
            <w:vAlign w:val="center"/>
          </w:tcPr>
          <w:p>
            <w:pPr>
              <w:pStyle w:val="TableContents"/>
              <w:bidi w:val="0"/>
              <w:spacing w:before="0" w:after="283"/>
              <w:jc w:val="left"/>
              <w:rPr/>
            </w:pPr>
            <w:r>
              <w:rPr/>
              <w:t> </w:t>
            </w:r>
            <w:bookmarkStart w:id="131" w:name="xdx_40A_eus-gaap--InterestExpenseNonoper"/>
            <w:bookmarkEnd w:id="131"/>
          </w:p>
        </w:tc>
      </w:tr>
      <w:tr>
        <w:trPr/>
        <w:tc>
          <w:tcPr>
            <w:tcW w:w="4474"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(142,301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(296,237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(538,265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(590,820</w:t>
            </w:r>
          </w:p>
        </w:tc>
        <w:tc>
          <w:tcPr>
            <w:tcW w:w="117" w:type="dxa"/>
            <w:tcBorders/>
            <w:shd w:fill="FFFFFF" w:val="clear"/>
            <w:vAlign w:val="center"/>
          </w:tcPr>
          <w:p>
            <w:pPr>
              <w:pStyle w:val="TableContents"/>
              <w:bidi w:val="0"/>
              <w:spacing w:before="0" w:after="283"/>
              <w:jc w:val="left"/>
              <w:rPr/>
            </w:pPr>
            <w:r>
              <w:rPr/>
              <w:t>)</w:t>
            </w:r>
            <w:bookmarkStart w:id="132" w:name="xdx_409_eus-gaap--InterestExpenseNonoper"/>
            <w:bookmarkEnd w:id="132"/>
          </w:p>
        </w:tc>
      </w:tr>
      <w:tr>
        <w:trPr/>
        <w:tc>
          <w:tcPr>
            <w:tcW w:w="4474"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bookmarkStart w:id="133" w:name="xdx_40B_eus-gaap--OtherNonoperatingIncom"/>
            <w:bookmarkEnd w:id="133"/>
          </w:p>
        </w:tc>
      </w:tr>
      <w:tr>
        <w:trPr/>
        <w:tc>
          <w:tcPr>
            <w:tcW w:w="4474"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244,527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471,593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8,175</w:t>
            </w:r>
          </w:p>
        </w:tc>
        <w:tc>
          <w:tcPr>
            <w:tcW w:w="117" w:type="dxa"/>
            <w:tcBorders/>
            <w:shd w:fill="CCEEFF" w:val="clear"/>
            <w:vAlign w:val="center"/>
          </w:tcPr>
          <w:p>
            <w:pPr>
              <w:pStyle w:val="TableContents"/>
              <w:bidi w:val="0"/>
              <w:spacing w:before="0" w:after="283"/>
              <w:jc w:val="left"/>
              <w:rPr/>
            </w:pPr>
            <w:r>
              <w:rPr/>
              <w:t> </w:t>
            </w:r>
            <w:bookmarkStart w:id="134" w:name="xdx_40C_eus-gaap--ForeignCurrencyTransac"/>
            <w:bookmarkEnd w:id="134"/>
          </w:p>
        </w:tc>
      </w:tr>
      <w:tr>
        <w:trPr/>
        <w:tc>
          <w:tcPr>
            <w:tcW w:w="4474" w:type="dxa"/>
            <w:tcBorders/>
            <w:shd w:fill="FFFFFF" w:val="clear"/>
            <w:vAlign w:val="center"/>
          </w:tcPr>
          <w:p>
            <w:pPr>
              <w:pStyle w:val="TableContents"/>
              <w:bidi w:val="0"/>
              <w:spacing w:before="0" w:after="283"/>
              <w:jc w:val="left"/>
              <w:rPr/>
            </w:pPr>
            <w:r>
              <w:rPr/>
              <w:t>Foreign currency transaction gain (loss)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5,652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(21,845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23,780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(24,212</w:t>
            </w:r>
          </w:p>
        </w:tc>
        <w:tc>
          <w:tcPr>
            <w:tcW w:w="117" w:type="dxa"/>
            <w:tcBorders/>
            <w:shd w:fill="FFFFFF" w:val="clear"/>
            <w:vAlign w:val="center"/>
          </w:tcPr>
          <w:p>
            <w:pPr>
              <w:pStyle w:val="TableContents"/>
              <w:bidi w:val="0"/>
              <w:spacing w:before="0" w:after="283"/>
              <w:jc w:val="left"/>
              <w:rPr/>
            </w:pPr>
            <w:r>
              <w:rPr/>
              <w:t>)</w:t>
            </w:r>
            <w:bookmarkStart w:id="135" w:name="xdx_408_eus-gaap--NonoperatingIncomeExpe"/>
            <w:bookmarkEnd w:id="135"/>
          </w:p>
        </w:tc>
      </w:tr>
      <w:tr>
        <w:trPr/>
        <w:tc>
          <w:tcPr>
            <w:tcW w:w="4474"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173,166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(297,792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122,657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(554,601</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36" w:name="xdx_406_eus-gaap--IncomeLossFromContinui"/>
            <w:bookmarkEnd w:id="136"/>
          </w:p>
        </w:tc>
      </w:tr>
      <w:tr>
        <w:trPr/>
        <w:tc>
          <w:tcPr>
            <w:tcW w:w="4474" w:type="dxa"/>
            <w:tcBorders/>
            <w:shd w:fill="CCEEFF" w:val="clear"/>
            <w:vAlign w:val="center"/>
          </w:tcPr>
          <w:p>
            <w:pPr>
              <w:pStyle w:val="TableContents"/>
              <w:bidi w:val="0"/>
              <w:spacing w:before="0" w:after="283"/>
              <w:jc w:val="left"/>
              <w:rPr/>
            </w:pPr>
            <w:r>
              <w:rPr/>
              <w:t>Income (loss) before provision for (benefit from)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2,844,128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(5,165,782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585,720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(8,944,197</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37" w:name="xdx_40C_eus-gaap--IncomeTaxExpenseBenefi"/>
            <w:bookmarkEnd w:id="137"/>
          </w:p>
        </w:tc>
      </w:tr>
      <w:tr>
        <w:trPr/>
        <w:tc>
          <w:tcPr>
            <w:tcW w:w="4474" w:type="dxa"/>
            <w:tcBorders/>
            <w:shd w:fill="CCEEFF" w:val="clear"/>
            <w:vAlign w:val="center"/>
          </w:tcPr>
          <w:p>
            <w:pPr>
              <w:pStyle w:val="TableContents"/>
              <w:bidi w:val="0"/>
              <w:spacing w:before="0" w:after="283"/>
              <w:jc w:val="left"/>
              <w:rPr/>
            </w:pPr>
            <w:r>
              <w:rPr/>
              <w:t>Provision for (benefit from)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589,512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(1,081,887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111,562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(1,887,705</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38" w:name="xdx_401_eus-gaap--ProfitLoss_iT_mtPLzztP"/>
            <w:bookmarkEnd w:id="138"/>
          </w:p>
        </w:tc>
      </w:tr>
      <w:tr>
        <w:trPr/>
        <w:tc>
          <w:tcPr>
            <w:tcW w:w="447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2,254,616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(4,083,895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474,158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(7,056,492</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39" w:name="xdx_408_eus-gaap--NetIncomeLossAttributa"/>
            <w:bookmarkEnd w:id="139"/>
          </w:p>
        </w:tc>
      </w:tr>
      <w:tr>
        <w:trPr/>
        <w:tc>
          <w:tcPr>
            <w:tcW w:w="4474" w:type="dxa"/>
            <w:tcBorders/>
            <w:shd w:fill="CCEEFF" w:val="clear"/>
            <w:vAlign w:val="center"/>
          </w:tcPr>
          <w:p>
            <w:pPr>
              <w:pStyle w:val="TableContents"/>
              <w:bidi w:val="0"/>
              <w:spacing w:before="0" w:after="283"/>
              <w:jc w:val="left"/>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(4,464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(2,664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(5,683</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0" w:name="xdx_40F_eus-gaap--NetIncomeLoss_iT_mtNIL"/>
            <w:bookmarkEnd w:id="140"/>
          </w:p>
        </w:tc>
      </w:tr>
      <w:tr>
        <w:trPr/>
        <w:tc>
          <w:tcPr>
            <w:tcW w:w="4474" w:type="dxa"/>
            <w:tcBorders/>
            <w:shd w:fill="CCEEFF" w:val="clear"/>
            <w:vAlign w:val="center"/>
          </w:tcPr>
          <w:p>
            <w:pPr>
              <w:pStyle w:val="TableContents"/>
              <w:bidi w:val="0"/>
              <w:spacing w:before="0" w:after="283"/>
              <w:jc w:val="left"/>
              <w:rPr/>
            </w:pPr>
            <w:r>
              <w:rPr/>
              <w:t>Net income (loss) attributable to Snail, Inc.</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2,256,151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(4,079,431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476,822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(7,050,809</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1" w:name="xdx_403_eus-gaap--ComprehensiveIncomeNet"/>
            <w:bookmarkEnd w:id="141"/>
          </w:p>
        </w:tc>
      </w:tr>
      <w:tr>
        <w:trPr/>
        <w:tc>
          <w:tcPr>
            <w:tcW w:w="4474" w:type="dxa"/>
            <w:tcBorders/>
            <w:shd w:fill="CCEEFF" w:val="clear"/>
            <w:vAlign w:val="center"/>
          </w:tcPr>
          <w:p>
            <w:pPr>
              <w:pStyle w:val="TableContents"/>
              <w:bidi w:val="0"/>
              <w:spacing w:before="0" w:after="283"/>
              <w:jc w:val="left"/>
              <w:rPr>
                <w:b/>
              </w:rPr>
            </w:pPr>
            <w:r>
              <w:rPr>
                <w:b/>
              </w:rPr>
              <w:t>Comprehensive income (loss) statement: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2" w:name="xdx_400_eus-gaap--ProfitLoss_maCINOTzFNV"/>
            <w:bookmarkEnd w:id="142"/>
          </w:p>
        </w:tc>
      </w:tr>
      <w:tr>
        <w:trPr/>
        <w:tc>
          <w:tcPr>
            <w:tcW w:w="447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2,254,616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(4,083,895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474,158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(7,056,492</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3" w:name="xdx_400_eus-gaap--OtherComprehensiveInco"/>
            <w:bookmarkEnd w:id="143"/>
          </w:p>
        </w:tc>
      </w:tr>
      <w:tr>
        <w:trPr/>
        <w:tc>
          <w:tcPr>
            <w:tcW w:w="4474" w:type="dxa"/>
            <w:tcBorders/>
            <w:shd w:fill="CCEEFF" w:val="clear"/>
            <w:vAlign w:val="center"/>
          </w:tcPr>
          <w:p>
            <w:pPr>
              <w:pStyle w:val="TableContents"/>
              <w:bidi w:val="0"/>
              <w:spacing w:before="0" w:after="283"/>
              <w:jc w:val="left"/>
              <w:rPr/>
            </w:pPr>
            <w:r>
              <w:rPr/>
              <w:t>Other comprehensive income (loss) related to foreign currency translation adjustments, net of tax</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(9,293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18,707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(28,590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21,027</w:t>
            </w:r>
          </w:p>
        </w:tc>
        <w:tc>
          <w:tcPr>
            <w:tcW w:w="117" w:type="dxa"/>
            <w:tcBorders/>
            <w:shd w:fill="CCEEFF" w:val="clear"/>
            <w:vAlign w:val="center"/>
          </w:tcPr>
          <w:p>
            <w:pPr>
              <w:pStyle w:val="TableContents"/>
              <w:bidi w:val="0"/>
              <w:spacing w:before="0" w:after="283"/>
              <w:jc w:val="left"/>
              <w:rPr/>
            </w:pPr>
            <w:r>
              <w:rPr/>
              <w:t> </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4" w:name="xdx_40D_eus-gaap--ComprehensiveIncomeNet"/>
            <w:bookmarkEnd w:id="144"/>
          </w:p>
        </w:tc>
      </w:tr>
      <w:tr>
        <w:trPr/>
        <w:tc>
          <w:tcPr>
            <w:tcW w:w="4474"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2,245,323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(4,065,188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pPr>
            <w:r>
              <w:rPr/>
              <w:t>445,568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pPr>
            <w:r>
              <w:rPr/>
              <w:t>(7,035,465</w:t>
            </w:r>
          </w:p>
        </w:tc>
        <w:tc>
          <w:tcPr>
            <w:tcW w:w="117" w:type="dxa"/>
            <w:tcBorders/>
            <w:shd w:fill="CCEEFF" w:val="clear"/>
            <w:vAlign w:val="center"/>
          </w:tcPr>
          <w:p>
            <w:pPr>
              <w:pStyle w:val="TableContents"/>
              <w:bidi w:val="0"/>
              <w:spacing w:before="0" w:after="283"/>
              <w:jc w:val="left"/>
              <w:rPr/>
            </w:pPr>
            <w:r>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5" w:name="xdx_402_eus-gaap--NetIncomeLossAvailable"/>
            <w:bookmarkEnd w:id="145"/>
          </w:p>
        </w:tc>
      </w:tr>
      <w:tr>
        <w:trPr/>
        <w:tc>
          <w:tcPr>
            <w:tcW w:w="4474" w:type="dxa"/>
            <w:tcBorders/>
            <w:shd w:fill="CCEEFF" w:val="clear"/>
            <w:vAlign w:val="center"/>
          </w:tcPr>
          <w:p>
            <w:pPr>
              <w:pStyle w:val="TableContents"/>
              <w:bidi w:val="0"/>
              <w:spacing w:before="0" w:after="283"/>
              <w:jc w:val="left"/>
              <w:rPr>
                <w:b/>
              </w:rPr>
            </w:pPr>
            <w:r>
              <w:rPr>
                <w:b/>
              </w:rPr>
              <w:t>Net income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46" w:name="xdx_405_eus-gaap--NetIncomeLossAvailable"/>
            <w:bookmarkEnd w:id="146"/>
          </w:p>
        </w:tc>
      </w:tr>
      <w:tr>
        <w:trPr/>
        <w:tc>
          <w:tcPr>
            <w:tcW w:w="4474"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489,379</w:t>
            </w:r>
          </w:p>
        </w:tc>
        <w:tc>
          <w:tcPr>
            <w:tcW w:w="98" w:type="dxa"/>
            <w:tcBorders/>
            <w:shd w:fill="FFFFFF" w:val="clear"/>
            <w:vAlign w:val="center"/>
          </w:tcPr>
          <w:p>
            <w:pPr>
              <w:pStyle w:val="TableContents"/>
              <w:bidi w:val="0"/>
              <w:spacing w:before="0" w:after="283"/>
              <w:jc w:val="left"/>
              <w:rPr>
                <w:sz w:val="4"/>
                <w:szCs w:val="4"/>
              </w:rPr>
            </w:pPr>
            <w:r>
              <w:rPr>
                <w:sz w:val="4"/>
                <w:szCs w:val="4"/>
              </w:rPr>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(879,665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103,656</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(1,522,005</w:t>
            </w:r>
          </w:p>
        </w:tc>
        <w:tc>
          <w:tcPr>
            <w:tcW w:w="117" w:type="dxa"/>
            <w:tcBorders/>
            <w:shd w:fill="FFFFFF" w:val="clear"/>
            <w:vAlign w:val="center"/>
          </w:tcPr>
          <w:p>
            <w:pPr>
              <w:pStyle w:val="TableContents"/>
              <w:bidi w:val="0"/>
              <w:spacing w:before="0" w:after="283"/>
              <w:jc w:val="left"/>
              <w:rPr>
                <w:b/>
              </w:rPr>
            </w:pPr>
            <w:r>
              <w:rPr>
                <w:b/>
              </w:rPr>
              <w:t>)</w:t>
            </w:r>
            <w:bookmarkStart w:id="147" w:name="xdx_404_eus-gaap--NetIncomeLossAvailable"/>
            <w:bookmarkEnd w:id="147"/>
          </w:p>
        </w:tc>
      </w:tr>
      <w:tr>
        <w:trPr/>
        <w:tc>
          <w:tcPr>
            <w:tcW w:w="4474"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463,249</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(879,665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79,116</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(1,522,005</w:t>
            </w:r>
          </w:p>
        </w:tc>
        <w:tc>
          <w:tcPr>
            <w:tcW w:w="117" w:type="dxa"/>
            <w:tcBorders/>
            <w:shd w:fill="CCEEFF" w:val="clear"/>
            <w:vAlign w:val="center"/>
          </w:tcPr>
          <w:p>
            <w:pPr>
              <w:pStyle w:val="TableContents"/>
              <w:bidi w:val="0"/>
              <w:spacing w:before="0" w:after="283"/>
              <w:jc w:val="left"/>
              <w:rPr>
                <w:b/>
              </w:rPr>
            </w:pPr>
            <w:r>
              <w:rPr>
                <w:b/>
              </w:rPr>
              <w:t>)</w:t>
            </w:r>
          </w:p>
        </w:tc>
      </w:tr>
      <w:tr>
        <w:trPr/>
        <w:tc>
          <w:tcPr>
            <w:tcW w:w="4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8" w:name="xdx_40C_eus-gaap--NetIncomeLossAvailable"/>
            <w:bookmarkEnd w:id="148"/>
          </w:p>
        </w:tc>
      </w:tr>
      <w:tr>
        <w:trPr/>
        <w:tc>
          <w:tcPr>
            <w:tcW w:w="4474" w:type="dxa"/>
            <w:tcBorders/>
            <w:shd w:fill="CCEEFF" w:val="clear"/>
            <w:vAlign w:val="center"/>
          </w:tcPr>
          <w:p>
            <w:pPr>
              <w:pStyle w:val="TableContents"/>
              <w:bidi w:val="0"/>
              <w:spacing w:before="0" w:after="283"/>
              <w:jc w:val="left"/>
              <w:rPr>
                <w:b/>
              </w:rPr>
            </w:pPr>
            <w:r>
              <w:rPr>
                <w:b/>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49" w:name="xdx_402_eus-gaap--NetIncomeLossAvailable"/>
            <w:bookmarkEnd w:id="149"/>
          </w:p>
        </w:tc>
      </w:tr>
      <w:tr>
        <w:trPr/>
        <w:tc>
          <w:tcPr>
            <w:tcW w:w="4474" w:type="dxa"/>
            <w:tcBorders/>
            <w:shd w:fill="FFFFFF" w:val="clear"/>
            <w:vAlign w:val="center"/>
          </w:tcPr>
          <w:p>
            <w:pPr>
              <w:pStyle w:val="TableContents"/>
              <w:bidi w:val="0"/>
              <w:spacing w:before="0" w:after="283"/>
              <w:jc w:val="left"/>
              <w:rPr>
                <w:b/>
              </w:rPr>
            </w:pPr>
            <w:r>
              <w:rPr>
                <w:b/>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50" w:name="xdx_407_eus-gaap--NetIncomeLossAvailable"/>
            <w:bookmarkEnd w:id="150"/>
          </w:p>
        </w:tc>
      </w:tr>
      <w:tr>
        <w:trPr/>
        <w:tc>
          <w:tcPr>
            <w:tcW w:w="4474"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1,766,772</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(3,199,766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373,166</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(5,528,804</w:t>
            </w:r>
          </w:p>
        </w:tc>
        <w:tc>
          <w:tcPr>
            <w:tcW w:w="117" w:type="dxa"/>
            <w:tcBorders/>
            <w:shd w:fill="CCEEFF" w:val="clear"/>
            <w:vAlign w:val="center"/>
          </w:tcPr>
          <w:p>
            <w:pPr>
              <w:pStyle w:val="TableContents"/>
              <w:bidi w:val="0"/>
              <w:spacing w:before="0" w:after="283"/>
              <w:jc w:val="left"/>
              <w:rPr>
                <w:b/>
              </w:rPr>
            </w:pPr>
            <w:r>
              <w:rPr>
                <w:b/>
              </w:rPr>
              <w:t>)</w:t>
            </w:r>
            <w:bookmarkStart w:id="151" w:name="xdx_40A_eus-gaap--NetIncomeLossAvailable"/>
            <w:bookmarkEnd w:id="151"/>
          </w:p>
        </w:tc>
      </w:tr>
      <w:tr>
        <w:trPr/>
        <w:tc>
          <w:tcPr>
            <w:tcW w:w="4474"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1,673,031</w:t>
            </w:r>
          </w:p>
        </w:tc>
        <w:tc>
          <w:tcPr>
            <w:tcW w:w="98" w:type="dxa"/>
            <w:tcBorders/>
            <w:shd w:fill="FFFFFF" w:val="clear"/>
            <w:vAlign w:val="center"/>
          </w:tcPr>
          <w:p>
            <w:pPr>
              <w:pStyle w:val="TableContents"/>
              <w:bidi w:val="0"/>
              <w:spacing w:before="0" w:after="283"/>
              <w:jc w:val="left"/>
              <w:rPr>
                <w:sz w:val="4"/>
                <w:szCs w:val="4"/>
              </w:rPr>
            </w:pPr>
            <w:r>
              <w:rPr>
                <w:sz w:val="4"/>
                <w:szCs w:val="4"/>
              </w:rPr>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(3,199,766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284,821</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(5,528,804</w:t>
            </w:r>
          </w:p>
        </w:tc>
        <w:tc>
          <w:tcPr>
            <w:tcW w:w="117" w:type="dxa"/>
            <w:tcBorders/>
            <w:shd w:fill="FFFFFF" w:val="clear"/>
            <w:vAlign w:val="center"/>
          </w:tcPr>
          <w:p>
            <w:pPr>
              <w:pStyle w:val="TableContents"/>
              <w:bidi w:val="0"/>
              <w:spacing w:before="0" w:after="283"/>
              <w:jc w:val="left"/>
              <w:rPr>
                <w:b/>
              </w:rPr>
            </w:pPr>
            <w:r>
              <w:rPr>
                <w:b/>
              </w:rPr>
              <w:t>)</w:t>
            </w:r>
          </w:p>
        </w:tc>
      </w:tr>
      <w:tr>
        <w:trPr/>
        <w:tc>
          <w:tcPr>
            <w:tcW w:w="4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52" w:name="xdx_40C_eus-gaap--EarningsPerShareReconc"/>
            <w:bookmarkEnd w:id="152"/>
          </w:p>
        </w:tc>
      </w:tr>
      <w:tr>
        <w:trPr/>
        <w:tc>
          <w:tcPr>
            <w:tcW w:w="4474" w:type="dxa"/>
            <w:tcBorders/>
            <w:shd w:fill="FFFFFF" w:val="clear"/>
            <w:vAlign w:val="center"/>
          </w:tcPr>
          <w:p>
            <w:pPr>
              <w:pStyle w:val="TableContents"/>
              <w:bidi w:val="0"/>
              <w:spacing w:before="0" w:after="283"/>
              <w:jc w:val="left"/>
              <w:rPr>
                <w:b/>
              </w:rPr>
            </w:pPr>
            <w:r>
              <w:rPr>
                <w:b/>
              </w:rPr>
              <w:t>Income (loss) per share attributable to Class A and B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53" w:name="xdx_40A_eus-gaap--EarningsPerShareBasic_"/>
            <w:bookmarkEnd w:id="153"/>
          </w:p>
        </w:tc>
      </w:tr>
      <w:tr>
        <w:trPr/>
        <w:tc>
          <w:tcPr>
            <w:tcW w:w="4474"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0.06</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0.01</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(0.19</w:t>
            </w:r>
          </w:p>
        </w:tc>
        <w:tc>
          <w:tcPr>
            <w:tcW w:w="117" w:type="dxa"/>
            <w:tcBorders/>
            <w:shd w:fill="CCEEFF" w:val="clear"/>
            <w:vAlign w:val="center"/>
          </w:tcPr>
          <w:p>
            <w:pPr>
              <w:pStyle w:val="TableContents"/>
              <w:bidi w:val="0"/>
              <w:spacing w:before="0" w:after="283"/>
              <w:jc w:val="left"/>
              <w:rPr>
                <w:b/>
              </w:rPr>
            </w:pPr>
            <w:r>
              <w:rPr>
                <w:b/>
              </w:rPr>
              <w:t>)</w:t>
            </w:r>
            <w:bookmarkStart w:id="154" w:name="xdx_402_eus-gaap--EarningsPerShareDilute"/>
            <w:bookmarkEnd w:id="154"/>
          </w:p>
        </w:tc>
      </w:tr>
      <w:tr>
        <w:trPr/>
        <w:tc>
          <w:tcPr>
            <w:tcW w:w="4474"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0.06</w:t>
            </w:r>
          </w:p>
        </w:tc>
        <w:tc>
          <w:tcPr>
            <w:tcW w:w="98" w:type="dxa"/>
            <w:tcBorders/>
            <w:shd w:fill="FFFFFF" w:val="clear"/>
            <w:vAlign w:val="center"/>
          </w:tcPr>
          <w:p>
            <w:pPr>
              <w:pStyle w:val="TableContents"/>
              <w:bidi w:val="0"/>
              <w:spacing w:before="0" w:after="283"/>
              <w:jc w:val="left"/>
              <w:rPr>
                <w:sz w:val="4"/>
                <w:szCs w:val="4"/>
              </w:rPr>
            </w:pPr>
            <w:r>
              <w:rPr>
                <w:sz w:val="4"/>
                <w:szCs w:val="4"/>
              </w:rPr>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0.01</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(0.19</w:t>
            </w:r>
          </w:p>
        </w:tc>
        <w:tc>
          <w:tcPr>
            <w:tcW w:w="117" w:type="dxa"/>
            <w:tcBorders/>
            <w:shd w:fill="FFFFFF" w:val="clear"/>
            <w:vAlign w:val="center"/>
          </w:tcPr>
          <w:p>
            <w:pPr>
              <w:pStyle w:val="TableContents"/>
              <w:bidi w:val="0"/>
              <w:spacing w:before="0" w:after="283"/>
              <w:jc w:val="left"/>
              <w:rPr>
                <w:b/>
              </w:rPr>
            </w:pPr>
            <w:r>
              <w:rPr>
                <w:b/>
              </w:rPr>
              <w:t>)</w:t>
            </w:r>
          </w:p>
        </w:tc>
      </w:tr>
      <w:tr>
        <w:trPr/>
        <w:tc>
          <w:tcPr>
            <w:tcW w:w="4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55" w:name="xdx_40A_eus-gaap--WeightedAverageNumberO"/>
            <w:bookmarkEnd w:id="155"/>
          </w:p>
        </w:tc>
      </w:tr>
      <w:tr>
        <w:trPr/>
        <w:tc>
          <w:tcPr>
            <w:tcW w:w="447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Weighted-average shares used to compute income (loss) per share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56" w:name="xdx_403_eus-gaap--WeightedAverageNumberO"/>
            <w:bookmarkEnd w:id="156"/>
          </w:p>
        </w:tc>
      </w:tr>
      <w:tr>
        <w:trPr/>
        <w:tc>
          <w:tcPr>
            <w:tcW w:w="4474"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8,013,634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7,901,145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7,985,631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7,914,096</w:t>
            </w:r>
          </w:p>
        </w:tc>
        <w:tc>
          <w:tcPr>
            <w:tcW w:w="117" w:type="dxa"/>
            <w:tcBorders/>
            <w:shd w:fill="CCEEFF" w:val="clear"/>
            <w:vAlign w:val="center"/>
          </w:tcPr>
          <w:p>
            <w:pPr>
              <w:pStyle w:val="TableContents"/>
              <w:bidi w:val="0"/>
              <w:spacing w:before="0" w:after="283"/>
              <w:jc w:val="left"/>
              <w:rPr/>
            </w:pPr>
            <w:r>
              <w:rPr/>
              <w:t> </w:t>
            </w:r>
            <w:bookmarkStart w:id="157" w:name="xdx_407_eus-gaap--WeightedAverageNumberO"/>
            <w:bookmarkEnd w:id="157"/>
          </w:p>
        </w:tc>
      </w:tr>
      <w:tr>
        <w:trPr/>
        <w:tc>
          <w:tcPr>
            <w:tcW w:w="4474"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8,196,329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7,901,145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8,225,025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7,914,096</w:t>
            </w:r>
          </w:p>
        </w:tc>
        <w:tc>
          <w:tcPr>
            <w:tcW w:w="117" w:type="dxa"/>
            <w:tcBorders/>
            <w:shd w:fill="FFFFFF" w:val="clear"/>
            <w:vAlign w:val="center"/>
          </w:tcPr>
          <w:p>
            <w:pPr>
              <w:pStyle w:val="TableContents"/>
              <w:bidi w:val="0"/>
              <w:spacing w:before="0" w:after="283"/>
              <w:jc w:val="left"/>
              <w:rPr/>
            </w:pPr>
            <w:r>
              <w:rPr/>
              <w:t> </w:t>
            </w:r>
          </w:p>
        </w:tc>
      </w:tr>
      <w:tr>
        <w:trPr/>
        <w:tc>
          <w:tcPr>
            <w:tcW w:w="4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58" w:name="xdx_40C_eus-gaap--WeightedAverageNumberO"/>
            <w:bookmarkEnd w:id="158"/>
          </w:p>
        </w:tc>
      </w:tr>
      <w:tr>
        <w:trPr/>
        <w:tc>
          <w:tcPr>
            <w:tcW w:w="4474" w:type="dxa"/>
            <w:tcBorders/>
            <w:shd w:fill="FFFFFF" w:val="clear"/>
            <w:vAlign w:val="center"/>
          </w:tcPr>
          <w:p>
            <w:pPr>
              <w:pStyle w:val="TableContents"/>
              <w:bidi w:val="0"/>
              <w:spacing w:before="0" w:after="283"/>
              <w:jc w:val="left"/>
              <w:rPr>
                <w:b/>
              </w:rPr>
            </w:pPr>
            <w:r>
              <w:rPr>
                <w:b/>
              </w:rPr>
              <w:t>Weighted-average shares used to compute income (loss) per share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59" w:name="xdx_406_eus-gaap--WeightedAverageNumberO"/>
            <w:bookmarkEnd w:id="159"/>
          </w:p>
        </w:tc>
      </w:tr>
      <w:tr>
        <w:trPr/>
        <w:tc>
          <w:tcPr>
            <w:tcW w:w="4474" w:type="dxa"/>
            <w:tcBorders/>
            <w:shd w:fill="CCEEFF" w:val="clear"/>
            <w:vAlign w:val="center"/>
          </w:tcPr>
          <w:p>
            <w:pPr>
              <w:pStyle w:val="TableContents"/>
              <w:bidi w:val="0"/>
              <w:spacing w:before="0" w:after="283"/>
              <w:jc w:val="left"/>
              <w:rPr>
                <w:b/>
              </w:rPr>
            </w:pPr>
            <w:r>
              <w:rPr>
                <w:b/>
              </w:rPr>
              <w:t>Weighted-average shares used to compute income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60" w:name="xdx_403_eus-gaap--WeightedAverageNumberO"/>
            <w:bookmarkEnd w:id="160"/>
          </w:p>
        </w:tc>
      </w:tr>
      <w:tr>
        <w:trPr/>
        <w:tc>
          <w:tcPr>
            <w:tcW w:w="4474"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17" w:type="dxa"/>
            <w:tcBorders/>
            <w:shd w:fill="FFFFFF" w:val="clear"/>
            <w:vAlign w:val="center"/>
          </w:tcPr>
          <w:p>
            <w:pPr>
              <w:pStyle w:val="TableContents"/>
              <w:bidi w:val="0"/>
              <w:spacing w:before="0" w:after="283"/>
              <w:jc w:val="left"/>
              <w:rPr/>
            </w:pPr>
            <w:r>
              <w:rPr/>
              <w:t> </w:t>
            </w:r>
            <w:bookmarkStart w:id="161" w:name="xdx_406_eus-gaap--WeightedAverageNumberO"/>
            <w:bookmarkEnd w:id="161"/>
          </w:p>
        </w:tc>
      </w:tr>
      <w:tr>
        <w:trPr/>
        <w:tc>
          <w:tcPr>
            <w:tcW w:w="4474"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2" w:name="Yu_006"/>
      <w:bookmarkEnd w:id="162"/>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Equity for the Three and Six Months Ended June 30, 2024 and 2023</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3" w:name="xdx_308_114_zA33JdDuF2y5"/>
      <w:bookmarkStart w:id="164" w:name="xdx_308_114_zA33JdDuF2y5"/>
      <w:bookmarkEnd w:id="164"/>
    </w:p>
    <w:tbl>
      <w:tblPr>
        <w:tblW w:w="1685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1100"/>
        <w:gridCol w:w="60"/>
        <w:gridCol w:w="60"/>
        <w:gridCol w:w="172"/>
        <w:gridCol w:w="688"/>
        <w:gridCol w:w="60"/>
        <w:gridCol w:w="60"/>
        <w:gridCol w:w="140"/>
        <w:gridCol w:w="1100"/>
        <w:gridCol w:w="60"/>
        <w:gridCol w:w="60"/>
        <w:gridCol w:w="184"/>
        <w:gridCol w:w="1156"/>
        <w:gridCol w:w="95"/>
        <w:gridCol w:w="60"/>
        <w:gridCol w:w="145"/>
        <w:gridCol w:w="1225"/>
        <w:gridCol w:w="95"/>
        <w:gridCol w:w="60"/>
        <w:gridCol w:w="60"/>
        <w:gridCol w:w="1055"/>
        <w:gridCol w:w="95"/>
        <w:gridCol w:w="60"/>
        <w:gridCol w:w="140"/>
        <w:gridCol w:w="1055"/>
        <w:gridCol w:w="95"/>
        <w:gridCol w:w="60"/>
        <w:gridCol w:w="140"/>
        <w:gridCol w:w="1100"/>
        <w:gridCol w:w="95"/>
        <w:gridCol w:w="60"/>
        <w:gridCol w:w="140"/>
        <w:gridCol w:w="1055"/>
        <w:gridCol w:w="95"/>
        <w:gridCol w:w="60"/>
        <w:gridCol w:w="140"/>
        <w:gridCol w:w="1055"/>
        <w:gridCol w:w="110"/>
      </w:tblGrid>
      <w:tr>
        <w:trPr/>
        <w:tc>
          <w:tcPr>
            <w:tcW w:w="13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bookmarkStart w:id="165" w:name="xdx_4B8_us-gaap--StatementEquityComponen"/>
            <w:bookmarkEnd w:id="165"/>
          </w:p>
        </w:tc>
        <w:tc>
          <w:tcPr>
            <w:tcW w:w="62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166" w:name="xdx_4BC_us-gaap--StatementEquityComponen"/>
            <w:bookmarkEnd w:id="166"/>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7" w:name="xdx_4B2_us-gaap--StatementEquityComponen"/>
            <w:bookmarkEnd w:id="167"/>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bookmarkStart w:id="168" w:name="xdx_4BA_us-gaap--StatementEquityComponen"/>
            <w:bookmarkEnd w:id="168"/>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69" w:name="xdx_4BC_us-gaap--StatementEquityComponen"/>
            <w:bookmarkEnd w:id="169"/>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70" w:name="xdx_4B5_us-gaap--StatementEquityComponen"/>
            <w:bookmarkEnd w:id="170"/>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71" w:name="xdx_4BB_us-gaap--StatementEquityComponen"/>
            <w:bookmarkEnd w:id="171"/>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72" w:name="xdx_4BE_us-gaap--StatementEquityComponen"/>
            <w:bookmarkEnd w:id="172"/>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73" w:name="xdx_4BC_z0MW2yykHct"/>
            <w:bookmarkEnd w:id="173"/>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Snail, Inc.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74" w:name="xdx_43C_c20230101__20230331_eus-gaap--St"/>
            <w:bookmarkEnd w:id="174"/>
          </w:p>
        </w:tc>
      </w:tr>
      <w:tr>
        <w:trPr/>
        <w:tc>
          <w:tcPr>
            <w:tcW w:w="1340" w:type="dxa"/>
            <w:tcBorders/>
            <w:shd w:fill="CCEEFF" w:val="clear"/>
            <w:vAlign w:val="center"/>
          </w:tcPr>
          <w:p>
            <w:pPr>
              <w:pStyle w:val="TableContents"/>
              <w:bidi w:val="0"/>
              <w:spacing w:before="0" w:after="283"/>
              <w:jc w:val="left"/>
              <w:rPr>
                <w:b/>
              </w:rPr>
            </w:pPr>
            <w:r>
              <w:rPr>
                <w:b/>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6_eus-gaap--SharesOutstanding_iS_p"/>
            <w:bookmarkEnd w:id="175"/>
          </w:p>
        </w:tc>
        <w:tc>
          <w:tcPr>
            <w:tcW w:w="980" w:type="dxa"/>
            <w:tcBorders/>
            <w:shd w:fill="CCEEFF" w:val="clear"/>
            <w:vAlign w:val="center"/>
          </w:tcPr>
          <w:p>
            <w:pPr>
              <w:pStyle w:val="TableContents"/>
              <w:bidi w:val="0"/>
              <w:spacing w:before="0" w:after="283"/>
              <w:jc w:val="right"/>
              <w:rPr>
                <w:b/>
              </w:rPr>
            </w:pPr>
            <w:r>
              <w:rPr>
                <w:b/>
              </w:rPr>
              <w:t>9,251,420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D_eus-gaap--SharesOutstanding_iS_p"/>
            <w:bookmarkEnd w:id="176"/>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23,436,942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(307,200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(4,863,250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F_eus-gaap--SharesOutstanding_iS_p"/>
            <w:bookmarkEnd w:id="177"/>
          </w:p>
        </w:tc>
        <w:tc>
          <w:tcPr>
            <w:tcW w:w="1055" w:type="dxa"/>
            <w:tcBorders/>
            <w:shd w:fill="CCEEFF" w:val="clear"/>
            <w:vAlign w:val="center"/>
          </w:tcPr>
          <w:p>
            <w:pPr>
              <w:pStyle w:val="TableContents"/>
              <w:bidi w:val="0"/>
              <w:spacing w:before="0" w:after="283"/>
              <w:jc w:val="right"/>
              <w:rPr>
                <w:b/>
              </w:rPr>
            </w:pPr>
            <w:r>
              <w:rPr>
                <w:b/>
              </w:rPr>
              <w:t>(1,197,649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(3,414,713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14,855,579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(5,490,895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9,364,684</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8" w:name="xdx_405_eus-gaap--StockIssuedDuringPerio"/>
            <w:bookmarkEnd w:id="178"/>
          </w:p>
        </w:tc>
      </w:tr>
      <w:tr>
        <w:trPr/>
        <w:tc>
          <w:tcPr>
            <w:tcW w:w="1340" w:type="dxa"/>
            <w:tcBorders/>
            <w:shd w:fill="FFFFFF" w:val="clear"/>
            <w:vAlign w:val="center"/>
          </w:tcPr>
          <w:p>
            <w:pPr>
              <w:pStyle w:val="TableContents"/>
              <w:bidi w:val="0"/>
              <w:spacing w:before="0" w:after="283"/>
              <w:jc w:val="both"/>
              <w:rPr/>
            </w:pPr>
            <w:r>
              <w:rPr/>
              <w:t>Conversion of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9" w:name="xdx_400_eus-gaap--StockIssuedDuringPerio"/>
            <w:bookmarkEnd w:id="179"/>
          </w:p>
        </w:tc>
      </w:tr>
      <w:tr>
        <w:trPr/>
        <w:tc>
          <w:tcPr>
            <w:tcW w:w="1340" w:type="dxa"/>
            <w:tcBorders/>
            <w:shd w:fill="FFFFFF" w:val="clear"/>
            <w:vAlign w:val="center"/>
          </w:tcPr>
          <w:p>
            <w:pPr>
              <w:pStyle w:val="TableContents"/>
              <w:bidi w:val="0"/>
              <w:spacing w:before="0" w:after="283"/>
              <w:jc w:val="both"/>
              <w:rPr/>
            </w:pPr>
            <w:r>
              <w:rPr/>
              <w:t>Conversion of notes payable,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0" w:name="xdx_403_eus-gaap--AdjustmentsToAdditiona"/>
            <w:bookmarkEnd w:id="180"/>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152,595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1" w:name="xdx_40E_eus-gaap--StockIssuedDuringPerio"/>
            <w:bookmarkEnd w:id="181"/>
          </w:p>
        </w:tc>
      </w:tr>
      <w:tr>
        <w:trPr/>
        <w:tc>
          <w:tcPr>
            <w:tcW w:w="1340" w:type="dxa"/>
            <w:tcBorders/>
            <w:shd w:fill="FFFFFF" w:val="clear"/>
            <w:vAlign w:val="center"/>
          </w:tcPr>
          <w:p>
            <w:pPr>
              <w:pStyle w:val="TableContents"/>
              <w:bidi w:val="0"/>
              <w:spacing w:before="0" w:after="283"/>
              <w:jc w:val="left"/>
              <w:rPr/>
            </w:pPr>
            <w:r>
              <w:rPr/>
              <w:t>Common stock issued for service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2" w:name="xdx_402_eus-gaap--StockIssuedDuringPerio"/>
            <w:bookmarkEnd w:id="182"/>
          </w:p>
        </w:tc>
      </w:tr>
      <w:tr>
        <w:trPr/>
        <w:tc>
          <w:tcPr>
            <w:tcW w:w="1340" w:type="dxa"/>
            <w:tcBorders/>
            <w:shd w:fill="FFFFFF" w:val="clear"/>
            <w:vAlign w:val="center"/>
          </w:tcPr>
          <w:p>
            <w:pPr>
              <w:pStyle w:val="TableContents"/>
              <w:bidi w:val="0"/>
              <w:spacing w:before="0" w:after="283"/>
              <w:jc w:val="left"/>
              <w:rPr/>
            </w:pPr>
            <w:r>
              <w:rPr/>
              <w:t>Common stock issued for service,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3" w:name="xdx_40B_eus-gaap--StockRepurchasedDuring"/>
            <w:bookmarkEnd w:id="183"/>
          </w:p>
        </w:tc>
      </w:tr>
      <w:tr>
        <w:trPr/>
        <w:tc>
          <w:tcPr>
            <w:tcW w:w="1340" w:type="dxa"/>
            <w:tcBorders/>
            <w:shd w:fill="CCEEFF" w:val="clear"/>
            <w:vAlign w:val="center"/>
          </w:tcPr>
          <w:p>
            <w:pPr>
              <w:pStyle w:val="TableContents"/>
              <w:bidi w:val="0"/>
              <w:spacing w:before="0" w:after="283"/>
              <w:jc w:val="left"/>
              <w:rPr/>
            </w:pPr>
            <w:r>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2_eus-gaap--StockRepurchasedDuring"/>
            <w:bookmarkEnd w:id="184"/>
          </w:p>
        </w:tc>
        <w:tc>
          <w:tcPr>
            <w:tcW w:w="1055" w:type="dxa"/>
            <w:tcBorders/>
            <w:shd w:fill="CCEEFF" w:val="clear"/>
            <w:vAlign w:val="center"/>
          </w:tcPr>
          <w:p>
            <w:pPr>
              <w:pStyle w:val="TableContents"/>
              <w:bidi w:val="0"/>
              <w:spacing w:before="0" w:after="283"/>
              <w:jc w:val="right"/>
              <w:rPr/>
            </w:pPr>
            <w:r>
              <w:rPr/>
              <w:t>(152,626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(257,093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(257,093</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5" w:name="xdx_407_eus-gaap--OtherComprehensiveInco"/>
            <w:bookmarkEnd w:id="185"/>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6" w:name="xdx_404_eus-gaap--ProfitLoss_zMx2NcO3SC5"/>
            <w:bookmarkEnd w:id="186"/>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(2,971,378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(2,971,378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(2,972,597</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7" w:name="xdx_43E_c20230401__20230630_eus-gaap--St"/>
            <w:bookmarkEnd w:id="187"/>
          </w:p>
        </w:tc>
      </w:tr>
      <w:tr>
        <w:trPr/>
        <w:tc>
          <w:tcPr>
            <w:tcW w:w="1340" w:type="dxa"/>
            <w:tcBorders/>
            <w:shd w:fill="CCEEFF" w:val="clear"/>
            <w:vAlign w:val="center"/>
          </w:tcPr>
          <w:p>
            <w:pPr>
              <w:pStyle w:val="TableContents"/>
              <w:bidi w:val="0"/>
              <w:spacing w:before="0" w:after="283"/>
              <w:jc w:val="left"/>
              <w:rPr>
                <w:b/>
              </w:rPr>
            </w:pPr>
            <w:r>
              <w:rPr>
                <w:b/>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C_eus-gaap--SharesOutstanding_iS_p"/>
            <w:bookmarkEnd w:id="188"/>
          </w:p>
        </w:tc>
        <w:tc>
          <w:tcPr>
            <w:tcW w:w="980" w:type="dxa"/>
            <w:tcBorders/>
            <w:shd w:fill="CCEEFF" w:val="clear"/>
            <w:vAlign w:val="center"/>
          </w:tcPr>
          <w:p>
            <w:pPr>
              <w:pStyle w:val="TableContents"/>
              <w:bidi w:val="0"/>
              <w:spacing w:before="0" w:after="283"/>
              <w:jc w:val="right"/>
              <w:rPr>
                <w:b/>
              </w:rPr>
            </w:pPr>
            <w:r>
              <w:rPr>
                <w:b/>
              </w:rPr>
              <w:t>9,251,420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8_eus-gaap--SharesOutstanding_iS_p"/>
            <w:bookmarkEnd w:id="189"/>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23,589,537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(304,880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(7,834,628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0" w:name="xdx_98A_eus-gaap--SharesOutstanding_iS_p"/>
            <w:bookmarkEnd w:id="190"/>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11,782,023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(5,492,114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6,289,909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1" w:name="xdx_40A_eus-gaap--AdjustmentsToAdditiona"/>
            <w:bookmarkEnd w:id="191"/>
          </w:p>
        </w:tc>
      </w:tr>
      <w:tr>
        <w:trPr/>
        <w:tc>
          <w:tcPr>
            <w:tcW w:w="1340" w:type="dxa"/>
            <w:tcBorders/>
            <w:shd w:fill="CCEEFF" w:val="clear"/>
            <w:vAlign w:val="center"/>
          </w:tcPr>
          <w:p>
            <w:pPr>
              <w:pStyle w:val="TableContents"/>
              <w:bidi w:val="0"/>
              <w:spacing w:before="0" w:after="283"/>
              <w:jc w:val="left"/>
              <w:rPr/>
            </w:pPr>
            <w:r>
              <w:rPr/>
              <w:t>Return of dividend distribution tax withholding payment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1,886,600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2" w:name="xdx_401_eus-gaap--AdjustmentsToAdditiona"/>
            <w:bookmarkEnd w:id="192"/>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232,770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3" w:name="xdx_40D_eus-gaap--OtherComprehensiveInco"/>
            <w:bookmarkEnd w:id="193"/>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18,707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18,707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4" w:name="xdx_404_eus-gaap--ProfitLoss_zxcRtW8aap0"/>
            <w:bookmarkEnd w:id="194"/>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(4,079,431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(4,079,431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(4,083,895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 w:name="xdx_439_c20230401__20230630_eus-gaap--St"/>
            <w:bookmarkEnd w:id="195"/>
          </w:p>
        </w:tc>
      </w:tr>
      <w:tr>
        <w:trPr/>
        <w:tc>
          <w:tcPr>
            <w:tcW w:w="1340" w:type="dxa"/>
            <w:tcBorders/>
            <w:shd w:fill="CCEEFF" w:val="clear"/>
            <w:vAlign w:val="center"/>
          </w:tcPr>
          <w:p>
            <w:pPr>
              <w:pStyle w:val="TableContents"/>
              <w:bidi w:val="0"/>
              <w:spacing w:before="0" w:after="283"/>
              <w:jc w:val="left"/>
              <w:rPr>
                <w:b/>
              </w:rPr>
            </w:pPr>
            <w:r>
              <w:rPr>
                <w:b/>
              </w:rPr>
              <w:t>Balance at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 w:name="xdx_981_eus-gaap--SharesOutstanding_iE_p"/>
            <w:bookmarkEnd w:id="19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9,251,420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7" w:name="xdx_98C_eus-gaap--SharesOutstanding_iE_p"/>
            <w:bookmarkEnd w:id="19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25,708,907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(286,173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(11,914,059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8" w:name="xdx_982_eus-gaap--SharesOutstanding_iE_p"/>
            <w:bookmarkEnd w:id="198"/>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9,840,669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(5,496,578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4,344,091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684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1100"/>
        <w:gridCol w:w="60"/>
        <w:gridCol w:w="60"/>
        <w:gridCol w:w="172"/>
        <w:gridCol w:w="688"/>
        <w:gridCol w:w="60"/>
        <w:gridCol w:w="60"/>
        <w:gridCol w:w="140"/>
        <w:gridCol w:w="1100"/>
        <w:gridCol w:w="95"/>
        <w:gridCol w:w="60"/>
        <w:gridCol w:w="184"/>
        <w:gridCol w:w="1156"/>
        <w:gridCol w:w="95"/>
        <w:gridCol w:w="60"/>
        <w:gridCol w:w="145"/>
        <w:gridCol w:w="1225"/>
        <w:gridCol w:w="95"/>
        <w:gridCol w:w="60"/>
        <w:gridCol w:w="60"/>
        <w:gridCol w:w="1055"/>
        <w:gridCol w:w="95"/>
        <w:gridCol w:w="60"/>
        <w:gridCol w:w="140"/>
        <w:gridCol w:w="1055"/>
        <w:gridCol w:w="95"/>
        <w:gridCol w:w="60"/>
        <w:gridCol w:w="140"/>
        <w:gridCol w:w="1055"/>
        <w:gridCol w:w="95"/>
        <w:gridCol w:w="60"/>
        <w:gridCol w:w="140"/>
        <w:gridCol w:w="1055"/>
        <w:gridCol w:w="95"/>
        <w:gridCol w:w="60"/>
        <w:gridCol w:w="140"/>
        <w:gridCol w:w="1055"/>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Snail, Inc.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99" w:name="xdx_433_c20240101__20240331_eus-gaap--St"/>
            <w:bookmarkEnd w:id="199"/>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9_eus-gaap--SharesOutstanding_iS_p"/>
            <w:bookmarkEnd w:id="200"/>
          </w:p>
        </w:tc>
        <w:tc>
          <w:tcPr>
            <w:tcW w:w="980" w:type="dxa"/>
            <w:tcBorders/>
            <w:shd w:fill="CCEEFF" w:val="clear"/>
            <w:vAlign w:val="center"/>
          </w:tcPr>
          <w:p>
            <w:pPr>
              <w:pStyle w:val="TableContents"/>
              <w:bidi w:val="0"/>
              <w:spacing w:before="0" w:after="283"/>
              <w:jc w:val="right"/>
              <w:rPr>
                <w:b/>
              </w:rPr>
            </w:pPr>
            <w:r>
              <w:rPr>
                <w:b/>
              </w:rPr>
              <w:t>9,275,420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1" w:name="xdx_98E_eus-gaap--SharesOutstanding_iS_p"/>
            <w:bookmarkEnd w:id="201"/>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26,171,575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(254,383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(13,949,325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8_eus-gaap--SharesOutstanding_iS_p"/>
            <w:bookmarkEnd w:id="202"/>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8,299,863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(5,499,244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2,800,619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3" w:name="xdx_408_eus-gaap--StockIssuedDuringPerio"/>
            <w:bookmarkEnd w:id="203"/>
          </w:p>
        </w:tc>
      </w:tr>
      <w:tr>
        <w:trPr/>
        <w:tc>
          <w:tcPr>
            <w:tcW w:w="1340" w:type="dxa"/>
            <w:tcBorders/>
            <w:shd w:fill="CCEEFF" w:val="clear"/>
            <w:vAlign w:val="center"/>
          </w:tcPr>
          <w:p>
            <w:pPr>
              <w:pStyle w:val="TableContents"/>
              <w:bidi w:val="0"/>
              <w:spacing w:before="0" w:after="283"/>
              <w:jc w:val="left"/>
              <w:rPr/>
            </w:pPr>
            <w:r>
              <w:rPr/>
              <w:t>Conversion of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4" w:name="xdx_980_eus-gaap--StockIssuedDuringPerio"/>
            <w:bookmarkEnd w:id="204"/>
          </w:p>
        </w:tc>
        <w:tc>
          <w:tcPr>
            <w:tcW w:w="980" w:type="dxa"/>
            <w:tcBorders/>
            <w:shd w:fill="CCEEFF" w:val="clear"/>
            <w:vAlign w:val="center"/>
          </w:tcPr>
          <w:p>
            <w:pPr>
              <w:pStyle w:val="TableContents"/>
              <w:bidi w:val="0"/>
              <w:spacing w:before="0" w:after="283"/>
              <w:jc w:val="right"/>
              <w:rPr/>
            </w:pPr>
            <w:r>
              <w:rPr/>
              <w:t>71,460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5" w:name="xdx_407_eus-gaap--AdjustmentsToAdditiona"/>
            <w:bookmarkEnd w:id="205"/>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(926,875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(926,875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(926,875</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 w:name="xdx_408_eus-gaap--StockIssuedDuringPerio"/>
            <w:bookmarkEnd w:id="206"/>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7" w:name="xdx_98D_eus-gaap--StockIssuedDuringPerio"/>
            <w:bookmarkEnd w:id="207"/>
          </w:p>
        </w:tc>
        <w:tc>
          <w:tcPr>
            <w:tcW w:w="980" w:type="dxa"/>
            <w:tcBorders/>
            <w:shd w:fill="CCEEFF" w:val="clear"/>
            <w:vAlign w:val="center"/>
          </w:tcPr>
          <w:p>
            <w:pPr>
              <w:pStyle w:val="TableContents"/>
              <w:bidi w:val="0"/>
              <w:spacing w:before="0" w:after="283"/>
              <w:jc w:val="right"/>
              <w:rPr/>
            </w:pPr>
            <w:r>
              <w:rPr/>
              <w:t>10,869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8" w:name="xdx_405_eus-gaap--OtherComprehensiveInco"/>
            <w:bookmarkEnd w:id="208"/>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(19,297</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 w:name="xdx_408_eus-gaap--ProfitLoss_ze0WhAdZaMV"/>
            <w:bookmarkEnd w:id="209"/>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(1,779,329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(1,779,329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(1,780,458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 w:name="xdx_434_c20240401__20240630_eus-gaap--St"/>
            <w:bookmarkEnd w:id="210"/>
          </w:p>
        </w:tc>
      </w:tr>
      <w:tr>
        <w:trPr/>
        <w:tc>
          <w:tcPr>
            <w:tcW w:w="1340" w:type="dxa"/>
            <w:tcBorders/>
            <w:shd w:fill="CCEEFF" w:val="clear"/>
            <w:vAlign w:val="center"/>
          </w:tcPr>
          <w:p>
            <w:pPr>
              <w:pStyle w:val="TableContents"/>
              <w:bidi w:val="0"/>
              <w:spacing w:before="0" w:after="283"/>
              <w:jc w:val="left"/>
              <w:rPr>
                <w:b/>
              </w:rPr>
            </w:pPr>
            <w:r>
              <w:rPr>
                <w:b/>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1" w:name="xdx_98B_eus-gaap--SharesOutstanding_iS_p"/>
            <w:bookmarkEnd w:id="211"/>
          </w:p>
        </w:tc>
        <w:tc>
          <w:tcPr>
            <w:tcW w:w="980" w:type="dxa"/>
            <w:tcBorders/>
            <w:shd w:fill="CCEEFF" w:val="clear"/>
            <w:vAlign w:val="center"/>
          </w:tcPr>
          <w:p>
            <w:pPr>
              <w:pStyle w:val="TableContents"/>
              <w:bidi w:val="0"/>
              <w:spacing w:before="0" w:after="283"/>
              <w:jc w:val="right"/>
              <w:rPr>
                <w:b/>
              </w:rPr>
            </w:pPr>
            <w:r>
              <w:rPr>
                <w:b/>
              </w:rPr>
              <w:t>9,357,749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5_eus-gaap--SharesOutstanding_iS_p"/>
            <w:bookmarkEnd w:id="212"/>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25,304,692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(273,680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(15,728,654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F_eus-gaap--SharesOutstanding_iS_p"/>
            <w:bookmarkEnd w:id="213"/>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5,634,362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(5,500,373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133,989</w:t>
            </w:r>
          </w:p>
        </w:tc>
        <w:tc>
          <w:tcPr>
            <w:tcW w:w="110" w:type="dxa"/>
            <w:tcBorders/>
            <w:shd w:fill="CCEEFF" w:val="clear"/>
            <w:vAlign w:val="center"/>
          </w:tcPr>
          <w:p>
            <w:pPr>
              <w:pStyle w:val="TableContents"/>
              <w:bidi w:val="0"/>
              <w:spacing w:before="0" w:after="283"/>
              <w:jc w:val="left"/>
              <w:rPr/>
            </w:pPr>
            <w:r>
              <w:rPr/>
              <w:t> </w:t>
            </w:r>
            <w:bookmarkStart w:id="214" w:name="xdx_439_c20240401__20240630_eus-gaap--St"/>
            <w:bookmarkEnd w:id="214"/>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5" w:name="xdx_98F_eus-gaap--SharesOutstanding_iS_p"/>
            <w:bookmarkEnd w:id="215"/>
          </w:p>
        </w:tc>
        <w:tc>
          <w:tcPr>
            <w:tcW w:w="980" w:type="dxa"/>
            <w:tcBorders/>
            <w:shd w:fill="CCEEFF" w:val="clear"/>
            <w:vAlign w:val="center"/>
          </w:tcPr>
          <w:p>
            <w:pPr>
              <w:pStyle w:val="TableContents"/>
              <w:bidi w:val="0"/>
              <w:spacing w:before="0" w:after="283"/>
              <w:jc w:val="right"/>
              <w:rPr>
                <w:b/>
              </w:rPr>
            </w:pPr>
            <w:r>
              <w:rPr>
                <w:b/>
              </w:rPr>
              <w:t>9,357,749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9_eus-gaap--SharesOutstanding_iS_p"/>
            <w:bookmarkEnd w:id="216"/>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25,304,692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(273,680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(15,728,654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7" w:name="xdx_986_eus-gaap--SharesOutstanding_iS_p"/>
            <w:bookmarkEnd w:id="217"/>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5,634,362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(5,500,373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133,989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8" w:name="xdx_408_eus-gaap--AdjustmentsToAdditiona"/>
            <w:bookmarkEnd w:id="218"/>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14,982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9" w:name="xdx_400_eus-gaap--StockIssuedDuringPerio"/>
            <w:bookmarkEnd w:id="219"/>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0" w:name="xdx_98F_eus-gaap--StockIssuedDuringPerio"/>
            <w:bookmarkEnd w:id="220"/>
          </w:p>
        </w:tc>
        <w:tc>
          <w:tcPr>
            <w:tcW w:w="980" w:type="dxa"/>
            <w:tcBorders/>
            <w:shd w:fill="CCEEFF" w:val="clear"/>
            <w:vAlign w:val="center"/>
          </w:tcPr>
          <w:p>
            <w:pPr>
              <w:pStyle w:val="TableContents"/>
              <w:bidi w:val="0"/>
              <w:spacing w:before="0" w:after="283"/>
              <w:jc w:val="right"/>
              <w:rPr/>
            </w:pPr>
            <w:r>
              <w:rPr/>
              <w:t>10,870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1" w:name="xdx_40E_eus-gaap--OtherComprehensiveInco"/>
            <w:bookmarkEnd w:id="221"/>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(9,293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(9,293</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2" w:name="xdx_40A_eus-gaap--ProfitLoss_z3oMOWXfRAL"/>
            <w:bookmarkEnd w:id="222"/>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2,256,151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2,256,151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2,254,616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3" w:name="xdx_43E_c20240401__20240630_eus-gaap--St"/>
            <w:bookmarkEnd w:id="223"/>
          </w:p>
        </w:tc>
      </w:tr>
      <w:tr>
        <w:trPr/>
        <w:tc>
          <w:tcPr>
            <w:tcW w:w="1340" w:type="dxa"/>
            <w:tcBorders/>
            <w:shd w:fill="CCEEFF" w:val="clear"/>
            <w:vAlign w:val="center"/>
          </w:tcPr>
          <w:p>
            <w:pPr>
              <w:pStyle w:val="TableContents"/>
              <w:bidi w:val="0"/>
              <w:spacing w:before="0" w:after="283"/>
              <w:jc w:val="left"/>
              <w:rPr>
                <w:b/>
              </w:rPr>
            </w:pPr>
            <w:r>
              <w:rPr>
                <w:b/>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4" w:name="xdx_983_eus-gaap--SharesOutstanding_iE_p"/>
            <w:bookmarkEnd w:id="22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9,368,619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5" w:name="xdx_980_eus-gaap--SharesOutstanding_iE_p"/>
            <w:bookmarkEnd w:id="22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25,319,673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(282,973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(13,472,503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6" w:name="xdx_986_eus-gaap--SharesOutstanding_iE_p"/>
            <w:bookmarkEnd w:id="22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7,896,202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(5,501,908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2,394,294</w:t>
            </w:r>
          </w:p>
        </w:tc>
        <w:tc>
          <w:tcPr>
            <w:tcW w:w="110" w:type="dxa"/>
            <w:tcBorders/>
            <w:shd w:fill="CCEEFF" w:val="clear"/>
            <w:vAlign w:val="center"/>
          </w:tcPr>
          <w:p>
            <w:pPr>
              <w:pStyle w:val="TableContents"/>
              <w:bidi w:val="0"/>
              <w:spacing w:before="0" w:after="283"/>
              <w:jc w:val="left"/>
              <w:rPr/>
            </w:pPr>
            <w:r>
              <w:rPr/>
              <w:t> </w:t>
            </w:r>
            <w:bookmarkStart w:id="227" w:name="xdx_439_c20240401__20240630_eus-gaap--St"/>
            <w:bookmarkEnd w:id="227"/>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8" w:name="xdx_986_eus-gaap--SharesOutstanding_iE_p"/>
            <w:bookmarkEnd w:id="22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9,368,619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9" w:name="xdx_980_eus-gaap--SharesOutstanding_iE_p"/>
            <w:bookmarkEnd w:id="22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25,319,673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(282,973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(13,472,503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0" w:name="xdx_981_eus-gaap--SharesOutstanding_iE_p"/>
            <w:bookmarkEnd w:id="230"/>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7,896,202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(5,501,908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2,394,294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1" w:name="Yu_007"/>
      <w:bookmarkEnd w:id="231"/>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for the Six Months Ended June 30, 2024 and 2023</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2" w:name="xdx_309_112_zNM3M83E3E9a"/>
      <w:bookmarkStart w:id="233" w:name="xdx_309_112_zNM3M83E3E9a"/>
      <w:bookmarkEnd w:id="233"/>
    </w:p>
    <w:tbl>
      <w:tblPr>
        <w:tblW w:w="10205" w:type="dxa"/>
        <w:jc w:val="left"/>
        <w:tblInd w:w="0" w:type="dxa"/>
        <w:tblLayout w:type="fixed"/>
        <w:tblCellMar>
          <w:top w:w="0" w:type="dxa"/>
          <w:left w:w="0" w:type="dxa"/>
          <w:bottom w:w="0" w:type="dxa"/>
          <w:right w:w="0" w:type="dxa"/>
        </w:tblCellMar>
      </w:tblPr>
      <w:tblGrid>
        <w:gridCol w:w="7325"/>
        <w:gridCol w:w="60"/>
        <w:gridCol w:w="140"/>
        <w:gridCol w:w="1100"/>
        <w:gridCol w:w="95"/>
        <w:gridCol w:w="60"/>
        <w:gridCol w:w="140"/>
        <w:gridCol w:w="1175"/>
        <w:gridCol w:w="110"/>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4" w:name="xdx_49F_20240101__20240630_zjWr3tx5drej"/>
            <w:bookmarkEnd w:id="234"/>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5" w:name="xdx_496_20230101__20230630_zc4mJVOhFnnb"/>
            <w:bookmarkEnd w:id="235"/>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2023</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36" w:name="xdx_40B_eus-gaap--NetCashProvidedByUsedI"/>
            <w:bookmarkEnd w:id="236"/>
          </w:p>
        </w:tc>
      </w:tr>
      <w:tr>
        <w:trPr/>
        <w:tc>
          <w:tcPr>
            <w:tcW w:w="732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7" w:name="xdx_405_eus-gaap--ProfitLoss_i01_maNCPBU"/>
            <w:bookmarkEnd w:id="237"/>
          </w:p>
        </w:tc>
      </w:tr>
      <w:tr>
        <w:trPr/>
        <w:tc>
          <w:tcPr>
            <w:tcW w:w="732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474,158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(7,056,492</w:t>
            </w:r>
          </w:p>
        </w:tc>
        <w:tc>
          <w:tcPr>
            <w:tcW w:w="110" w:type="dxa"/>
            <w:tcBorders/>
            <w:shd w:fill="FFFFFF" w:val="clear"/>
            <w:vAlign w:val="center"/>
          </w:tcPr>
          <w:p>
            <w:pPr>
              <w:pStyle w:val="TableContents"/>
              <w:bidi w:val="0"/>
              <w:spacing w:before="0" w:after="283"/>
              <w:jc w:val="left"/>
              <w:rPr/>
            </w:pPr>
            <w:r>
              <w:rPr/>
              <w:t>)</w:t>
            </w:r>
            <w:bookmarkStart w:id="238" w:name="xdx_405_eus-gaap--AdjustmentsToReconcile"/>
            <w:bookmarkEnd w:id="238"/>
          </w:p>
        </w:tc>
      </w:tr>
      <w:tr>
        <w:trPr/>
        <w:tc>
          <w:tcPr>
            <w:tcW w:w="7325" w:type="dxa"/>
            <w:tcBorders/>
            <w:shd w:fill="CCEEFF" w:val="clear"/>
            <w:vAlign w:val="center"/>
          </w:tcPr>
          <w:p>
            <w:pPr>
              <w:pStyle w:val="TableContents"/>
              <w:bidi w:val="0"/>
              <w:spacing w:before="0" w:after="283"/>
              <w:jc w:val="left"/>
              <w:rPr/>
            </w:pPr>
            <w:r>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9" w:name="xdx_405_eus-gaap--AmortizationOfIntangib"/>
            <w:bookmarkEnd w:id="239"/>
          </w:p>
        </w:tc>
      </w:tr>
      <w:tr>
        <w:trPr/>
        <w:tc>
          <w:tcPr>
            <w:tcW w:w="7325" w:type="dxa"/>
            <w:tcBorders/>
            <w:shd w:fill="FFFFFF" w:val="clear"/>
            <w:vAlign w:val="center"/>
          </w:tcPr>
          <w:p>
            <w:pPr>
              <w:pStyle w:val="TableContents"/>
              <w:bidi w:val="0"/>
              <w:spacing w:before="0" w:after="283"/>
              <w:jc w:val="left"/>
              <w:rPr/>
            </w:pPr>
            <w:r>
              <w:rPr/>
              <w:t>Amortization - intangible assets - license,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1,057,971</w:t>
            </w:r>
          </w:p>
        </w:tc>
        <w:tc>
          <w:tcPr>
            <w:tcW w:w="110" w:type="dxa"/>
            <w:tcBorders/>
            <w:shd w:fill="FFFFFF" w:val="clear"/>
            <w:vAlign w:val="center"/>
          </w:tcPr>
          <w:p>
            <w:pPr>
              <w:pStyle w:val="TableContents"/>
              <w:bidi w:val="0"/>
              <w:spacing w:before="0" w:after="283"/>
              <w:jc w:val="left"/>
              <w:rPr/>
            </w:pPr>
            <w:r>
              <w:rPr/>
              <w:t> </w:t>
            </w:r>
            <w:bookmarkStart w:id="240" w:name="xdx_401_eus-gaap--AmortizationOfIntangib"/>
            <w:bookmarkEnd w:id="240"/>
          </w:p>
        </w:tc>
      </w:tr>
      <w:tr>
        <w:trPr/>
        <w:tc>
          <w:tcPr>
            <w:tcW w:w="7325" w:type="dxa"/>
            <w:tcBorders/>
            <w:shd w:fill="CCEEFF" w:val="clear"/>
            <w:vAlign w:val="center"/>
          </w:tcPr>
          <w:p>
            <w:pPr>
              <w:pStyle w:val="TableContents"/>
              <w:bidi w:val="0"/>
              <w:spacing w:before="0" w:after="283"/>
              <w:jc w:val="left"/>
              <w:rPr/>
            </w:pPr>
            <w:r>
              <w:rPr/>
              <w:t>Amortization - intangible assets -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402</w:t>
            </w:r>
          </w:p>
        </w:tc>
        <w:tc>
          <w:tcPr>
            <w:tcW w:w="110" w:type="dxa"/>
            <w:tcBorders/>
            <w:shd w:fill="CCEEFF" w:val="clear"/>
            <w:vAlign w:val="center"/>
          </w:tcPr>
          <w:p>
            <w:pPr>
              <w:pStyle w:val="TableContents"/>
              <w:bidi w:val="0"/>
              <w:spacing w:before="0" w:after="283"/>
              <w:jc w:val="left"/>
              <w:rPr/>
            </w:pPr>
            <w:r>
              <w:rPr/>
              <w:t> </w:t>
            </w:r>
            <w:bookmarkStart w:id="241" w:name="xdx_406_eus-gaap--AmortizationOfIntangib"/>
            <w:bookmarkEnd w:id="241"/>
          </w:p>
        </w:tc>
      </w:tr>
      <w:tr>
        <w:trPr/>
        <w:tc>
          <w:tcPr>
            <w:tcW w:w="7325" w:type="dxa"/>
            <w:tcBorders/>
            <w:shd w:fill="CCEEFF" w:val="clear"/>
            <w:vAlign w:val="center"/>
          </w:tcPr>
          <w:p>
            <w:pPr>
              <w:pStyle w:val="TableContents"/>
              <w:bidi w:val="0"/>
              <w:spacing w:before="0" w:after="283"/>
              <w:jc w:val="left"/>
              <w:rPr/>
            </w:pPr>
            <w:r>
              <w:rPr/>
              <w:t>Amortization -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402</w:t>
            </w:r>
          </w:p>
        </w:tc>
        <w:tc>
          <w:tcPr>
            <w:tcW w:w="110" w:type="dxa"/>
            <w:tcBorders/>
            <w:shd w:fill="CCEEFF" w:val="clear"/>
            <w:vAlign w:val="center"/>
          </w:tcPr>
          <w:p>
            <w:pPr>
              <w:pStyle w:val="TableContents"/>
              <w:bidi w:val="0"/>
              <w:spacing w:before="0" w:after="283"/>
              <w:jc w:val="left"/>
              <w:rPr/>
            </w:pPr>
            <w:r>
              <w:rPr/>
              <w:t> </w:t>
            </w:r>
            <w:bookmarkStart w:id="242" w:name="xdx_40A_eus-gaap--AmortizationOfFinancin"/>
            <w:bookmarkEnd w:id="242"/>
          </w:p>
        </w:tc>
      </w:tr>
      <w:tr>
        <w:trPr/>
        <w:tc>
          <w:tcPr>
            <w:tcW w:w="7325" w:type="dxa"/>
            <w:tcBorders/>
            <w:shd w:fill="FFFFFF" w:val="clear"/>
            <w:vAlign w:val="center"/>
          </w:tcPr>
          <w:p>
            <w:pPr>
              <w:pStyle w:val="TableContents"/>
              <w:bidi w:val="0"/>
              <w:spacing w:before="0" w:after="283"/>
              <w:jc w:val="left"/>
              <w:rPr/>
            </w:pPr>
            <w:r>
              <w:rPr/>
              <w:t>Amortization - loan origination fees and debt discounts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20,726</w:t>
            </w:r>
          </w:p>
        </w:tc>
        <w:tc>
          <w:tcPr>
            <w:tcW w:w="110" w:type="dxa"/>
            <w:tcBorders/>
            <w:shd w:fill="FFFFFF" w:val="clear"/>
            <w:vAlign w:val="center"/>
          </w:tcPr>
          <w:p>
            <w:pPr>
              <w:pStyle w:val="TableContents"/>
              <w:bidi w:val="0"/>
              <w:spacing w:before="0" w:after="283"/>
              <w:jc w:val="left"/>
              <w:rPr/>
            </w:pPr>
            <w:r>
              <w:rPr/>
              <w:t> </w:t>
            </w:r>
            <w:bookmarkStart w:id="243" w:name="xdx_40C_ecustom--AccretionConvertibleDeb"/>
            <w:bookmarkEnd w:id="243"/>
          </w:p>
        </w:tc>
      </w:tr>
      <w:tr>
        <w:trPr/>
        <w:tc>
          <w:tcPr>
            <w:tcW w:w="7325" w:type="dxa"/>
            <w:tcBorders/>
            <w:shd w:fill="CCEEFF" w:val="clear"/>
            <w:vAlign w:val="center"/>
          </w:tcPr>
          <w:p>
            <w:pPr>
              <w:pStyle w:val="TableContents"/>
              <w:bidi w:val="0"/>
              <w:spacing w:before="0" w:after="283"/>
              <w:jc w:val="left"/>
              <w:rPr/>
            </w:pPr>
            <w:r>
              <w:rPr/>
              <w:t>Accretion –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222,628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4" w:name="xdx_400_eus-gaap--DepreciationDepletionA"/>
            <w:bookmarkEnd w:id="244"/>
          </w:p>
        </w:tc>
      </w:tr>
      <w:tr>
        <w:trPr/>
        <w:tc>
          <w:tcPr>
            <w:tcW w:w="7325" w:type="dxa"/>
            <w:tcBorders/>
            <w:shd w:fill="FFFFFF" w:val="clear"/>
            <w:vAlign w:val="center"/>
          </w:tcPr>
          <w:p>
            <w:pPr>
              <w:pStyle w:val="TableContents"/>
              <w:bidi w:val="0"/>
              <w:spacing w:before="0" w:after="283"/>
              <w:jc w:val="left"/>
              <w:rPr/>
            </w:pPr>
            <w:r>
              <w:rPr/>
              <w:t>Depreciation and amortization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233,170</w:t>
            </w:r>
          </w:p>
        </w:tc>
        <w:tc>
          <w:tcPr>
            <w:tcW w:w="110" w:type="dxa"/>
            <w:tcBorders/>
            <w:shd w:fill="FFFFFF" w:val="clear"/>
            <w:vAlign w:val="center"/>
          </w:tcPr>
          <w:p>
            <w:pPr>
              <w:pStyle w:val="TableContents"/>
              <w:bidi w:val="0"/>
              <w:spacing w:before="0" w:after="283"/>
              <w:jc w:val="left"/>
              <w:rPr/>
            </w:pPr>
            <w:r>
              <w:rPr/>
              <w:t> </w:t>
            </w:r>
            <w:bookmarkStart w:id="245" w:name="xdx_408_eus-gaap--ShareBasedCompensation"/>
            <w:bookmarkEnd w:id="245"/>
          </w:p>
        </w:tc>
      </w:tr>
      <w:tr>
        <w:trPr/>
        <w:tc>
          <w:tcPr>
            <w:tcW w:w="7325"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(911,893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385,365</w:t>
            </w:r>
          </w:p>
        </w:tc>
        <w:tc>
          <w:tcPr>
            <w:tcW w:w="110" w:type="dxa"/>
            <w:tcBorders/>
            <w:shd w:fill="CCEEFF" w:val="clear"/>
            <w:vAlign w:val="center"/>
          </w:tcPr>
          <w:p>
            <w:pPr>
              <w:pStyle w:val="TableContents"/>
              <w:bidi w:val="0"/>
              <w:spacing w:before="0" w:after="283"/>
              <w:jc w:val="left"/>
              <w:rPr/>
            </w:pPr>
            <w:r>
              <w:rPr/>
              <w:t> </w:t>
            </w:r>
            <w:bookmarkStart w:id="246" w:name="xdx_40E_ecustom--InterestIncomeRestricte"/>
            <w:bookmarkEnd w:id="246"/>
          </w:p>
        </w:tc>
      </w:tr>
      <w:tr>
        <w:trPr/>
        <w:tc>
          <w:tcPr>
            <w:tcW w:w="7325" w:type="dxa"/>
            <w:tcBorders/>
            <w:shd w:fill="FFFFFF" w:val="clear"/>
            <w:vAlign w:val="center"/>
          </w:tcPr>
          <w:p>
            <w:pPr>
              <w:pStyle w:val="TableContents"/>
              <w:bidi w:val="0"/>
              <w:spacing w:before="0" w:after="283"/>
              <w:jc w:val="left"/>
              <w:rPr/>
            </w:pPr>
            <w:r>
              <w:rPr/>
              <w:t>Interest income from restricted escrow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(21,389</w:t>
            </w:r>
          </w:p>
        </w:tc>
        <w:tc>
          <w:tcPr>
            <w:tcW w:w="110" w:type="dxa"/>
            <w:tcBorders/>
            <w:shd w:fill="FFFFFF" w:val="clear"/>
            <w:vAlign w:val="center"/>
          </w:tcPr>
          <w:p>
            <w:pPr>
              <w:pStyle w:val="TableContents"/>
              <w:bidi w:val="0"/>
              <w:spacing w:before="0" w:after="283"/>
              <w:jc w:val="left"/>
              <w:rPr/>
            </w:pPr>
            <w:r>
              <w:rPr/>
              <w:t>)</w:t>
            </w:r>
            <w:bookmarkStart w:id="247" w:name="xdx_406_eus-gaap--DeferredIncomeTaxExpen"/>
            <w:bookmarkEnd w:id="247"/>
          </w:p>
        </w:tc>
      </w:tr>
      <w:tr>
        <w:trPr/>
        <w:tc>
          <w:tcPr>
            <w:tcW w:w="7325" w:type="dxa"/>
            <w:tcBorders/>
            <w:shd w:fill="CCEEFF" w:val="clear"/>
            <w:vAlign w:val="center"/>
          </w:tcPr>
          <w:p>
            <w:pPr>
              <w:pStyle w:val="TableContents"/>
              <w:bidi w:val="0"/>
              <w:spacing w:before="0" w:after="283"/>
              <w:jc w:val="left"/>
              <w:rPr/>
            </w:pPr>
            <w:r>
              <w:rPr/>
              <w:t>Deferred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(1,887,705</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F_eus-gaap--IncreaseDecreaseInOper"/>
            <w:bookmarkEnd w:id="248"/>
          </w:p>
        </w:tc>
      </w:tr>
      <w:tr>
        <w:trPr/>
        <w:tc>
          <w:tcPr>
            <w:tcW w:w="7325"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9" w:name="xdx_407_eus-gaap--IncreaseDecreaseInAcco"/>
            <w:bookmarkEnd w:id="249"/>
          </w:p>
        </w:tc>
      </w:tr>
      <w:tr>
        <w:trPr/>
        <w:tc>
          <w:tcPr>
            <w:tcW w:w="732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16,922,490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1,794,458</w:t>
            </w:r>
          </w:p>
        </w:tc>
        <w:tc>
          <w:tcPr>
            <w:tcW w:w="110" w:type="dxa"/>
            <w:tcBorders/>
            <w:shd w:fill="FFFFFF" w:val="clear"/>
            <w:vAlign w:val="center"/>
          </w:tcPr>
          <w:p>
            <w:pPr>
              <w:pStyle w:val="TableContents"/>
              <w:bidi w:val="0"/>
              <w:spacing w:before="0" w:after="283"/>
              <w:jc w:val="left"/>
              <w:rPr/>
            </w:pPr>
            <w:r>
              <w:rPr/>
              <w:t> </w:t>
            </w:r>
            <w:bookmarkStart w:id="250" w:name="xdx_40B_eus-gaap--IncreaseDecreaseInAcco"/>
            <w:bookmarkEnd w:id="250"/>
          </w:p>
        </w:tc>
      </w:tr>
      <w:tr>
        <w:trPr/>
        <w:tc>
          <w:tcPr>
            <w:tcW w:w="7325"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309,694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(389,042</w:t>
            </w:r>
          </w:p>
        </w:tc>
        <w:tc>
          <w:tcPr>
            <w:tcW w:w="110" w:type="dxa"/>
            <w:tcBorders/>
            <w:shd w:fill="CCEEFF" w:val="clear"/>
            <w:vAlign w:val="center"/>
          </w:tcPr>
          <w:p>
            <w:pPr>
              <w:pStyle w:val="TableContents"/>
              <w:bidi w:val="0"/>
              <w:spacing w:before="0" w:after="283"/>
              <w:jc w:val="left"/>
              <w:rPr/>
            </w:pPr>
            <w:r>
              <w:rPr/>
              <w:t>)</w:t>
            </w:r>
            <w:bookmarkStart w:id="251" w:name="xdx_401_ecustom--IncreaseDecreaseInPrepa"/>
            <w:bookmarkEnd w:id="251"/>
          </w:p>
        </w:tc>
      </w:tr>
      <w:tr>
        <w:trPr/>
        <w:tc>
          <w:tcPr>
            <w:tcW w:w="7325"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(1,532,672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(2,500,000</w:t>
            </w:r>
          </w:p>
        </w:tc>
        <w:tc>
          <w:tcPr>
            <w:tcW w:w="110" w:type="dxa"/>
            <w:tcBorders/>
            <w:shd w:fill="FFFFFF" w:val="clear"/>
            <w:vAlign w:val="center"/>
          </w:tcPr>
          <w:p>
            <w:pPr>
              <w:pStyle w:val="TableContents"/>
              <w:bidi w:val="0"/>
              <w:spacing w:before="0" w:after="283"/>
              <w:jc w:val="left"/>
              <w:rPr/>
            </w:pPr>
            <w:r>
              <w:rPr/>
              <w:t>)</w:t>
            </w:r>
            <w:bookmarkStart w:id="252" w:name="xdx_40C_eus-gaap--IncreaseDecreaseInPrep"/>
            <w:bookmarkEnd w:id="252"/>
          </w:p>
        </w:tc>
      </w:tr>
      <w:tr>
        <w:trPr/>
        <w:tc>
          <w:tcPr>
            <w:tcW w:w="732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(650,682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234,940</w:t>
            </w:r>
          </w:p>
        </w:tc>
        <w:tc>
          <w:tcPr>
            <w:tcW w:w="110" w:type="dxa"/>
            <w:tcBorders/>
            <w:shd w:fill="CCEEFF" w:val="clear"/>
            <w:vAlign w:val="center"/>
          </w:tcPr>
          <w:p>
            <w:pPr>
              <w:pStyle w:val="TableContents"/>
              <w:bidi w:val="0"/>
              <w:spacing w:before="0" w:after="283"/>
              <w:jc w:val="left"/>
              <w:rPr/>
            </w:pPr>
            <w:r>
              <w:rPr/>
              <w:t> </w:t>
            </w:r>
            <w:bookmarkStart w:id="253" w:name="xdx_406_eus-gaap--IncreaseDecreaseInPrep"/>
            <w:bookmarkEnd w:id="253"/>
          </w:p>
        </w:tc>
      </w:tr>
      <w:tr>
        <w:trPr/>
        <w:tc>
          <w:tcPr>
            <w:tcW w:w="7325"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4" w:name="xdx_407_eus-gaap--IncreaseDecreaseInOthe"/>
            <w:bookmarkEnd w:id="254"/>
          </w:p>
        </w:tc>
      </w:tr>
      <w:tr>
        <w:trPr/>
        <w:tc>
          <w:tcPr>
            <w:tcW w:w="732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(2,903</w:t>
            </w:r>
          </w:p>
        </w:tc>
        <w:tc>
          <w:tcPr>
            <w:tcW w:w="110" w:type="dxa"/>
            <w:tcBorders/>
            <w:shd w:fill="CCEEFF" w:val="clear"/>
            <w:vAlign w:val="center"/>
          </w:tcPr>
          <w:p>
            <w:pPr>
              <w:pStyle w:val="TableContents"/>
              <w:bidi w:val="0"/>
              <w:spacing w:before="0" w:after="283"/>
              <w:jc w:val="left"/>
              <w:rPr/>
            </w:pPr>
            <w:r>
              <w:rPr/>
              <w:t>)</w:t>
            </w:r>
            <w:bookmarkStart w:id="255" w:name="xdx_402_eus-gaap--IncreaseDecreaseInAcco"/>
            <w:bookmarkEnd w:id="255"/>
          </w:p>
        </w:tc>
      </w:tr>
      <w:tr>
        <w:trPr/>
        <w:tc>
          <w:tcPr>
            <w:tcW w:w="7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(6,818,781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(701,488</w:t>
            </w:r>
          </w:p>
        </w:tc>
        <w:tc>
          <w:tcPr>
            <w:tcW w:w="110" w:type="dxa"/>
            <w:tcBorders/>
            <w:shd w:fill="FFFFFF" w:val="clear"/>
            <w:vAlign w:val="center"/>
          </w:tcPr>
          <w:p>
            <w:pPr>
              <w:pStyle w:val="TableContents"/>
              <w:bidi w:val="0"/>
              <w:spacing w:before="0" w:after="283"/>
              <w:jc w:val="left"/>
              <w:rPr/>
            </w:pPr>
            <w:r>
              <w:rPr/>
              <w:t>)</w:t>
            </w:r>
            <w:bookmarkStart w:id="256" w:name="xdx_40F_eus-gaap--IncreaseDecreaseInAcco"/>
            <w:bookmarkEnd w:id="256"/>
          </w:p>
        </w:tc>
      </w:tr>
      <w:tr>
        <w:trPr/>
        <w:tc>
          <w:tcPr>
            <w:tcW w:w="7325"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(6,352,078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(307,052</w:t>
            </w:r>
          </w:p>
        </w:tc>
        <w:tc>
          <w:tcPr>
            <w:tcW w:w="110" w:type="dxa"/>
            <w:tcBorders/>
            <w:shd w:fill="CCEEFF" w:val="clear"/>
            <w:vAlign w:val="center"/>
          </w:tcPr>
          <w:p>
            <w:pPr>
              <w:pStyle w:val="TableContents"/>
              <w:bidi w:val="0"/>
              <w:spacing w:before="0" w:after="283"/>
              <w:jc w:val="left"/>
              <w:rPr/>
            </w:pPr>
            <w:r>
              <w:rPr/>
              <w:t>)</w:t>
            </w:r>
            <w:bookmarkStart w:id="257" w:name="xdx_404_eus-gaap--IncreaseDecreaseInAccr"/>
            <w:bookmarkEnd w:id="257"/>
          </w:p>
        </w:tc>
      </w:tr>
      <w:tr>
        <w:trPr/>
        <w:tc>
          <w:tcPr>
            <w:tcW w:w="7325"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(720,197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1,131,886</w:t>
            </w:r>
          </w:p>
        </w:tc>
        <w:tc>
          <w:tcPr>
            <w:tcW w:w="110" w:type="dxa"/>
            <w:tcBorders/>
            <w:shd w:fill="FFFFFF" w:val="clear"/>
            <w:vAlign w:val="center"/>
          </w:tcPr>
          <w:p>
            <w:pPr>
              <w:pStyle w:val="TableContents"/>
              <w:bidi w:val="0"/>
              <w:spacing w:before="0" w:after="283"/>
              <w:jc w:val="left"/>
              <w:rPr/>
            </w:pPr>
            <w:r>
              <w:rPr/>
              <w:t> </w:t>
            </w:r>
            <w:bookmarkStart w:id="258" w:name="xdx_409_ecustom--IncreaseDecreaseInInter"/>
            <w:bookmarkEnd w:id="258"/>
          </w:p>
        </w:tc>
      </w:tr>
      <w:tr>
        <w:trPr/>
        <w:tc>
          <w:tcPr>
            <w:tcW w:w="7325" w:type="dxa"/>
            <w:tcBorders/>
            <w:shd w:fill="CCEEFF" w:val="clear"/>
            <w:vAlign w:val="center"/>
          </w:tcPr>
          <w:p>
            <w:pPr>
              <w:pStyle w:val="TableContents"/>
              <w:bidi w:val="0"/>
              <w:spacing w:before="0" w:after="283"/>
              <w:jc w:val="left"/>
              <w:rPr/>
            </w:pPr>
            <w:r>
              <w:rPr/>
              <w:t>Interest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(992</w:t>
            </w:r>
          </w:p>
        </w:tc>
        <w:tc>
          <w:tcPr>
            <w:tcW w:w="110" w:type="dxa"/>
            <w:tcBorders/>
            <w:shd w:fill="CCEEFF" w:val="clear"/>
            <w:vAlign w:val="center"/>
          </w:tcPr>
          <w:p>
            <w:pPr>
              <w:pStyle w:val="TableContents"/>
              <w:bidi w:val="0"/>
              <w:spacing w:before="0" w:after="283"/>
              <w:jc w:val="left"/>
              <w:rPr/>
            </w:pPr>
            <w:r>
              <w:rPr/>
              <w:t>)</w:t>
            </w:r>
            <w:bookmarkStart w:id="259" w:name="xdx_40B_eus-gaap--IncreaseDecreaseInOper"/>
            <w:bookmarkEnd w:id="259"/>
          </w:p>
        </w:tc>
      </w:tr>
      <w:tr>
        <w:trPr/>
        <w:tc>
          <w:tcPr>
            <w:tcW w:w="732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(129,642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(98,822</w:t>
            </w:r>
          </w:p>
        </w:tc>
        <w:tc>
          <w:tcPr>
            <w:tcW w:w="110" w:type="dxa"/>
            <w:tcBorders/>
            <w:shd w:fill="FFFFFF" w:val="clear"/>
            <w:vAlign w:val="center"/>
          </w:tcPr>
          <w:p>
            <w:pPr>
              <w:pStyle w:val="TableContents"/>
              <w:bidi w:val="0"/>
              <w:spacing w:before="0" w:after="283"/>
              <w:jc w:val="left"/>
              <w:rPr/>
            </w:pPr>
            <w:r>
              <w:rPr/>
              <w:t>)</w:t>
            </w:r>
            <w:bookmarkStart w:id="260" w:name="xdx_403_eus-gaap--IncreaseDecreaseInDefe"/>
            <w:bookmarkEnd w:id="260"/>
          </w:p>
        </w:tc>
      </w:tr>
      <w:tr>
        <w:trPr/>
        <w:tc>
          <w:tcPr>
            <w:tcW w:w="732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6,000,976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(765,599</w:t>
            </w:r>
          </w:p>
        </w:tc>
        <w:tc>
          <w:tcPr>
            <w:tcW w:w="110" w:type="dxa"/>
            <w:tcBorders/>
            <w:shd w:fill="CCEEFF" w:val="clear"/>
            <w:vAlign w:val="center"/>
          </w:tcPr>
          <w:p>
            <w:pPr>
              <w:pStyle w:val="TableContents"/>
              <w:bidi w:val="0"/>
              <w:spacing w:before="0" w:after="283"/>
              <w:jc w:val="left"/>
              <w:rPr/>
            </w:pPr>
            <w:r>
              <w:rPr/>
              <w:t>)</w:t>
            </w:r>
            <w:bookmarkStart w:id="261" w:name="xdx_407_eus-gaap--NetCashProvidedByUsedI"/>
            <w:bookmarkEnd w:id="261"/>
          </w:p>
        </w:tc>
      </w:tr>
      <w:tr>
        <w:trPr/>
        <w:tc>
          <w:tcPr>
            <w:tcW w:w="7325"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6,983,748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(8,872,566</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2" w:name="xdx_405_eus-gaap--NetCashProvidedByUsedI"/>
            <w:bookmarkEnd w:id="262"/>
          </w:p>
        </w:tc>
      </w:tr>
      <w:tr>
        <w:trPr/>
        <w:tc>
          <w:tcPr>
            <w:tcW w:w="732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3" w:name="xdx_40B_ecustom--RepaymentsOnPromissoryN"/>
            <w:bookmarkEnd w:id="263"/>
          </w:p>
        </w:tc>
      </w:tr>
      <w:tr>
        <w:trPr/>
        <w:tc>
          <w:tcPr>
            <w:tcW w:w="7325" w:type="dxa"/>
            <w:tcBorders/>
            <w:shd w:fill="CCEEFF" w:val="clear"/>
            <w:vAlign w:val="center"/>
          </w:tcPr>
          <w:p>
            <w:pPr>
              <w:pStyle w:val="TableContents"/>
              <w:bidi w:val="0"/>
              <w:spacing w:before="0" w:after="283"/>
              <w:jc w:val="left"/>
              <w:rPr/>
            </w:pPr>
            <w:r>
              <w:rPr/>
              <w:t>Repayments on 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(46,517</w:t>
            </w:r>
          </w:p>
        </w:tc>
        <w:tc>
          <w:tcPr>
            <w:tcW w:w="110" w:type="dxa"/>
            <w:tcBorders/>
            <w:shd w:fill="CCEEFF" w:val="clear"/>
            <w:vAlign w:val="center"/>
          </w:tcPr>
          <w:p>
            <w:pPr>
              <w:pStyle w:val="TableContents"/>
              <w:bidi w:val="0"/>
              <w:spacing w:before="0" w:after="283"/>
              <w:jc w:val="left"/>
              <w:rPr/>
            </w:pPr>
            <w:r>
              <w:rPr/>
              <w:t>)</w:t>
            </w:r>
            <w:bookmarkStart w:id="264" w:name="xdx_40D_eus-gaap--RepaymentsOfNotesPayab"/>
            <w:bookmarkEnd w:id="264"/>
          </w:p>
        </w:tc>
      </w:tr>
      <w:tr>
        <w:trPr/>
        <w:tc>
          <w:tcPr>
            <w:tcW w:w="7325" w:type="dxa"/>
            <w:tcBorders/>
            <w:shd w:fill="FFFFFF" w:val="clear"/>
            <w:vAlign w:val="center"/>
          </w:tcPr>
          <w:p>
            <w:pPr>
              <w:pStyle w:val="TableContents"/>
              <w:bidi w:val="0"/>
              <w:spacing w:before="0" w:after="283"/>
              <w:jc w:val="left"/>
              <w:rPr/>
            </w:pPr>
            <w:r>
              <w:rPr/>
              <w:t>Repayments on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(2,333,333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(2,916,666</w:t>
            </w:r>
          </w:p>
        </w:tc>
        <w:tc>
          <w:tcPr>
            <w:tcW w:w="110" w:type="dxa"/>
            <w:tcBorders/>
            <w:shd w:fill="FFFFFF" w:val="clear"/>
            <w:vAlign w:val="center"/>
          </w:tcPr>
          <w:p>
            <w:pPr>
              <w:pStyle w:val="TableContents"/>
              <w:bidi w:val="0"/>
              <w:spacing w:before="0" w:after="283"/>
              <w:jc w:val="left"/>
              <w:rPr/>
            </w:pPr>
            <w:r>
              <w:rPr/>
              <w:t>)</w:t>
            </w:r>
            <w:bookmarkStart w:id="265" w:name="xdx_400_eus-gaap--RepaymentsOfConvertibl"/>
            <w:bookmarkEnd w:id="265"/>
          </w:p>
        </w:tc>
      </w:tr>
      <w:tr>
        <w:trPr/>
        <w:tc>
          <w:tcPr>
            <w:tcW w:w="7325" w:type="dxa"/>
            <w:tcBorders/>
            <w:shd w:fill="CCEEFF" w:val="clear"/>
            <w:vAlign w:val="center"/>
          </w:tcPr>
          <w:p>
            <w:pPr>
              <w:pStyle w:val="TableContents"/>
              <w:bidi w:val="0"/>
              <w:spacing w:before="0" w:after="283"/>
              <w:jc w:val="left"/>
              <w:rPr/>
            </w:pPr>
            <w:r>
              <w:rPr/>
              <w:t>Repayments on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6" w:name="xdx_405_eus-gaap--RepaymentsOfLinesOfCre"/>
            <w:bookmarkEnd w:id="266"/>
          </w:p>
        </w:tc>
      </w:tr>
      <w:tr>
        <w:trPr/>
        <w:tc>
          <w:tcPr>
            <w:tcW w:w="7325" w:type="dxa"/>
            <w:tcBorders/>
            <w:shd w:fill="FFFFFF" w:val="clear"/>
            <w:vAlign w:val="center"/>
          </w:tcPr>
          <w:p>
            <w:pPr>
              <w:pStyle w:val="TableContents"/>
              <w:bidi w:val="0"/>
              <w:spacing w:before="0" w:after="283"/>
              <w:jc w:val="left"/>
              <w:rPr/>
            </w:pPr>
            <w:r>
              <w:rPr/>
              <w:t>Repayments on revolving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(3,000,000</w:t>
            </w:r>
          </w:p>
        </w:tc>
        <w:tc>
          <w:tcPr>
            <w:tcW w:w="110" w:type="dxa"/>
            <w:tcBorders/>
            <w:shd w:fill="FFFFFF" w:val="clear"/>
            <w:vAlign w:val="center"/>
          </w:tcPr>
          <w:p>
            <w:pPr>
              <w:pStyle w:val="TableContents"/>
              <w:bidi w:val="0"/>
              <w:spacing w:before="0" w:after="283"/>
              <w:jc w:val="left"/>
              <w:rPr/>
            </w:pPr>
            <w:r>
              <w:rPr/>
              <w:t>)</w:t>
            </w:r>
            <w:bookmarkStart w:id="267" w:name="xdx_40A_eus-gaap--PaymentsForRepurchaseO"/>
            <w:bookmarkEnd w:id="267"/>
          </w:p>
        </w:tc>
      </w:tr>
      <w:tr>
        <w:trPr/>
        <w:tc>
          <w:tcPr>
            <w:tcW w:w="7325" w:type="dxa"/>
            <w:tcBorders/>
            <w:shd w:fill="CCEEFF" w:val="clear"/>
            <w:vAlign w:val="center"/>
          </w:tcPr>
          <w:p>
            <w:pPr>
              <w:pStyle w:val="TableContents"/>
              <w:bidi w:val="0"/>
              <w:spacing w:before="0" w:after="283"/>
              <w:jc w:val="left"/>
              <w:rPr/>
            </w:pPr>
            <w:r>
              <w:rPr/>
              <w:t>Purchase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(257,093</w:t>
            </w:r>
          </w:p>
        </w:tc>
        <w:tc>
          <w:tcPr>
            <w:tcW w:w="110" w:type="dxa"/>
            <w:tcBorders/>
            <w:shd w:fill="CCEEFF" w:val="clear"/>
            <w:vAlign w:val="center"/>
          </w:tcPr>
          <w:p>
            <w:pPr>
              <w:pStyle w:val="TableContents"/>
              <w:bidi w:val="0"/>
              <w:spacing w:before="0" w:after="283"/>
              <w:jc w:val="left"/>
              <w:rPr/>
            </w:pPr>
            <w:r>
              <w:rPr/>
              <w:t>)</w:t>
            </w:r>
            <w:bookmarkStart w:id="268" w:name="xdx_40D_ecustom--PaymentOfCapitalizedOff"/>
            <w:bookmarkEnd w:id="268"/>
          </w:p>
        </w:tc>
      </w:tr>
      <w:tr>
        <w:trPr/>
        <w:tc>
          <w:tcPr>
            <w:tcW w:w="7325" w:type="dxa"/>
            <w:tcBorders/>
            <w:shd w:fill="FFFFFF" w:val="clear"/>
            <w:vAlign w:val="center"/>
          </w:tcPr>
          <w:p>
            <w:pPr>
              <w:pStyle w:val="TableContents"/>
              <w:bidi w:val="0"/>
              <w:spacing w:before="0" w:after="283"/>
              <w:jc w:val="left"/>
              <w:rPr/>
            </w:pPr>
            <w:r>
              <w:rPr/>
              <w:t>Payments of capitalized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(92,318</w:t>
            </w:r>
          </w:p>
        </w:tc>
        <w:tc>
          <w:tcPr>
            <w:tcW w:w="110" w:type="dxa"/>
            <w:tcBorders/>
            <w:shd w:fill="FFFFFF" w:val="clear"/>
            <w:vAlign w:val="center"/>
          </w:tcPr>
          <w:p>
            <w:pPr>
              <w:pStyle w:val="TableContents"/>
              <w:bidi w:val="0"/>
              <w:spacing w:before="0" w:after="283"/>
              <w:jc w:val="left"/>
              <w:rPr/>
            </w:pPr>
            <w:r>
              <w:rPr/>
              <w:t>)</w:t>
            </w:r>
            <w:bookmarkStart w:id="269" w:name="xdx_402_ecustom--PaymentsOfOfferingCosts"/>
            <w:bookmarkEnd w:id="269"/>
          </w:p>
        </w:tc>
      </w:tr>
      <w:tr>
        <w:trPr/>
        <w:tc>
          <w:tcPr>
            <w:tcW w:w="7325" w:type="dxa"/>
            <w:tcBorders/>
            <w:shd w:fill="CCEEFF" w:val="clear"/>
            <w:vAlign w:val="center"/>
          </w:tcPr>
          <w:p>
            <w:pPr>
              <w:pStyle w:val="TableContents"/>
              <w:bidi w:val="0"/>
              <w:spacing w:before="0" w:after="283"/>
              <w:jc w:val="left"/>
              <w:rPr/>
            </w:pPr>
            <w:r>
              <w:rPr/>
              <w:t>Payments of offering costs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(262,914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0" w:name="xdx_40A_eus-gaap--NetCashProvidedByUsedI"/>
            <w:bookmarkEnd w:id="270"/>
          </w:p>
        </w:tc>
      </w:tr>
      <w:tr>
        <w:trPr/>
        <w:tc>
          <w:tcPr>
            <w:tcW w:w="7325" w:type="dxa"/>
            <w:tcBorders/>
            <w:shd w:fill="FFFFFF" w:val="clear"/>
            <w:vAlign w:val="center"/>
          </w:tcPr>
          <w:p>
            <w:pPr>
              <w:pStyle w:val="TableContents"/>
              <w:bidi w:val="0"/>
              <w:spacing w:before="0" w:after="283"/>
              <w:jc w:val="left"/>
              <w:rPr/>
            </w:pPr>
            <w:r>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(6,657,130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(6,312,594</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1" w:name="xdx_407_eus-gaap--EffectOfExchangeRateOn"/>
            <w:bookmarkEnd w:id="271"/>
          </w:p>
        </w:tc>
      </w:tr>
      <w:tr>
        <w:trPr/>
        <w:tc>
          <w:tcPr>
            <w:tcW w:w="7325"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21,095</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2" w:name="xdx_40E_eus-gaap--CashCashEquivalentsRes"/>
            <w:bookmarkEnd w:id="272"/>
          </w:p>
        </w:tc>
      </w:tr>
      <w:tr>
        <w:trPr/>
        <w:tc>
          <w:tcPr>
            <w:tcW w:w="7325" w:type="dxa"/>
            <w:tcBorders/>
            <w:shd w:fill="FFFF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298,274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(15,164,065</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3" w:name="xdx_409_eus-gaap--CashCashEquivalentsRes"/>
            <w:bookmarkEnd w:id="273"/>
          </w:p>
        </w:tc>
      </w:tr>
      <w:tr>
        <w:trPr/>
        <w:tc>
          <w:tcPr>
            <w:tcW w:w="7325" w:type="dxa"/>
            <w:tcBorders/>
            <w:shd w:fill="FFFFFF" w:val="clear"/>
            <w:vAlign w:val="center"/>
          </w:tcPr>
          <w:p>
            <w:pPr>
              <w:pStyle w:val="TableContents"/>
              <w:bidi w:val="0"/>
              <w:spacing w:before="0" w:after="283"/>
              <w:jc w:val="left"/>
              <w:rPr/>
            </w:pPr>
            <w:r>
              <w:rPr/>
              <w:t>Cash and cash equivalents, and restricted cash and cash equivalents -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16,314,319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19,238,185</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4" w:name="xdx_40F_eus-gaap--CashCashEquivalentsRes"/>
            <w:bookmarkEnd w:id="274"/>
          </w:p>
        </w:tc>
      </w:tr>
      <w:tr>
        <w:trPr/>
        <w:tc>
          <w:tcPr>
            <w:tcW w:w="7325" w:type="dxa"/>
            <w:tcBorders/>
            <w:shd w:fill="FFFFFF" w:val="clear"/>
            <w:vAlign w:val="center"/>
          </w:tcPr>
          <w:p>
            <w:pPr>
              <w:pStyle w:val="TableContents"/>
              <w:bidi w:val="0"/>
              <w:spacing w:before="0" w:after="283"/>
              <w:jc w:val="left"/>
              <w:rPr>
                <w:b/>
              </w:rPr>
            </w:pPr>
            <w:r>
              <w:rPr>
                <w:b/>
              </w:rPr>
              <w:t>Cash and cash equivalents, and restricted cash and cash equivalents –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16,612,593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4,074,120</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5" w:name="xdx_406_eus-gaap--SupplementalCashFlowIn"/>
            <w:bookmarkEnd w:id="275"/>
          </w:p>
        </w:tc>
      </w:tr>
      <w:tr>
        <w:trPr/>
        <w:tc>
          <w:tcPr>
            <w:tcW w:w="7325"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6" w:name="xdx_405_ecustom--CashPaidDuringPeriodFor"/>
            <w:bookmarkEnd w:id="276"/>
          </w:p>
        </w:tc>
      </w:tr>
      <w:tr>
        <w:trPr/>
        <w:tc>
          <w:tcPr>
            <w:tcW w:w="7325" w:type="dxa"/>
            <w:tcBorders/>
            <w:shd w:fill="CCEEFF" w:val="clear"/>
            <w:vAlign w:val="center"/>
          </w:tcPr>
          <w:p>
            <w:pPr>
              <w:pStyle w:val="TableContents"/>
              <w:bidi w:val="0"/>
              <w:spacing w:before="0" w:after="283"/>
              <w:jc w:val="left"/>
              <w:rPr>
                <w:b/>
              </w:rPr>
            </w:pPr>
            <w:r>
              <w:rPr>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7" w:name="xdx_403_eus-gaap--InterestPaidNet_i02_z6"/>
            <w:bookmarkEnd w:id="277"/>
          </w:p>
        </w:tc>
      </w:tr>
      <w:tr>
        <w:trPr/>
        <w:tc>
          <w:tcPr>
            <w:tcW w:w="732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305,825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568,908</w:t>
            </w:r>
          </w:p>
        </w:tc>
        <w:tc>
          <w:tcPr>
            <w:tcW w:w="110" w:type="dxa"/>
            <w:tcBorders/>
            <w:shd w:fill="FFFFFF" w:val="clear"/>
            <w:vAlign w:val="center"/>
          </w:tcPr>
          <w:p>
            <w:pPr>
              <w:pStyle w:val="TableContents"/>
              <w:bidi w:val="0"/>
              <w:spacing w:before="0" w:after="283"/>
              <w:jc w:val="left"/>
              <w:rPr/>
            </w:pPr>
            <w:r>
              <w:rPr/>
              <w:t> </w:t>
            </w:r>
            <w:bookmarkStart w:id="278" w:name="xdx_404_eus-gaap--IncomeTaxesPaidNet_i02"/>
            <w:bookmarkEnd w:id="278"/>
          </w:p>
        </w:tc>
      </w:tr>
      <w:tr>
        <w:trPr/>
        <w:tc>
          <w:tcPr>
            <w:tcW w:w="732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270,802</w:t>
            </w:r>
          </w:p>
        </w:tc>
        <w:tc>
          <w:tcPr>
            <w:tcW w:w="110" w:type="dxa"/>
            <w:tcBorders/>
            <w:shd w:fill="CCEEFF" w:val="clear"/>
            <w:vAlign w:val="center"/>
          </w:tcPr>
          <w:p>
            <w:pPr>
              <w:pStyle w:val="TableContents"/>
              <w:bidi w:val="0"/>
              <w:spacing w:before="0" w:after="283"/>
              <w:jc w:val="left"/>
              <w:rPr/>
            </w:pPr>
            <w:r>
              <w:rPr/>
              <w:t> </w:t>
            </w:r>
            <w:bookmarkStart w:id="279" w:name="xdx_401_ecustom--CashFlowNoncashFinancin"/>
            <w:bookmarkEnd w:id="279"/>
          </w:p>
        </w:tc>
      </w:tr>
      <w:tr>
        <w:trPr/>
        <w:tc>
          <w:tcPr>
            <w:tcW w:w="7325" w:type="dxa"/>
            <w:tcBorders/>
            <w:shd w:fill="FFFFFF" w:val="clear"/>
            <w:vAlign w:val="center"/>
          </w:tcPr>
          <w:p>
            <w:pPr>
              <w:pStyle w:val="TableContents"/>
              <w:bidi w:val="0"/>
              <w:spacing w:before="0" w:after="283"/>
              <w:jc w:val="left"/>
              <w:rPr>
                <w:b/>
              </w:rPr>
            </w:pPr>
            <w:r>
              <w:rPr>
                <w:b/>
              </w:rPr>
              <w:t>Noncash finance activity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0" w:name="xdx_401_ecustom--RefundOfDividendWithhol"/>
            <w:bookmarkEnd w:id="280"/>
          </w:p>
        </w:tc>
      </w:tr>
      <w:tr>
        <w:trPr/>
        <w:tc>
          <w:tcPr>
            <w:tcW w:w="7325" w:type="dxa"/>
            <w:tcBorders/>
            <w:shd w:fill="CCEEFF" w:val="clear"/>
            <w:vAlign w:val="center"/>
          </w:tcPr>
          <w:p>
            <w:pPr>
              <w:pStyle w:val="TableContents"/>
              <w:bidi w:val="0"/>
              <w:spacing w:before="0" w:after="283"/>
              <w:jc w:val="left"/>
              <w:rPr/>
            </w:pPr>
            <w:r>
              <w:rPr/>
              <w:t>Refund of dividend withholding tax overpayment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1,866,600</w:t>
            </w:r>
          </w:p>
        </w:tc>
        <w:tc>
          <w:tcPr>
            <w:tcW w:w="110" w:type="dxa"/>
            <w:tcBorders/>
            <w:shd w:fill="CCEEFF" w:val="clear"/>
            <w:vAlign w:val="center"/>
          </w:tcPr>
          <w:p>
            <w:pPr>
              <w:pStyle w:val="TableContents"/>
              <w:bidi w:val="0"/>
              <w:spacing w:before="0" w:after="283"/>
              <w:jc w:val="left"/>
              <w:rPr/>
            </w:pPr>
            <w:r>
              <w:rPr/>
              <w:t> </w:t>
            </w:r>
            <w:bookmarkStart w:id="281" w:name="xdx_406_ecustom--DebtConvertedToEquity_i"/>
            <w:bookmarkEnd w:id="281"/>
          </w:p>
        </w:tc>
      </w:tr>
      <w:tr>
        <w:trPr/>
        <w:tc>
          <w:tcPr>
            <w:tcW w:w="7325" w:type="dxa"/>
            <w:tcBorders/>
            <w:shd w:fill="FFFFFF" w:val="clear"/>
            <w:vAlign w:val="center"/>
          </w:tcPr>
          <w:p>
            <w:pPr>
              <w:pStyle w:val="TableContents"/>
              <w:bidi w:val="0"/>
              <w:spacing w:before="0" w:after="283"/>
              <w:jc w:val="left"/>
              <w:rPr/>
            </w:pPr>
            <w:r>
              <w:rPr/>
              <w:t>Debt converted to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2" w:name="Yu_008"/>
      <w:bookmarkEnd w:id="282"/>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3" w:name="xdx_805_eus-gaap--OrganizationConsolidat"/>
      <w:bookmarkEnd w:id="283"/>
      <w:r>
        <w:rPr>
          <w:rFonts w:ascii="Times New Roman;Times;Serif" w:hAnsi="Times New Roman;Times;Serif"/>
          <w:b/>
          <w:i w:val="false"/>
          <w:caps w:val="false"/>
          <w:smallCaps w:val="false"/>
          <w:sz w:val="20"/>
        </w:rPr>
        <w:t xml:space="preserve">NOTE 1 – </w:t>
      </w:r>
      <w:bookmarkStart w:id="284" w:name="xdx_82D_zqNZP9468As5"/>
      <w:bookmarkEnd w:id="284"/>
      <w:r>
        <w:rPr>
          <w:rFonts w:ascii="Times New Roman;Times;Serif" w:hAnsi="Times New Roman;Times;Serif"/>
          <w:b/>
          <w:i w:val="false"/>
          <w:caps w:val="false"/>
          <w:smallCaps w:val="false"/>
          <w:sz w:val="20"/>
        </w:rPr>
        <w:t>PRESENTATION AND NATURE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2023 included in the Company’s Annual Report on Form 10-K for the fiscal year ended December 31, 2023, filed with the SEC on April 1, 2024. The condensed consolidated results of operations for any interim period are not necessarily indicative of the results to be expected for the full year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5" w:name="xdx_89F_ecustom--ScheduleOfEquityInteres"/>
      <w:bookmarkEnd w:id="285"/>
      <w:r>
        <w:rPr>
          <w:rFonts w:ascii="Times New Roman;Times;Serif" w:hAnsi="Times New Roman;Times;Serif"/>
          <w:b w:val="false"/>
          <w:i w:val="false"/>
          <w:caps w:val="false"/>
          <w:smallCaps w:val="false"/>
          <w:sz w:val="20"/>
        </w:rPr>
        <w:t>The condensed consolidated financial statements include the accounts of Snail, Inc. and the following subsidiaries:</w:t>
      </w:r>
    </w:p>
    <w:p>
      <w:pPr>
        <w:pStyle w:val="TextBody"/>
        <w:bidi w:val="0"/>
        <w:spacing w:before="0" w:after="0"/>
        <w:ind w:left="0" w:right="0" w:hanging="0"/>
        <w:jc w:val="center"/>
        <w:rPr>
          <w:caps w:val="false"/>
          <w:smallCaps w:val="false"/>
        </w:rPr>
      </w:pPr>
      <w:r>
        <w:rPr>
          <w:caps w:val="false"/>
          <w:smallCaps w:val="false"/>
        </w:rPr>
        <w:t> </w:t>
      </w:r>
      <w:bookmarkStart w:id="286" w:name="xdx_8BE_zcqF9DBSRRP1"/>
      <w:bookmarkEnd w:id="286"/>
      <w:r>
        <w:rPr>
          <w:rFonts w:ascii="Times New Roman;Times;Serif" w:hAnsi="Times New Roman;Times;Serif"/>
          <w:b w:val="false"/>
          <w:i w:val="false"/>
          <w:caps w:val="false"/>
          <w:smallCaps w:val="false"/>
          <w:sz w:val="20"/>
        </w:rPr>
        <w:t>SCHEDULE OF SUBSIDIARIES INCLUDED IN THE CONSOLIDATED FINANCIAL STATEMENTS</w:t>
      </w:r>
    </w:p>
    <w:tbl>
      <w:tblPr>
        <w:tblW w:w="4409" w:type="dxa"/>
        <w:jc w:val="left"/>
        <w:tblInd w:w="0" w:type="dxa"/>
        <w:tblLayout w:type="fixed"/>
        <w:tblCellMar>
          <w:top w:w="0" w:type="dxa"/>
          <w:left w:w="0" w:type="dxa"/>
          <w:bottom w:w="0" w:type="dxa"/>
          <w:right w:w="0" w:type="dxa"/>
        </w:tblCellMar>
      </w:tblPr>
      <w:tblGrid>
        <w:gridCol w:w="3110"/>
        <w:gridCol w:w="60"/>
        <w:gridCol w:w="136"/>
        <w:gridCol w:w="873"/>
        <w:gridCol w:w="23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Equity %</w:t>
            </w:r>
          </w:p>
        </w:tc>
        <w:tc>
          <w:tcPr>
            <w:tcW w:w="230" w:type="dxa"/>
            <w:tcBorders/>
            <w:vAlign w:val="center"/>
          </w:tcPr>
          <w:p>
            <w:pPr>
              <w:pStyle w:val="TableContents"/>
              <w:bidi w:val="0"/>
              <w:spacing w:before="0" w:after="283"/>
              <w:jc w:val="left"/>
              <w:rPr/>
            </w:pPr>
            <w:r>
              <w:rPr/>
              <w:t> </w:t>
            </w:r>
          </w:p>
        </w:tc>
      </w:tr>
      <w:tr>
        <w:trPr/>
        <w:tc>
          <w:tcPr>
            <w:tcW w:w="3110" w:type="dxa"/>
            <w:tcBorders>
              <w:bottom w:val="single" w:sz="12" w:space="0" w:color="000000"/>
            </w:tcBorders>
            <w:tcMar>
              <w:bottom w:w="28" w:type="dxa"/>
            </w:tcMar>
            <w:vAlign w:val="center"/>
          </w:tcPr>
          <w:p>
            <w:pPr>
              <w:pStyle w:val="TableContents"/>
              <w:bidi w:val="0"/>
              <w:spacing w:before="0" w:after="283"/>
              <w:jc w:val="center"/>
              <w:rPr>
                <w:b/>
              </w:rPr>
            </w:pPr>
            <w:r>
              <w:rPr>
                <w:b/>
              </w:rPr>
              <w:t>Subsidiary Name</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Owned</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Snail Games USA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7" w:name="xdx_982_eus-gaap--MinorityInterestOwners"/>
            <w:bookmarkEnd w:id="287"/>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Innovation Institute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8" w:name="xdx_98B_eus-gaap--MinorityInterestOwners"/>
            <w:bookmarkEnd w:id="288"/>
          </w:p>
        </w:tc>
        <w:tc>
          <w:tcPr>
            <w:tcW w:w="873"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Frostkeep Studios,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9" w:name="xdx_986_eus-gaap--MinorityInterestOwners"/>
            <w:bookmarkEnd w:id="289"/>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Eminence Corp</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90" w:name="xdx_983_eus-gaap--MinorityInterestOwners"/>
            <w:bookmarkEnd w:id="290"/>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Wandering Wizard,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91" w:name="xdx_98B_eus-gaap--MinorityInterestOwners"/>
            <w:bookmarkEnd w:id="291"/>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Donkey Crew,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92" w:name="xdx_986_eus-gaap--MinorityInterestOwners"/>
            <w:bookmarkEnd w:id="292"/>
          </w:p>
        </w:tc>
        <w:tc>
          <w:tcPr>
            <w:tcW w:w="873" w:type="dxa"/>
            <w:tcBorders/>
            <w:shd w:fill="FFFFFF" w:val="clear"/>
            <w:vAlign w:val="center"/>
          </w:tcPr>
          <w:p>
            <w:pPr>
              <w:pStyle w:val="TableContents"/>
              <w:bidi w:val="0"/>
              <w:spacing w:before="0" w:after="283"/>
              <w:jc w:val="right"/>
              <w:rPr/>
            </w:pPr>
            <w:r>
              <w:rPr/>
              <w:t>99</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Interactive Films,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93" w:name="xdx_981_eus-gaap--MinorityInterestOwners"/>
            <w:bookmarkEnd w:id="293"/>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Project AWK Productions,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94" w:name="xdx_984_eus-gaap--MinorityInterestOwners"/>
            <w:bookmarkEnd w:id="294"/>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BTBX.IO,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95" w:name="xdx_982_eus-gaap--MinorityInterestOwners"/>
            <w:bookmarkEnd w:id="295"/>
          </w:p>
        </w:tc>
        <w:tc>
          <w:tcPr>
            <w:tcW w:w="873"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296" w:name="xdx_8AB_zvDu3EkPkMxf"/>
      <w:bookmarkEnd w:id="29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accounts, transactions, and profits have been eliminated upon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provisions for credit losses, deferred income tax assets and associated valuation allowances, deferred revenue,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297" w:name="xdx_901_eus-gaap--NumberOfOperatingSegme"/>
      <w:bookmarkEnd w:id="297"/>
      <w:r>
        <w:rPr>
          <w:rFonts w:ascii="Times New Roman;Times;Serif" w:hAnsi="Times New Roman;Times;Serif"/>
          <w:b w:val="false"/>
          <w:i w:val="false"/>
          <w:caps w:val="false"/>
          <w:smallCaps w:val="false"/>
          <w:sz w:val="20"/>
        </w:rPr>
        <w:t xml:space="preserve">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8" w:name="xdx_80E_eus-gaap--SignificantAccountingP"/>
      <w:bookmarkEnd w:id="298"/>
      <w:r>
        <w:rPr>
          <w:rFonts w:ascii="Times New Roman;Times;Serif" w:hAnsi="Times New Roman;Times;Serif"/>
          <w:b/>
          <w:i w:val="false"/>
          <w:caps w:val="false"/>
          <w:smallCaps w:val="false"/>
          <w:sz w:val="20"/>
        </w:rPr>
        <w:t xml:space="preserve">NOTE 2 – </w:t>
      </w:r>
      <w:bookmarkStart w:id="299" w:name="xdx_820_zudLlRcAUAL9"/>
      <w:bookmarkEnd w:id="299"/>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0" w:name="xdx_846_eus-gaap--RevenueRecognitionPoli"/>
      <w:bookmarkEnd w:id="300"/>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end consumers purchase the games, and the control of the license is transferred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Consumable: c</w:t>
            </w:r>
            <w:r>
              <w:rPr>
                <w:rFonts w:ascii="Times New Roman;Times;Serif" w:hAnsi="Times New Roman;Times;Serif"/>
                <w:b w:val="false"/>
                <w:i w:val="false"/>
                <w:caps w:val="false"/>
                <w:smallCaps w:val="false"/>
                <w:sz w:val="20"/>
                <w:shd w:fill="F8F8F8" w:val="clear"/>
              </w:rPr>
              <w:t>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as the items are consumed (i.e., over time)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Durable: d</w:t>
            </w:r>
            <w:r>
              <w:rPr>
                <w:rFonts w:ascii="Times New Roman;Times;Serif" w:hAnsi="Times New Roman;Times;Serif"/>
                <w:b w:val="false"/>
                <w:i w:val="false"/>
                <w:caps w:val="false"/>
                <w:smallCaps w:val="false"/>
                <w:sz w:val="20"/>
                <w:shd w:fill="F8F8F8" w:val="clear"/>
              </w:rPr>
              <w:t>urable virtual items represent items that are accessible to the player over an extended period of time. The Company recognizes revenue from the sale of durable virtual items ratably over the estimated service period for the applicable game (i.e., over time), which represents our best estimate of the average life of the durable virtual item.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Bob’s Tall Tales </w:t>
      </w:r>
      <w:r>
        <w:rPr>
          <w:rFonts w:ascii="Times New Roman;Times;Serif" w:hAnsi="Times New Roman;Times;Serif"/>
          <w:b w:val="false"/>
          <w:i w:val="false"/>
          <w:caps w:val="false"/>
          <w:smallCaps w:val="false"/>
          <w:sz w:val="20"/>
        </w:rPr>
        <w:t>games that were sold in a bundle with DLC’s that have not yet been launched and been reported in deferred revenue in the condensed consolidated balance sheets, the Company has used the adjusted market assessment approach per ASC 606-10-32-34 to assign a value for the Company’s remaining performance obligation. The Company uses the following reasonably available information in developing the standalone selling prices of the performance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using the following five steps as provided by Accounting Standards Codification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w:t>
      </w:r>
      <w:bookmarkStart w:id="301" w:name="xdx_90F_ecustom--CustomerTerms_dtD_c2024"/>
      <w:bookmarkEnd w:id="301"/>
      <w:r>
        <w:rPr>
          <w:rFonts w:ascii="Times New Roman;Times;Serif" w:hAnsi="Times New Roman;Times;Serif"/>
          <w:b w:val="false"/>
          <w:i w:val="false"/>
          <w:caps w:val="false"/>
          <w:smallCaps w:val="false"/>
          <w:sz w:val="20"/>
        </w:rPr>
        <w:t xml:space="preserve">30 to </w:t>
      </w:r>
      <w:bookmarkStart w:id="302" w:name="xdx_90E_ecustom--CustomerTerms_dtD_c2024"/>
      <w:bookmarkEnd w:id="302"/>
      <w:r>
        <w:rPr>
          <w:rFonts w:ascii="Times New Roman;Times;Serif" w:hAnsi="Times New Roman;Times;Serif"/>
          <w:b w:val="false"/>
          <w:i w:val="false"/>
          <w:caps w:val="false"/>
          <w:smallCaps w:val="false"/>
          <w:sz w:val="20"/>
        </w:rPr>
        <w:t>75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3" w:name="xdx_840_ecustom--PrincipalVsAgentConside"/>
      <w:bookmarkEnd w:id="303"/>
      <w:r>
        <w:rPr>
          <w:rFonts w:ascii="Times New Roman;Times;Serif" w:hAnsi="Times New Roman;Times;Serif"/>
          <w:b/>
          <w:i/>
          <w:caps w:val="false"/>
          <w:smallCaps w:val="false"/>
          <w:sz w:val="20"/>
        </w:rPr>
        <w:t>Principal vs. Agent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contract terms and conditions between the various parties to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party is primarily responsible for fulfilling the promise to provide the specified good or service;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party has discretion in establishing the price for the specified good or service.</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4" w:name="xdx_84E_ecustom--ContractBalancePolicyTe"/>
      <w:bookmarkEnd w:id="304"/>
      <w:r>
        <w:rPr>
          <w:rFonts w:ascii="Times New Roman;Times;Serif" w:hAnsi="Times New Roman;Times;Serif"/>
          <w:b/>
          <w:i/>
          <w:caps w:val="false"/>
          <w:smallCaps w:val="false"/>
          <w:sz w:val="20"/>
        </w:rPr>
        <w:t>Contract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cash payments are received or due in advance of its performance, even if amounts are 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our current software games is generally 30 to 100 days from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long-term title license agreement with a platform. The agreement was initially made between the parties in November 2018 and valid through December 31, 2021. The agreement was subsequently amended in June 2020 to extend the </w:t>
      </w:r>
      <w:r>
        <w:rPr>
          <w:rFonts w:ascii="Times New Roman;Times;Serif" w:hAnsi="Times New Roman;Times;Serif"/>
          <w:b w:val="false"/>
          <w:i/>
          <w:caps w:val="false"/>
          <w:smallCaps w:val="false"/>
          <w:sz w:val="20"/>
        </w:rPr>
        <w:t>ARK 1</w:t>
      </w:r>
      <w:r>
        <w:rPr>
          <w:rFonts w:ascii="Times New Roman;Times;Serif" w:hAnsi="Times New Roman;Times;Serif"/>
          <w:b w:val="false"/>
          <w:i w:val="false"/>
          <w:caps w:val="false"/>
          <w:smallCaps w:val="false"/>
          <w:sz w:val="20"/>
        </w:rPr>
        <w:t xml:space="preserve"> availability on the platform perpetually, effective January 1, 2022 and to put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on the platform for three years upon release. The Company recognized $</w:t>
      </w:r>
      <w:bookmarkStart w:id="305" w:name="xdx_900_eus-gaap--ContractWithCustomerLi"/>
      <w:bookmarkEnd w:id="305"/>
      <w:r>
        <w:rPr>
          <w:rFonts w:ascii="Times New Roman;Times;Serif" w:hAnsi="Times New Roman;Times;Serif"/>
          <w:b w:val="false"/>
          <w:i w:val="false"/>
          <w:caps w:val="false"/>
          <w:smallCaps w:val="false"/>
          <w:sz w:val="20"/>
        </w:rPr>
        <w:t xml:space="preserve">2.5 million in revenue related to </w:t>
      </w:r>
      <w:r>
        <w:rPr>
          <w:rFonts w:ascii="Times New Roman;Times;Serif" w:hAnsi="Times New Roman;Times;Serif"/>
          <w:b w:val="false"/>
          <w:i/>
          <w:caps w:val="false"/>
          <w:smallCaps w:val="false"/>
          <w:sz w:val="20"/>
        </w:rPr>
        <w:t>ARK 1’s</w:t>
      </w:r>
      <w:r>
        <w:rPr>
          <w:rFonts w:ascii="Times New Roman;Times;Serif" w:hAnsi="Times New Roman;Times;Serif"/>
          <w:b w:val="false"/>
          <w:i w:val="false"/>
          <w:caps w:val="false"/>
          <w:smallCaps w:val="false"/>
          <w:sz w:val="20"/>
        </w:rPr>
        <w:t xml:space="preserve"> perpetual license during the year ended December 31, 2022 and deferred $</w:t>
      </w:r>
      <w:bookmarkStart w:id="306" w:name="xdx_905_eus-gaap--ContractWithCustomerLi"/>
      <w:bookmarkEnd w:id="306"/>
      <w:r>
        <w:rPr>
          <w:rFonts w:ascii="Times New Roman;Times;Serif" w:hAnsi="Times New Roman;Times;Serif"/>
          <w:b w:val="false"/>
          <w:i w:val="false"/>
          <w:caps w:val="false"/>
          <w:smallCaps w:val="false"/>
          <w:sz w:val="20"/>
        </w:rPr>
        <w:t xml:space="preserve">2.3 million related to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that is included in the long-term portion of deferred revenue and will be recognized upon the release of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July 2023, the Company entered into a distribution agreement with its retail distribution partner for the distribution of </w:t>
      </w:r>
      <w:r>
        <w:rPr>
          <w:rFonts w:ascii="Times New Roman;Times;Serif" w:hAnsi="Times New Roman;Times;Serif"/>
          <w:b w:val="false"/>
          <w:i/>
          <w:caps w:val="false"/>
          <w:smallCaps w:val="false"/>
          <w:sz w:val="20"/>
          <w:shd w:fill="FFFFFF" w:val="clear"/>
        </w:rPr>
        <w:t xml:space="preserve">ARK: Survival Ascended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caps w:val="false"/>
          <w:smallCaps w:val="false"/>
          <w:sz w:val="20"/>
          <w:shd w:fill="FFFFFF" w:val="clear"/>
        </w:rPr>
        <w:t xml:space="preserve">ARK II. </w:t>
      </w:r>
      <w:r>
        <w:rPr>
          <w:rFonts w:ascii="Times New Roman;Times;Serif" w:hAnsi="Times New Roman;Times;Serif"/>
          <w:b w:val="false"/>
          <w:i w:val="false"/>
          <w:caps w:val="false"/>
          <w:smallCaps w:val="false"/>
          <w:sz w:val="20"/>
          <w:shd w:fill="FFFFFF" w:val="clear"/>
        </w:rPr>
        <w:t>The initial term is two years and will renew each subsequent year unless it is cancelled. Upon executing the distribution agreement, the Company received $</w:t>
      </w:r>
      <w:bookmarkStart w:id="307" w:name="xdx_906_eus-gaap--PrepaidRoyalties_iI_pn"/>
      <w:bookmarkEnd w:id="307"/>
      <w:r>
        <w:rPr>
          <w:rFonts w:ascii="Times New Roman;Times;Serif" w:hAnsi="Times New Roman;Times;Serif"/>
          <w:b w:val="false"/>
          <w:i w:val="false"/>
          <w:caps w:val="false"/>
          <w:smallCaps w:val="false"/>
          <w:sz w:val="20"/>
          <w:shd w:fill="FFFFFF" w:val="clear"/>
        </w:rPr>
        <w:t>1.8 million as prepaid royalties. During the six months ended June 30, 2024, the Company recognized $</w:t>
      </w:r>
      <w:bookmarkStart w:id="308" w:name="xdx_908_eus-gaap--ContractWithCustomerLi"/>
      <w:bookmarkEnd w:id="308"/>
      <w:r>
        <w:rPr>
          <w:rFonts w:ascii="Times New Roman;Times;Serif" w:hAnsi="Times New Roman;Times;Serif"/>
          <w:b w:val="false"/>
          <w:i w:val="false"/>
          <w:caps w:val="false"/>
          <w:smallCaps w:val="false"/>
          <w:sz w:val="20"/>
          <w:shd w:fill="FFFFFF" w:val="clear"/>
        </w:rPr>
        <w:t>0.7 million of the revenue. As of June 30, 2024, the Company reported the remaining $</w:t>
      </w:r>
      <w:bookmarkStart w:id="309" w:name="xdx_90A_eus-gaap--ContractWithCustomerLi"/>
      <w:bookmarkEnd w:id="309"/>
      <w:r>
        <w:rPr>
          <w:rFonts w:ascii="Times New Roman;Times;Serif" w:hAnsi="Times New Roman;Times;Serif"/>
          <w:b w:val="false"/>
          <w:i w:val="false"/>
          <w:caps w:val="false"/>
          <w:smallCaps w:val="false"/>
          <w:sz w:val="20"/>
          <w:shd w:fill="FFFFFF" w:val="clear"/>
        </w:rPr>
        <w:t xml:space="preserve">1.1 million related to </w:t>
      </w:r>
      <w:r>
        <w:rPr>
          <w:rFonts w:ascii="Times New Roman;Times;Serif" w:hAnsi="Times New Roman;Times;Serif"/>
          <w:b w:val="false"/>
          <w:i/>
          <w:caps w:val="false"/>
          <w:smallCaps w:val="false"/>
          <w:sz w:val="20"/>
          <w:shd w:fill="FFFFFF" w:val="clear"/>
        </w:rPr>
        <w:t xml:space="preserve">ARK II as </w:t>
      </w:r>
      <w:r>
        <w:rPr>
          <w:rFonts w:ascii="Times New Roman;Times;Serif" w:hAnsi="Times New Roman;Times;Serif"/>
          <w:b w:val="false"/>
          <w:i w:val="false"/>
          <w:caps w:val="false"/>
          <w:smallCaps w:val="false"/>
          <w:sz w:val="20"/>
          <w:shd w:fill="FFFFFF" w:val="clear"/>
        </w:rPr>
        <w:t>long-term deferred revenue until the disc releases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0" w:name="xdx_840_eus-gaap--RevenueRemainingPerfor"/>
      <w:bookmarkEnd w:id="310"/>
      <w:r>
        <w:rPr>
          <w:rFonts w:ascii="Times New Roman;Times;Serif" w:hAnsi="Times New Roman;Times;Serif"/>
          <w:b/>
          <w:i/>
          <w:caps w:val="false"/>
          <w:smallCaps w:val="false"/>
          <w:sz w:val="20"/>
        </w:rPr>
        <w:t>Estimated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and last day playing online or the subscription trend. The Company also considers publicly available online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provides a reasonable depiction of the transfer of our game related services to our players, as it is the best representation of the period during which our players play our software games.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1" w:name="xdx_847_ecustom--ShippingHandlingAndValu"/>
      <w:bookmarkEnd w:id="311"/>
      <w:r>
        <w:rPr>
          <w:rFonts w:ascii="Times New Roman;Times;Serif" w:hAnsi="Times New Roman;Times;Serif"/>
          <w:b/>
          <w:i/>
          <w:caps w:val="false"/>
          <w:smallCaps w:val="false"/>
          <w:sz w:val="20"/>
        </w:rPr>
        <w:t>Shipping, Handling and Value Added Taxes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2" w:name="xdx_849_eus-gaap--CostOfSalesPolicyTextB"/>
      <w:bookmarkEnd w:id="312"/>
      <w:r>
        <w:rPr>
          <w:rFonts w:ascii="Times New Roman;Times;Serif" w:hAnsi="Times New Roman;Times;Serif"/>
          <w:b/>
          <w:i/>
          <w:caps w:val="false"/>
          <w:smallCaps w:val="false"/>
          <w:sz w:val="20"/>
        </w:rPr>
        <w:t>Cost of Revenues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software license royalty fees, merchant fees, server and database center costs, game localization costs, game licenses, engine fees and amortization costs. Cost of revenues for the three and six months ended June 30, 2024 and 2023 were comprised of the following:</w:t>
      </w:r>
    </w:p>
    <w:p>
      <w:pPr>
        <w:pStyle w:val="TextBody"/>
        <w:bidi w:val="0"/>
        <w:spacing w:before="0" w:after="0"/>
        <w:ind w:left="0" w:right="0" w:hanging="0"/>
        <w:jc w:val="center"/>
        <w:rPr>
          <w:caps w:val="false"/>
          <w:smallCaps w:val="false"/>
        </w:rPr>
      </w:pPr>
      <w:bookmarkStart w:id="313" w:name="xdx_89C_ecustom--CostOfGoodsAndServicesS"/>
      <w:bookmarkEnd w:id="313"/>
      <w:r>
        <w:rPr>
          <w:caps w:val="false"/>
          <w:smallCaps w:val="false"/>
        </w:rPr>
        <w:t> </w:t>
      </w:r>
      <w:bookmarkStart w:id="314" w:name="xdx_8B5_zWFoHrN9h1d4"/>
      <w:bookmarkEnd w:id="314"/>
      <w:r>
        <w:rPr>
          <w:rFonts w:ascii="Times New Roman;Times;Serif" w:hAnsi="Times New Roman;Times;Serif"/>
          <w:b w:val="false"/>
          <w:i w:val="false"/>
          <w:caps w:val="false"/>
          <w:smallCaps w:val="false"/>
          <w:sz w:val="20"/>
        </w:rPr>
        <w:t>SCHEDULE OF COST OF REVENUES</w:t>
      </w:r>
    </w:p>
    <w:tbl>
      <w:tblPr>
        <w:tblW w:w="9330" w:type="dxa"/>
        <w:jc w:val="left"/>
        <w:tblInd w:w="0" w:type="dxa"/>
        <w:tblLayout w:type="fixed"/>
        <w:tblCellMar>
          <w:top w:w="0" w:type="dxa"/>
          <w:left w:w="0" w:type="dxa"/>
          <w:bottom w:w="0" w:type="dxa"/>
          <w:right w:w="0" w:type="dxa"/>
        </w:tblCellMar>
      </w:tblPr>
      <w:tblGrid>
        <w:gridCol w:w="3995"/>
        <w:gridCol w:w="60"/>
        <w:gridCol w:w="140"/>
        <w:gridCol w:w="1100"/>
        <w:gridCol w:w="60"/>
        <w:gridCol w:w="60"/>
        <w:gridCol w:w="140"/>
        <w:gridCol w:w="980"/>
        <w:gridCol w:w="60"/>
        <w:gridCol w:w="60"/>
        <w:gridCol w:w="140"/>
        <w:gridCol w:w="1100"/>
        <w:gridCol w:w="60"/>
        <w:gridCol w:w="60"/>
        <w:gridCol w:w="140"/>
        <w:gridCol w:w="1100"/>
        <w:gridCol w:w="7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5" w:name="xdx_494_20240401__20240630_zV4OfDLazsI3"/>
            <w:bookmarkEnd w:id="315"/>
          </w:p>
        </w:tc>
        <w:tc>
          <w:tcPr>
            <w:tcW w:w="11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6" w:name="xdx_494_20230401__20230630_zbTwxxYaJSEi"/>
            <w:bookmarkEnd w:id="316"/>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7" w:name="xdx_492_20240101__20240630_zqYVA10AKbD4"/>
            <w:bookmarkEnd w:id="317"/>
          </w:p>
        </w:tc>
        <w:tc>
          <w:tcPr>
            <w:tcW w:w="11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8" w:name="xdx_49C_20230101__20230630_z1YCDCzt3wI5"/>
            <w:bookmarkEnd w:id="318"/>
          </w:p>
        </w:tc>
        <w:tc>
          <w:tcPr>
            <w:tcW w:w="110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19" w:name="xdx_407_ecustom--CostSoftwareLicenseRoya"/>
            <w:bookmarkEnd w:id="319"/>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4,658,272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1,906,786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7,932,292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4,769,799</w:t>
            </w:r>
          </w:p>
        </w:tc>
        <w:tc>
          <w:tcPr>
            <w:tcW w:w="75" w:type="dxa"/>
            <w:tcBorders/>
            <w:shd w:fill="CCEEFF" w:val="clear"/>
            <w:vAlign w:val="center"/>
          </w:tcPr>
          <w:p>
            <w:pPr>
              <w:pStyle w:val="TableContents"/>
              <w:bidi w:val="0"/>
              <w:spacing w:before="0" w:after="283"/>
              <w:jc w:val="left"/>
              <w:rPr/>
            </w:pPr>
            <w:r>
              <w:rPr/>
              <w:t> </w:t>
            </w:r>
            <w:bookmarkStart w:id="320" w:name="xdx_403_ecustom--CostSoftwareLicenseRoya"/>
            <w:bookmarkEnd w:id="320"/>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254,400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226,183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606,839</w:t>
            </w:r>
          </w:p>
        </w:tc>
        <w:tc>
          <w:tcPr>
            <w:tcW w:w="75" w:type="dxa"/>
            <w:tcBorders/>
            <w:shd w:fill="FFFFFF" w:val="clear"/>
            <w:vAlign w:val="center"/>
          </w:tcPr>
          <w:p>
            <w:pPr>
              <w:pStyle w:val="TableContents"/>
              <w:bidi w:val="0"/>
              <w:spacing w:before="0" w:after="283"/>
              <w:jc w:val="left"/>
              <w:rPr/>
            </w:pPr>
            <w:r>
              <w:rPr/>
              <w:t> </w:t>
            </w:r>
            <w:bookmarkStart w:id="321" w:name="xdx_407_ecustom--CostLicenseFeesAndAmort"/>
            <w:bookmarkEnd w:id="321"/>
          </w:p>
        </w:tc>
      </w:tr>
      <w:tr>
        <w:trPr/>
        <w:tc>
          <w:tcPr>
            <w:tcW w:w="3995" w:type="dxa"/>
            <w:tcBorders/>
            <w:shd w:fill="CCEEFF" w:val="clear"/>
            <w:vAlign w:val="center"/>
          </w:tcPr>
          <w:p>
            <w:pPr>
              <w:pStyle w:val="TableContents"/>
              <w:bidi w:val="0"/>
              <w:spacing w:before="0" w:after="283"/>
              <w:jc w:val="left"/>
              <w:rPr/>
            </w:pPr>
            <w:r>
              <w:rPr/>
              <w:t>License and amortization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4,862,320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10,057,971</w:t>
            </w:r>
          </w:p>
        </w:tc>
        <w:tc>
          <w:tcPr>
            <w:tcW w:w="75" w:type="dxa"/>
            <w:tcBorders/>
            <w:shd w:fill="CCEEFF" w:val="clear"/>
            <w:vAlign w:val="center"/>
          </w:tcPr>
          <w:p>
            <w:pPr>
              <w:pStyle w:val="TableContents"/>
              <w:bidi w:val="0"/>
              <w:spacing w:before="0" w:after="283"/>
              <w:jc w:val="left"/>
              <w:rPr/>
            </w:pPr>
            <w:r>
              <w:rPr/>
              <w:t> </w:t>
            </w:r>
            <w:bookmarkStart w:id="322" w:name="xdx_40E_ecustom--CostLicenseFeesAndAmort"/>
            <w:bookmarkEnd w:id="322"/>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402</w:t>
            </w:r>
          </w:p>
        </w:tc>
        <w:tc>
          <w:tcPr>
            <w:tcW w:w="75" w:type="dxa"/>
            <w:tcBorders/>
            <w:shd w:fill="FFFFFF" w:val="clear"/>
            <w:vAlign w:val="center"/>
          </w:tcPr>
          <w:p>
            <w:pPr>
              <w:pStyle w:val="TableContents"/>
              <w:bidi w:val="0"/>
              <w:spacing w:before="0" w:after="283"/>
              <w:jc w:val="left"/>
              <w:rPr/>
            </w:pPr>
            <w:r>
              <w:rPr/>
              <w:t> </w:t>
            </w:r>
            <w:bookmarkStart w:id="323" w:name="xdx_40E_ecustom--CostMerchantFees_maCOGA"/>
            <w:bookmarkEnd w:id="323"/>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348,805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808,276</w:t>
            </w:r>
          </w:p>
        </w:tc>
        <w:tc>
          <w:tcPr>
            <w:tcW w:w="75" w:type="dxa"/>
            <w:tcBorders/>
            <w:shd w:fill="CCEEFF" w:val="clear"/>
            <w:vAlign w:val="center"/>
          </w:tcPr>
          <w:p>
            <w:pPr>
              <w:pStyle w:val="TableContents"/>
              <w:bidi w:val="0"/>
              <w:spacing w:before="0" w:after="283"/>
              <w:jc w:val="left"/>
              <w:rPr/>
            </w:pPr>
            <w:r>
              <w:rPr/>
              <w:t> </w:t>
            </w:r>
            <w:bookmarkStart w:id="324" w:name="xdx_40A_ecustom--CostEngineFees_maCOGASz"/>
            <w:bookmarkEnd w:id="324"/>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1,340,897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292,898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2,302,338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717,125</w:t>
            </w:r>
          </w:p>
        </w:tc>
        <w:tc>
          <w:tcPr>
            <w:tcW w:w="75" w:type="dxa"/>
            <w:tcBorders/>
            <w:shd w:fill="FFFFFF" w:val="clear"/>
            <w:vAlign w:val="center"/>
          </w:tcPr>
          <w:p>
            <w:pPr>
              <w:pStyle w:val="TableContents"/>
              <w:bidi w:val="0"/>
              <w:spacing w:before="0" w:after="283"/>
              <w:jc w:val="left"/>
              <w:rPr/>
            </w:pPr>
            <w:r>
              <w:rPr/>
              <w:t> </w:t>
            </w:r>
            <w:bookmarkStart w:id="325" w:name="xdx_40C_ecustom--CostInternetExpense_maC"/>
            <w:bookmarkEnd w:id="325"/>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1,221,318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1,611,047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2,621,325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3,151,737</w:t>
            </w:r>
          </w:p>
        </w:tc>
        <w:tc>
          <w:tcPr>
            <w:tcW w:w="75" w:type="dxa"/>
            <w:tcBorders/>
            <w:shd w:fill="CCEEFF" w:val="clear"/>
            <w:vAlign w:val="center"/>
          </w:tcPr>
          <w:p>
            <w:pPr>
              <w:pStyle w:val="TableContents"/>
              <w:bidi w:val="0"/>
              <w:spacing w:before="0" w:after="283"/>
              <w:jc w:val="left"/>
              <w:rPr/>
            </w:pPr>
            <w:r>
              <w:rPr/>
              <w:t> </w:t>
            </w:r>
            <w:bookmarkStart w:id="326" w:name="xdx_403_ecustom--CostsRelatedToAdvertisi"/>
            <w:bookmarkEnd w:id="326"/>
          </w:p>
        </w:tc>
      </w:tr>
      <w:tr>
        <w:trPr/>
        <w:tc>
          <w:tcPr>
            <w:tcW w:w="3995" w:type="dxa"/>
            <w:tcBorders/>
            <w:shd w:fill="FFFFFF" w:val="clear"/>
            <w:vAlign w:val="center"/>
          </w:tcPr>
          <w:p>
            <w:pPr>
              <w:pStyle w:val="TableContents"/>
              <w:bidi w:val="0"/>
              <w:spacing w:before="0" w:after="283"/>
              <w:jc w:val="left"/>
              <w:rPr/>
            </w:pPr>
            <w:r>
              <w:rPr/>
              <w:t>Costs related to advertising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59,308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84,553</w:t>
            </w:r>
          </w:p>
        </w:tc>
        <w:tc>
          <w:tcPr>
            <w:tcW w:w="75" w:type="dxa"/>
            <w:tcBorders/>
            <w:shd w:fill="FFFFFF" w:val="clear"/>
            <w:vAlign w:val="center"/>
          </w:tcPr>
          <w:p>
            <w:pPr>
              <w:pStyle w:val="TableContents"/>
              <w:bidi w:val="0"/>
              <w:spacing w:before="0" w:after="283"/>
              <w:jc w:val="left"/>
              <w:rPr/>
            </w:pPr>
            <w:r>
              <w:rPr/>
              <w:t> </w:t>
            </w:r>
            <w:bookmarkStart w:id="327" w:name="xdx_404_eus-gaap--CostOfGoodsAndServices"/>
            <w:bookmarkEnd w:id="327"/>
          </w:p>
        </w:tc>
      </w:tr>
      <w:tr>
        <w:trPr/>
        <w:tc>
          <w:tcPr>
            <w:tcW w:w="3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13,504,174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9,335,765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25,545,872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20,196,702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28" w:name="xdx_8A7_zCLXYXgBt13d"/>
      <w:bookmarkEnd w:id="32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9" w:name="xdx_84C_eus-gaap--SellingGeneralAndAdmin"/>
      <w:bookmarkEnd w:id="329"/>
      <w:r>
        <w:rPr>
          <w:rFonts w:ascii="Times New Roman;Times;Serif" w:hAnsi="Times New Roman;Times;Serif"/>
          <w:b/>
          <w:i/>
          <w:caps w:val="false"/>
          <w:smallCaps w:val="false"/>
          <w:sz w:val="20"/>
        </w:rPr>
        <w:t>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rent, salaries, stock-based compensation, legal and professional expenses, administrative internet and server, contractor costs, insurance expense, licenses and permits, other taxes and travel expenses. These costs are expensed as they are incurred. Stock-based compensation of $</w:t>
      </w:r>
      <w:bookmarkStart w:id="330" w:name="xdx_90D_eus-gaap--AllocatedShareBasedCom"/>
      <w:bookmarkEnd w:id="330"/>
      <w:r>
        <w:rPr>
          <w:rFonts w:ascii="Times New Roman;Times;Serif" w:hAnsi="Times New Roman;Times;Serif"/>
          <w:b w:val="false"/>
          <w:i w:val="false"/>
          <w:caps w:val="false"/>
          <w:smallCaps w:val="false"/>
          <w:sz w:val="20"/>
        </w:rPr>
        <w:t>13,949 and $</w:t>
      </w:r>
      <w:bookmarkStart w:id="331" w:name="xdx_90E_eus-gaap--AllocatedShareBasedCom"/>
      <w:bookmarkEnd w:id="331"/>
      <w:r>
        <w:rPr>
          <w:rFonts w:ascii="Times New Roman;Times;Serif" w:hAnsi="Times New Roman;Times;Serif"/>
          <w:b w:val="false"/>
          <w:i w:val="false"/>
          <w:caps w:val="false"/>
          <w:smallCaps w:val="false"/>
          <w:sz w:val="20"/>
        </w:rPr>
        <w:t xml:space="preserve">216,706 was incurred during the three months ended June 30, 2024 and 2023, respectively. Stock-based compensation of </w:t>
      </w:r>
      <w:bookmarkStart w:id="332" w:name="xdx_902_eus-gaap--AllocatedShareBasedCom"/>
      <w:bookmarkEnd w:id="332"/>
      <w:r>
        <w:rPr>
          <w:rFonts w:ascii="Times New Roman;Times;Serif" w:hAnsi="Times New Roman;Times;Serif"/>
          <w:b w:val="false"/>
          <w:i w:val="false"/>
          <w:caps w:val="false"/>
          <w:smallCaps w:val="false"/>
          <w:sz w:val="20"/>
        </w:rPr>
        <w:t>($848,685) and $</w:t>
      </w:r>
      <w:bookmarkStart w:id="333" w:name="xdx_90B_eus-gaap--AllocatedShareBasedCom"/>
      <w:bookmarkEnd w:id="333"/>
      <w:r>
        <w:rPr>
          <w:rFonts w:ascii="Times New Roman;Times;Serif" w:hAnsi="Times New Roman;Times;Serif"/>
          <w:b w:val="false"/>
          <w:i w:val="false"/>
          <w:caps w:val="false"/>
          <w:smallCaps w:val="false"/>
          <w:sz w:val="20"/>
        </w:rPr>
        <w:t>369,301 was incurred during the six months ended June 30,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4" w:name="xdx_848_eus-gaap--AdvertisingCostsPolicy"/>
      <w:bookmarkEnd w:id="334"/>
      <w:r>
        <w:rPr>
          <w:rFonts w:ascii="Times New Roman;Times;Serif" w:hAnsi="Times New Roman;Times;Serif"/>
          <w:b/>
          <w:i/>
          <w:caps w:val="false"/>
          <w:smallCaps w:val="false"/>
          <w:sz w:val="20"/>
        </w:rPr>
        <w:t>Advertising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and marketing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5" w:name="xdx_84F_eus-gaap--ResearchAndDevelopment"/>
      <w:bookmarkEnd w:id="335"/>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include travel, payroll, and other general expenses specific to research and development activities. Stock-based compensation of $</w:t>
      </w:r>
      <w:bookmarkStart w:id="336" w:name="xdx_90C_eus-gaap--AllocatedShareBasedCom"/>
      <w:bookmarkEnd w:id="336"/>
      <w:r>
        <w:rPr>
          <w:rFonts w:ascii="Times New Roman;Times;Serif" w:hAnsi="Times New Roman;Times;Serif"/>
          <w:b w:val="false"/>
          <w:i w:val="false"/>
          <w:caps w:val="false"/>
          <w:smallCaps w:val="false"/>
          <w:sz w:val="20"/>
        </w:rPr>
        <w:t>1,033 and $</w:t>
      </w:r>
      <w:bookmarkStart w:id="337" w:name="xdx_90E_eus-gaap--AllocatedShareBasedCom"/>
      <w:bookmarkEnd w:id="337"/>
      <w:r>
        <w:rPr>
          <w:rFonts w:ascii="Times New Roman;Times;Serif" w:hAnsi="Times New Roman;Times;Serif"/>
          <w:b w:val="false"/>
          <w:i w:val="false"/>
          <w:caps w:val="false"/>
          <w:smallCaps w:val="false"/>
          <w:sz w:val="20"/>
        </w:rPr>
        <w:t xml:space="preserve">16,064 was incurred during the three months ended June 30, 2024 and 2023, respectively. Stock-based compensation of </w:t>
      </w:r>
      <w:bookmarkStart w:id="338" w:name="xdx_908_eus-gaap--AllocatedShareBasedCom"/>
      <w:bookmarkEnd w:id="338"/>
      <w:r>
        <w:rPr>
          <w:rFonts w:ascii="Times New Roman;Times;Serif" w:hAnsi="Times New Roman;Times;Serif"/>
          <w:b w:val="false"/>
          <w:i w:val="false"/>
          <w:caps w:val="false"/>
          <w:smallCaps w:val="false"/>
          <w:sz w:val="20"/>
        </w:rPr>
        <w:t>($63,208) and $</w:t>
      </w:r>
      <w:bookmarkStart w:id="339" w:name="xdx_90F_eus-gaap--AllocatedShareBasedCom"/>
      <w:bookmarkEnd w:id="339"/>
      <w:r>
        <w:rPr>
          <w:rFonts w:ascii="Times New Roman;Times;Serif" w:hAnsi="Times New Roman;Times;Serif"/>
          <w:b w:val="false"/>
          <w:i w:val="false"/>
          <w:caps w:val="false"/>
          <w:smallCaps w:val="false"/>
          <w:sz w:val="20"/>
        </w:rPr>
        <w:t>16,064 was incurred during the six months ended June 30,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0" w:name="xdx_84F_ecustom--NonControllingInterestP"/>
      <w:bookmarkEnd w:id="340"/>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on the condensed consolidated balance sheets and condensed consolidated statements of operations and comprehensive income (loss) include the equity allocated to non-controlling interest holders. As of June 30, 2024 and December 31, 2023, there were non-controlling interests with the following subsidiaries:</w:t>
      </w:r>
    </w:p>
    <w:p>
      <w:pPr>
        <w:pStyle w:val="TextBody"/>
        <w:bidi w:val="0"/>
        <w:spacing w:before="0" w:after="0"/>
        <w:ind w:left="0" w:right="0" w:hanging="0"/>
        <w:jc w:val="both"/>
        <w:rPr>
          <w:caps w:val="false"/>
          <w:smallCaps w:val="false"/>
        </w:rPr>
      </w:pPr>
      <w:bookmarkStart w:id="341" w:name="xdx_899_ecustom--ScheduleOfEquityInteres"/>
      <w:bookmarkEnd w:id="341"/>
      <w:r>
        <w:rPr>
          <w:caps w:val="false"/>
          <w:smallCaps w:val="false"/>
        </w:rPr>
        <w:t> </w:t>
      </w:r>
      <w:bookmarkStart w:id="342" w:name="xdx_8BF_zYuk19lcVckf"/>
      <w:bookmarkEnd w:id="342"/>
      <w:r>
        <w:rPr>
          <w:rFonts w:ascii="Times New Roman;Times;Serif" w:hAnsi="Times New Roman;Times;Serif"/>
          <w:b w:val="false"/>
          <w:i w:val="false"/>
          <w:caps w:val="false"/>
          <w:smallCaps w:val="false"/>
          <w:sz w:val="20"/>
        </w:rPr>
        <w:t>SCHEDULE OF EQUITY INTEREST AND NON CONTROLLING INTEREST IN SUBSIDIARIES</w:t>
      </w:r>
    </w:p>
    <w:tbl>
      <w:tblPr>
        <w:tblW w:w="6758" w:type="dxa"/>
        <w:jc w:val="left"/>
        <w:tblInd w:w="0" w:type="dxa"/>
        <w:tblLayout w:type="fixed"/>
        <w:tblCellMar>
          <w:top w:w="0" w:type="dxa"/>
          <w:left w:w="0" w:type="dxa"/>
          <w:bottom w:w="28" w:type="dxa"/>
          <w:right w:w="0" w:type="dxa"/>
        </w:tblCellMar>
      </w:tblPr>
      <w:tblGrid>
        <w:gridCol w:w="2390"/>
        <w:gridCol w:w="60"/>
        <w:gridCol w:w="337"/>
        <w:gridCol w:w="1467"/>
        <w:gridCol w:w="215"/>
        <w:gridCol w:w="60"/>
        <w:gridCol w:w="374"/>
        <w:gridCol w:w="1625"/>
        <w:gridCol w:w="230"/>
      </w:tblGrid>
      <w:tr>
        <w:trPr/>
        <w:tc>
          <w:tcPr>
            <w:tcW w:w="2390" w:type="dxa"/>
            <w:tcBorders>
              <w:bottom w:val="single" w:sz="12" w:space="0" w:color="000000"/>
            </w:tcBorders>
            <w:vAlign w:val="center"/>
          </w:tcPr>
          <w:p>
            <w:pPr>
              <w:pStyle w:val="TableContents"/>
              <w:bidi w:val="0"/>
              <w:spacing w:before="0" w:after="283"/>
              <w:jc w:val="left"/>
              <w:rPr>
                <w:b/>
              </w:rPr>
            </w:pPr>
            <w:r>
              <w:rPr>
                <w:b/>
              </w:rPr>
              <w:t>Subsidiary Name</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12" w:space="0" w:color="000000"/>
            </w:tcBorders>
            <w:vAlign w:val="center"/>
          </w:tcPr>
          <w:p>
            <w:pPr>
              <w:pStyle w:val="TableContents"/>
              <w:bidi w:val="0"/>
              <w:spacing w:before="0" w:after="283"/>
              <w:jc w:val="center"/>
              <w:rPr>
                <w:b/>
              </w:rPr>
            </w:pPr>
            <w:r>
              <w:rPr>
                <w:b/>
              </w:rPr>
              <w:t>Equity % Owned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12" w:space="0" w:color="000000"/>
            </w:tcBorders>
            <w:vAlign w:val="center"/>
          </w:tcPr>
          <w:p>
            <w:pPr>
              <w:pStyle w:val="TableContents"/>
              <w:bidi w:val="0"/>
              <w:spacing w:before="0" w:after="283"/>
              <w:jc w:val="center"/>
              <w:rPr>
                <w:b/>
              </w:rPr>
            </w:pPr>
            <w:r>
              <w:rPr>
                <w:b/>
              </w:rPr>
              <w:t>Non-Controlling %</w:t>
            </w:r>
          </w:p>
        </w:tc>
        <w:tc>
          <w:tcPr>
            <w:tcW w:w="230" w:type="dxa"/>
            <w:tcBorders/>
            <w:tcMar>
              <w:bottom w:w="0" w:type="dxa"/>
            </w:tcMar>
            <w:vAlign w:val="center"/>
          </w:tcPr>
          <w:p>
            <w:pPr>
              <w:pStyle w:val="TableContents"/>
              <w:bidi w:val="0"/>
              <w:spacing w:before="0" w:after="283"/>
              <w:jc w:val="left"/>
              <w:rPr/>
            </w:pPr>
            <w:r>
              <w:rPr/>
              <w:t> </w:t>
            </w:r>
          </w:p>
        </w:tc>
      </w:tr>
      <w:tr>
        <w:trPr/>
        <w:tc>
          <w:tcPr>
            <w:tcW w:w="2390" w:type="dxa"/>
            <w:tcBorders/>
            <w:shd w:fill="CCEEFF" w:val="clear"/>
            <w:tcMar>
              <w:bottom w:w="0" w:type="dxa"/>
            </w:tcMar>
            <w:vAlign w:val="center"/>
          </w:tcPr>
          <w:p>
            <w:pPr>
              <w:pStyle w:val="TableContents"/>
              <w:bidi w:val="0"/>
              <w:spacing w:before="0" w:after="283"/>
              <w:jc w:val="left"/>
              <w:rPr/>
            </w:pPr>
            <w:r>
              <w:rPr/>
              <w:t>Snail Innovative Institute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343" w:name="xdx_900_eus-gaap--MinorityInterestOwners"/>
            <w:bookmarkStart w:id="344" w:name="xdx_907_eus-gaap--MinorityInterestOwners"/>
            <w:bookmarkEnd w:id="343"/>
            <w:bookmarkEnd w:id="344"/>
            <w:r>
              <w:rPr/>
              <w:t>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345" w:name="xdx_90E_eus-gaap--MinorityInterestOwners"/>
            <w:bookmarkStart w:id="346" w:name="xdx_90F_eus-gaap--MinorityInterestOwners"/>
            <w:bookmarkEnd w:id="345"/>
            <w:bookmarkEnd w:id="346"/>
            <w:r>
              <w:rPr/>
              <w:t>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390" w:type="dxa"/>
            <w:tcBorders/>
            <w:shd w:fill="FFFFFF" w:val="clear"/>
            <w:tcMar>
              <w:bottom w:w="0" w:type="dxa"/>
            </w:tcMar>
            <w:vAlign w:val="center"/>
          </w:tcPr>
          <w:p>
            <w:pPr>
              <w:pStyle w:val="TableContents"/>
              <w:bidi w:val="0"/>
              <w:spacing w:before="0" w:after="283"/>
              <w:jc w:val="left"/>
              <w:rPr/>
            </w:pPr>
            <w:r>
              <w:rPr/>
              <w:t>BTBX.IO,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1467" w:type="dxa"/>
            <w:tcBorders/>
            <w:shd w:fill="FFFFFF" w:val="clear"/>
            <w:tcMar>
              <w:bottom w:w="0" w:type="dxa"/>
            </w:tcMar>
            <w:vAlign w:val="center"/>
          </w:tcPr>
          <w:p>
            <w:pPr>
              <w:pStyle w:val="TableContents"/>
              <w:bidi w:val="0"/>
              <w:spacing w:before="0" w:after="283"/>
              <w:jc w:val="right"/>
              <w:rPr/>
            </w:pPr>
            <w:bookmarkStart w:id="347" w:name="xdx_90C_eus-gaap--MinorityInterestOwners"/>
            <w:bookmarkStart w:id="348" w:name="xdx_90A_eus-gaap--MinorityInterestOwners"/>
            <w:bookmarkEnd w:id="347"/>
            <w:bookmarkEnd w:id="348"/>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right"/>
              <w:rPr/>
            </w:pPr>
            <w:bookmarkStart w:id="349" w:name="xdx_901_eus-gaap--MinorityInterestOwners"/>
            <w:bookmarkStart w:id="350" w:name="xdx_90C_eus-gaap--MinorityInterestOwners"/>
            <w:bookmarkEnd w:id="349"/>
            <w:bookmarkEnd w:id="350"/>
            <w:r>
              <w:rPr/>
              <w:t>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390" w:type="dxa"/>
            <w:tcBorders/>
            <w:shd w:fill="CCEEFF" w:val="clear"/>
            <w:tcMar>
              <w:bottom w:w="0" w:type="dxa"/>
            </w:tcMar>
            <w:vAlign w:val="center"/>
          </w:tcPr>
          <w:p>
            <w:pPr>
              <w:pStyle w:val="TableContents"/>
              <w:bidi w:val="0"/>
              <w:spacing w:before="0" w:after="283"/>
              <w:jc w:val="left"/>
              <w:rPr/>
            </w:pPr>
            <w:r>
              <w:rPr/>
              <w:t>Donkey Crew,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351" w:name="xdx_909_eus-gaap--MinorityInterestOwners"/>
            <w:bookmarkStart w:id="352" w:name="xdx_902_eus-gaap--MinorityInterestOwners"/>
            <w:bookmarkEnd w:id="351"/>
            <w:bookmarkEnd w:id="352"/>
            <w:r>
              <w:rPr/>
              <w:t>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353" w:name="xdx_901_eus-gaap--MinorityInterestOwners"/>
            <w:bookmarkStart w:id="354" w:name="xdx_90A_eus-gaap--MinorityInterestOwners"/>
            <w:bookmarkEnd w:id="353"/>
            <w:bookmarkEnd w:id="354"/>
            <w:r>
              <w:rPr/>
              <w:t>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55" w:name="xdx_8A4_zl2qRm1cGzKe"/>
      <w:bookmarkEnd w:id="355"/>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6" w:name="xdx_84C_eus-gaap--CashAndCashEquivalents"/>
      <w:bookmarkEnd w:id="356"/>
      <w:r>
        <w:rPr>
          <w:rFonts w:ascii="Times New Roman;Times;Serif" w:hAnsi="Times New Roman;Times;Serif"/>
          <w:b/>
          <w:i/>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available for use in current operations or other activities such as capital expenditures and business combinations.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7" w:name="xdx_845_ecustom--RestrictedEscrowDeposit"/>
      <w:bookmarkEnd w:id="357"/>
      <w:r>
        <w:rPr>
          <w:rFonts w:ascii="Times New Roman;Times;Serif" w:hAnsi="Times New Roman;Times;Serif"/>
          <w:b/>
          <w:i/>
          <w:caps w:val="false"/>
          <w:smallCaps w:val="false"/>
          <w:sz w:val="20"/>
        </w:rPr>
        <w:t>Restricted Escrow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deposits held in escrow are to provide a source of funding for certain indemnification obligations of Snail, Inc. to our underwriters in connection with our IPO. The deposit and related interest earnings were restricted for one year from the IPO date and were released from restrictions in November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8" w:name="xdx_84C_eus-gaap--TradeAndOtherAccountsR"/>
      <w:bookmarkEnd w:id="358"/>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and six months ended June 30, 2024 and 2023. As of June 30, 2024 and December 31, 2023, the balance of our allowance for credit losses was $</w:t>
      </w:r>
      <w:bookmarkStart w:id="359" w:name="xdx_901_eus-gaap--AccountsAndFinancingRe"/>
      <w:bookmarkStart w:id="360" w:name="xdx_90D_eus-gaap--AccountsAndFinancingRe"/>
      <w:bookmarkEnd w:id="359"/>
      <w:bookmarkEnd w:id="360"/>
      <w:r>
        <w:rPr>
          <w:rFonts w:ascii="Times New Roman;Times;Serif" w:hAnsi="Times New Roman;Times;Serif"/>
          <w:b w:val="false"/>
          <w:i w:val="false"/>
          <w:caps w:val="false"/>
          <w:smallCaps w:val="false"/>
          <w:sz w:val="20"/>
        </w:rPr>
        <w:t>523,500.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1" w:name="xdx_846_eus-gaap--FairValueMeasurementPo"/>
      <w:bookmarkEnd w:id="361"/>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Financial Accounting Standards Board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hierarchy of inputs used to measure fair value and the primary valuation methodologies used by the Company for financial instruments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Quoted prices in active markets for identical assets or liabilities that the Company has an ability to access as of the measurement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Inputs that are observable, either directly or indirectly, such as quoted prices for similar assets or liabilities, quoted prices in markets that are not active, or other inputs that are observable or can be corroborated by observable market data for substantially the same term of the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Unobservable inputs that are supported by little or no market activity and that are significant to the fair value of the assets or liabilities.</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these financial instruments approximate their fair value due to their short maturities or economic substance. The carrying amount of our revolving loan and notes payable approximates fair value because the interest rates on these instruments approximate the interest rate on debt with similar terms available to us for a similar duration. The fair value of the Company’s promissory note which has a fixed rate for </w:t>
      </w:r>
      <w:bookmarkStart w:id="362" w:name="xdx_906_ecustom--DebtInstrumentInterestR"/>
      <w:bookmarkEnd w:id="362"/>
      <w:r>
        <w:rPr>
          <w:rFonts w:ascii="Times New Roman;Times;Serif" w:hAnsi="Times New Roman;Times;Serif"/>
          <w:b w:val="false"/>
          <w:i w:val="false"/>
          <w:caps w:val="false"/>
          <w:smallCaps w:val="false"/>
          <w:sz w:val="20"/>
        </w:rPr>
        <w:t xml:space="preserve">5 years, then a floating rate that approximates the Wall Street Journal Prime Rate plus </w:t>
      </w:r>
      <w:bookmarkStart w:id="363" w:name="xdx_90F_eus-gaap--DebtInstrumentBasisSpr"/>
      <w:bookmarkEnd w:id="363"/>
      <w:r>
        <w:rPr>
          <w:rFonts w:ascii="Times New Roman;Times;Serif" w:hAnsi="Times New Roman;Times;Serif"/>
          <w:b w:val="false"/>
          <w:i w:val="false"/>
          <w:caps w:val="false"/>
          <w:smallCaps w:val="false"/>
          <w:sz w:val="20"/>
        </w:rPr>
        <w:t>0.50%. The Company considers the carrying amount of the loan to approximate fair value as the discounted cost in comparison to market rates would not be materially different than the cost to acquire a loan with similar terms. The fair value of the Company’s convertible notes is disclosed in Note 16, and the Company’s warrant liability and derivative instruments are valued at fair value each reporting period, using level 3 inputs and the Monte-Carlo pricing model. The most significant of the inputs are the stock price, exercise price, contractual term, volatility, and the risk-free rate. The Company does not have any other assets or liabilities measured at fair value on a recurring or non-recurring basis as of June 30,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4" w:name="xdx_842_eus-gaap--ImpairmentOrDisposalOf"/>
      <w:bookmarkEnd w:id="364"/>
      <w:r>
        <w:rPr>
          <w:rFonts w:ascii="Times New Roman;Times;Serif" w:hAnsi="Times New Roman;Times;Serif"/>
          <w:b/>
          <w:i/>
          <w:caps w:val="false"/>
          <w:smallCaps w:val="false"/>
          <w:sz w:val="20"/>
        </w:rPr>
        <w:t>Amortizable Intangibles and Other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5" w:name="xdx_843_eus-gaap--IncomeTaxPolicyTextBlo"/>
      <w:bookmarkEnd w:id="365"/>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Topic ASC 740, Income Taxes, which requires the recognition of deferred tax assets and liabilities for the expected future tax consequences of events that have been included in the consolidated financial statements or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condensed consolidated balance sheets in the amount of $</w:t>
      </w:r>
      <w:bookmarkStart w:id="366" w:name="xdx_900_eus-gaap--UnrecognizedTaxBenefit"/>
      <w:bookmarkStart w:id="367" w:name="xdx_90C_eus-gaap--UnrecognizedTaxBenefit"/>
      <w:bookmarkEnd w:id="366"/>
      <w:bookmarkEnd w:id="367"/>
      <w:r>
        <w:rPr>
          <w:rFonts w:ascii="Times New Roman;Times;Serif" w:hAnsi="Times New Roman;Times;Serif"/>
          <w:b w:val="false"/>
          <w:i w:val="false"/>
          <w:caps w:val="false"/>
          <w:smallCaps w:val="false"/>
          <w:sz w:val="20"/>
        </w:rPr>
        <w:t>254,731 as of June 30, 2024 and December 31, 2023. The Company accrues and recognizes interest and penalties related to unrecognized tax benefits in operating expenses.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8" w:name="xdx_847_eus-gaap--ConcentrationRiskCredi"/>
      <w:bookmarkEnd w:id="368"/>
      <w:r>
        <w:rPr>
          <w:rFonts w:ascii="Times New Roman;Times;Serif" w:hAnsi="Times New Roman;Times;Serif"/>
          <w:b/>
          <w:i/>
          <w:caps w:val="false"/>
          <w:smallCaps w:val="false"/>
          <w:sz w:val="20"/>
        </w:rPr>
        <w:t>Concentration of Credit Risk and Significant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at several major financial institutions. While the Company attempts to limit credit exposure with any single institution, balances often exceed insurable amounts. As of June 30, 2024 and December 31, 2023, the Company had deposits of $</w:t>
      </w:r>
      <w:bookmarkStart w:id="369" w:name="xdx_908_eus-gaap--CashUninsuredAmount_iI"/>
      <w:bookmarkEnd w:id="369"/>
      <w:r>
        <w:rPr>
          <w:rFonts w:ascii="Times New Roman;Times;Serif" w:hAnsi="Times New Roman;Times;Serif"/>
          <w:b w:val="false"/>
          <w:i w:val="false"/>
          <w:caps w:val="false"/>
          <w:smallCaps w:val="false"/>
          <w:sz w:val="20"/>
        </w:rPr>
        <w:t>14,751,948 and $</w:t>
      </w:r>
      <w:bookmarkStart w:id="370" w:name="xdx_903_eus-gaap--CashUninsuredAmount_iI"/>
      <w:bookmarkEnd w:id="370"/>
      <w:r>
        <w:rPr>
          <w:rFonts w:ascii="Times New Roman;Times;Serif" w:hAnsi="Times New Roman;Times;Serif"/>
          <w:b w:val="false"/>
          <w:i w:val="false"/>
          <w:caps w:val="false"/>
          <w:smallCaps w:val="false"/>
          <w:sz w:val="20"/>
        </w:rPr>
        <w:t>14,716,652, respectively, that were not insured by the Federal Deposit Insurance Corporation and are included in the cash and cash equivalents, and restricted cash and cash equivalents,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four customers as of June 30, 2024 and December 31, 2023, who accounted for approximately </w:t>
      </w:r>
      <w:bookmarkStart w:id="371" w:name="xdx_90A_eus-gaap--ConcentrationRiskPerce"/>
      <w:bookmarkEnd w:id="371"/>
      <w:r>
        <w:rPr>
          <w:rFonts w:ascii="Times New Roman;Times;Serif" w:hAnsi="Times New Roman;Times;Serif"/>
          <w:b w:val="false"/>
          <w:i w:val="false"/>
          <w:caps w:val="false"/>
          <w:smallCaps w:val="false"/>
          <w:sz w:val="20"/>
        </w:rPr>
        <w:t xml:space="preserve">86% and </w:t>
      </w:r>
      <w:bookmarkStart w:id="372" w:name="xdx_908_eus-gaap--ConcentrationRiskPerce"/>
      <w:bookmarkEnd w:id="372"/>
      <w:r>
        <w:rPr>
          <w:rFonts w:ascii="Times New Roman;Times;Serif" w:hAnsi="Times New Roman;Times;Serif"/>
          <w:b w:val="false"/>
          <w:i w:val="false"/>
          <w:caps w:val="false"/>
          <w:smallCaps w:val="false"/>
          <w:sz w:val="20"/>
        </w:rPr>
        <w:t xml:space="preserve">95% of consolidated gross receivables, respectively. Among four customers as of June 30, 2024 and December 31, 2023, each customer accounted for </w:t>
      </w:r>
      <w:bookmarkStart w:id="373" w:name="xdx_900_eus-gaap--ConcentrationRiskPerce"/>
      <w:bookmarkEnd w:id="373"/>
      <w:r>
        <w:rPr>
          <w:rFonts w:ascii="Times New Roman;Times;Serif" w:hAnsi="Times New Roman;Times;Serif"/>
          <w:b w:val="false"/>
          <w:i w:val="false"/>
          <w:caps w:val="false"/>
          <w:smallCaps w:val="false"/>
          <w:sz w:val="20"/>
        </w:rPr>
        <w:t xml:space="preserve">36%, </w:t>
      </w:r>
      <w:bookmarkStart w:id="374" w:name="xdx_905_eus-gaap--ConcentrationRiskPerce"/>
      <w:bookmarkEnd w:id="374"/>
      <w:r>
        <w:rPr>
          <w:rFonts w:ascii="Times New Roman;Times;Serif" w:hAnsi="Times New Roman;Times;Serif"/>
          <w:b w:val="false"/>
          <w:i w:val="false"/>
          <w:caps w:val="false"/>
          <w:smallCaps w:val="false"/>
          <w:sz w:val="20"/>
        </w:rPr>
        <w:t xml:space="preserve">23%, </w:t>
      </w:r>
      <w:bookmarkStart w:id="375" w:name="xdx_908_eus-gaap--ConcentrationRiskPerce"/>
      <w:bookmarkEnd w:id="375"/>
      <w:r>
        <w:rPr>
          <w:rFonts w:ascii="Times New Roman;Times;Serif" w:hAnsi="Times New Roman;Times;Serif"/>
          <w:b w:val="false"/>
          <w:i w:val="false"/>
          <w:caps w:val="false"/>
          <w:smallCaps w:val="false"/>
          <w:sz w:val="20"/>
        </w:rPr>
        <w:t xml:space="preserve">15% and </w:t>
      </w:r>
      <w:bookmarkStart w:id="376" w:name="xdx_902_eus-gaap--ConcentrationRiskPerce"/>
      <w:bookmarkEnd w:id="376"/>
      <w:r>
        <w:rPr>
          <w:rFonts w:ascii="Times New Roman;Times;Serif" w:hAnsi="Times New Roman;Times;Serif"/>
          <w:b w:val="false"/>
          <w:i w:val="false"/>
          <w:caps w:val="false"/>
          <w:smallCaps w:val="false"/>
          <w:sz w:val="20"/>
        </w:rPr>
        <w:t xml:space="preserve">12% as of June 30, 2024, and </w:t>
      </w:r>
      <w:bookmarkStart w:id="377" w:name="xdx_908_eus-gaap--ConcentrationRiskPerce"/>
      <w:bookmarkEnd w:id="377"/>
      <w:r>
        <w:rPr>
          <w:rFonts w:ascii="Times New Roman;Times;Serif" w:hAnsi="Times New Roman;Times;Serif"/>
          <w:b w:val="false"/>
          <w:i w:val="false"/>
          <w:caps w:val="false"/>
          <w:smallCaps w:val="false"/>
          <w:sz w:val="20"/>
        </w:rPr>
        <w:t xml:space="preserve">43%, </w:t>
      </w:r>
      <w:bookmarkStart w:id="378" w:name="xdx_901_eus-gaap--ConcentrationRiskPerce"/>
      <w:bookmarkEnd w:id="378"/>
      <w:r>
        <w:rPr>
          <w:rFonts w:ascii="Times New Roman;Times;Serif" w:hAnsi="Times New Roman;Times;Serif"/>
          <w:b w:val="false"/>
          <w:i w:val="false"/>
          <w:caps w:val="false"/>
          <w:smallCaps w:val="false"/>
          <w:sz w:val="20"/>
        </w:rPr>
        <w:t xml:space="preserve">20%, </w:t>
      </w:r>
      <w:bookmarkStart w:id="379" w:name="xdx_905_eus-gaap--ConcentrationRiskPerce"/>
      <w:bookmarkEnd w:id="379"/>
      <w:r>
        <w:rPr>
          <w:rFonts w:ascii="Times New Roman;Times;Serif" w:hAnsi="Times New Roman;Times;Serif"/>
          <w:b w:val="false"/>
          <w:i w:val="false"/>
          <w:caps w:val="false"/>
          <w:smallCaps w:val="false"/>
          <w:sz w:val="20"/>
        </w:rPr>
        <w:t xml:space="preserve">16% and </w:t>
      </w:r>
      <w:bookmarkStart w:id="380" w:name="xdx_905_eus-gaap--ConcentrationRiskPerce"/>
      <w:bookmarkEnd w:id="380"/>
      <w:r>
        <w:rPr>
          <w:rFonts w:ascii="Times New Roman;Times;Serif" w:hAnsi="Times New Roman;Times;Serif"/>
          <w:b w:val="false"/>
          <w:i w:val="false"/>
          <w:caps w:val="false"/>
          <w:smallCaps w:val="false"/>
          <w:sz w:val="20"/>
        </w:rPr>
        <w:t xml:space="preserve">16% as of December 31, 2023 of the consolidated gross receivables outstanding. The Company had four customers in the three months ended June 30, 2024, and three customers in the three months ended June 30, 2023, that accounted for </w:t>
      </w:r>
      <w:bookmarkStart w:id="381" w:name="xdx_90B_eus-gaap--ConcentrationRiskPerce"/>
      <w:bookmarkEnd w:id="381"/>
      <w:r>
        <w:rPr>
          <w:rFonts w:ascii="Times New Roman;Times;Serif" w:hAnsi="Times New Roman;Times;Serif"/>
          <w:b w:val="false"/>
          <w:i w:val="false"/>
          <w:caps w:val="false"/>
          <w:smallCaps w:val="false"/>
          <w:sz w:val="20"/>
        </w:rPr>
        <w:t xml:space="preserve">53%, </w:t>
      </w:r>
      <w:bookmarkStart w:id="382" w:name="xdx_900_eus-gaap--ConcentrationRiskPerce"/>
      <w:bookmarkEnd w:id="382"/>
      <w:r>
        <w:rPr>
          <w:rFonts w:ascii="Times New Roman;Times;Serif" w:hAnsi="Times New Roman;Times;Serif"/>
          <w:b w:val="false"/>
          <w:i w:val="false"/>
          <w:caps w:val="false"/>
          <w:smallCaps w:val="false"/>
          <w:sz w:val="20"/>
        </w:rPr>
        <w:t xml:space="preserve">14%, </w:t>
      </w:r>
      <w:bookmarkStart w:id="383" w:name="xdx_903_eus-gaap--ConcentrationRiskPerce"/>
      <w:bookmarkEnd w:id="383"/>
      <w:r>
        <w:rPr>
          <w:rFonts w:ascii="Times New Roman;Times;Serif" w:hAnsi="Times New Roman;Times;Serif"/>
          <w:b w:val="false"/>
          <w:i w:val="false"/>
          <w:caps w:val="false"/>
          <w:smallCaps w:val="false"/>
          <w:sz w:val="20"/>
        </w:rPr>
        <w:t xml:space="preserve">13% and </w:t>
      </w:r>
      <w:bookmarkStart w:id="384" w:name="xdx_908_eus-gaap--ConcentrationRiskPerce"/>
      <w:bookmarkEnd w:id="384"/>
      <w:r>
        <w:rPr>
          <w:rFonts w:ascii="Times New Roman;Times;Serif" w:hAnsi="Times New Roman;Times;Serif"/>
          <w:b w:val="false"/>
          <w:i w:val="false"/>
          <w:caps w:val="false"/>
          <w:smallCaps w:val="false"/>
          <w:sz w:val="20"/>
        </w:rPr>
        <w:t xml:space="preserve">10%, and </w:t>
      </w:r>
      <w:bookmarkStart w:id="385" w:name="xdx_902_eus-gaap--ConcentrationRiskPerce"/>
      <w:bookmarkEnd w:id="385"/>
      <w:r>
        <w:rPr>
          <w:rFonts w:ascii="Times New Roman;Times;Serif" w:hAnsi="Times New Roman;Times;Serif"/>
          <w:b w:val="false"/>
          <w:i w:val="false"/>
          <w:caps w:val="false"/>
          <w:smallCaps w:val="false"/>
          <w:sz w:val="20"/>
        </w:rPr>
        <w:t xml:space="preserve">32%, </w:t>
      </w:r>
      <w:bookmarkStart w:id="386" w:name="xdx_90F_eus-gaap--ConcentrationRiskPerce"/>
      <w:bookmarkEnd w:id="386"/>
      <w:r>
        <w:rPr>
          <w:rFonts w:ascii="Times New Roman;Times;Serif" w:hAnsi="Times New Roman;Times;Serif"/>
          <w:b w:val="false"/>
          <w:i w:val="false"/>
          <w:caps w:val="false"/>
          <w:smallCaps w:val="false"/>
          <w:sz w:val="20"/>
        </w:rPr>
        <w:t xml:space="preserve">12% and </w:t>
      </w:r>
      <w:bookmarkStart w:id="387" w:name="xdx_907_eus-gaap--ConcentrationRiskPerce"/>
      <w:bookmarkEnd w:id="387"/>
      <w:r>
        <w:rPr>
          <w:rFonts w:ascii="Times New Roman;Times;Serif" w:hAnsi="Times New Roman;Times;Serif"/>
          <w:b w:val="false"/>
          <w:i w:val="false"/>
          <w:caps w:val="false"/>
          <w:smallCaps w:val="false"/>
          <w:sz w:val="20"/>
        </w:rPr>
        <w:t xml:space="preserve">10% of the Company’s net revenue, respectively. The Company had four customers in the six months ended June 30, 2024, and three customers in the six months ended June 30, 2023, that accounted for </w:t>
      </w:r>
      <w:bookmarkStart w:id="388" w:name="xdx_90E_eus-gaap--ConcentrationRiskPerce"/>
      <w:bookmarkEnd w:id="388"/>
      <w:r>
        <w:rPr>
          <w:rFonts w:ascii="Times New Roman;Times;Serif" w:hAnsi="Times New Roman;Times;Serif"/>
          <w:b w:val="false"/>
          <w:i w:val="false"/>
          <w:caps w:val="false"/>
          <w:smallCaps w:val="false"/>
          <w:sz w:val="20"/>
        </w:rPr>
        <w:t xml:space="preserve">47%, </w:t>
      </w:r>
      <w:bookmarkStart w:id="389" w:name="xdx_908_eus-gaap--ConcentrationRiskPerce"/>
      <w:bookmarkEnd w:id="389"/>
      <w:r>
        <w:rPr>
          <w:rFonts w:ascii="Times New Roman;Times;Serif" w:hAnsi="Times New Roman;Times;Serif"/>
          <w:b w:val="false"/>
          <w:i w:val="false"/>
          <w:caps w:val="false"/>
          <w:smallCaps w:val="false"/>
          <w:sz w:val="20"/>
        </w:rPr>
        <w:t xml:space="preserve">14%, </w:t>
      </w:r>
      <w:bookmarkStart w:id="390" w:name="xdx_90A_eus-gaap--ConcentrationRiskPerce"/>
      <w:bookmarkEnd w:id="390"/>
      <w:r>
        <w:rPr>
          <w:rFonts w:ascii="Times New Roman;Times;Serif" w:hAnsi="Times New Roman;Times;Serif"/>
          <w:b w:val="false"/>
          <w:i w:val="false"/>
          <w:caps w:val="false"/>
          <w:smallCaps w:val="false"/>
          <w:sz w:val="20"/>
        </w:rPr>
        <w:t xml:space="preserve">13% and </w:t>
      </w:r>
      <w:bookmarkStart w:id="391" w:name="xdx_907_eus-gaap--ConcentrationRiskPerce"/>
      <w:bookmarkEnd w:id="391"/>
      <w:r>
        <w:rPr>
          <w:rFonts w:ascii="Times New Roman;Times;Serif" w:hAnsi="Times New Roman;Times;Serif"/>
          <w:b w:val="false"/>
          <w:i w:val="false"/>
          <w:caps w:val="false"/>
          <w:smallCaps w:val="false"/>
          <w:sz w:val="20"/>
        </w:rPr>
        <w:t xml:space="preserve">10%, and </w:t>
      </w:r>
      <w:bookmarkStart w:id="392" w:name="xdx_90E_eus-gaap--ConcentrationRiskPerce"/>
      <w:bookmarkEnd w:id="392"/>
      <w:r>
        <w:rPr>
          <w:rFonts w:ascii="Times New Roman;Times;Serif" w:hAnsi="Times New Roman;Times;Serif"/>
          <w:b w:val="false"/>
          <w:i w:val="false"/>
          <w:caps w:val="false"/>
          <w:smallCaps w:val="false"/>
          <w:sz w:val="20"/>
        </w:rPr>
        <w:t xml:space="preserve">34%, </w:t>
      </w:r>
      <w:bookmarkStart w:id="393" w:name="xdx_906_eus-gaap--ConcentrationRiskPerce"/>
      <w:bookmarkEnd w:id="393"/>
      <w:r>
        <w:rPr>
          <w:rFonts w:ascii="Times New Roman;Times;Serif" w:hAnsi="Times New Roman;Times;Serif"/>
          <w:b w:val="false"/>
          <w:i w:val="false"/>
          <w:caps w:val="false"/>
          <w:smallCaps w:val="false"/>
          <w:sz w:val="20"/>
        </w:rPr>
        <w:t xml:space="preserve">15% and </w:t>
      </w:r>
      <w:bookmarkStart w:id="394" w:name="xdx_90F_eus-gaap--ConcentrationRiskPerce"/>
      <w:bookmarkEnd w:id="394"/>
      <w:r>
        <w:rPr>
          <w:rFonts w:ascii="Times New Roman;Times;Serif" w:hAnsi="Times New Roman;Times;Serif"/>
          <w:b w:val="false"/>
          <w:i w:val="false"/>
          <w:caps w:val="false"/>
          <w:smallCaps w:val="false"/>
          <w:sz w:val="20"/>
        </w:rPr>
        <w:t>10% of the Company’s net revenue, respectively. The loss of these customers or declines in the forecasts of their accounts receivable collectability would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and December 31, 2023, the Company had one vendor who accounted for approximately </w:t>
      </w:r>
      <w:bookmarkStart w:id="395" w:name="xdx_905_eus-gaap--ConcentrationRiskPerce"/>
      <w:bookmarkEnd w:id="395"/>
      <w:r>
        <w:rPr>
          <w:rFonts w:ascii="Times New Roman;Times;Serif" w:hAnsi="Times New Roman;Times;Serif"/>
          <w:b w:val="false"/>
          <w:i w:val="false"/>
          <w:caps w:val="false"/>
          <w:smallCaps w:val="false"/>
          <w:sz w:val="20"/>
        </w:rPr>
        <w:t xml:space="preserve">61% and one vendor who accounted for approximately </w:t>
      </w:r>
      <w:bookmarkStart w:id="396" w:name="xdx_90E_eus-gaap--ConcentrationRiskPerce"/>
      <w:bookmarkEnd w:id="396"/>
      <w:r>
        <w:rPr>
          <w:rFonts w:ascii="Times New Roman;Times;Serif" w:hAnsi="Times New Roman;Times;Serif"/>
          <w:b w:val="false"/>
          <w:i w:val="false"/>
          <w:caps w:val="false"/>
          <w:smallCaps w:val="false"/>
          <w:sz w:val="20"/>
        </w:rPr>
        <w:t>69% of consolidated gross payables, respectively. The loss of this vendor could have a significant impact on the Company’s financial performance and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vendor, SDE, a related party, that accounted for </w:t>
      </w:r>
      <w:bookmarkStart w:id="397" w:name="xdx_904_eus-gaap--ConcentrationRiskPerce"/>
      <w:bookmarkEnd w:id="397"/>
      <w:r>
        <w:rPr>
          <w:rFonts w:ascii="Times New Roman;Times;Serif" w:hAnsi="Times New Roman;Times;Serif"/>
          <w:b w:val="false"/>
          <w:i w:val="false"/>
          <w:caps w:val="false"/>
          <w:smallCaps w:val="false"/>
          <w:sz w:val="20"/>
        </w:rPr>
        <w:t xml:space="preserve">50% and </w:t>
      </w:r>
      <w:bookmarkStart w:id="398" w:name="xdx_906_eus-gaap--ConcentrationRiskPerce"/>
      <w:bookmarkEnd w:id="398"/>
      <w:r>
        <w:rPr>
          <w:rFonts w:ascii="Times New Roman;Times;Serif" w:hAnsi="Times New Roman;Times;Serif"/>
          <w:b w:val="false"/>
          <w:i w:val="false"/>
          <w:caps w:val="false"/>
          <w:smallCaps w:val="false"/>
          <w:sz w:val="20"/>
        </w:rPr>
        <w:t xml:space="preserve">44% of the Company’s combined cost of revenues and operating expenses during the three months ended June 30, 2024 and 2023, respectively. Amounts payable to SDE are included in accounts payable - related parties in the condensed consolidated balance sheets as of June 30, 2024 and December 31, 2023. SDE accounted for </w:t>
      </w:r>
      <w:bookmarkStart w:id="399" w:name="xdx_903_eus-gaap--ConcentrationRiskPerce"/>
      <w:bookmarkEnd w:id="399"/>
      <w:r>
        <w:rPr>
          <w:rFonts w:ascii="Times New Roman;Times;Serif" w:hAnsi="Times New Roman;Times;Serif"/>
          <w:b w:val="false"/>
          <w:i w:val="false"/>
          <w:caps w:val="false"/>
          <w:smallCaps w:val="false"/>
          <w:sz w:val="20"/>
        </w:rPr>
        <w:t xml:space="preserve">57% and </w:t>
      </w:r>
      <w:bookmarkStart w:id="400" w:name="xdx_904_eus-gaap--ConcentrationRiskPerce"/>
      <w:bookmarkEnd w:id="400"/>
      <w:r>
        <w:rPr>
          <w:rFonts w:ascii="Times New Roman;Times;Serif" w:hAnsi="Times New Roman;Times;Serif"/>
          <w:b w:val="false"/>
          <w:i w:val="false"/>
          <w:caps w:val="false"/>
          <w:smallCaps w:val="false"/>
          <w:sz w:val="20"/>
        </w:rPr>
        <w:t>52% of the Company’s combined cost of revenues and operating expenses during the six months ended June 30, 2024 and 2023, respectively. The loss of SDE as a vendor would significantly and adversely affect the Company’s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1" w:name="xdx_844_eus-gaap--NewAccountingPronounce"/>
      <w:bookmarkEnd w:id="401"/>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the FASB issued ASU 2020-06, </w:t>
      </w:r>
      <w:r>
        <w:rPr>
          <w:rFonts w:ascii="Times New Roman;Times;Serif" w:hAnsi="Times New Roman;Times;Serif"/>
          <w:b w:val="false"/>
          <w:i/>
          <w:caps w:val="false"/>
          <w:smallCaps w:val="false"/>
          <w:sz w:val="20"/>
        </w:rPr>
        <w:t>Contracts in Entity’s Own Equity (Subtopic 815-40) – Accounting for Convertible Instruments and Contracts in an Entity’s Own Equity</w:t>
      </w:r>
      <w:r>
        <w:rPr>
          <w:rFonts w:ascii="Times New Roman;Times;Serif" w:hAnsi="Times New Roman;Times;Serif"/>
          <w:b w:val="false"/>
          <w:i w:val="false"/>
          <w:caps w:val="false"/>
          <w:smallCaps w:val="false"/>
          <w:sz w:val="20"/>
        </w:rPr>
        <w:t>, to simplify the application of GAAP for certain financial instruments with characteristics of liabilities and equity. The FASB decided to eliminate certain accounting models to simplify the accounting for convertible instruments, reduce complexity for preparers and practitioners, and improve the decision usefulness and relevance of the information provided to financial statement users. The FASB also amended the guidance for derivatives scope exception for contracts in an entity’s own equity to reduce form-over-substance-based accounting conclusion and amended the related earnings per share guidance. The Company has adopted this standard on January 1, 2024 and it did not have a material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2" w:name="xdx_868_zT0UAh08IZbl"/>
      <w:bookmarkStart w:id="403" w:name="xdx_842_ecustom--RecentlyIssuedAccountin"/>
      <w:bookmarkEnd w:id="402"/>
      <w:bookmarkEnd w:id="403"/>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the FASB issued ASU 2023-06, </w:t>
      </w:r>
      <w:r>
        <w:rPr>
          <w:rFonts w:ascii="Times New Roman;Times;Serif" w:hAnsi="Times New Roman;Times;Serif"/>
          <w:b w:val="false"/>
          <w:i/>
          <w:caps w:val="false"/>
          <w:smallCaps w:val="false"/>
          <w:sz w:val="20"/>
        </w:rPr>
        <w:t xml:space="preserve">Codification Amendments in Response to the SEC’s Disclosure Update and Simplification Initiative, </w:t>
      </w:r>
      <w:r>
        <w:rPr>
          <w:rFonts w:ascii="Times New Roman;Times;Serif" w:hAnsi="Times New Roman;Times;Serif"/>
          <w:b w:val="false"/>
          <w:i w:val="false"/>
          <w:caps w:val="false"/>
          <w:smallCaps w:val="false"/>
          <w:sz w:val="20"/>
        </w:rPr>
        <w:t>to clarify or improve disclosure and presentation requirements of a variety of topics. Certain of the amendments represent clarifications to or technical corrections of the current requirements. Many of the amendments allow users to more easily compare entities subject to the SEC’s existing disclosures with those entities that were not previously subject to the SEC’s requirements. ASU 2023-06 is effective for companies subject to the SEC’s disclosure requirements. The effective date for each amendment will be the date on which the SEC’s removal of that related disclosure from Regulation S-X or Regulation S-K becomes effected. For all other entities the amendments will be effective two years. The Company expects the implementation of this standard to require modification of certain disclosures and we do not expect the standard to have a material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Improvements to Reportable Segment Disclosure (Topic 280),</w:t>
      </w:r>
      <w:r>
        <w:rPr>
          <w:rFonts w:ascii="Times New Roman;Times;Serif" w:hAnsi="Times New Roman;Times;Serif"/>
          <w:b w:val="false"/>
          <w:i w:val="false"/>
          <w:caps w:val="false"/>
          <w:smallCaps w:val="false"/>
          <w:sz w:val="20"/>
        </w:rPr>
        <w:t xml:space="preserve"> to improve financial reporting by requiring disclosure of incremental segment information on an annual and interim basis for all public entities. The update does not change how a public entity identifies its operating segments, aggregates those operating segments, or applied the quantitative thresholds to determine its reportable segments. The amendments in this update are effective for fiscal years beginning after December 15, 2023, and interim periods beginning after December 15, 2024.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FASB issued ASU 2024-02,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xml:space="preserve"> to amend a variety of topics in the accounting codification by removing references to various FASB concept statements. This accounting standard is effective for fiscal years beginning after December 15, 2024, and early adoption is permitted. The Company is evaluating the impact of adopting the new standard.</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4" w:name="xdx_84D_ecustom--EmployeeSavingPlansPoli"/>
      <w:bookmarkEnd w:id="404"/>
      <w:r>
        <w:rPr>
          <w:rFonts w:ascii="Times New Roman;Times;Serif" w:hAnsi="Times New Roman;Times;Serif"/>
          <w:b/>
          <w:i/>
          <w:caps w:val="false"/>
          <w:smallCaps w:val="false"/>
          <w:sz w:val="20"/>
        </w:rPr>
        <w:t>Employee Savings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for its United States based employees. The plan is offered to all eligible employees to make voluntary contributions. Employer contributions to the plan are reported under general and administrative costs in the amounts of $</w:t>
      </w:r>
      <w:bookmarkStart w:id="405" w:name="xdx_90A_eus-gaap--DefinedBenefitPlanCont"/>
      <w:bookmarkEnd w:id="405"/>
      <w:r>
        <w:rPr>
          <w:rFonts w:ascii="Times New Roman;Times;Serif" w:hAnsi="Times New Roman;Times;Serif"/>
          <w:b w:val="false"/>
          <w:i w:val="false"/>
          <w:caps w:val="false"/>
          <w:smallCaps w:val="false"/>
          <w:sz w:val="20"/>
        </w:rPr>
        <w:t>24,982 and $</w:t>
      </w:r>
      <w:bookmarkStart w:id="406" w:name="xdx_906_eus-gaap--DefinedBenefitPlanCont"/>
      <w:bookmarkEnd w:id="406"/>
      <w:r>
        <w:rPr>
          <w:rFonts w:ascii="Times New Roman;Times;Serif" w:hAnsi="Times New Roman;Times;Serif"/>
          <w:b w:val="false"/>
          <w:i w:val="false"/>
          <w:caps w:val="false"/>
          <w:smallCaps w:val="false"/>
          <w:sz w:val="20"/>
        </w:rPr>
        <w:t>24,769 for the three months ended June 30, 2024 and 2023, respectively and $</w:t>
      </w:r>
      <w:bookmarkStart w:id="407" w:name="xdx_901_eus-gaap--DefinedBenefitPlanCont"/>
      <w:bookmarkEnd w:id="407"/>
      <w:r>
        <w:rPr>
          <w:rFonts w:ascii="Times New Roman;Times;Serif" w:hAnsi="Times New Roman;Times;Serif"/>
          <w:b w:val="false"/>
          <w:i w:val="false"/>
          <w:caps w:val="false"/>
          <w:smallCaps w:val="false"/>
          <w:sz w:val="20"/>
        </w:rPr>
        <w:t>49,256 and $</w:t>
      </w:r>
      <w:bookmarkStart w:id="408" w:name="xdx_909_eus-gaap--DefinedBenefitPlanCont"/>
      <w:bookmarkEnd w:id="408"/>
      <w:r>
        <w:rPr>
          <w:rFonts w:ascii="Times New Roman;Times;Serif" w:hAnsi="Times New Roman;Times;Serif"/>
          <w:b w:val="false"/>
          <w:i w:val="false"/>
          <w:caps w:val="false"/>
          <w:smallCaps w:val="false"/>
          <w:sz w:val="20"/>
        </w:rPr>
        <w:t>51,388 for the six months ended June 30,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9" w:name="xdx_84A_eus-gaap--CompensationRelatedCos"/>
      <w:bookmarkEnd w:id="409"/>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did not issue any restricted stock units (“Restricted Stock Units” or “restricted stock units”) during the three and six months ended June 30, 2024, and 2023. The fair value of Restricted Stock Units is determined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w:t>
      </w:r>
      <w:bookmarkStart w:id="410" w:name="xdx_903_eus-gaap--ShareBasedCompensation"/>
      <w:bookmarkEnd w:id="410"/>
      <w:r>
        <w:rPr>
          <w:rFonts w:ascii="Times New Roman;Times;Serif" w:hAnsi="Times New Roman;Times;Serif"/>
          <w:b w:val="false"/>
          <w:i w:val="false"/>
          <w:caps w:val="false"/>
          <w:smallCaps w:val="false"/>
          <w:sz w:val="20"/>
        </w:rPr>
        <w:t xml:space="preserve">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w:t>
      </w:r>
      <w:bookmarkStart w:id="411" w:name="xdx_907_eus-gaap--CommonStockCapitalShar"/>
      <w:bookmarkEnd w:id="411"/>
      <w:r>
        <w:rPr>
          <w:rFonts w:ascii="Times New Roman;Times;Serif" w:hAnsi="Times New Roman;Times;Serif"/>
          <w:b w:val="false"/>
          <w:i w:val="false"/>
          <w:caps w:val="false"/>
          <w:smallCaps w:val="false"/>
          <w:sz w:val="20"/>
        </w:rPr>
        <w:t xml:space="preserve">5,718,000 shares, (b) </w:t>
      </w:r>
      <w:bookmarkStart w:id="412" w:name="xdx_90B_ecustom--ShareBasedCompensationA"/>
      <w:bookmarkEnd w:id="412"/>
      <w:r>
        <w:rPr>
          <w:rFonts w:ascii="Times New Roman;Times;Serif" w:hAnsi="Times New Roman;Times;Serif"/>
          <w:b w:val="false"/>
          <w:i w:val="false"/>
          <w:caps w:val="false"/>
          <w:smallCaps w:val="false"/>
          <w:sz w:val="20"/>
        </w:rPr>
        <w:t xml:space="preserve">1% of the shares of the Company’s Class B common stock outstanding (on a fully diluted basis) on the final day of the immediately preceding calendar year or (c) such smaller number of shares as determined by the Company’s board of directors. As of June 30, 2024 there were </w:t>
      </w:r>
      <w:bookmarkStart w:id="413" w:name="xdx_907_eus-gaap--CommonStockCapitalShar"/>
      <w:bookmarkEnd w:id="413"/>
      <w:r>
        <w:rPr>
          <w:rFonts w:ascii="Times New Roman;Times;Serif" w:hAnsi="Times New Roman;Times;Serif"/>
          <w:b w:val="false"/>
          <w:i w:val="false"/>
          <w:caps w:val="false"/>
          <w:smallCaps w:val="false"/>
          <w:sz w:val="20"/>
        </w:rPr>
        <w:t>4,496,472 shares reserved for issuance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4" w:name="xdx_847_ecustom--RestrictedStockUnitsPol"/>
      <w:bookmarkEnd w:id="414"/>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5" w:name="xdx_847_ecustom--WarrantsPolicyTextBlock"/>
      <w:bookmarkEnd w:id="415"/>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IPO, offering costs related to legal, accounting, and underwriting costs were net with the proceeds and recorded as a reduction in additional paid in capital, in the stockholders’ equity section of the consolidated balance sheets. The Company also issued Underwriters Warrants (as defined below) for services provided during the IPO to purchase </w:t>
      </w:r>
      <w:bookmarkStart w:id="416" w:name="xdx_905_eus-gaap--ClassOfWarrantOrRightN"/>
      <w:bookmarkEnd w:id="416"/>
      <w:r>
        <w:rPr>
          <w:rFonts w:ascii="Times New Roman;Times;Serif" w:hAnsi="Times New Roman;Times;Serif"/>
          <w:b w:val="false"/>
          <w:i w:val="false"/>
          <w:caps w:val="false"/>
          <w:smallCaps w:val="false"/>
          <w:sz w:val="20"/>
        </w:rPr>
        <w:t>120,000 shares of Class A common stock. The Underwriters Warrants are accounted for as equity instruments and are included in the stockholders’ equity section of the condensed consolidated balance sheets. The fair value of the Underwriters Warrants has been estimated using the Black-Scholes option pricing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warrants in connection with its convertible debt for the purchase of </w:t>
      </w:r>
      <w:bookmarkStart w:id="417" w:name="xdx_90D_eus-gaap--DebtConversionConverte"/>
      <w:bookmarkEnd w:id="417"/>
      <w:r>
        <w:rPr>
          <w:rFonts w:ascii="Times New Roman;Times;Serif" w:hAnsi="Times New Roman;Times;Serif"/>
          <w:b w:val="false"/>
          <w:i w:val="false"/>
          <w:caps w:val="false"/>
          <w:smallCaps w:val="false"/>
          <w:sz w:val="20"/>
        </w:rPr>
        <w:t>714,285 shares (the “Convertible Note Warrants”). The Convertible Note Warrants are accounted for as a liability and are included in the accrued expenses and other liabilities in the condensed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The fair value of the Convertible Note Warrants has been estimated using the Monte-Carlo pricing model. For more information regarding convertible notes and related warrants see Note 16 -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a warrant to an investor (the “Equity Line Warrant”) for the purchase of </w:t>
      </w:r>
      <w:bookmarkStart w:id="418" w:name="xdx_90E_eus-gaap--ClassOfWarrantOrRightN"/>
      <w:bookmarkEnd w:id="418"/>
      <w:r>
        <w:rPr>
          <w:rFonts w:ascii="Times New Roman;Times;Serif" w:hAnsi="Times New Roman;Times;Serif"/>
          <w:b w:val="false"/>
          <w:i w:val="false"/>
          <w:caps w:val="false"/>
          <w:smallCaps w:val="false"/>
          <w:sz w:val="20"/>
        </w:rPr>
        <w:t>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The fair value of the Equity Line Warrants has been estimated using the Monte-Carlo pricing model using level 3 inputs. The most significant of the inputs used are the underlying stock price, the exercise price, the contractual term, volatility and the risk-free rate. For more information regarding equity line and related warrants see Note 16 – </w:t>
      </w:r>
      <w:r>
        <w:rPr>
          <w:rFonts w:ascii="Times New Roman;Times;Serif" w:hAnsi="Times New Roman;Times;Serif"/>
          <w:b w:val="false"/>
          <w:i/>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9" w:name="xdx_84A_eus-gaap--RepurchaseAgreementsCo"/>
      <w:bookmarkEnd w:id="419"/>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the Company’s board of directors authorized a share repurchase program under which the Company may repurchase up to $</w:t>
      </w:r>
      <w:bookmarkStart w:id="420" w:name="xdx_909_esrt--StockRepurchaseProgramAuth"/>
      <w:bookmarkEnd w:id="420"/>
      <w:r>
        <w:rPr>
          <w:rFonts w:ascii="Times New Roman;Times;Serif" w:hAnsi="Times New Roman;Times;Serif"/>
          <w:b w:val="false"/>
          <w:i w:val="false"/>
          <w:caps w:val="false"/>
          <w:smallCaps w:val="false"/>
          <w:sz w:val="20"/>
        </w:rPr>
        <w:t xml:space="preserve">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w:t>
      </w:r>
      <w:bookmarkStart w:id="421" w:name="xdx_907_eus-gaap--StockIssuedDuringPerio"/>
      <w:bookmarkStart w:id="422" w:name="xdx_900_eus-gaap--StockIssuedDuringPerio"/>
      <w:bookmarkStart w:id="423" w:name="xdx_908_eus-gaap--StockIssuedDuringPerio"/>
      <w:bookmarkStart w:id="424" w:name="xdx_901_eus-gaap--StockIssuedDuringPerio"/>
      <w:bookmarkEnd w:id="421"/>
      <w:bookmarkEnd w:id="422"/>
      <w:bookmarkEnd w:id="423"/>
      <w:bookmarkEnd w:id="424"/>
      <w:r>
        <w:rPr>
          <w:rFonts w:ascii="Times New Roman;Times;Serif" w:hAnsi="Times New Roman;Times;Serif"/>
          <w:b w:val="false"/>
          <w:i w:val="false"/>
          <w:caps w:val="false"/>
          <w:smallCaps w:val="false"/>
          <w:sz w:val="20"/>
        </w:rPr>
        <w:t xml:space="preserve">No treasury stock was sold during the three or six months ended June 30, 2024 and 2023. As of June 30, 2024 and December 31, 2023, </w:t>
      </w:r>
      <w:bookmarkStart w:id="425" w:name="xdx_90B_eus-gaap--TreasuryStockSharesAcq"/>
      <w:bookmarkStart w:id="426" w:name="xdx_903_eus-gaap--TreasuryStockSharesAcq"/>
      <w:bookmarkEnd w:id="425"/>
      <w:bookmarkEnd w:id="426"/>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427" w:name="xdx_907_eus-gaap--TreasuryStockValueAcqu"/>
      <w:bookmarkEnd w:id="427"/>
      <w:r>
        <w:rPr>
          <w:rFonts w:ascii="Times New Roman;Times;Serif" w:hAnsi="Times New Roman;Times;Serif"/>
          <w:b w:val="false"/>
          <w:i w:val="false"/>
          <w:caps w:val="false"/>
          <w:smallCaps w:val="false"/>
          <w:sz w:val="20"/>
        </w:rPr>
        <w:t>3.7 million. The average price paid per share was $</w:t>
      </w:r>
      <w:bookmarkStart w:id="428" w:name="xdx_90C_eus-gaap--TreasuryStockAcquiredA"/>
      <w:bookmarkEnd w:id="428"/>
      <w:r>
        <w:rPr>
          <w:rFonts w:ascii="Times New Roman;Times;Serif" w:hAnsi="Times New Roman;Times;Serif"/>
          <w:b w:val="false"/>
          <w:i w:val="false"/>
          <w:caps w:val="false"/>
          <w:smallCaps w:val="false"/>
          <w:sz w:val="20"/>
        </w:rPr>
        <w:t>2.72 and approximately $</w:t>
      </w:r>
      <w:bookmarkStart w:id="429" w:name="xdx_90D_eus-gaap--StockRepurchaseProgram"/>
      <w:bookmarkEnd w:id="429"/>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0" w:name="xdx_866_zWeALUnxIUy2"/>
      <w:bookmarkStart w:id="431" w:name="xdx_843_eus-gaap--EarningsPerSharePolicy"/>
      <w:bookmarkEnd w:id="430"/>
      <w:bookmarkEnd w:id="431"/>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(“EPS”) is calculated by dividing the net income (loss) that is applicable to the common stockholders for the period by the weighted average number of shares of common stock during that period. The diluted EPS for the period is calculated by dividing the net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 with differing voting rights, and as such, reports EPS using the dual class method. For more information see Note 15 –</w:t>
      </w:r>
      <w:r>
        <w:rPr>
          <w:rFonts w:ascii="Times New Roman;Times;Serif" w:hAnsi="Times New Roman;Times;Serif"/>
          <w:b w:val="false"/>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2" w:name="xdx_841_eus-gaap--PolicyholdersDividendP"/>
      <w:bookmarkEnd w:id="432"/>
      <w:r>
        <w:rPr>
          <w:rFonts w:ascii="Times New Roman;Times;Serif" w:hAnsi="Times New Roman;Times;Serif"/>
          <w:b/>
          <w:i/>
          <w:caps w:val="false"/>
          <w:smallCaps w:val="false"/>
          <w:sz w:val="20"/>
        </w:rPr>
        <w:t>Dividend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cash dividends is currently restricted by the terms of our credit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3" w:name="xdx_80E_eus-gaap--RevenueFromContractWit"/>
      <w:bookmarkEnd w:id="433"/>
      <w:r>
        <w:rPr>
          <w:rFonts w:ascii="Times New Roman;Times;Serif" w:hAnsi="Times New Roman;Times;Serif"/>
          <w:b/>
          <w:i w:val="false"/>
          <w:caps w:val="false"/>
          <w:smallCaps w:val="false"/>
          <w:sz w:val="20"/>
        </w:rPr>
        <w:t xml:space="preserve">NOTE 3 – </w:t>
      </w:r>
      <w:bookmarkStart w:id="434" w:name="xdx_82B_zzEB8rMgutJ9"/>
      <w:bookmarkEnd w:id="434"/>
      <w:r>
        <w:rPr>
          <w:rFonts w:ascii="Times New Roman;Times;Serif" w:hAnsi="Times New Roman;Times;Serif"/>
          <w:b/>
          <w:i w:val="false"/>
          <w:caps w:val="false"/>
          <w:smallCaps w:val="false"/>
          <w:sz w:val="20"/>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three and six months ended June 30, 2024 and 2023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5" w:name="xdx_8B7_zgTFBuSXkVU6"/>
      <w:bookmarkStart w:id="436" w:name="xdx_89F_eus-gaap--DisaggregationOfRevenu"/>
      <w:bookmarkEnd w:id="435"/>
      <w:bookmarkEnd w:id="436"/>
      <w:r>
        <w:rPr>
          <w:rFonts w:ascii="Times New Roman;Times;Serif" w:hAnsi="Times New Roman;Times;Serif"/>
          <w:b w:val="false"/>
          <w:i w:val="false"/>
          <w:caps w:val="false"/>
          <w:smallCaps w:val="false"/>
          <w:sz w:val="20"/>
        </w:rPr>
        <w:t>SCHEDULE OF DISAGGREGATION OF REVENUE </w:t>
      </w:r>
    </w:p>
    <w:tbl>
      <w:tblPr>
        <w:tblW w:w="10205" w:type="dxa"/>
        <w:jc w:val="left"/>
        <w:tblInd w:w="0" w:type="dxa"/>
        <w:tblLayout w:type="fixed"/>
        <w:tblCellMar>
          <w:top w:w="0" w:type="dxa"/>
          <w:left w:w="0" w:type="dxa"/>
          <w:bottom w:w="0" w:type="dxa"/>
          <w:right w:w="0" w:type="dxa"/>
        </w:tblCellMar>
      </w:tblPr>
      <w:tblGrid>
        <w:gridCol w:w="4258"/>
        <w:gridCol w:w="60"/>
        <w:gridCol w:w="167"/>
        <w:gridCol w:w="1318"/>
        <w:gridCol w:w="71"/>
        <w:gridCol w:w="71"/>
        <w:gridCol w:w="167"/>
        <w:gridCol w:w="1174"/>
        <w:gridCol w:w="60"/>
        <w:gridCol w:w="60"/>
        <w:gridCol w:w="146"/>
        <w:gridCol w:w="1150"/>
        <w:gridCol w:w="62"/>
        <w:gridCol w:w="62"/>
        <w:gridCol w:w="146"/>
        <w:gridCol w:w="1150"/>
        <w:gridCol w:w="83"/>
      </w:tblGrid>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F_20240401__20240630_zDpzqzJGOGua"/>
            <w:bookmarkEnd w:id="437"/>
          </w:p>
        </w:tc>
        <w:tc>
          <w:tcPr>
            <w:tcW w:w="14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438" w:name="xdx_495_20230401__20230630_zPDy7WY6btu6"/>
            <w:bookmarkEnd w:id="438"/>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9" w:name="xdx_496_20240101__20240630_zyRPjIS37TJf"/>
            <w:bookmarkEnd w:id="439"/>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440" w:name="xdx_495_20230101__20230630_zlcdbTkG3bll"/>
            <w:bookmarkEnd w:id="440"/>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p>
        </w:tc>
      </w:tr>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83" w:type="dxa"/>
            <w:tcBorders/>
            <w:vAlign w:val="center"/>
          </w:tcPr>
          <w:p>
            <w:pPr>
              <w:pStyle w:val="TableContents"/>
              <w:bidi w:val="0"/>
              <w:spacing w:before="0" w:after="283"/>
              <w:jc w:val="left"/>
              <w:rPr/>
            </w:pPr>
            <w:r>
              <w:rPr/>
              <w:t> </w:t>
            </w:r>
          </w:p>
        </w:tc>
      </w:tr>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bookmarkStart w:id="441" w:name="xdx_40B_eus-gaap--RevenueFromContractWit"/>
            <w:bookmarkEnd w:id="441"/>
          </w:p>
        </w:tc>
      </w:tr>
      <w:tr>
        <w:trPr/>
        <w:tc>
          <w:tcPr>
            <w:tcW w:w="4258" w:type="dxa"/>
            <w:tcBorders/>
            <w:shd w:fill="CCEEFF" w:val="clear"/>
            <w:vAlign w:val="center"/>
          </w:tcPr>
          <w:p>
            <w:pPr>
              <w:pStyle w:val="TableContents"/>
              <w:bidi w:val="0"/>
              <w:spacing w:before="0" w:after="283"/>
              <w:jc w:val="left"/>
              <w:rPr/>
            </w:pPr>
            <w:r>
              <w:rPr/>
              <w:t>Over time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1,165,995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1,522,493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2,221,659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3,458,868</w:t>
            </w:r>
          </w:p>
        </w:tc>
        <w:tc>
          <w:tcPr>
            <w:tcW w:w="83" w:type="dxa"/>
            <w:tcBorders/>
            <w:shd w:fill="CCEEFF" w:val="clear"/>
            <w:vAlign w:val="center"/>
          </w:tcPr>
          <w:p>
            <w:pPr>
              <w:pStyle w:val="TableContents"/>
              <w:bidi w:val="0"/>
              <w:spacing w:before="0" w:after="283"/>
              <w:jc w:val="left"/>
              <w:rPr/>
            </w:pPr>
            <w:r>
              <w:rPr/>
              <w:t> </w:t>
            </w:r>
            <w:bookmarkStart w:id="442" w:name="xdx_40D_eus-gaap--RevenueFromContractWit"/>
            <w:bookmarkEnd w:id="442"/>
          </w:p>
        </w:tc>
      </w:tr>
      <w:tr>
        <w:trPr/>
        <w:tc>
          <w:tcPr>
            <w:tcW w:w="4258" w:type="dxa"/>
            <w:tcBorders/>
            <w:shd w:fill="FFFFFF" w:val="clear"/>
            <w:vAlign w:val="center"/>
          </w:tcPr>
          <w:p>
            <w:pPr>
              <w:pStyle w:val="TableContents"/>
              <w:bidi w:val="0"/>
              <w:spacing w:before="0" w:after="283"/>
              <w:jc w:val="left"/>
              <w:rPr/>
            </w:pPr>
            <w:r>
              <w:rPr/>
              <w:t>Point in time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20,440,655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8,369,760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33,500,720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19,891,873</w:t>
            </w:r>
          </w:p>
        </w:tc>
        <w:tc>
          <w:tcPr>
            <w:tcW w:w="83" w:type="dxa"/>
            <w:tcBorders/>
            <w:shd w:fill="FFFFFF" w:val="clear"/>
            <w:vAlign w:val="center"/>
          </w:tcPr>
          <w:p>
            <w:pPr>
              <w:pStyle w:val="TableContents"/>
              <w:bidi w:val="0"/>
              <w:spacing w:before="0" w:after="283"/>
              <w:jc w:val="left"/>
              <w:rPr/>
            </w:pPr>
            <w:r>
              <w:rPr/>
              <w:t> </w:t>
            </w:r>
            <w:bookmarkStart w:id="443" w:name="xdx_409_eus-gaap--RevenueFromContractWit"/>
            <w:bookmarkEnd w:id="443"/>
          </w:p>
        </w:tc>
      </w:tr>
      <w:tr>
        <w:trPr/>
        <w:tc>
          <w:tcPr>
            <w:tcW w:w="4258"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pPr>
            <w:r>
              <w:rPr/>
              <w:t>21,606,650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9,892,253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35,722,379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23,350,741</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attributes net revenue to geographic regions based on customer location. Net revenue by geographic region for the three and six months ended June 30, 2024 and 2023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1"/>
        <w:gridCol w:w="60"/>
        <w:gridCol w:w="167"/>
        <w:gridCol w:w="1317"/>
        <w:gridCol w:w="71"/>
        <w:gridCol w:w="71"/>
        <w:gridCol w:w="167"/>
        <w:gridCol w:w="1173"/>
        <w:gridCol w:w="60"/>
        <w:gridCol w:w="60"/>
        <w:gridCol w:w="146"/>
        <w:gridCol w:w="1150"/>
        <w:gridCol w:w="62"/>
        <w:gridCol w:w="62"/>
        <w:gridCol w:w="146"/>
        <w:gridCol w:w="1150"/>
        <w:gridCol w:w="82"/>
      </w:tblGrid>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4" w:name="xdx_493_20240401__20240630_zAg87V7tuOuk"/>
            <w:bookmarkEnd w:id="444"/>
          </w:p>
        </w:tc>
        <w:tc>
          <w:tcPr>
            <w:tcW w:w="14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445" w:name="xdx_494_20230401__20230630_zdDmWw0X9Roc"/>
            <w:bookmarkEnd w:id="445"/>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6" w:name="xdx_493_20240101__20240630_z3Cl0G5V0gg4"/>
            <w:bookmarkEnd w:id="446"/>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447" w:name="xdx_494_20230101__20230630_zE3HQcpnOJYi"/>
            <w:bookmarkEnd w:id="447"/>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2" w:type="dxa"/>
            <w:tcBorders/>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82" w:type="dxa"/>
            <w:tcBorders/>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2" w:type="dxa"/>
            <w:tcBorders/>
            <w:vAlign w:val="center"/>
          </w:tcPr>
          <w:p>
            <w:pPr>
              <w:pStyle w:val="TableContents"/>
              <w:bidi w:val="0"/>
              <w:spacing w:before="0" w:after="283"/>
              <w:jc w:val="left"/>
              <w:rPr/>
            </w:pPr>
            <w:r>
              <w:rPr/>
              <w:t> </w:t>
            </w:r>
            <w:bookmarkStart w:id="448" w:name="xdx_407_eus-gaap--RevenueFromContractWit"/>
            <w:bookmarkEnd w:id="448"/>
          </w:p>
        </w:tc>
      </w:tr>
      <w:tr>
        <w:trPr/>
        <w:tc>
          <w:tcPr>
            <w:tcW w:w="4261"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317" w:type="dxa"/>
            <w:tcBorders/>
            <w:shd w:fill="CCEEFF" w:val="clear"/>
            <w:vAlign w:val="center"/>
          </w:tcPr>
          <w:p>
            <w:pPr>
              <w:pStyle w:val="TableContents"/>
              <w:bidi w:val="0"/>
              <w:spacing w:before="0" w:after="283"/>
              <w:jc w:val="right"/>
              <w:rPr/>
            </w:pPr>
            <w:r>
              <w:rPr/>
              <w:t>18,912,850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8,363,756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30,811,457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20,141,630</w:t>
            </w:r>
          </w:p>
        </w:tc>
        <w:tc>
          <w:tcPr>
            <w:tcW w:w="82" w:type="dxa"/>
            <w:tcBorders/>
            <w:shd w:fill="CCEEFF" w:val="clear"/>
            <w:vAlign w:val="center"/>
          </w:tcPr>
          <w:p>
            <w:pPr>
              <w:pStyle w:val="TableContents"/>
              <w:bidi w:val="0"/>
              <w:spacing w:before="0" w:after="283"/>
              <w:jc w:val="left"/>
              <w:rPr/>
            </w:pPr>
            <w:r>
              <w:rPr/>
              <w:t> </w:t>
            </w:r>
            <w:bookmarkStart w:id="449" w:name="xdx_404_eus-gaap--RevenueFromContractWit"/>
            <w:bookmarkEnd w:id="449"/>
          </w:p>
        </w:tc>
      </w:tr>
      <w:tr>
        <w:trPr/>
        <w:tc>
          <w:tcPr>
            <w:tcW w:w="4261" w:type="dxa"/>
            <w:tcBorders/>
            <w:shd w:fill="FFFFFF" w:val="clear"/>
            <w:vAlign w:val="center"/>
          </w:tcPr>
          <w:p>
            <w:pPr>
              <w:pStyle w:val="TableContents"/>
              <w:bidi w:val="0"/>
              <w:spacing w:before="0" w:after="283"/>
              <w:jc w:val="left"/>
              <w:rPr/>
            </w:pPr>
            <w:r>
              <w:rPr/>
              <w:t>International</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FFFFFF" w:val="clear"/>
            <w:tcMar>
              <w:bottom w:w="28" w:type="dxa"/>
            </w:tcMar>
            <w:vAlign w:val="center"/>
          </w:tcPr>
          <w:p>
            <w:pPr>
              <w:pStyle w:val="TableContents"/>
              <w:bidi w:val="0"/>
              <w:spacing w:before="0" w:after="283"/>
              <w:jc w:val="right"/>
              <w:rPr/>
            </w:pPr>
            <w:r>
              <w:rPr/>
              <w:t>2,693,800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1,528,497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4,910,922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3,209,111</w:t>
            </w:r>
          </w:p>
        </w:tc>
        <w:tc>
          <w:tcPr>
            <w:tcW w:w="82" w:type="dxa"/>
            <w:tcBorders/>
            <w:shd w:fill="FFFFFF" w:val="clear"/>
            <w:vAlign w:val="center"/>
          </w:tcPr>
          <w:p>
            <w:pPr>
              <w:pStyle w:val="TableContents"/>
              <w:bidi w:val="0"/>
              <w:spacing w:before="0" w:after="283"/>
              <w:jc w:val="left"/>
              <w:rPr/>
            </w:pPr>
            <w:r>
              <w:rPr/>
              <w:t> </w:t>
            </w:r>
            <w:bookmarkStart w:id="450" w:name="xdx_403_eus-gaap--RevenueFromContractWit"/>
            <w:bookmarkEnd w:id="450"/>
          </w:p>
        </w:tc>
      </w:tr>
      <w:tr>
        <w:trPr/>
        <w:tc>
          <w:tcPr>
            <w:tcW w:w="4261"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21,606,650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9,892,253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35,722,379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23,350,741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by platform for the three and six months ended June 30, 2024 and 2023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8"/>
        <w:gridCol w:w="60"/>
        <w:gridCol w:w="167"/>
        <w:gridCol w:w="1318"/>
        <w:gridCol w:w="71"/>
        <w:gridCol w:w="71"/>
        <w:gridCol w:w="167"/>
        <w:gridCol w:w="1174"/>
        <w:gridCol w:w="60"/>
        <w:gridCol w:w="60"/>
        <w:gridCol w:w="146"/>
        <w:gridCol w:w="1150"/>
        <w:gridCol w:w="62"/>
        <w:gridCol w:w="62"/>
        <w:gridCol w:w="146"/>
        <w:gridCol w:w="1150"/>
        <w:gridCol w:w="83"/>
      </w:tblGrid>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1" w:name="xdx_496_20240401__20240630_zAmNp5thTpP7"/>
            <w:bookmarkEnd w:id="451"/>
          </w:p>
        </w:tc>
        <w:tc>
          <w:tcPr>
            <w:tcW w:w="14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452" w:name="xdx_498_20230401__20230630_znmVSogoNf94"/>
            <w:bookmarkEnd w:id="452"/>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A_20240101__20240630_zDTLmiOZ5yA1"/>
            <w:bookmarkEnd w:id="453"/>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454" w:name="xdx_49E_20230101__20230630_zl47zGBNMHWf"/>
            <w:bookmarkEnd w:id="454"/>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p>
        </w:tc>
      </w:tr>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83" w:type="dxa"/>
            <w:tcBorders/>
            <w:vAlign w:val="center"/>
          </w:tcPr>
          <w:p>
            <w:pPr>
              <w:pStyle w:val="TableContents"/>
              <w:bidi w:val="0"/>
              <w:spacing w:before="0" w:after="283"/>
              <w:jc w:val="left"/>
              <w:rPr/>
            </w:pPr>
            <w:r>
              <w:rPr/>
              <w:t> </w:t>
            </w:r>
          </w:p>
        </w:tc>
      </w:tr>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bookmarkStart w:id="455" w:name="xdx_401_eus-gaap--RevenueFromContractWit"/>
            <w:bookmarkEnd w:id="455"/>
          </w:p>
        </w:tc>
      </w:tr>
      <w:tr>
        <w:trPr/>
        <w:tc>
          <w:tcPr>
            <w:tcW w:w="4258" w:type="dxa"/>
            <w:tcBorders/>
            <w:shd w:fill="CCEEFF" w:val="clear"/>
            <w:vAlign w:val="center"/>
          </w:tcPr>
          <w:p>
            <w:pPr>
              <w:pStyle w:val="TableContents"/>
              <w:bidi w:val="0"/>
              <w:spacing w:before="0" w:after="283"/>
              <w:jc w:val="left"/>
              <w:rPr/>
            </w:pPr>
            <w:r>
              <w:rPr/>
              <w:t>Console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8,335,305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3,626,475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14,338,122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9,400,065</w:t>
            </w:r>
          </w:p>
        </w:tc>
        <w:tc>
          <w:tcPr>
            <w:tcW w:w="83" w:type="dxa"/>
            <w:tcBorders/>
            <w:shd w:fill="CCEEFF" w:val="clear"/>
            <w:vAlign w:val="center"/>
          </w:tcPr>
          <w:p>
            <w:pPr>
              <w:pStyle w:val="TableContents"/>
              <w:bidi w:val="0"/>
              <w:spacing w:before="0" w:after="283"/>
              <w:jc w:val="left"/>
              <w:rPr/>
            </w:pPr>
            <w:r>
              <w:rPr/>
              <w:t> </w:t>
            </w:r>
            <w:bookmarkStart w:id="456" w:name="xdx_405_eus-gaap--RevenueFromContractWit"/>
            <w:bookmarkEnd w:id="456"/>
          </w:p>
        </w:tc>
      </w:tr>
      <w:tr>
        <w:trPr/>
        <w:tc>
          <w:tcPr>
            <w:tcW w:w="4258" w:type="dxa"/>
            <w:tcBorders/>
            <w:shd w:fill="FFFFFF" w:val="clear"/>
            <w:vAlign w:val="center"/>
          </w:tcPr>
          <w:p>
            <w:pPr>
              <w:pStyle w:val="TableContents"/>
              <w:bidi w:val="0"/>
              <w:spacing w:before="0" w:after="283"/>
              <w:jc w:val="left"/>
              <w:rPr/>
            </w:pPr>
            <w:r>
              <w:rPr/>
              <w:t>PC</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11,817,742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3,367,369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16,922,466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8,379,549</w:t>
            </w:r>
          </w:p>
        </w:tc>
        <w:tc>
          <w:tcPr>
            <w:tcW w:w="83" w:type="dxa"/>
            <w:tcBorders/>
            <w:shd w:fill="FFFFFF" w:val="clear"/>
            <w:vAlign w:val="center"/>
          </w:tcPr>
          <w:p>
            <w:pPr>
              <w:pStyle w:val="TableContents"/>
              <w:bidi w:val="0"/>
              <w:spacing w:before="0" w:after="283"/>
              <w:jc w:val="left"/>
              <w:rPr/>
            </w:pPr>
            <w:r>
              <w:rPr/>
              <w:t> </w:t>
            </w:r>
            <w:bookmarkStart w:id="457" w:name="xdx_40F_eus-gaap--RevenueFromContractWit"/>
            <w:bookmarkEnd w:id="457"/>
          </w:p>
        </w:tc>
      </w:tr>
      <w:tr>
        <w:trPr/>
        <w:tc>
          <w:tcPr>
            <w:tcW w:w="4258" w:type="dxa"/>
            <w:tcBorders/>
            <w:shd w:fill="CCEEFF" w:val="clear"/>
            <w:vAlign w:val="center"/>
          </w:tcPr>
          <w:p>
            <w:pPr>
              <w:pStyle w:val="TableContents"/>
              <w:bidi w:val="0"/>
              <w:spacing w:before="0" w:after="283"/>
              <w:jc w:val="left"/>
              <w:rPr/>
            </w:pPr>
            <w:r>
              <w:rPr/>
              <w:t>Mobile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1,132,465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1,508,203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2,095,406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3,226,235</w:t>
            </w:r>
          </w:p>
        </w:tc>
        <w:tc>
          <w:tcPr>
            <w:tcW w:w="83" w:type="dxa"/>
            <w:tcBorders/>
            <w:shd w:fill="CCEEFF" w:val="clear"/>
            <w:vAlign w:val="center"/>
          </w:tcPr>
          <w:p>
            <w:pPr>
              <w:pStyle w:val="TableContents"/>
              <w:bidi w:val="0"/>
              <w:spacing w:before="0" w:after="283"/>
              <w:jc w:val="left"/>
              <w:rPr/>
            </w:pPr>
            <w:r>
              <w:rPr/>
              <w:t> </w:t>
            </w:r>
            <w:bookmarkStart w:id="458" w:name="xdx_405_eus-gaap--RevenueFromContractWit"/>
            <w:bookmarkEnd w:id="458"/>
          </w:p>
        </w:tc>
      </w:tr>
      <w:tr>
        <w:trPr/>
        <w:tc>
          <w:tcPr>
            <w:tcW w:w="4258"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321,138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1,390,206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2,366,385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2,344,892</w:t>
            </w:r>
          </w:p>
        </w:tc>
        <w:tc>
          <w:tcPr>
            <w:tcW w:w="83" w:type="dxa"/>
            <w:tcBorders/>
            <w:shd w:fill="FFFFFF" w:val="clear"/>
            <w:vAlign w:val="center"/>
          </w:tcPr>
          <w:p>
            <w:pPr>
              <w:pStyle w:val="TableContents"/>
              <w:bidi w:val="0"/>
              <w:spacing w:before="0" w:after="283"/>
              <w:jc w:val="left"/>
              <w:rPr/>
            </w:pPr>
            <w:r>
              <w:rPr/>
              <w:t> </w:t>
            </w:r>
            <w:bookmarkStart w:id="459" w:name="xdx_402_eus-gaap--RevenueFromContractWit"/>
            <w:bookmarkEnd w:id="459"/>
          </w:p>
        </w:tc>
      </w:tr>
      <w:tr>
        <w:trPr/>
        <w:tc>
          <w:tcPr>
            <w:tcW w:w="4258"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pPr>
            <w:r>
              <w:rPr/>
              <w:t>21,606,650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9,892,253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35,722,379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23,350,741</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delivered through digital online services (digital download, online platforms, and cloud streaming), mobile, and retail distribution and other. Net revenue by distribution channel for the three and six months ended June 30, 2024 and 2023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8"/>
        <w:gridCol w:w="60"/>
        <w:gridCol w:w="167"/>
        <w:gridCol w:w="1318"/>
        <w:gridCol w:w="71"/>
        <w:gridCol w:w="71"/>
        <w:gridCol w:w="167"/>
        <w:gridCol w:w="1174"/>
        <w:gridCol w:w="60"/>
        <w:gridCol w:w="60"/>
        <w:gridCol w:w="146"/>
        <w:gridCol w:w="1150"/>
        <w:gridCol w:w="62"/>
        <w:gridCol w:w="62"/>
        <w:gridCol w:w="146"/>
        <w:gridCol w:w="1150"/>
        <w:gridCol w:w="83"/>
      </w:tblGrid>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F_20240401__20240630_zJl0BRG93qc8"/>
            <w:bookmarkEnd w:id="460"/>
          </w:p>
        </w:tc>
        <w:tc>
          <w:tcPr>
            <w:tcW w:w="14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461" w:name="xdx_490_20230401__20230630_zggjGUo2J6rl"/>
            <w:bookmarkEnd w:id="461"/>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2" w:name="xdx_490_20240101__20240630_zC0l501aJGb9"/>
            <w:bookmarkEnd w:id="462"/>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463" w:name="xdx_49D_20230101__20230630_z5ImVwtXVlj1"/>
            <w:bookmarkEnd w:id="463"/>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p>
        </w:tc>
      </w:tr>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83" w:type="dxa"/>
            <w:tcBorders/>
            <w:vAlign w:val="center"/>
          </w:tcPr>
          <w:p>
            <w:pPr>
              <w:pStyle w:val="TableContents"/>
              <w:bidi w:val="0"/>
              <w:spacing w:before="0" w:after="283"/>
              <w:jc w:val="left"/>
              <w:rPr/>
            </w:pPr>
            <w:r>
              <w:rPr/>
              <w:t> </w:t>
            </w:r>
          </w:p>
        </w:tc>
      </w:tr>
      <w:tr>
        <w:trPr/>
        <w:tc>
          <w:tcPr>
            <w:tcW w:w="4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bookmarkStart w:id="464" w:name="xdx_405_eus-gaap--RevenueFromContractWit"/>
            <w:bookmarkEnd w:id="464"/>
          </w:p>
        </w:tc>
      </w:tr>
      <w:tr>
        <w:trPr/>
        <w:tc>
          <w:tcPr>
            <w:tcW w:w="4258" w:type="dxa"/>
            <w:tcBorders/>
            <w:shd w:fill="CCEEFF" w:val="clear"/>
            <w:vAlign w:val="center"/>
          </w:tcPr>
          <w:p>
            <w:pPr>
              <w:pStyle w:val="TableContents"/>
              <w:bidi w:val="0"/>
              <w:spacing w:before="0" w:after="283"/>
              <w:jc w:val="left"/>
              <w:rPr/>
            </w:pPr>
            <w:r>
              <w:rPr/>
              <w:t>Digital</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20,153,047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6,993,844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31,260,588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17,779,614</w:t>
            </w:r>
          </w:p>
        </w:tc>
        <w:tc>
          <w:tcPr>
            <w:tcW w:w="83" w:type="dxa"/>
            <w:tcBorders/>
            <w:shd w:fill="CCEEFF" w:val="clear"/>
            <w:vAlign w:val="center"/>
          </w:tcPr>
          <w:p>
            <w:pPr>
              <w:pStyle w:val="TableContents"/>
              <w:bidi w:val="0"/>
              <w:spacing w:before="0" w:after="283"/>
              <w:jc w:val="left"/>
              <w:rPr/>
            </w:pPr>
            <w:r>
              <w:rPr/>
              <w:t> </w:t>
            </w:r>
            <w:bookmarkStart w:id="465" w:name="xdx_408_eus-gaap--RevenueFromContractWit"/>
            <w:bookmarkEnd w:id="465"/>
          </w:p>
        </w:tc>
      </w:tr>
      <w:tr>
        <w:trPr/>
        <w:tc>
          <w:tcPr>
            <w:tcW w:w="4258" w:type="dxa"/>
            <w:tcBorders/>
            <w:shd w:fill="FFFFFF" w:val="clear"/>
            <w:vAlign w:val="center"/>
          </w:tcPr>
          <w:p>
            <w:pPr>
              <w:pStyle w:val="TableContents"/>
              <w:bidi w:val="0"/>
              <w:spacing w:before="0" w:after="283"/>
              <w:jc w:val="left"/>
              <w:rPr/>
            </w:pPr>
            <w:r>
              <w:rPr/>
              <w:t>Mobile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1,132,465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1,508,203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2,095,406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3,226,235</w:t>
            </w:r>
          </w:p>
        </w:tc>
        <w:tc>
          <w:tcPr>
            <w:tcW w:w="83" w:type="dxa"/>
            <w:tcBorders/>
            <w:shd w:fill="FFFFFF" w:val="clear"/>
            <w:vAlign w:val="center"/>
          </w:tcPr>
          <w:p>
            <w:pPr>
              <w:pStyle w:val="TableContents"/>
              <w:bidi w:val="0"/>
              <w:spacing w:before="0" w:after="283"/>
              <w:jc w:val="left"/>
              <w:rPr/>
            </w:pPr>
            <w:r>
              <w:rPr/>
              <w:t> </w:t>
            </w:r>
            <w:bookmarkStart w:id="466" w:name="xdx_402_eus-gaap--RevenueFromContractWit"/>
            <w:bookmarkEnd w:id="466"/>
          </w:p>
        </w:tc>
      </w:tr>
      <w:tr>
        <w:trPr/>
        <w:tc>
          <w:tcPr>
            <w:tcW w:w="4258" w:type="dxa"/>
            <w:tcBorders/>
            <w:shd w:fill="CCEEFF" w:val="clear"/>
            <w:vAlign w:val="center"/>
          </w:tcPr>
          <w:p>
            <w:pPr>
              <w:pStyle w:val="TableContents"/>
              <w:bidi w:val="0"/>
              <w:spacing w:before="0" w:after="283"/>
              <w:jc w:val="left"/>
              <w:rPr/>
            </w:pPr>
            <w:r>
              <w:rPr/>
              <w:t>Physical retail and other</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321,138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1,390,206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2,366,385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2,344,892</w:t>
            </w:r>
          </w:p>
        </w:tc>
        <w:tc>
          <w:tcPr>
            <w:tcW w:w="83" w:type="dxa"/>
            <w:tcBorders/>
            <w:shd w:fill="CCEEFF" w:val="clear"/>
            <w:vAlign w:val="center"/>
          </w:tcPr>
          <w:p>
            <w:pPr>
              <w:pStyle w:val="TableContents"/>
              <w:bidi w:val="0"/>
              <w:spacing w:before="0" w:after="283"/>
              <w:jc w:val="left"/>
              <w:rPr/>
            </w:pPr>
            <w:r>
              <w:rPr/>
              <w:t> </w:t>
            </w:r>
            <w:bookmarkStart w:id="467" w:name="xdx_400_eus-gaap--RevenueFromContractWit"/>
            <w:bookmarkEnd w:id="467"/>
          </w:p>
        </w:tc>
      </w:tr>
      <w:tr>
        <w:trPr/>
        <w:tc>
          <w:tcPr>
            <w:tcW w:w="4258"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pPr>
            <w:r>
              <w:rPr/>
              <w:t>21,606,650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9,892,253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pPr>
            <w:r>
              <w:rPr/>
              <w:t>35,722,379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pPr>
            <w:r>
              <w:rPr/>
              <w:t>23,350,741</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8" w:name="xdx_8A8_zYhgGwjwNx08"/>
      <w:bookmarkEnd w:id="46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14, the Company recognized the $</w:t>
      </w:r>
      <w:bookmarkStart w:id="469" w:name="xdx_90B_eus-gaap--DeferredRevenueRevenue"/>
      <w:bookmarkEnd w:id="469"/>
      <w:r>
        <w:rPr>
          <w:rFonts w:ascii="Times New Roman;Times;Serif" w:hAnsi="Times New Roman;Times;Serif"/>
          <w:b w:val="false"/>
          <w:i w:val="false"/>
          <w:caps w:val="false"/>
          <w:smallCaps w:val="false"/>
          <w:sz w:val="20"/>
        </w:rPr>
        <w:t>1.2 million payment related to the Angela Games settlement upon satisfaction of performance obligations included in the contract. This amount is included in other revenues.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payments are due or received in advance of the fulfillment of our associated performance obligations; reductions to deferred revenue balance were primarily due to the recognition of revenue upon fulfillment of its performance obligations, which were in the ordinary course of business. As of June 30, 2024, the balance of deferred revenue was $</w:t>
      </w:r>
      <w:bookmarkStart w:id="470" w:name="xdx_909_eus-gaap--ContractWithCustomerLi"/>
      <w:bookmarkEnd w:id="470"/>
      <w:r>
        <w:rPr>
          <w:rFonts w:ascii="Times New Roman;Times;Serif" w:hAnsi="Times New Roman;Times;Serif"/>
          <w:b w:val="false"/>
          <w:i w:val="false"/>
          <w:caps w:val="false"/>
          <w:smallCaps w:val="false"/>
          <w:sz w:val="20"/>
        </w:rPr>
        <w:t>40.3 million, of which $</w:t>
      </w:r>
      <w:bookmarkStart w:id="471" w:name="xdx_908_ecustom--RevenueRemainingPerform"/>
      <w:bookmarkEnd w:id="471"/>
      <w:r>
        <w:rPr>
          <w:rFonts w:ascii="Times New Roman;Times;Serif" w:hAnsi="Times New Roman;Times;Serif"/>
          <w:b w:val="false"/>
          <w:i w:val="false"/>
          <w:caps w:val="false"/>
          <w:smallCaps w:val="false"/>
          <w:sz w:val="20"/>
        </w:rPr>
        <w:t>39.2 million is due to non-refundable payments. The Company is expecting to recognize $</w:t>
      </w:r>
      <w:bookmarkStart w:id="472" w:name="xdx_900_ecustom--ContractWithCustomerLia"/>
      <w:bookmarkEnd w:id="472"/>
      <w:r>
        <w:rPr>
          <w:rFonts w:ascii="Times New Roman;Times;Serif" w:hAnsi="Times New Roman;Times;Serif"/>
          <w:b w:val="false"/>
          <w:i w:val="false"/>
          <w:caps w:val="false"/>
          <w:smallCaps w:val="false"/>
          <w:sz w:val="20"/>
        </w:rPr>
        <w:t xml:space="preserve">16.9 million of the non-refundable payments in the next </w:t>
      </w:r>
      <w:bookmarkStart w:id="473" w:name="xdx_902_ecustom--ContractWithCustomerLia"/>
      <w:bookmarkEnd w:id="473"/>
      <w:r>
        <w:rPr>
          <w:rFonts w:ascii="Times New Roman;Times;Serif" w:hAnsi="Times New Roman;Times;Serif"/>
          <w:b w:val="false"/>
          <w:i w:val="false"/>
          <w:caps w:val="false"/>
          <w:smallCaps w:val="false"/>
          <w:sz w:val="20"/>
        </w:rPr>
        <w:t>12 months through the platform releases of certain DLCs, $</w:t>
      </w:r>
      <w:bookmarkStart w:id="474" w:name="xdx_90E_eus-gaap--ContractWithCustomerLi"/>
      <w:bookmarkEnd w:id="474"/>
      <w:r>
        <w:rPr>
          <w:rFonts w:ascii="Times New Roman;Times;Serif" w:hAnsi="Times New Roman;Times;Serif"/>
          <w:b w:val="false"/>
          <w:i w:val="false"/>
          <w:caps w:val="false"/>
          <w:smallCaps w:val="false"/>
          <w:sz w:val="20"/>
        </w:rPr>
        <w:t xml:space="preserve">0.6 million upon the launch of </w:t>
      </w:r>
      <w:r>
        <w:rPr>
          <w:rFonts w:ascii="Times New Roman;Times;Serif" w:hAnsi="Times New Roman;Times;Serif"/>
          <w:b w:val="false"/>
          <w:i/>
          <w:caps w:val="false"/>
          <w:smallCaps w:val="false"/>
          <w:sz w:val="20"/>
        </w:rPr>
        <w:t xml:space="preserve">Myth of Empires </w:t>
      </w:r>
      <w:r>
        <w:rPr>
          <w:rFonts w:ascii="Times New Roman;Times;Serif" w:hAnsi="Times New Roman;Times;Serif"/>
          <w:b w:val="false"/>
          <w:i w:val="false"/>
          <w:caps w:val="false"/>
          <w:smallCaps w:val="false"/>
          <w:sz w:val="20"/>
        </w:rPr>
        <w:t>in China, $</w:t>
      </w:r>
      <w:bookmarkStart w:id="475" w:name="xdx_902_ecustom--ContractWithCustomerLia"/>
      <w:bookmarkEnd w:id="475"/>
      <w:r>
        <w:rPr>
          <w:rFonts w:ascii="Times New Roman;Times;Serif" w:hAnsi="Times New Roman;Times;Serif"/>
          <w:b w:val="false"/>
          <w:i w:val="false"/>
          <w:caps w:val="false"/>
          <w:smallCaps w:val="false"/>
          <w:sz w:val="20"/>
        </w:rPr>
        <w:t xml:space="preserve">15.1 million of non-refundable payments in the next </w:t>
      </w:r>
      <w:bookmarkStart w:id="476" w:name="xdx_90A_ecustom--ContractWithCustomerLia"/>
      <w:bookmarkEnd w:id="476"/>
      <w:r>
        <w:rPr>
          <w:rFonts w:ascii="Times New Roman;Times;Serif" w:hAnsi="Times New Roman;Times;Serif"/>
          <w:b w:val="false"/>
          <w:i w:val="false"/>
          <w:caps w:val="false"/>
          <w:smallCaps w:val="false"/>
          <w:sz w:val="20"/>
        </w:rPr>
        <w:t xml:space="preserve">12 to </w:t>
      </w:r>
      <w:bookmarkStart w:id="477" w:name="xdx_90E_ecustom--ContractWithCustomerLia"/>
      <w:bookmarkEnd w:id="477"/>
      <w:r>
        <w:rPr>
          <w:rFonts w:ascii="Times New Roman;Times;Serif" w:hAnsi="Times New Roman;Times;Serif"/>
          <w:b w:val="false"/>
          <w:i w:val="false"/>
          <w:caps w:val="false"/>
          <w:smallCaps w:val="false"/>
          <w:sz w:val="20"/>
        </w:rPr>
        <w:t xml:space="preserve">24 months through the release of DLC’s and additional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titles. The remaining $</w:t>
      </w:r>
      <w:bookmarkStart w:id="478" w:name="xdx_905_ecustom--ContractWithCustomerLia"/>
      <w:bookmarkEnd w:id="478"/>
      <w:r>
        <w:rPr>
          <w:rFonts w:ascii="Times New Roman;Times;Serif" w:hAnsi="Times New Roman;Times;Serif"/>
          <w:b w:val="false"/>
          <w:i w:val="false"/>
          <w:caps w:val="false"/>
          <w:smallCaps w:val="false"/>
          <w:sz w:val="20"/>
        </w:rPr>
        <w:t>3.9 million of current non-refundable deferred revenues and $</w:t>
      </w:r>
      <w:bookmarkStart w:id="479" w:name="xdx_90D_ecustom--ContractWithCustomerLia"/>
      <w:bookmarkEnd w:id="479"/>
      <w:r>
        <w:rPr>
          <w:rFonts w:ascii="Times New Roman;Times;Serif" w:hAnsi="Times New Roman;Times;Serif"/>
          <w:b w:val="false"/>
          <w:i w:val="false"/>
          <w:caps w:val="false"/>
          <w:smallCaps w:val="false"/>
          <w:sz w:val="20"/>
        </w:rPr>
        <w:t xml:space="preserve">2.7 million of long term non-refundable deferred revenue will be recognized as revenue primarily on a straight-line basis over the next </w:t>
      </w:r>
      <w:bookmarkStart w:id="480" w:name="xdx_909_ecustom--ContractWithCustomerLia"/>
      <w:bookmarkEnd w:id="480"/>
      <w:r>
        <w:rPr>
          <w:rFonts w:ascii="Times New Roman;Times;Serif" w:hAnsi="Times New Roman;Times;Serif"/>
          <w:b w:val="false"/>
          <w:i w:val="false"/>
          <w:caps w:val="false"/>
          <w:smallCaps w:val="false"/>
          <w:sz w:val="20"/>
        </w:rPr>
        <w:t>60 months, based on our estimates of technical support obligations, the usage of consumable virtual goods and estimated period of time an end user will play the game. The Company’s refundable deferred revenue consists of the advance payments received in accordance with the agreement the Company has made with its retail distributor. The Company expects to recognize $</w:t>
      </w:r>
      <w:bookmarkStart w:id="481" w:name="xdx_909_ecustom--ContractWithCustomerLia"/>
      <w:bookmarkEnd w:id="481"/>
      <w:r>
        <w:rPr>
          <w:rFonts w:ascii="Times New Roman;Times;Serif" w:hAnsi="Times New Roman;Times;Serif"/>
          <w:b w:val="false"/>
          <w:i w:val="false"/>
          <w:caps w:val="false"/>
          <w:smallCaps w:val="false"/>
          <w:sz w:val="20"/>
        </w:rPr>
        <w:t>1.1 million in fiscal year 2025. Activities in the Company’s deferred revenue as of June 30, 2024 and 2023 were as follows: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82" w:name="xdx_8B4_zJQr5wm1RJN8"/>
      <w:bookmarkStart w:id="483" w:name="xdx_894_ecustom--ScheduleOfDeferredReven"/>
      <w:bookmarkEnd w:id="482"/>
      <w:bookmarkEnd w:id="483"/>
      <w:r>
        <w:rPr>
          <w:rFonts w:ascii="Times New Roman;Times;Serif" w:hAnsi="Times New Roman;Times;Serif"/>
          <w:b w:val="false"/>
          <w:i w:val="false"/>
          <w:caps w:val="false"/>
          <w:smallCaps w:val="false"/>
          <w:sz w:val="20"/>
        </w:rPr>
        <w:t>SCHEDULE OF DEFERRED REVENUE </w:t>
      </w:r>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Deferred revenue, beginning balance in advance of revenue recognition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84" w:name="xdx_98B_eus-gaap--ContractWithCustomerLi"/>
            <w:bookmarkEnd w:id="484"/>
          </w:p>
        </w:tc>
        <w:tc>
          <w:tcPr>
            <w:tcW w:w="1175" w:type="dxa"/>
            <w:tcBorders/>
            <w:shd w:fill="CCEEFF" w:val="clear"/>
            <w:vAlign w:val="center"/>
          </w:tcPr>
          <w:p>
            <w:pPr>
              <w:pStyle w:val="TableContents"/>
              <w:bidi w:val="0"/>
              <w:spacing w:before="0" w:after="283"/>
              <w:jc w:val="right"/>
              <w:rPr/>
            </w:pPr>
            <w:r>
              <w:rPr/>
              <w:t>34,316,706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85" w:name="xdx_981_eus-gaap--ContractWithCustomerLi"/>
            <w:bookmarkEnd w:id="485"/>
          </w:p>
        </w:tc>
        <w:tc>
          <w:tcPr>
            <w:tcW w:w="1055" w:type="dxa"/>
            <w:tcBorders/>
            <w:shd w:fill="CCEEFF" w:val="clear"/>
            <w:vAlign w:val="center"/>
          </w:tcPr>
          <w:p>
            <w:pPr>
              <w:pStyle w:val="TableContents"/>
              <w:bidi w:val="0"/>
              <w:spacing w:before="0" w:after="283"/>
              <w:jc w:val="right"/>
              <w:rPr/>
            </w:pPr>
            <w:r>
              <w:rPr/>
              <w:t>9,551,446</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6" w:name="xdx_98A_eus-gaap--ContractWithCustomerLi"/>
            <w:bookmarkEnd w:id="486"/>
          </w:p>
        </w:tc>
        <w:tc>
          <w:tcPr>
            <w:tcW w:w="1175" w:type="dxa"/>
            <w:tcBorders/>
            <w:shd w:fill="FFFFFF" w:val="clear"/>
            <w:vAlign w:val="center"/>
          </w:tcPr>
          <w:p>
            <w:pPr>
              <w:pStyle w:val="TableContents"/>
              <w:bidi w:val="0"/>
              <w:spacing w:before="0" w:after="283"/>
              <w:jc w:val="right"/>
              <w:rPr/>
            </w:pPr>
            <w:r>
              <w:rPr/>
              <w:t>(9,607,237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7" w:name="xdx_988_eus-gaap--ContractWithCustomerLi"/>
            <w:bookmarkEnd w:id="487"/>
          </w:p>
        </w:tc>
        <w:tc>
          <w:tcPr>
            <w:tcW w:w="1055" w:type="dxa"/>
            <w:tcBorders/>
            <w:shd w:fill="FFFFFF" w:val="clear"/>
            <w:vAlign w:val="center"/>
          </w:tcPr>
          <w:p>
            <w:pPr>
              <w:pStyle w:val="TableContents"/>
              <w:bidi w:val="0"/>
              <w:spacing w:before="0" w:after="283"/>
              <w:jc w:val="right"/>
              <w:rPr/>
            </w:pPr>
            <w:r>
              <w:rPr/>
              <w:t>(3,874,784</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88" w:name="xdx_989_ecustom--ContractWithCustomerLia"/>
            <w:bookmarkEnd w:id="488"/>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15,608,213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89" w:name="xdx_986_ecustom--ContractWithCustomerLia"/>
            <w:bookmarkEnd w:id="489"/>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3,109,186</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Deferred revenue,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0" w:name="xdx_982_eus-gaap--ContractWithCustomerLi"/>
            <w:bookmarkEnd w:id="490"/>
          </w:p>
        </w:tc>
        <w:tc>
          <w:tcPr>
            <w:tcW w:w="1175" w:type="dxa"/>
            <w:tcBorders/>
            <w:shd w:fill="FFFFFF" w:val="clear"/>
            <w:vAlign w:val="center"/>
          </w:tcPr>
          <w:p>
            <w:pPr>
              <w:pStyle w:val="TableContents"/>
              <w:bidi w:val="0"/>
              <w:spacing w:before="0" w:after="283"/>
              <w:jc w:val="right"/>
              <w:rPr/>
            </w:pPr>
            <w:r>
              <w:rPr/>
              <w:t>40,317,682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1" w:name="xdx_980_eus-gaap--ContractWithCustomerLi"/>
            <w:bookmarkEnd w:id="491"/>
          </w:p>
        </w:tc>
        <w:tc>
          <w:tcPr>
            <w:tcW w:w="1055" w:type="dxa"/>
            <w:tcBorders/>
            <w:shd w:fill="FFFFFF" w:val="clear"/>
            <w:vAlign w:val="center"/>
          </w:tcPr>
          <w:p>
            <w:pPr>
              <w:pStyle w:val="TableContents"/>
              <w:bidi w:val="0"/>
              <w:spacing w:before="0" w:after="283"/>
              <w:jc w:val="right"/>
              <w:rPr/>
            </w:pPr>
            <w:r>
              <w:rPr/>
              <w:t>8,785,848</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2" w:name="xdx_98D_eus-gaap--ContractWithCustomerLi"/>
            <w:bookmarkEnd w:id="492"/>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(21,451,307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3" w:name="xdx_984_eus-gaap--ContractWithCustomerLi"/>
            <w:bookmarkEnd w:id="493"/>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(4,125,505</w:t>
            </w:r>
          </w:p>
        </w:tc>
        <w:tc>
          <w:tcPr>
            <w:tcW w:w="110" w:type="dxa"/>
            <w:tcBorders/>
            <w:shd w:fill="CCEEFF"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Deferred revenue, long 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4" w:name="xdx_98F_eus-gaap--ContractWithCustomerLi"/>
            <w:bookmarkEnd w:id="494"/>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18,866,375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5" w:name="xdx_98F_eus-gaap--ContractWithCustomerLi"/>
            <w:bookmarkEnd w:id="495"/>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4,660,343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496" w:name="xdx_8A8_zQXTSAdL3EO7"/>
      <w:bookmarkEnd w:id="49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7" w:name="xdx_80B_ecustom--CashCashEquivalentsRest"/>
      <w:bookmarkEnd w:id="497"/>
      <w:r>
        <w:rPr>
          <w:rFonts w:ascii="Times New Roman;Times;Serif" w:hAnsi="Times New Roman;Times;Serif"/>
          <w:b/>
          <w:i w:val="false"/>
          <w:caps w:val="false"/>
          <w:smallCaps w:val="false"/>
          <w:sz w:val="20"/>
        </w:rPr>
        <w:t xml:space="preserve">NOTE 4 – </w:t>
      </w:r>
      <w:bookmarkStart w:id="498" w:name="xdx_82D_zNfuHsohEEha"/>
      <w:bookmarkEnd w:id="498"/>
      <w:r>
        <w:rPr>
          <w:rFonts w:ascii="Times New Roman;Times;Serif" w:hAnsi="Times New Roman;Times;Serif"/>
          <w:b/>
          <w:i w:val="false"/>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valued using quoted market prices or other readily available market information. The Company has restricted cash and cash equivalents of $</w:t>
      </w:r>
      <w:bookmarkStart w:id="499" w:name="xdx_908_eus-gaap--RestrictedCashAndCashE"/>
      <w:bookmarkEnd w:id="499"/>
      <w:r>
        <w:rPr>
          <w:rFonts w:ascii="Times New Roman;Times;Serif" w:hAnsi="Times New Roman;Times;Serif"/>
          <w:b w:val="false"/>
          <w:i w:val="false"/>
          <w:caps w:val="false"/>
          <w:smallCaps w:val="false"/>
          <w:sz w:val="20"/>
        </w:rPr>
        <w:t>1,118,437 and $</w:t>
      </w:r>
      <w:bookmarkStart w:id="500" w:name="xdx_90D_eus-gaap--RestrictedCashAndCashE"/>
      <w:bookmarkEnd w:id="500"/>
      <w:r>
        <w:rPr>
          <w:rFonts w:ascii="Times New Roman;Times;Serif" w:hAnsi="Times New Roman;Times;Serif"/>
          <w:b w:val="false"/>
          <w:i w:val="false"/>
          <w:caps w:val="false"/>
          <w:smallCaps w:val="false"/>
          <w:sz w:val="20"/>
        </w:rPr>
        <w:t xml:space="preserve">1,116,196 as of June 30, 2024 and December 31, 2023, respectively. The amounts of restricted cash and cash equivalents held as of June 30, 2024, are to secure the standby letter of credit with landlords and the amounts of restricted cash and cash equivalents as of June 30, 2023, were held as security for the debt with a financial institution (see Note 11 — </w:t>
      </w:r>
      <w:r>
        <w:rPr>
          <w:rFonts w:ascii="Times New Roman;Times;Serif" w:hAnsi="Times New Roman;Times;Serif"/>
          <w:b w:val="false"/>
          <w:i/>
          <w:caps w:val="false"/>
          <w:smallCaps w:val="false"/>
          <w:sz w:val="20"/>
        </w:rPr>
        <w:t>Revolving Loan, Short Term Note, and Long-Term Debt</w:t>
      </w:r>
      <w:r>
        <w:rPr>
          <w:rFonts w:ascii="Times New Roman;Times;Serif" w:hAnsi="Times New Roman;Times;Serif"/>
          <w:b w:val="false"/>
          <w:i w:val="false"/>
          <w:caps w:val="false"/>
          <w:smallCaps w:val="false"/>
          <w:sz w:val="20"/>
        </w:rPr>
        <w:t>) and to secure standby letters of credit with landlords. On June 21, 2023, the Company amended its revolving loan and $</w:t>
      </w:r>
      <w:bookmarkStart w:id="501" w:name="xdx_908_eus-gaap--RestrictedCashAndCashE"/>
      <w:bookmarkEnd w:id="501"/>
      <w:r>
        <w:rPr>
          <w:rFonts w:ascii="Times New Roman;Times;Serif" w:hAnsi="Times New Roman;Times;Serif"/>
          <w:b w:val="false"/>
          <w:i w:val="false"/>
          <w:caps w:val="false"/>
          <w:smallCaps w:val="false"/>
          <w:sz w:val="20"/>
        </w:rPr>
        <w:t>5,273,391 of restricted cash and cash equivalents was released. The following table summarizes the components of the Company’s cash and cash equivalents, and restricted cash and cash equivalents as of June 30, 2024 and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2" w:name="xdx_8B8_zLVkdYMbPc7d"/>
      <w:bookmarkStart w:id="503" w:name="xdx_89A_ecustom--ScheduleOfCashCashEquiv"/>
      <w:bookmarkEnd w:id="502"/>
      <w:bookmarkEnd w:id="503"/>
      <w:r>
        <w:rPr>
          <w:rFonts w:ascii="Times New Roman;Times;Serif" w:hAnsi="Times New Roman;Times;Serif"/>
          <w:b w:val="false"/>
          <w:i w:val="false"/>
          <w:caps w:val="false"/>
          <w:smallCaps w:val="false"/>
          <w:sz w:val="20"/>
        </w:rPr>
        <w:t>SUMMARY OF COMPONENTS OF CASH AND CASH EQUIVALENTS AND RESTRICTED CASH AND CASH EQUIVALENTS </w:t>
      </w:r>
    </w:p>
    <w:tbl>
      <w:tblPr>
        <w:tblW w:w="9010" w:type="dxa"/>
        <w:jc w:val="left"/>
        <w:tblInd w:w="0" w:type="dxa"/>
        <w:tblLayout w:type="fixed"/>
        <w:tblCellMar>
          <w:top w:w="0" w:type="dxa"/>
          <w:left w:w="0" w:type="dxa"/>
          <w:bottom w:w="0" w:type="dxa"/>
          <w:right w:w="0" w:type="dxa"/>
        </w:tblCellMar>
      </w:tblPr>
      <w:tblGrid>
        <w:gridCol w:w="6395"/>
        <w:gridCol w:w="60"/>
        <w:gridCol w:w="140"/>
        <w:gridCol w:w="1100"/>
        <w:gridCol w:w="60"/>
        <w:gridCol w:w="60"/>
        <w:gridCol w:w="140"/>
        <w:gridCol w:w="980"/>
        <w:gridCol w:w="75"/>
      </w:tblGrid>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4" w:name="xdx_49C_20240630_zB4tT4iIORj2"/>
            <w:bookmarkEnd w:id="504"/>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5" w:name="xdx_49A_20230630_zPvJ1p86Wsu9"/>
            <w:bookmarkEnd w:id="505"/>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506" w:name="xdx_403_eus-gaap--CashAndCashEquivalents"/>
            <w:bookmarkEnd w:id="506"/>
          </w:p>
        </w:tc>
      </w:tr>
      <w:tr>
        <w:trPr/>
        <w:tc>
          <w:tcPr>
            <w:tcW w:w="63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15,494,156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2,960,160</w:t>
            </w:r>
          </w:p>
        </w:tc>
        <w:tc>
          <w:tcPr>
            <w:tcW w:w="75" w:type="dxa"/>
            <w:tcBorders/>
            <w:shd w:fill="CCEEFF" w:val="clear"/>
            <w:vAlign w:val="center"/>
          </w:tcPr>
          <w:p>
            <w:pPr>
              <w:pStyle w:val="TableContents"/>
              <w:bidi w:val="0"/>
              <w:spacing w:before="0" w:after="283"/>
              <w:jc w:val="left"/>
              <w:rPr/>
            </w:pPr>
            <w:r>
              <w:rPr/>
              <w:t> </w:t>
            </w:r>
            <w:bookmarkStart w:id="507" w:name="xdx_409_eus-gaap--RestrictedCashAndCashE"/>
            <w:bookmarkEnd w:id="507"/>
          </w:p>
        </w:tc>
      </w:tr>
      <w:tr>
        <w:trPr/>
        <w:tc>
          <w:tcPr>
            <w:tcW w:w="6395" w:type="dxa"/>
            <w:tcBorders/>
            <w:shd w:fill="FFFFFF" w:val="clear"/>
            <w:vAlign w:val="center"/>
          </w:tcPr>
          <w:p>
            <w:pPr>
              <w:pStyle w:val="TableContents"/>
              <w:bidi w:val="0"/>
              <w:spacing w:before="0" w:after="283"/>
              <w:jc w:val="left"/>
              <w:rPr/>
            </w:pPr>
            <w:r>
              <w:rPr/>
              <w:t>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1,118,437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1,113,960</w:t>
            </w:r>
          </w:p>
        </w:tc>
        <w:tc>
          <w:tcPr>
            <w:tcW w:w="75" w:type="dxa"/>
            <w:tcBorders/>
            <w:shd w:fill="FFFFFF" w:val="clear"/>
            <w:vAlign w:val="center"/>
          </w:tcPr>
          <w:p>
            <w:pPr>
              <w:pStyle w:val="TableContents"/>
              <w:bidi w:val="0"/>
              <w:spacing w:before="0" w:after="283"/>
              <w:jc w:val="left"/>
              <w:rPr/>
            </w:pPr>
            <w:r>
              <w:rPr/>
              <w:t> </w:t>
            </w:r>
            <w:bookmarkStart w:id="508" w:name="xdx_40E_eus-gaap--CashCashEquivalentsRes"/>
            <w:bookmarkEnd w:id="508"/>
          </w:p>
        </w:tc>
      </w:tr>
      <w:tr>
        <w:trPr/>
        <w:tc>
          <w:tcPr>
            <w:tcW w:w="6395" w:type="dxa"/>
            <w:tcBorders/>
            <w:shd w:fill="CCEEFF" w:val="clear"/>
            <w:vAlign w:val="center"/>
          </w:tcPr>
          <w:p>
            <w:pPr>
              <w:pStyle w:val="TableContents"/>
              <w:bidi w:val="0"/>
              <w:spacing w:before="0" w:after="283"/>
              <w:jc w:val="left"/>
              <w:rPr/>
            </w:pPr>
            <w:r>
              <w:rPr/>
              <w:t>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16,612,593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4,074,120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9" w:name="xdx_8AC_zq43FqEPrgi1"/>
      <w:bookmarkEnd w:id="50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0" w:name="xdx_809_ecustom--RelatedPartyTransaction"/>
      <w:bookmarkEnd w:id="510"/>
      <w:r>
        <w:rPr>
          <w:rFonts w:ascii="Times New Roman;Times;Serif" w:hAnsi="Times New Roman;Times;Serif"/>
          <w:b/>
          <w:i w:val="false"/>
          <w:caps w:val="false"/>
          <w:smallCaps w:val="false"/>
          <w:sz w:val="20"/>
        </w:rPr>
        <w:t xml:space="preserve">NOTE 5 – </w:t>
      </w:r>
      <w:bookmarkStart w:id="511" w:name="xdx_822_zeE60UP3mDff"/>
      <w:bookmarkEnd w:id="511"/>
      <w:r>
        <w:rPr>
          <w:rFonts w:ascii="Times New Roman;Times;Serif" w:hAnsi="Times New Roman;Times;Serif"/>
          <w:b/>
          <w:i w:val="false"/>
          <w:caps w:val="false"/>
          <w:smallCaps w:val="false"/>
          <w:sz w:val="20"/>
        </w:rPr>
        <w:t>ACCOUNTS RECEIVABLE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w:t>
      </w:r>
      <w:bookmarkStart w:id="512" w:name="xdx_90C_ecustom--RelatedPartyTransaction"/>
      <w:bookmarkEnd w:id="512"/>
      <w:r>
        <w:rPr>
          <w:rFonts w:ascii="Times New Roman;Times;Serif" w:hAnsi="Times New Roman;Times;Serif"/>
          <w:b w:val="false"/>
          <w:i w:val="false"/>
          <w:caps w:val="false"/>
          <w:smallCaps w:val="false"/>
          <w:sz w:val="20"/>
        </w:rPr>
        <w:t>100% owned and controlled by the wife of the Founder, Co-Chief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w:t>
      </w:r>
      <w:bookmarkStart w:id="513" w:name="xdx_904_ecustom--AccountsPayableOffsetWi"/>
      <w:bookmarkEnd w:id="513"/>
      <w:r>
        <w:rPr>
          <w:rFonts w:ascii="Times New Roman;Times;Serif" w:hAnsi="Times New Roman;Times;Serif"/>
          <w:b w:val="false"/>
          <w:i w:val="false"/>
          <w:caps w:val="false"/>
          <w:smallCaps w:val="false"/>
          <w:sz w:val="20"/>
        </w:rPr>
        <w:t>0.5 million per month, or $</w:t>
      </w:r>
      <w:bookmarkStart w:id="514" w:name="xdx_905_ecustom--AccountsPayableOffsetWi"/>
      <w:bookmarkEnd w:id="514"/>
      <w:r>
        <w:rPr>
          <w:rFonts w:ascii="Times New Roman;Times;Serif" w:hAnsi="Times New Roman;Times;Serif"/>
          <w:b w:val="false"/>
          <w:i w:val="false"/>
          <w:caps w:val="false"/>
          <w:smallCaps w:val="false"/>
          <w:sz w:val="20"/>
        </w:rPr>
        <w:t>6.0 million annually, beginning in January 2024, until the receivable has been collected or offset in full. To reflect the timing of the offset agreement, a portion of the SDE receivable is presented as a long-term asset. During the six months ended June 30, 2024, the Company made cash payments to SDE in the amount of $</w:t>
      </w:r>
      <w:bookmarkStart w:id="515" w:name="xdx_900_ecustom--PaymentsForCash_iI_pn5n"/>
      <w:bookmarkEnd w:id="515"/>
      <w:r>
        <w:rPr>
          <w:rFonts w:ascii="Times New Roman;Times;Serif" w:hAnsi="Times New Roman;Times;Serif"/>
          <w:b w:val="false"/>
          <w:i w:val="false"/>
          <w:caps w:val="false"/>
          <w:smallCaps w:val="false"/>
          <w:sz w:val="20"/>
        </w:rPr>
        <w:t>26.3 million and anticipates continuing to make cash payment to SDE in future years. As of June 30, 2024 and December 31, 2023, the outstanding balance of net accounts receivable from related party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6" w:name="xdx_8B7_zysqo7HOUUXh"/>
      <w:bookmarkStart w:id="517" w:name="xdx_894_ecustom--ScheduleOfRelatedPartyT"/>
      <w:bookmarkEnd w:id="516"/>
      <w:bookmarkEnd w:id="517"/>
      <w:r>
        <w:rPr>
          <w:rFonts w:ascii="Times New Roman;Times;Serif" w:hAnsi="Times New Roman;Times;Serif"/>
          <w:b w:val="false"/>
          <w:i w:val="false"/>
          <w:caps w:val="false"/>
          <w:smallCaps w:val="false"/>
          <w:sz w:val="20"/>
        </w:rPr>
        <w:t>SCHEDULE OF ACCOUNTS RECEIVABLE (PAYABLE) - RELATED PARTY </w:t>
      </w:r>
    </w:p>
    <w:tbl>
      <w:tblPr>
        <w:tblW w:w="8840" w:type="dxa"/>
        <w:jc w:val="left"/>
        <w:tblInd w:w="0" w:type="dxa"/>
        <w:tblLayout w:type="fixed"/>
        <w:tblCellMar>
          <w:top w:w="0" w:type="dxa"/>
          <w:left w:w="0" w:type="dxa"/>
          <w:bottom w:w="0" w:type="dxa"/>
          <w:right w:w="0" w:type="dxa"/>
        </w:tblCellMar>
      </w:tblPr>
      <w:tblGrid>
        <w:gridCol w:w="5960"/>
        <w:gridCol w:w="60"/>
        <w:gridCol w:w="140"/>
        <w:gridCol w:w="1100"/>
        <w:gridCol w:w="95"/>
        <w:gridCol w:w="60"/>
        <w:gridCol w:w="140"/>
        <w:gridCol w:w="1175"/>
        <w:gridCol w:w="110"/>
      </w:tblGrid>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8" w:name="xdx_497_20240630_zho6L6tT6os8"/>
            <w:bookmarkEnd w:id="518"/>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9" w:name="xdx_498_20231231_zyzyRF3TP7Ug"/>
            <w:bookmarkEnd w:id="519"/>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20" w:name="xdx_407_eus-gaap--AccountsReceivableGros"/>
            <w:bookmarkEnd w:id="520"/>
          </w:p>
        </w:tc>
      </w:tr>
      <w:tr>
        <w:trPr/>
        <w:tc>
          <w:tcPr>
            <w:tcW w:w="5960"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10,500,592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13,500,592</w:t>
            </w:r>
          </w:p>
        </w:tc>
        <w:tc>
          <w:tcPr>
            <w:tcW w:w="110" w:type="dxa"/>
            <w:tcBorders/>
            <w:shd w:fill="CCEEFF" w:val="clear"/>
            <w:vAlign w:val="center"/>
          </w:tcPr>
          <w:p>
            <w:pPr>
              <w:pStyle w:val="TableContents"/>
              <w:bidi w:val="0"/>
              <w:spacing w:before="0" w:after="283"/>
              <w:jc w:val="left"/>
              <w:rPr/>
            </w:pPr>
            <w:r>
              <w:rPr/>
              <w:t> </w:t>
            </w:r>
            <w:bookmarkStart w:id="521" w:name="xdx_406_eus-gaap--AccountsPayableCurrent"/>
            <w:bookmarkEnd w:id="521"/>
          </w:p>
        </w:tc>
      </w:tr>
      <w:tr>
        <w:trPr/>
        <w:tc>
          <w:tcPr>
            <w:tcW w:w="5960" w:type="dxa"/>
            <w:tcBorders/>
            <w:shd w:fill="FFFFFF" w:val="clear"/>
            <w:vAlign w:val="center"/>
          </w:tcPr>
          <w:p>
            <w:pPr>
              <w:pStyle w:val="TableContents"/>
              <w:bidi w:val="0"/>
              <w:spacing w:before="0" w:after="283"/>
              <w:jc w:val="left"/>
              <w:rPr/>
            </w:pPr>
            <w:r>
              <w:rPr/>
              <w:t>Less: accounts payable – related party – SDE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(3,309,694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(10,946,478</w:t>
            </w:r>
          </w:p>
        </w:tc>
        <w:tc>
          <w:tcPr>
            <w:tcW w:w="110" w:type="dxa"/>
            <w:tcBorders/>
            <w:shd w:fill="FFFFFF" w:val="clear"/>
            <w:vAlign w:val="center"/>
          </w:tcPr>
          <w:p>
            <w:pPr>
              <w:pStyle w:val="TableContents"/>
              <w:bidi w:val="0"/>
              <w:spacing w:before="0" w:after="283"/>
              <w:jc w:val="left"/>
              <w:rPr/>
            </w:pPr>
            <w:r>
              <w:rPr/>
              <w:t>)</w:t>
            </w:r>
            <w:bookmarkStart w:id="522" w:name="xdx_400_eus-gaap--AccountsReceivableNet_"/>
            <w:bookmarkEnd w:id="522"/>
          </w:p>
        </w:tc>
      </w:tr>
      <w:tr>
        <w:trPr/>
        <w:tc>
          <w:tcPr>
            <w:tcW w:w="5960" w:type="dxa"/>
            <w:tcBorders/>
            <w:shd w:fill="CCEEFF" w:val="clear"/>
            <w:vAlign w:val="center"/>
          </w:tcPr>
          <w:p>
            <w:pPr>
              <w:pStyle w:val="TableContents"/>
              <w:bidi w:val="0"/>
              <w:spacing w:before="0" w:after="283"/>
              <w:jc w:val="left"/>
              <w:rPr/>
            </w:pPr>
            <w:r>
              <w:rPr/>
              <w:t>Net accounts receivable, related party - SDE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7,190,898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2,554,114</w:t>
            </w:r>
          </w:p>
        </w:tc>
        <w:tc>
          <w:tcPr>
            <w:tcW w:w="110" w:type="dxa"/>
            <w:tcBorders/>
            <w:shd w:fill="CCEEFF" w:val="clear"/>
            <w:vAlign w:val="center"/>
          </w:tcPr>
          <w:p>
            <w:pPr>
              <w:pStyle w:val="TableContents"/>
              <w:bidi w:val="0"/>
              <w:spacing w:before="0" w:after="283"/>
              <w:jc w:val="left"/>
              <w:rPr/>
            </w:pPr>
            <w:r>
              <w:rPr/>
              <w:t> </w:t>
            </w:r>
            <w:bookmarkStart w:id="523" w:name="xdx_409_eus-gaap--AccountsReceivableNetN"/>
            <w:bookmarkEnd w:id="523"/>
          </w:p>
        </w:tc>
      </w:tr>
      <w:tr>
        <w:trPr/>
        <w:tc>
          <w:tcPr>
            <w:tcW w:w="5960" w:type="dxa"/>
            <w:tcBorders/>
            <w:shd w:fill="FFFFFF" w:val="clear"/>
            <w:vAlign w:val="center"/>
          </w:tcPr>
          <w:p>
            <w:pPr>
              <w:pStyle w:val="TableContents"/>
              <w:bidi w:val="0"/>
              <w:spacing w:before="0" w:after="283"/>
              <w:jc w:val="left"/>
              <w:rPr/>
            </w:pPr>
            <w:r>
              <w:rPr/>
              <w:t>Less: accounts receivable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4,500,592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7,500,592</w:t>
            </w:r>
          </w:p>
        </w:tc>
        <w:tc>
          <w:tcPr>
            <w:tcW w:w="110" w:type="dxa"/>
            <w:tcBorders/>
            <w:shd w:fill="FFFFFF" w:val="clear"/>
            <w:vAlign w:val="center"/>
          </w:tcPr>
          <w:p>
            <w:pPr>
              <w:pStyle w:val="TableContents"/>
              <w:bidi w:val="0"/>
              <w:spacing w:before="0" w:after="283"/>
              <w:jc w:val="left"/>
              <w:rPr/>
            </w:pPr>
            <w:r>
              <w:rPr/>
              <w:t> </w:t>
            </w:r>
            <w:bookmarkStart w:id="524" w:name="xdx_401_ecustom--AccountsReceivablePayab"/>
            <w:bookmarkEnd w:id="524"/>
          </w:p>
        </w:tc>
      </w:tr>
      <w:tr>
        <w:trPr/>
        <w:tc>
          <w:tcPr>
            <w:tcW w:w="5960" w:type="dxa"/>
            <w:tcBorders/>
            <w:shd w:fill="CCEEFF" w:val="clear"/>
            <w:vAlign w:val="center"/>
          </w:tcPr>
          <w:p>
            <w:pPr>
              <w:pStyle w:val="TableContents"/>
              <w:bidi w:val="0"/>
              <w:spacing w:before="0" w:after="283"/>
              <w:jc w:val="left"/>
              <w:rPr/>
            </w:pPr>
            <w:r>
              <w:rPr/>
              <w:t>Net accounts receivable (payable), related party, current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2,690,306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(4,946,478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525" w:name="xdx_8AA_zBlUnJzbioW1"/>
      <w:bookmarkEnd w:id="52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6" w:name="xdx_80A_ecustom--PrepaidExpensesRelatedP"/>
      <w:bookmarkEnd w:id="526"/>
      <w:r>
        <w:rPr>
          <w:rFonts w:ascii="Times New Roman;Times;Serif" w:hAnsi="Times New Roman;Times;Serif"/>
          <w:b/>
          <w:i w:val="false"/>
          <w:caps w:val="false"/>
          <w:smallCaps w:val="false"/>
          <w:sz w:val="20"/>
        </w:rPr>
        <w:t xml:space="preserve">NOTE 6 – </w:t>
      </w:r>
      <w:bookmarkStart w:id="527" w:name="xdx_82C_zfT56uysWABd"/>
      <w:bookmarkEnd w:id="527"/>
      <w:r>
        <w:rPr>
          <w:rFonts w:ascii="Times New Roman;Times;Serif" w:hAnsi="Times New Roman;Times;Serif"/>
          <w:b/>
          <w:i w:val="false"/>
          <w:caps w:val="false"/>
          <w:smallCaps w:val="false"/>
          <w:sz w:val="20"/>
        </w:rPr>
        <w:t>PREPAID EXPENSES - RELATED PARTY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amended its exclusive software license agreement with SDE relating to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DLC’s, the Company plans to release during the term of the agreement, the Company has the option to pay the $</w:t>
      </w:r>
      <w:bookmarkStart w:id="528" w:name="xdx_904_ecustom--AmountPrepaidUnderExclu"/>
      <w:bookmarkEnd w:id="528"/>
      <w:r>
        <w:rPr>
          <w:rFonts w:ascii="Times New Roman;Times;Serif" w:hAnsi="Times New Roman;Times;Serif"/>
          <w:b w:val="false"/>
          <w:i w:val="false"/>
          <w:caps w:val="false"/>
          <w:smallCaps w:val="false"/>
          <w:sz w:val="20"/>
        </w:rPr>
        <w:t>5.0 million DLC payment in whole or in part, when paid in advance; or in full, upon the DLC release. No payment for any DLC under this agreement will exceed $</w:t>
      </w:r>
      <w:bookmarkStart w:id="529" w:name="xdx_90F_ecustom--MaximumAmountPayableUnd"/>
      <w:bookmarkEnd w:id="529"/>
      <w:r>
        <w:rPr>
          <w:rFonts w:ascii="Times New Roman;Times;Serif" w:hAnsi="Times New Roman;Times;Serif"/>
          <w:b w:val="false"/>
          <w:i w:val="false"/>
          <w:caps w:val="false"/>
          <w:smallCaps w:val="false"/>
          <w:sz w:val="20"/>
        </w:rPr>
        <w:t>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made $</w:t>
      </w:r>
      <w:bookmarkStart w:id="530" w:name="xdx_90A_eus-gaap--PrepaidRoyalties_iI_pn"/>
      <w:bookmarkEnd w:id="530"/>
      <w:r>
        <w:rPr>
          <w:rFonts w:ascii="Times New Roman;Times;Serif" w:hAnsi="Times New Roman;Times;Serif"/>
          <w:b w:val="false"/>
          <w:i w:val="false"/>
          <w:caps w:val="false"/>
          <w:smallCaps w:val="false"/>
          <w:sz w:val="20"/>
        </w:rPr>
        <w:t xml:space="preserve">2.3 million in prepaid royalty payments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During the year ended December 31, 2023, the Company prepaid $</w:t>
      </w:r>
      <w:bookmarkStart w:id="531" w:name="xdx_90F_ecustom--PrepaidLicenses_iI_pn5n"/>
      <w:bookmarkEnd w:id="531"/>
      <w:r>
        <w:rPr>
          <w:rFonts w:ascii="Times New Roman;Times;Serif" w:hAnsi="Times New Roman;Times;Serif"/>
          <w:b w:val="false"/>
          <w:i w:val="false"/>
          <w:caps w:val="false"/>
          <w:smallCaps w:val="false"/>
          <w:sz w:val="20"/>
        </w:rPr>
        <w:t xml:space="preserve">2.5 million for exclusive license rights for an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 to SDE and $</w:t>
      </w:r>
      <w:bookmarkStart w:id="532" w:name="xdx_909_eus-gaap--PrepaidRoyalties_iI_pn"/>
      <w:bookmarkEnd w:id="532"/>
      <w:r>
        <w:rPr>
          <w:rFonts w:ascii="Times New Roman;Times;Serif" w:hAnsi="Times New Roman;Times;Serif"/>
          <w:b w:val="false"/>
          <w:i w:val="false"/>
          <w:caps w:val="false"/>
          <w:smallCaps w:val="false"/>
          <w:sz w:val="20"/>
        </w:rPr>
        <w:t xml:space="preserve">5.5 million in prepaid royalties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Prepaid expenses — related party consisted of the following as of June 30, 2024 and December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3" w:name="xdx_8BA_zX95x58eaDFc"/>
      <w:bookmarkStart w:id="534" w:name="xdx_897_ecustom--ScheduleOfPrepaidExpens"/>
      <w:bookmarkEnd w:id="533"/>
      <w:bookmarkEnd w:id="534"/>
      <w:r>
        <w:rPr>
          <w:rFonts w:ascii="Times New Roman;Times;Serif" w:hAnsi="Times New Roman;Times;Serif"/>
          <w:b w:val="false"/>
          <w:i w:val="false"/>
          <w:caps w:val="false"/>
          <w:smallCaps w:val="false"/>
          <w:sz w:val="20"/>
        </w:rPr>
        <w:t>SCHEDULE OF PREPAID EXPENSES - RELATED PARTY </w:t>
      </w:r>
    </w:p>
    <w:tbl>
      <w:tblPr>
        <w:tblW w:w="741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35" w:name="xdx_491_20240630__us-gaap--RelatedPartyT"/>
            <w:bookmarkEnd w:id="535"/>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6" w:name="xdx_491_20231231__us-gaap--RelatedPartyT"/>
            <w:bookmarkEnd w:id="536"/>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37" w:name="xdx_40A_eus-gaap--PrepaidRoyalties_iI_ma"/>
            <w:bookmarkEnd w:id="537"/>
          </w:p>
        </w:tc>
      </w:tr>
      <w:tr>
        <w:trPr/>
        <w:tc>
          <w:tcPr>
            <w:tcW w:w="4610" w:type="dxa"/>
            <w:tcBorders/>
            <w:shd w:fill="CCEEFF" w:val="clear"/>
            <w:vAlign w:val="center"/>
          </w:tcPr>
          <w:p>
            <w:pPr>
              <w:pStyle w:val="TableContents"/>
              <w:bidi w:val="0"/>
              <w:spacing w:before="0" w:after="283"/>
              <w:jc w:val="left"/>
              <w:rPr/>
            </w:pPr>
            <w:r>
              <w:rPr/>
              <w:t>Prepaid royalties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7,738,831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6,086,406</w:t>
            </w:r>
          </w:p>
        </w:tc>
        <w:tc>
          <w:tcPr>
            <w:tcW w:w="110" w:type="dxa"/>
            <w:tcBorders/>
            <w:shd w:fill="CCEEFF" w:val="clear"/>
            <w:vAlign w:val="center"/>
          </w:tcPr>
          <w:p>
            <w:pPr>
              <w:pStyle w:val="TableContents"/>
              <w:bidi w:val="0"/>
              <w:spacing w:before="0" w:after="283"/>
              <w:jc w:val="left"/>
              <w:rPr/>
            </w:pPr>
            <w:r>
              <w:rPr/>
              <w:t> </w:t>
            </w:r>
            <w:bookmarkStart w:id="538" w:name="xdx_409_ecustom--PrepaidLicenses_iI_maPE"/>
            <w:bookmarkEnd w:id="538"/>
          </w:p>
        </w:tc>
      </w:tr>
      <w:tr>
        <w:trPr/>
        <w:tc>
          <w:tcPr>
            <w:tcW w:w="4610" w:type="dxa"/>
            <w:tcBorders/>
            <w:shd w:fill="FFFFFF" w:val="clear"/>
            <w:vAlign w:val="center"/>
          </w:tcPr>
          <w:p>
            <w:pPr>
              <w:pStyle w:val="TableContents"/>
              <w:bidi w:val="0"/>
              <w:spacing w:before="0" w:after="283"/>
              <w:jc w:val="left"/>
              <w:rPr/>
            </w:pPr>
            <w:r>
              <w:rPr/>
              <w:t>Prepaid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7,500,000</w:t>
            </w:r>
          </w:p>
        </w:tc>
        <w:tc>
          <w:tcPr>
            <w:tcW w:w="110" w:type="dxa"/>
            <w:tcBorders/>
            <w:shd w:fill="FFFFFF" w:val="clear"/>
            <w:vAlign w:val="center"/>
          </w:tcPr>
          <w:p>
            <w:pPr>
              <w:pStyle w:val="TableContents"/>
              <w:bidi w:val="0"/>
              <w:spacing w:before="0" w:after="283"/>
              <w:jc w:val="left"/>
              <w:rPr/>
            </w:pPr>
            <w:r>
              <w:rPr/>
              <w:t> </w:t>
            </w:r>
            <w:bookmarkStart w:id="539" w:name="xdx_407_eus-gaap--OtherPrepaidExpenseCur"/>
            <w:bookmarkEnd w:id="539"/>
          </w:p>
        </w:tc>
      </w:tr>
      <w:tr>
        <w:trPr/>
        <w:tc>
          <w:tcPr>
            <w:tcW w:w="4610"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122,306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242,060</w:t>
            </w:r>
          </w:p>
        </w:tc>
        <w:tc>
          <w:tcPr>
            <w:tcW w:w="110" w:type="dxa"/>
            <w:tcBorders/>
            <w:shd w:fill="CCEEFF" w:val="clear"/>
            <w:vAlign w:val="center"/>
          </w:tcPr>
          <w:p>
            <w:pPr>
              <w:pStyle w:val="TableContents"/>
              <w:bidi w:val="0"/>
              <w:spacing w:before="0" w:after="283"/>
              <w:jc w:val="left"/>
              <w:rPr/>
            </w:pPr>
            <w:r>
              <w:rPr/>
              <w:t> </w:t>
            </w:r>
            <w:bookmarkStart w:id="540" w:name="xdx_401_eus-gaap--PrepaidExpenseCurrentA"/>
            <w:bookmarkEnd w:id="540"/>
          </w:p>
        </w:tc>
      </w:tr>
      <w:tr>
        <w:trPr/>
        <w:tc>
          <w:tcPr>
            <w:tcW w:w="4610" w:type="dxa"/>
            <w:tcBorders/>
            <w:shd w:fill="FFFFFF" w:val="clear"/>
            <w:vAlign w:val="center"/>
          </w:tcPr>
          <w:p>
            <w:pPr>
              <w:pStyle w:val="TableContents"/>
              <w:bidi w:val="0"/>
              <w:spacing w:before="0" w:after="283"/>
              <w:jc w:val="left"/>
              <w:rPr/>
            </w:pPr>
            <w:r>
              <w:rPr/>
              <w:t>Prepaid expenses - related party,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15,361,137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13,828,466</w:t>
            </w:r>
          </w:p>
        </w:tc>
        <w:tc>
          <w:tcPr>
            <w:tcW w:w="110" w:type="dxa"/>
            <w:tcBorders/>
            <w:shd w:fill="FFFFFF" w:val="clear"/>
            <w:vAlign w:val="center"/>
          </w:tcPr>
          <w:p>
            <w:pPr>
              <w:pStyle w:val="TableContents"/>
              <w:bidi w:val="0"/>
              <w:spacing w:before="0" w:after="283"/>
              <w:jc w:val="left"/>
              <w:rPr/>
            </w:pPr>
            <w:r>
              <w:rPr/>
              <w:t> </w:t>
            </w:r>
            <w:bookmarkStart w:id="541" w:name="xdx_407_eus-gaap--PrepaidExpenseCurrent_"/>
            <w:bookmarkEnd w:id="541"/>
          </w:p>
        </w:tc>
      </w:tr>
      <w:tr>
        <w:trPr/>
        <w:tc>
          <w:tcPr>
            <w:tcW w:w="4610" w:type="dxa"/>
            <w:tcBorders/>
            <w:shd w:fill="CCEEFF" w:val="clear"/>
            <w:vAlign w:val="center"/>
          </w:tcPr>
          <w:p>
            <w:pPr>
              <w:pStyle w:val="TableContents"/>
              <w:bidi w:val="0"/>
              <w:spacing w:before="0" w:after="283"/>
              <w:jc w:val="left"/>
              <w:rPr/>
            </w:pPr>
            <w:r>
              <w:rPr/>
              <w:t>Less: short-term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(4,151,547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(6,044,404</w:t>
            </w:r>
          </w:p>
        </w:tc>
        <w:tc>
          <w:tcPr>
            <w:tcW w:w="110" w:type="dxa"/>
            <w:tcBorders/>
            <w:shd w:fill="CCEEFF" w:val="clear"/>
            <w:vAlign w:val="center"/>
          </w:tcPr>
          <w:p>
            <w:pPr>
              <w:pStyle w:val="TableContents"/>
              <w:bidi w:val="0"/>
              <w:spacing w:before="0" w:after="283"/>
              <w:jc w:val="left"/>
              <w:rPr/>
            </w:pPr>
            <w:r>
              <w:rPr/>
              <w:t>)</w:t>
            </w:r>
            <w:bookmarkStart w:id="542" w:name="xdx_402_eus-gaap--PrepaidExpenseNoncurre"/>
            <w:bookmarkEnd w:id="542"/>
          </w:p>
        </w:tc>
      </w:tr>
      <w:tr>
        <w:trPr/>
        <w:tc>
          <w:tcPr>
            <w:tcW w:w="4610" w:type="dxa"/>
            <w:tcBorders/>
            <w:shd w:fill="FFFFFF" w:val="clear"/>
            <w:vAlign w:val="center"/>
          </w:tcPr>
          <w:p>
            <w:pPr>
              <w:pStyle w:val="TableContents"/>
              <w:bidi w:val="0"/>
              <w:spacing w:before="0" w:after="283"/>
              <w:jc w:val="left"/>
              <w:rPr/>
            </w:pPr>
            <w:r>
              <w:rPr/>
              <w:t>Total prepaid expenses - related party, long-term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11,209,590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7,784,062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3" w:name="xdx_8A1_zWIi5JS0HeT"/>
      <w:bookmarkEnd w:id="5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classified as short-term, as of June 30, 2024, includes prepaid royalties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DLC’s which have not yet been released and various operational software licenses obtained through SDE.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4" w:name="xdx_80F_ecustom--PrepaidExpensesAndOther"/>
      <w:bookmarkEnd w:id="544"/>
      <w:r>
        <w:rPr>
          <w:rFonts w:ascii="Times New Roman;Times;Serif" w:hAnsi="Times New Roman;Times;Serif"/>
          <w:b/>
          <w:i w:val="false"/>
          <w:caps w:val="false"/>
          <w:smallCaps w:val="false"/>
          <w:sz w:val="20"/>
        </w:rPr>
        <w:t xml:space="preserve">NOTE 7 – </w:t>
      </w:r>
      <w:bookmarkStart w:id="545" w:name="xdx_820_zTqDusWua2Ff"/>
      <w:bookmarkEnd w:id="545"/>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6" w:name="xdx_89D_eus-gaap--DeferredCostsCapitaliz"/>
      <w:bookmarkEnd w:id="546"/>
      <w:r>
        <w:rPr>
          <w:rFonts w:ascii="Times New Roman;Times;Serif" w:hAnsi="Times New Roman;Times;Serif"/>
          <w:b w:val="false"/>
          <w:i w:val="false"/>
          <w:caps w:val="false"/>
          <w:smallCaps w:val="false"/>
          <w:sz w:val="20"/>
        </w:rPr>
        <w:t>Prepaid expenses and other current assets consisted of the following as of June 30, 2024 and December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7" w:name="xdx_8B6_zDImfbEiMQVl"/>
      <w:bookmarkEnd w:id="547"/>
      <w:r>
        <w:rPr>
          <w:rFonts w:ascii="Times New Roman;Times;Serif" w:hAnsi="Times New Roman;Times;Serif"/>
          <w:b w:val="false"/>
          <w:i w:val="false"/>
          <w:caps w:val="false"/>
          <w:smallCaps w:val="false"/>
          <w:sz w:val="20"/>
        </w:rPr>
        <w:t>SCHEDULE OF PREPAID EXPENSES AND OTHER CURRENT ASSETS </w:t>
      </w:r>
    </w:p>
    <w:tbl>
      <w:tblPr>
        <w:tblW w:w="6790" w:type="dxa"/>
        <w:jc w:val="left"/>
        <w:tblInd w:w="0" w:type="dxa"/>
        <w:tblLayout w:type="fixed"/>
        <w:tblCellMar>
          <w:top w:w="0" w:type="dxa"/>
          <w:left w:w="0" w:type="dxa"/>
          <w:bottom w:w="0" w:type="dxa"/>
          <w:right w:w="0" w:type="dxa"/>
        </w:tblCellMar>
      </w:tblPr>
      <w:tblGrid>
        <w:gridCol w:w="4475"/>
        <w:gridCol w:w="60"/>
        <w:gridCol w:w="140"/>
        <w:gridCol w:w="980"/>
        <w:gridCol w:w="60"/>
        <w:gridCol w:w="60"/>
        <w:gridCol w:w="140"/>
        <w:gridCol w:w="80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8" w:name="xdx_496_20240630_zhQHAVtob9Tk"/>
            <w:bookmarkEnd w:id="548"/>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9" w:name="xdx_495_20231231_zvg2XQ34i8b1"/>
            <w:bookmarkEnd w:id="549"/>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550" w:name="xdx_405_ecustom--PrepaidOtherReceivable_"/>
            <w:bookmarkEnd w:id="550"/>
          </w:p>
        </w:tc>
      </w:tr>
      <w:tr>
        <w:trPr/>
        <w:tc>
          <w:tcPr>
            <w:tcW w:w="447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810,602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51" w:name="xdx_400_eus-gaap--DeferredOfferingCosts_"/>
            <w:bookmarkEnd w:id="551"/>
          </w:p>
        </w:tc>
      </w:tr>
      <w:tr>
        <w:trPr/>
        <w:tc>
          <w:tcPr>
            <w:tcW w:w="4475"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105,411</w:t>
            </w:r>
          </w:p>
        </w:tc>
        <w:tc>
          <w:tcPr>
            <w:tcW w:w="75" w:type="dxa"/>
            <w:tcBorders/>
            <w:shd w:fill="FFFFFF" w:val="clear"/>
            <w:vAlign w:val="center"/>
          </w:tcPr>
          <w:p>
            <w:pPr>
              <w:pStyle w:val="TableContents"/>
              <w:bidi w:val="0"/>
              <w:spacing w:before="0" w:after="283"/>
              <w:jc w:val="left"/>
              <w:rPr/>
            </w:pPr>
            <w:r>
              <w:rPr/>
              <w:t> </w:t>
            </w:r>
            <w:bookmarkStart w:id="552" w:name="xdx_40A_eus-gaap--OtherPrepaidExpenseCur"/>
            <w:bookmarkEnd w:id="552"/>
          </w:p>
        </w:tc>
      </w:tr>
      <w:tr>
        <w:trPr/>
        <w:tc>
          <w:tcPr>
            <w:tcW w:w="4475"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70,967</w:t>
            </w:r>
          </w:p>
        </w:tc>
        <w:tc>
          <w:tcPr>
            <w:tcW w:w="75" w:type="dxa"/>
            <w:tcBorders/>
            <w:shd w:fill="CCEEFF" w:val="clear"/>
            <w:vAlign w:val="center"/>
          </w:tcPr>
          <w:p>
            <w:pPr>
              <w:pStyle w:val="TableContents"/>
              <w:bidi w:val="0"/>
              <w:spacing w:before="0" w:after="283"/>
              <w:jc w:val="left"/>
              <w:rPr/>
            </w:pPr>
            <w:r>
              <w:rPr/>
              <w:t> </w:t>
            </w:r>
            <w:bookmarkStart w:id="553" w:name="xdx_408_eus-gaap--OtherAssetsCurrent_iI_"/>
            <w:bookmarkEnd w:id="553"/>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297,845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463,315</w:t>
            </w:r>
          </w:p>
        </w:tc>
        <w:tc>
          <w:tcPr>
            <w:tcW w:w="75" w:type="dxa"/>
            <w:tcBorders/>
            <w:shd w:fill="FFFFFF" w:val="clear"/>
            <w:vAlign w:val="center"/>
          </w:tcPr>
          <w:p>
            <w:pPr>
              <w:pStyle w:val="TableContents"/>
              <w:bidi w:val="0"/>
              <w:spacing w:before="0" w:after="283"/>
              <w:jc w:val="left"/>
              <w:rPr/>
            </w:pPr>
            <w:r>
              <w:rPr/>
              <w:t> </w:t>
            </w:r>
            <w:bookmarkStart w:id="554" w:name="xdx_404_eus-gaap--PrepaidExpenseAndOther"/>
            <w:bookmarkEnd w:id="554"/>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1,290,375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639,693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xml:space="preserve">Other receivables consist of receivables related to </w:t>
      </w:r>
      <w:r>
        <w:rPr>
          <w:i/>
        </w:rPr>
        <w:t>Myth of Empires.</w:t>
      </w:r>
    </w:p>
    <w:p>
      <w:pPr>
        <w:pStyle w:val="TextBody"/>
        <w:bidi w:val="0"/>
        <w:spacing w:before="0" w:after="0"/>
        <w:ind w:left="0" w:right="0" w:hanging="0"/>
        <w:jc w:val="center"/>
        <w:rPr>
          <w:caps w:val="false"/>
          <w:smallCaps w:val="false"/>
        </w:rPr>
      </w:pPr>
      <w:bookmarkStart w:id="555" w:name="xdx_8A9_zlFqtX1EzXQ2"/>
      <w:bookmarkEnd w:id="55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6" w:name="xdx_805_eus-gaap--PropertyPlantAndEquipm"/>
      <w:bookmarkEnd w:id="556"/>
      <w:r>
        <w:rPr>
          <w:rFonts w:ascii="Times New Roman;Times;Serif" w:hAnsi="Times New Roman;Times;Serif"/>
          <w:b/>
          <w:i w:val="false"/>
          <w:caps w:val="false"/>
          <w:smallCaps w:val="false"/>
          <w:sz w:val="20"/>
        </w:rPr>
        <w:t xml:space="preserve">NOTE 8 – </w:t>
      </w:r>
      <w:bookmarkStart w:id="557" w:name="xdx_82D_zNJlzUnILjs8"/>
      <w:bookmarkEnd w:id="557"/>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8" w:name="xdx_89B_eus-gaap--PropertyPlantAndEquipm"/>
      <w:bookmarkEnd w:id="558"/>
      <w:r>
        <w:rPr>
          <w:rFonts w:ascii="Times New Roman;Times;Serif" w:hAnsi="Times New Roman;Times;Serif"/>
          <w:b w:val="false"/>
          <w:i w:val="false"/>
          <w:caps w:val="false"/>
          <w:smallCaps w:val="false"/>
          <w:sz w:val="20"/>
        </w:rPr>
        <w:t>Property and equipment, net consisted of the following as of June 30, 2024 and December 31,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59" w:name="xdx_8B0_zMSM3ktejVF7"/>
      <w:bookmarkEnd w:id="559"/>
      <w:r>
        <w:rPr>
          <w:rFonts w:ascii="Times New Roman;Times;Serif" w:hAnsi="Times New Roman;Times;Serif"/>
          <w:b w:val="false"/>
          <w:i w:val="false"/>
          <w:caps w:val="false"/>
          <w:smallCaps w:val="false"/>
          <w:sz w:val="20"/>
        </w:rPr>
        <w:t>SCHEDULE OF PROPERTY, PLANT AND EQUIPMENT, NET </w:t>
      </w:r>
    </w:p>
    <w:tbl>
      <w:tblPr>
        <w:tblW w:w="5720" w:type="dxa"/>
        <w:jc w:val="left"/>
        <w:tblInd w:w="0" w:type="dxa"/>
        <w:tblLayout w:type="fixed"/>
        <w:tblCellMar>
          <w:top w:w="0" w:type="dxa"/>
          <w:left w:w="0" w:type="dxa"/>
          <w:bottom w:w="0" w:type="dxa"/>
          <w:right w:w="0" w:type="dxa"/>
        </w:tblCellMar>
      </w:tblPr>
      <w:tblGrid>
        <w:gridCol w:w="3005"/>
        <w:gridCol w:w="60"/>
        <w:gridCol w:w="140"/>
        <w:gridCol w:w="1055"/>
        <w:gridCol w:w="95"/>
        <w:gridCol w:w="60"/>
        <w:gridCol w:w="140"/>
        <w:gridCol w:w="1055"/>
        <w:gridCol w:w="110"/>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60" w:name="xdx_495_20240630_zkNb8leIOwJ9"/>
            <w:bookmarkEnd w:id="560"/>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1" w:name="xdx_498_20231231_zJPq7QvAAoPk"/>
            <w:bookmarkEnd w:id="561"/>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62" w:name="xdx_403_eus-gaap--PropertyPlantAndEquipm"/>
            <w:bookmarkEnd w:id="562"/>
          </w:p>
        </w:tc>
      </w:tr>
      <w:tr>
        <w:trPr/>
        <w:tc>
          <w:tcPr>
            <w:tcW w:w="300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110" w:type="dxa"/>
            <w:tcBorders/>
            <w:shd w:fill="CCEEFF" w:val="clear"/>
            <w:vAlign w:val="center"/>
          </w:tcPr>
          <w:p>
            <w:pPr>
              <w:pStyle w:val="TableContents"/>
              <w:bidi w:val="0"/>
              <w:spacing w:before="0" w:after="283"/>
              <w:jc w:val="left"/>
              <w:rPr/>
            </w:pPr>
            <w:r>
              <w:rPr/>
              <w:t> </w:t>
            </w:r>
            <w:bookmarkStart w:id="563" w:name="xdx_40B_eus-gaap--PropertyPlantAndEquipm"/>
            <w:bookmarkEnd w:id="563"/>
          </w:p>
        </w:tc>
      </w:tr>
      <w:tr>
        <w:trPr/>
        <w:tc>
          <w:tcPr>
            <w:tcW w:w="300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110" w:type="dxa"/>
            <w:tcBorders/>
            <w:shd w:fill="FFFFFF" w:val="clear"/>
            <w:vAlign w:val="center"/>
          </w:tcPr>
          <w:p>
            <w:pPr>
              <w:pStyle w:val="TableContents"/>
              <w:bidi w:val="0"/>
              <w:spacing w:before="0" w:after="283"/>
              <w:jc w:val="left"/>
              <w:rPr/>
            </w:pPr>
            <w:r>
              <w:rPr/>
              <w:t> </w:t>
            </w:r>
            <w:bookmarkStart w:id="564" w:name="xdx_401_eus-gaap--PropertyPlantAndEquipm"/>
            <w:bookmarkEnd w:id="564"/>
          </w:p>
        </w:tc>
      </w:tr>
      <w:tr>
        <w:trPr/>
        <w:tc>
          <w:tcPr>
            <w:tcW w:w="3005" w:type="dxa"/>
            <w:tcBorders/>
            <w:shd w:fill="CCEEFF" w:val="clear"/>
            <w:vAlign w:val="center"/>
          </w:tcPr>
          <w:p>
            <w:pPr>
              <w:pStyle w:val="TableContents"/>
              <w:bidi w:val="0"/>
              <w:spacing w:before="0" w:after="283"/>
              <w:jc w:val="left"/>
              <w:rPr/>
            </w:pPr>
            <w:r>
              <w:rPr/>
              <w:t>Building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110" w:type="dxa"/>
            <w:tcBorders/>
            <w:shd w:fill="CCEEFF" w:val="clear"/>
            <w:vAlign w:val="center"/>
          </w:tcPr>
          <w:p>
            <w:pPr>
              <w:pStyle w:val="TableContents"/>
              <w:bidi w:val="0"/>
              <w:spacing w:before="0" w:after="283"/>
              <w:jc w:val="left"/>
              <w:rPr/>
            </w:pPr>
            <w:r>
              <w:rPr/>
              <w:t> </w:t>
            </w:r>
            <w:bookmarkStart w:id="565" w:name="xdx_40D_eus-gaap--PropertyPlantAndEquipm"/>
            <w:bookmarkEnd w:id="565"/>
          </w:p>
        </w:tc>
      </w:tr>
      <w:tr>
        <w:trPr/>
        <w:tc>
          <w:tcPr>
            <w:tcW w:w="30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110" w:type="dxa"/>
            <w:tcBorders/>
            <w:shd w:fill="FFFFFF" w:val="clear"/>
            <w:vAlign w:val="center"/>
          </w:tcPr>
          <w:p>
            <w:pPr>
              <w:pStyle w:val="TableContents"/>
              <w:bidi w:val="0"/>
              <w:spacing w:before="0" w:after="283"/>
              <w:jc w:val="left"/>
              <w:rPr/>
            </w:pPr>
            <w:r>
              <w:rPr/>
              <w:t> </w:t>
            </w:r>
            <w:bookmarkStart w:id="566" w:name="xdx_404_eus-gaap--PropertyPlantAndEquipm"/>
            <w:bookmarkEnd w:id="566"/>
          </w:p>
        </w:tc>
      </w:tr>
      <w:tr>
        <w:trPr/>
        <w:tc>
          <w:tcPr>
            <w:tcW w:w="3005" w:type="dxa"/>
            <w:tcBorders/>
            <w:shd w:fill="CCEEFF" w:val="clear"/>
            <w:vAlign w:val="center"/>
          </w:tcPr>
          <w:p>
            <w:pPr>
              <w:pStyle w:val="TableContents"/>
              <w:bidi w:val="0"/>
              <w:spacing w:before="0" w:after="283"/>
              <w:jc w:val="left"/>
              <w:rPr/>
            </w:pPr>
            <w:r>
              <w:rPr/>
              <w:t>Autos and trucks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110" w:type="dxa"/>
            <w:tcBorders/>
            <w:shd w:fill="CCEEFF" w:val="clear"/>
            <w:vAlign w:val="center"/>
          </w:tcPr>
          <w:p>
            <w:pPr>
              <w:pStyle w:val="TableContents"/>
              <w:bidi w:val="0"/>
              <w:spacing w:before="0" w:after="283"/>
              <w:jc w:val="left"/>
              <w:rPr/>
            </w:pPr>
            <w:r>
              <w:rPr/>
              <w:t> </w:t>
            </w:r>
            <w:bookmarkStart w:id="567" w:name="xdx_408_eus-gaap--PropertyPlantAndEquipm"/>
            <w:bookmarkEnd w:id="567"/>
          </w:p>
        </w:tc>
      </w:tr>
      <w:tr>
        <w:trPr/>
        <w:tc>
          <w:tcPr>
            <w:tcW w:w="3005" w:type="dxa"/>
            <w:tcBorders/>
            <w:shd w:fill="FFFFFF" w:val="clear"/>
            <w:vAlign w:val="center"/>
          </w:tcPr>
          <w:p>
            <w:pPr>
              <w:pStyle w:val="TableContents"/>
              <w:bidi w:val="0"/>
              <w:spacing w:before="0" w:after="283"/>
              <w:jc w:val="left"/>
              <w:rPr/>
            </w:pPr>
            <w:r>
              <w:rPr/>
              <w:t>Computer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1,809,214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1,809,214</w:t>
            </w:r>
          </w:p>
        </w:tc>
        <w:tc>
          <w:tcPr>
            <w:tcW w:w="110" w:type="dxa"/>
            <w:tcBorders/>
            <w:shd w:fill="FFFFFF" w:val="clear"/>
            <w:vAlign w:val="center"/>
          </w:tcPr>
          <w:p>
            <w:pPr>
              <w:pStyle w:val="TableContents"/>
              <w:bidi w:val="0"/>
              <w:spacing w:before="0" w:after="283"/>
              <w:jc w:val="left"/>
              <w:rPr/>
            </w:pPr>
            <w:r>
              <w:rPr/>
              <w:t> </w:t>
            </w:r>
            <w:bookmarkStart w:id="568" w:name="xdx_40F_eus-gaap--PropertyPlantAndEquipm"/>
            <w:bookmarkEnd w:id="568"/>
          </w:p>
        </w:tc>
      </w:tr>
      <w:tr>
        <w:trPr/>
        <w:tc>
          <w:tcPr>
            <w:tcW w:w="30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411,801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411,801</w:t>
            </w:r>
          </w:p>
        </w:tc>
        <w:tc>
          <w:tcPr>
            <w:tcW w:w="110" w:type="dxa"/>
            <w:tcBorders/>
            <w:shd w:fill="CCEEFF" w:val="clear"/>
            <w:vAlign w:val="center"/>
          </w:tcPr>
          <w:p>
            <w:pPr>
              <w:pStyle w:val="TableContents"/>
              <w:bidi w:val="0"/>
              <w:spacing w:before="0" w:after="283"/>
              <w:jc w:val="left"/>
              <w:rPr/>
            </w:pPr>
            <w:r>
              <w:rPr/>
              <w:t> </w:t>
            </w:r>
            <w:bookmarkStart w:id="569" w:name="xdx_40B_eus-gaap--PropertyPlantAndEquipm"/>
            <w:bookmarkEnd w:id="569"/>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9,521,752</w:t>
            </w:r>
          </w:p>
        </w:tc>
        <w:tc>
          <w:tcPr>
            <w:tcW w:w="110" w:type="dxa"/>
            <w:tcBorders/>
            <w:shd w:fill="FFFFFF" w:val="clear"/>
            <w:vAlign w:val="center"/>
          </w:tcPr>
          <w:p>
            <w:pPr>
              <w:pStyle w:val="TableContents"/>
              <w:bidi w:val="0"/>
              <w:spacing w:before="0" w:after="283"/>
              <w:jc w:val="left"/>
              <w:rPr/>
            </w:pPr>
            <w:r>
              <w:rPr/>
              <w:t> </w:t>
            </w:r>
            <w:bookmarkStart w:id="570" w:name="xdx_40E_eus-gaap--AccumulatedDepreciatio"/>
            <w:bookmarkEnd w:id="570"/>
          </w:p>
        </w:tc>
      </w:tr>
      <w:tr>
        <w:trPr/>
        <w:tc>
          <w:tcPr>
            <w:tcW w:w="300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(5,002,578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(4,839,686</w:t>
            </w:r>
          </w:p>
        </w:tc>
        <w:tc>
          <w:tcPr>
            <w:tcW w:w="110" w:type="dxa"/>
            <w:tcBorders/>
            <w:shd w:fill="CCEEFF" w:val="clear"/>
            <w:vAlign w:val="center"/>
          </w:tcPr>
          <w:p>
            <w:pPr>
              <w:pStyle w:val="TableContents"/>
              <w:bidi w:val="0"/>
              <w:spacing w:before="0" w:after="283"/>
              <w:jc w:val="left"/>
              <w:rPr/>
            </w:pPr>
            <w:r>
              <w:rPr/>
              <w:t>)</w:t>
            </w:r>
            <w:bookmarkStart w:id="571" w:name="xdx_401_eus-gaap--PropertyPlantAndEquipm"/>
            <w:bookmarkEnd w:id="571"/>
          </w:p>
        </w:tc>
      </w:tr>
      <w:tr>
        <w:trPr/>
        <w:tc>
          <w:tcPr>
            <w:tcW w:w="300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4,519,174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4,682,066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572" w:name="xdx_8A7_z04PmavSSboc"/>
      <w:bookmarkEnd w:id="5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was $</w:t>
      </w:r>
      <w:bookmarkStart w:id="573" w:name="xdx_902_eus-gaap--DepreciationDepletionA"/>
      <w:bookmarkEnd w:id="573"/>
      <w:r>
        <w:rPr>
          <w:rFonts w:ascii="Times New Roman;Times;Serif" w:hAnsi="Times New Roman;Times;Serif"/>
          <w:b w:val="false"/>
          <w:i w:val="false"/>
          <w:caps w:val="false"/>
          <w:smallCaps w:val="false"/>
          <w:sz w:val="20"/>
        </w:rPr>
        <w:t>80,554 and $</w:t>
      </w:r>
      <w:bookmarkStart w:id="574" w:name="xdx_903_eus-gaap--DepreciationDepletionA"/>
      <w:bookmarkEnd w:id="574"/>
      <w:r>
        <w:rPr>
          <w:rFonts w:ascii="Times New Roman;Times;Serif" w:hAnsi="Times New Roman;Times;Serif"/>
          <w:b w:val="false"/>
          <w:i w:val="false"/>
          <w:caps w:val="false"/>
          <w:smallCaps w:val="false"/>
          <w:sz w:val="20"/>
        </w:rPr>
        <w:t>118,110 for the three months ended June 30, 2024 and 2023, respectively. Depreciation and amortization expense was $</w:t>
      </w:r>
      <w:bookmarkStart w:id="575" w:name="xdx_90E_eus-gaap--DepreciationDepletionA"/>
      <w:bookmarkEnd w:id="575"/>
      <w:r>
        <w:rPr>
          <w:rFonts w:ascii="Times New Roman;Times;Serif" w:hAnsi="Times New Roman;Times;Serif"/>
          <w:b w:val="false"/>
          <w:i w:val="false"/>
          <w:caps w:val="false"/>
          <w:smallCaps w:val="false"/>
          <w:sz w:val="20"/>
        </w:rPr>
        <w:t>162,892 and $</w:t>
      </w:r>
      <w:bookmarkStart w:id="576" w:name="xdx_90C_eus-gaap--DepreciationDepletionA"/>
      <w:bookmarkEnd w:id="576"/>
      <w:r>
        <w:rPr>
          <w:rFonts w:ascii="Times New Roman;Times;Serif" w:hAnsi="Times New Roman;Times;Serif"/>
          <w:b w:val="false"/>
          <w:i w:val="false"/>
          <w:caps w:val="false"/>
          <w:smallCaps w:val="false"/>
          <w:sz w:val="20"/>
        </w:rPr>
        <w:t>233,170 for the six months ended June 30, 2024 and 2023, respectively. The Company did not have any disposals in the three or six months ended June 30, 2024 or 2023.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7" w:name="xdx_803_ecustom--AccountsPayableToRelate"/>
      <w:bookmarkEnd w:id="577"/>
      <w:r>
        <w:rPr>
          <w:rFonts w:ascii="Times New Roman;Times;Serif" w:hAnsi="Times New Roman;Times;Serif"/>
          <w:b/>
          <w:i w:val="false"/>
          <w:caps w:val="false"/>
          <w:smallCaps w:val="false"/>
          <w:sz w:val="20"/>
        </w:rPr>
        <w:t xml:space="preserve">NOTE 9 – </w:t>
      </w:r>
      <w:bookmarkStart w:id="578" w:name="xdx_821_zfJrlK65OEph"/>
      <w:bookmarkEnd w:id="578"/>
      <w:r>
        <w:rPr>
          <w:rFonts w:ascii="Times New Roman;Times;Serif" w:hAnsi="Times New Roman;Times;Serif"/>
          <w:b/>
          <w:i w:val="false"/>
          <w:caps w:val="false"/>
          <w:smallCaps w:val="false"/>
          <w:sz w:val="20"/>
        </w:rPr>
        <w:t>ACCOUNTS PAYABLE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related parties represents payables in the ordinary course of business primarily for purchases of game distribution licenses, research and development costs and also the royalties due to Suzhou Snail and SDE. As of June 30, 2024 and December 31, 2023, the Company had $</w:t>
      </w:r>
      <w:bookmarkStart w:id="579" w:name="xdx_904_eus-gaap--AccountsPayableCurrent"/>
      <w:bookmarkEnd w:id="579"/>
      <w:r>
        <w:rPr>
          <w:rFonts w:ascii="Times New Roman;Times;Serif" w:hAnsi="Times New Roman;Times;Serif"/>
          <w:b w:val="false"/>
          <w:i w:val="false"/>
          <w:caps w:val="false"/>
          <w:smallCaps w:val="false"/>
          <w:sz w:val="20"/>
        </w:rPr>
        <w:t>16,742,358 and $</w:t>
      </w:r>
      <w:bookmarkStart w:id="580" w:name="xdx_908_eus-gaap--AccountsPayableCurrent"/>
      <w:bookmarkEnd w:id="580"/>
      <w:r>
        <w:rPr>
          <w:rFonts w:ascii="Times New Roman;Times;Serif" w:hAnsi="Times New Roman;Times;Serif"/>
          <w:b w:val="false"/>
          <w:i w:val="false"/>
          <w:caps w:val="false"/>
          <w:smallCaps w:val="false"/>
          <w:sz w:val="20"/>
        </w:rPr>
        <w:t>18,147,958, respectively, as accounts payable due to Suzhou Snail; and $</w:t>
      </w:r>
      <w:bookmarkStart w:id="581" w:name="xdx_90B_eus-gaap--AccountsPayableCurrent"/>
      <w:bookmarkEnd w:id="581"/>
      <w:r>
        <w:rPr>
          <w:rFonts w:ascii="Times New Roman;Times;Serif" w:hAnsi="Times New Roman;Times;Serif"/>
          <w:b w:val="false"/>
          <w:i w:val="false"/>
          <w:caps w:val="false"/>
          <w:smallCaps w:val="false"/>
          <w:sz w:val="20"/>
        </w:rPr>
        <w:t xml:space="preserve">4,946,478, as net accounts payable due to SDE as of December 31, 2023, see Note 5 — </w:t>
      </w:r>
      <w:r>
        <w:rPr>
          <w:rFonts w:ascii="Times New Roman;Times;Serif" w:hAnsi="Times New Roman;Times;Serif"/>
          <w:b w:val="false"/>
          <w:i/>
          <w:caps w:val="false"/>
          <w:smallCaps w:val="false"/>
          <w:sz w:val="20"/>
        </w:rPr>
        <w:t>Accounts Receivable (Payable) — Related Party</w:t>
      </w:r>
      <w:r>
        <w:rPr>
          <w:rFonts w:ascii="Times New Roman;Times;Serif" w:hAnsi="Times New Roman;Times;Serif"/>
          <w:b w:val="false"/>
          <w:i w:val="false"/>
          <w:caps w:val="false"/>
          <w:smallCaps w:val="false"/>
          <w:sz w:val="20"/>
        </w:rPr>
        <w:t>. During the three months ended June 30, 2024 and 2023, the Company incurred $</w:t>
      </w:r>
      <w:bookmarkStart w:id="582" w:name="xdx_903_eus-gaap--CostsAndExpensesRelate"/>
      <w:bookmarkEnd w:id="582"/>
      <w:r>
        <w:rPr>
          <w:rFonts w:ascii="Times New Roman;Times;Serif" w:hAnsi="Times New Roman;Times;Serif"/>
          <w:b w:val="false"/>
          <w:i w:val="false"/>
          <w:caps w:val="false"/>
          <w:smallCaps w:val="false"/>
          <w:sz w:val="20"/>
        </w:rPr>
        <w:t>44,296 and $</w:t>
      </w:r>
      <w:bookmarkStart w:id="583" w:name="xdx_90A_eus-gaap--CostsAndExpensesRelate"/>
      <w:bookmarkEnd w:id="583"/>
      <w:r>
        <w:rPr>
          <w:rFonts w:ascii="Times New Roman;Times;Serif" w:hAnsi="Times New Roman;Times;Serif"/>
          <w:b w:val="false"/>
          <w:i w:val="false"/>
          <w:caps w:val="false"/>
          <w:smallCaps w:val="false"/>
          <w:sz w:val="20"/>
        </w:rPr>
        <w:t>70,425, respectively as license costs due to Suzhou Snail and included in cost of revenues. During the six months ended June 30, 2024 and 2023, the Company incurred $</w:t>
      </w:r>
      <w:bookmarkStart w:id="584" w:name="xdx_90D_eus-gaap--CostsAndExpensesRelate"/>
      <w:bookmarkEnd w:id="584"/>
      <w:r>
        <w:rPr>
          <w:rFonts w:ascii="Times New Roman;Times;Serif" w:hAnsi="Times New Roman;Times;Serif"/>
          <w:b w:val="false"/>
          <w:i w:val="false"/>
          <w:caps w:val="false"/>
          <w:smallCaps w:val="false"/>
          <w:sz w:val="20"/>
        </w:rPr>
        <w:t>91,401 and $</w:t>
      </w:r>
      <w:bookmarkStart w:id="585" w:name="xdx_909_eus-gaap--CostsAndExpensesRelate"/>
      <w:bookmarkEnd w:id="585"/>
      <w:r>
        <w:rPr>
          <w:rFonts w:ascii="Times New Roman;Times;Serif" w:hAnsi="Times New Roman;Times;Serif"/>
          <w:b w:val="false"/>
          <w:i w:val="false"/>
          <w:caps w:val="false"/>
          <w:smallCaps w:val="false"/>
          <w:sz w:val="20"/>
        </w:rPr>
        <w:t>142,948, respectively as license costs due to Suzhou Snail and included in cost of revenues. In March 2024, the Company entered into an outsource agreement with Suzhou Snail for the research and development of the game Hermes. In consideration, the Company will pay Suzhou Snail twelve equal monthly payments of $</w:t>
      </w:r>
      <w:bookmarkStart w:id="586" w:name="xdx_902_eus-gaap--ReplacementReserveEscr"/>
      <w:bookmarkEnd w:id="586"/>
      <w:r>
        <w:rPr>
          <w:rFonts w:ascii="Times New Roman;Times;Serif" w:hAnsi="Times New Roman;Times;Serif"/>
          <w:b w:val="false"/>
          <w:i w:val="false"/>
          <w:caps w:val="false"/>
          <w:smallCaps w:val="false"/>
          <w:sz w:val="20"/>
        </w:rPr>
        <w:t>253,000, beginning on January 1, 2024. During the three and six months ended June 30, 2024 the Company incurred $</w:t>
      </w:r>
      <w:bookmarkStart w:id="587" w:name="xdx_90F_eus-gaap--ResearchAndDevelopment"/>
      <w:bookmarkEnd w:id="587"/>
      <w:r>
        <w:rPr>
          <w:rFonts w:ascii="Times New Roman;Times;Serif" w:hAnsi="Times New Roman;Times;Serif"/>
          <w:b w:val="false"/>
          <w:i w:val="false"/>
          <w:caps w:val="false"/>
          <w:smallCaps w:val="false"/>
          <w:sz w:val="20"/>
        </w:rPr>
        <w:t>759,000 and $</w:t>
      </w:r>
      <w:bookmarkStart w:id="588" w:name="xdx_903_eus-gaap--ResearchAndDevelopment"/>
      <w:bookmarkEnd w:id="588"/>
      <w:r>
        <w:rPr>
          <w:rFonts w:ascii="Times New Roman;Times;Serif" w:hAnsi="Times New Roman;Times;Serif"/>
          <w:b w:val="false"/>
          <w:i w:val="false"/>
          <w:caps w:val="false"/>
          <w:smallCaps w:val="false"/>
          <w:sz w:val="20"/>
        </w:rPr>
        <w:t xml:space="preserve">1,518,000, respectively, of research and development costs passed through Suzhou Snail, there were </w:t>
      </w:r>
      <w:bookmarkStart w:id="589" w:name="xdx_90F_eus-gaap--ResearchAndDevelopment"/>
      <w:bookmarkEnd w:id="589"/>
      <w:r>
        <w:rPr>
          <w:rFonts w:ascii="Times New Roman;Times;Serif" w:hAnsi="Times New Roman;Times;Serif"/>
          <w:b w:val="false"/>
          <w:i w:val="false"/>
          <w:caps w:val="false"/>
          <w:smallCaps w:val="false"/>
          <w:sz w:val="20"/>
        </w:rPr>
        <w:t>no such costs passed through Suzhou Snail during the three and six months ended June 30, 2023. During the three and six months ended June 30, 2024, respectively, there were $</w:t>
      </w:r>
      <w:bookmarkStart w:id="590" w:name="xdx_90F_eus-gaap--RelatedPartyTransactio"/>
      <w:bookmarkEnd w:id="590"/>
      <w:r>
        <w:rPr>
          <w:rFonts w:ascii="Times New Roman;Times;Serif" w:hAnsi="Times New Roman;Times;Serif"/>
          <w:b w:val="false"/>
          <w:i w:val="false"/>
          <w:caps w:val="false"/>
          <w:smallCaps w:val="false"/>
          <w:sz w:val="20"/>
        </w:rPr>
        <w:t>1,265,000 and $</w:t>
      </w:r>
      <w:bookmarkStart w:id="591" w:name="xdx_901_eus-gaap--RelatedPartyTransactio"/>
      <w:bookmarkEnd w:id="591"/>
      <w:r>
        <w:rPr>
          <w:rFonts w:ascii="Times New Roman;Times;Serif" w:hAnsi="Times New Roman;Times;Serif"/>
          <w:b w:val="false"/>
          <w:i w:val="false"/>
          <w:caps w:val="false"/>
          <w:smallCaps w:val="false"/>
          <w:sz w:val="20"/>
        </w:rPr>
        <w:t>3,015,000 in payments to Suzhou Snail for royalties and research and development costs. Accounts payable – related parties consisted of the following as of June 30, 2024 and December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2" w:name="xdx_8BF_zwusx0HsvPq6"/>
      <w:bookmarkStart w:id="593" w:name="xdx_892_eus-gaap--ScheduleOfAccountsPaya"/>
      <w:bookmarkEnd w:id="592"/>
      <w:bookmarkEnd w:id="593"/>
      <w:r>
        <w:rPr>
          <w:rFonts w:ascii="Times New Roman;Times;Serif" w:hAnsi="Times New Roman;Times;Serif"/>
          <w:b w:val="false"/>
          <w:i w:val="false"/>
          <w:caps w:val="false"/>
          <w:smallCaps w:val="false"/>
          <w:sz w:val="20"/>
        </w:rPr>
        <w:t>SCHEDULE OF ACCOUNTS PAYABLE- RELATED PARTIES </w:t>
      </w:r>
    </w:p>
    <w:tbl>
      <w:tblPr>
        <w:tblW w:w="6710" w:type="dxa"/>
        <w:jc w:val="left"/>
        <w:tblInd w:w="0" w:type="dxa"/>
        <w:tblLayout w:type="fixed"/>
        <w:tblCellMar>
          <w:top w:w="0" w:type="dxa"/>
          <w:left w:w="0" w:type="dxa"/>
          <w:bottom w:w="0" w:type="dxa"/>
          <w:right w:w="0" w:type="dxa"/>
        </w:tblCellMar>
      </w:tblPr>
      <w:tblGrid>
        <w:gridCol w:w="3755"/>
        <w:gridCol w:w="60"/>
        <w:gridCol w:w="140"/>
        <w:gridCol w:w="1175"/>
        <w:gridCol w:w="95"/>
        <w:gridCol w:w="60"/>
        <w:gridCol w:w="140"/>
        <w:gridCol w:w="1175"/>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94" w:name="xdx_494_20240630_zqz19YZTvDic"/>
            <w:bookmarkEnd w:id="594"/>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5" w:name="xdx_493_20231231_z6ifc4gdr4T8"/>
            <w:bookmarkEnd w:id="595"/>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96" w:name="xdx_409_eus-gaap--AccountsPayableCurrent"/>
            <w:bookmarkEnd w:id="596"/>
          </w:p>
        </w:tc>
      </w:tr>
      <w:tr>
        <w:trPr/>
        <w:tc>
          <w:tcPr>
            <w:tcW w:w="3755" w:type="dxa"/>
            <w:tcBorders/>
            <w:shd w:fill="CCEEFF" w:val="clear"/>
            <w:vAlign w:val="center"/>
          </w:tcPr>
          <w:p>
            <w:pPr>
              <w:pStyle w:val="TableContents"/>
              <w:bidi w:val="0"/>
              <w:spacing w:before="0" w:after="283"/>
              <w:jc w:val="left"/>
              <w:rPr/>
            </w:pPr>
            <w:r>
              <w:rPr/>
              <w:t>Accounts payable - Suzhou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54,357,270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55,762,870</w:t>
            </w:r>
          </w:p>
        </w:tc>
        <w:tc>
          <w:tcPr>
            <w:tcW w:w="110" w:type="dxa"/>
            <w:tcBorders/>
            <w:shd w:fill="CCEEFF" w:val="clear"/>
            <w:vAlign w:val="center"/>
          </w:tcPr>
          <w:p>
            <w:pPr>
              <w:pStyle w:val="TableContents"/>
              <w:bidi w:val="0"/>
              <w:spacing w:before="0" w:after="283"/>
              <w:jc w:val="left"/>
              <w:rPr/>
            </w:pPr>
            <w:r>
              <w:rPr/>
              <w:t> </w:t>
            </w:r>
            <w:bookmarkStart w:id="597" w:name="xdx_40C_eus-gaap--AccountsReceivableGros"/>
            <w:bookmarkEnd w:id="597"/>
          </w:p>
        </w:tc>
      </w:tr>
      <w:tr>
        <w:trPr/>
        <w:tc>
          <w:tcPr>
            <w:tcW w:w="3755" w:type="dxa"/>
            <w:tcBorders/>
            <w:shd w:fill="FFFFFF" w:val="clear"/>
            <w:vAlign w:val="center"/>
          </w:tcPr>
          <w:p>
            <w:pPr>
              <w:pStyle w:val="TableContents"/>
              <w:bidi w:val="0"/>
              <w:spacing w:before="0" w:after="283"/>
              <w:jc w:val="left"/>
              <w:rPr/>
            </w:pPr>
            <w:r>
              <w:rPr/>
              <w:t>Less: accounts receivable - Suzhou</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110" w:type="dxa"/>
            <w:tcBorders/>
            <w:shd w:fill="FFFFFF" w:val="clear"/>
            <w:vAlign w:val="center"/>
          </w:tcPr>
          <w:p>
            <w:pPr>
              <w:pStyle w:val="TableContents"/>
              <w:bidi w:val="0"/>
              <w:spacing w:before="0" w:after="283"/>
              <w:jc w:val="left"/>
              <w:rPr/>
            </w:pPr>
            <w:r>
              <w:rPr/>
              <w:t>)</w:t>
            </w:r>
            <w:bookmarkStart w:id="598" w:name="xdx_405_eus-gaap--AccountsReceivableGros"/>
            <w:bookmarkEnd w:id="598"/>
          </w:p>
        </w:tc>
      </w:tr>
      <w:tr>
        <w:trPr/>
        <w:tc>
          <w:tcPr>
            <w:tcW w:w="3755" w:type="dxa"/>
            <w:tcBorders/>
            <w:shd w:fill="FFFFFF" w:val="clear"/>
            <w:vAlign w:val="center"/>
          </w:tcPr>
          <w:p>
            <w:pPr>
              <w:pStyle w:val="TableContents"/>
              <w:bidi w:val="0"/>
              <w:spacing w:before="0" w:after="283"/>
              <w:jc w:val="left"/>
              <w:rPr/>
            </w:pPr>
            <w:r>
              <w:rPr/>
              <w:t>Less: 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110" w:type="dxa"/>
            <w:tcBorders/>
            <w:shd w:fill="FFFFFF" w:val="clear"/>
            <w:vAlign w:val="center"/>
          </w:tcPr>
          <w:p>
            <w:pPr>
              <w:pStyle w:val="TableContents"/>
              <w:bidi w:val="0"/>
              <w:spacing w:before="0" w:after="283"/>
              <w:jc w:val="left"/>
              <w:rPr/>
            </w:pPr>
            <w:r>
              <w:rPr/>
              <w:t>)</w:t>
            </w:r>
            <w:bookmarkStart w:id="599" w:name="xdx_405_eus-gaap--AccountsPayableCurrent"/>
            <w:bookmarkEnd w:id="599"/>
          </w:p>
        </w:tc>
      </w:tr>
      <w:tr>
        <w:trPr/>
        <w:tc>
          <w:tcPr>
            <w:tcW w:w="3755" w:type="dxa"/>
            <w:tcBorders/>
            <w:shd w:fill="CCEEFF" w:val="clear"/>
            <w:vAlign w:val="center"/>
          </w:tcPr>
          <w:p>
            <w:pPr>
              <w:pStyle w:val="TableContents"/>
              <w:bidi w:val="0"/>
              <w:spacing w:before="0" w:after="283"/>
              <w:jc w:val="left"/>
              <w:rPr/>
            </w:pPr>
            <w:r>
              <w:rPr/>
              <w:t>Accounts payable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4,946,478</w:t>
            </w:r>
          </w:p>
        </w:tc>
        <w:tc>
          <w:tcPr>
            <w:tcW w:w="110" w:type="dxa"/>
            <w:tcBorders/>
            <w:shd w:fill="CCEEFF" w:val="clear"/>
            <w:vAlign w:val="center"/>
          </w:tcPr>
          <w:p>
            <w:pPr>
              <w:pStyle w:val="TableContents"/>
              <w:bidi w:val="0"/>
              <w:spacing w:before="0" w:after="283"/>
              <w:jc w:val="left"/>
              <w:rPr/>
            </w:pPr>
            <w:r>
              <w:rPr/>
              <w:t> </w:t>
            </w:r>
            <w:bookmarkStart w:id="600" w:name="xdx_403_eus-gaap--AccountsPayableCurrent"/>
            <w:bookmarkEnd w:id="600"/>
          </w:p>
        </w:tc>
      </w:tr>
      <w:tr>
        <w:trPr/>
        <w:tc>
          <w:tcPr>
            <w:tcW w:w="37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4,946,478</w:t>
            </w:r>
          </w:p>
        </w:tc>
        <w:tc>
          <w:tcPr>
            <w:tcW w:w="110" w:type="dxa"/>
            <w:tcBorders/>
            <w:shd w:fill="CCEEFF" w:val="clear"/>
            <w:vAlign w:val="center"/>
          </w:tcPr>
          <w:p>
            <w:pPr>
              <w:pStyle w:val="TableContents"/>
              <w:bidi w:val="0"/>
              <w:spacing w:before="0" w:after="283"/>
              <w:jc w:val="left"/>
              <w:rPr/>
            </w:pPr>
            <w:r>
              <w:rPr/>
              <w:t> </w:t>
            </w:r>
            <w:bookmarkStart w:id="601" w:name="xdx_402_eus-gaap--AccountsPayableCurrent"/>
            <w:bookmarkEnd w:id="601"/>
          </w:p>
        </w:tc>
      </w:tr>
      <w:tr>
        <w:trPr/>
        <w:tc>
          <w:tcPr>
            <w:tcW w:w="3755" w:type="dxa"/>
            <w:tcBorders/>
            <w:shd w:fill="FFFFFF" w:val="clear"/>
            <w:vAlign w:val="center"/>
          </w:tcPr>
          <w:p>
            <w:pPr>
              <w:pStyle w:val="TableContents"/>
              <w:bidi w:val="0"/>
              <w:spacing w:before="0" w:after="283"/>
              <w:jc w:val="left"/>
              <w:rPr/>
            </w:pPr>
            <w:r>
              <w:rPr/>
              <w:t>Total 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16,742,358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23,094,436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2" w:name="xdx_8AB_zjk0YlqwGr56"/>
      <w:bookmarkEnd w:id="60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3" w:name="xdx_805_ecustom--LoanAndInterestReceivab"/>
      <w:bookmarkEnd w:id="603"/>
      <w:r>
        <w:rPr>
          <w:rFonts w:ascii="Times New Roman;Times;Serif" w:hAnsi="Times New Roman;Times;Serif"/>
          <w:b/>
          <w:i w:val="false"/>
          <w:caps w:val="false"/>
          <w:smallCaps w:val="false"/>
          <w:sz w:val="20"/>
        </w:rPr>
        <w:t xml:space="preserve">NOTE 10 – </w:t>
      </w:r>
      <w:bookmarkStart w:id="604" w:name="xdx_822_zsl7no3VSSy2"/>
      <w:bookmarkEnd w:id="604"/>
      <w:r>
        <w:rPr>
          <w:rFonts w:ascii="Times New Roman;Times;Serif" w:hAnsi="Times New Roman;Times;Serif"/>
          <w:b/>
          <w:i w:val="false"/>
          <w:caps w:val="false"/>
          <w:smallCaps w:val="false"/>
          <w:sz w:val="20"/>
        </w:rPr>
        <w:t>LOAN AND INTEREST RECEIVABLE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loaned $</w:t>
      </w:r>
      <w:bookmarkStart w:id="605" w:name="xdx_90A_eus-gaap--PaymentsToFundLongterm"/>
      <w:bookmarkEnd w:id="605"/>
      <w:r>
        <w:rPr>
          <w:rFonts w:ascii="Times New Roman;Times;Serif" w:hAnsi="Times New Roman;Times;Serif"/>
          <w:b w:val="false"/>
          <w:i w:val="false"/>
          <w:caps w:val="false"/>
          <w:smallCaps w:val="false"/>
          <w:sz w:val="20"/>
        </w:rPr>
        <w:t xml:space="preserve">200,000 to a wholly owned subsidiary of Suzhou Snail. The loan bears </w:t>
      </w:r>
      <w:bookmarkStart w:id="606" w:name="xdx_901_eus-gaap--RelatedPartyTransactio"/>
      <w:bookmarkEnd w:id="606"/>
      <w:r>
        <w:rPr>
          <w:rFonts w:ascii="Times New Roman;Times;Serif" w:hAnsi="Times New Roman;Times;Serif"/>
          <w:b w:val="false"/>
          <w:i w:val="false"/>
          <w:caps w:val="false"/>
          <w:smallCaps w:val="false"/>
          <w:sz w:val="20"/>
        </w:rPr>
        <w:t>2.0% per annum interest, interest and principal are due in February 2022. In February 2022, Suzhou Snail signed an agreement with this subsidiary and assumed the loan and related interest for a total of $</w:t>
      </w:r>
      <w:bookmarkStart w:id="607" w:name="xdx_901_ecustom--RelatedPartyLoanAmountA"/>
      <w:bookmarkEnd w:id="607"/>
      <w:r>
        <w:rPr>
          <w:rFonts w:ascii="Times New Roman;Times;Serif" w:hAnsi="Times New Roman;Times;Serif"/>
          <w:b w:val="false"/>
          <w:i w:val="false"/>
          <w:caps w:val="false"/>
          <w:smallCaps w:val="false"/>
          <w:sz w:val="20"/>
        </w:rPr>
        <w:t>203,890. Subsequently, $</w:t>
      </w:r>
      <w:bookmarkStart w:id="608" w:name="xdx_907_ecustom--AmountOfLoanAndInterest"/>
      <w:bookmarkEnd w:id="608"/>
      <w:r>
        <w:rPr>
          <w:rFonts w:ascii="Times New Roman;Times;Serif" w:hAnsi="Times New Roman;Times;Serif"/>
          <w:b w:val="false"/>
          <w:i w:val="false"/>
          <w:caps w:val="false"/>
          <w:smallCaps w:val="false"/>
          <w:sz w:val="20"/>
        </w:rPr>
        <w:t>103,890 was offset against the loan and interest payable owed to Suzhou Snail on a separate note. The total amount of loan and interest receivable — related party was $</w:t>
      </w:r>
      <w:bookmarkStart w:id="609" w:name="xdx_901_eus-gaap--OtherReceivablesNetCur"/>
      <w:bookmarkEnd w:id="609"/>
      <w:r>
        <w:rPr>
          <w:rFonts w:ascii="Times New Roman;Times;Serif" w:hAnsi="Times New Roman;Times;Serif"/>
          <w:b w:val="false"/>
          <w:i w:val="false"/>
          <w:caps w:val="false"/>
          <w:smallCaps w:val="false"/>
          <w:sz w:val="20"/>
        </w:rPr>
        <w:t>104,751 and $</w:t>
      </w:r>
      <w:bookmarkStart w:id="610" w:name="xdx_907_eus-gaap--OtherReceivablesNetCur"/>
      <w:bookmarkEnd w:id="610"/>
      <w:r>
        <w:rPr>
          <w:rFonts w:ascii="Times New Roman;Times;Serif" w:hAnsi="Times New Roman;Times;Serif"/>
          <w:b w:val="false"/>
          <w:i w:val="false"/>
          <w:caps w:val="false"/>
          <w:smallCaps w:val="false"/>
          <w:sz w:val="20"/>
        </w:rPr>
        <w:t>103,753, as of June 30, 2024 and December 31, 2023, respectively. The Company earned $</w:t>
      </w:r>
      <w:bookmarkStart w:id="611" w:name="xdx_900_eus-gaap--InterestIncomeOperatin"/>
      <w:bookmarkEnd w:id="611"/>
      <w:r>
        <w:rPr>
          <w:rFonts w:ascii="Times New Roman;Times;Serif" w:hAnsi="Times New Roman;Times;Serif"/>
          <w:b w:val="false"/>
          <w:i w:val="false"/>
          <w:caps w:val="false"/>
          <w:smallCaps w:val="false"/>
          <w:sz w:val="20"/>
        </w:rPr>
        <w:t>499 and $</w:t>
      </w:r>
      <w:bookmarkStart w:id="612" w:name="xdx_90C_eus-gaap--InterestIncomeOperatin"/>
      <w:bookmarkEnd w:id="612"/>
      <w:r>
        <w:rPr>
          <w:rFonts w:ascii="Times New Roman;Times;Serif" w:hAnsi="Times New Roman;Times;Serif"/>
          <w:b w:val="false"/>
          <w:i w:val="false"/>
          <w:caps w:val="false"/>
          <w:smallCaps w:val="false"/>
          <w:sz w:val="20"/>
        </w:rPr>
        <w:t>499 in interest on the related party loans receivable during the three months ended June 30, 2024 and 2023, respectively. The Company earned $</w:t>
      </w:r>
      <w:bookmarkStart w:id="613" w:name="xdx_905_eus-gaap--InterestIncomeOperatin"/>
      <w:bookmarkEnd w:id="613"/>
      <w:r>
        <w:rPr>
          <w:rFonts w:ascii="Times New Roman;Times;Serif" w:hAnsi="Times New Roman;Times;Serif"/>
          <w:b w:val="false"/>
          <w:i w:val="false"/>
          <w:caps w:val="false"/>
          <w:smallCaps w:val="false"/>
          <w:sz w:val="20"/>
        </w:rPr>
        <w:t>997 and $</w:t>
      </w:r>
      <w:bookmarkStart w:id="614" w:name="xdx_90B_eus-gaap--InterestIncomeOperatin"/>
      <w:bookmarkEnd w:id="614"/>
      <w:r>
        <w:rPr>
          <w:rFonts w:ascii="Times New Roman;Times;Serif" w:hAnsi="Times New Roman;Times;Serif"/>
          <w:b w:val="false"/>
          <w:i w:val="false"/>
          <w:caps w:val="false"/>
          <w:smallCaps w:val="false"/>
          <w:sz w:val="20"/>
        </w:rPr>
        <w:t>992 in interest on the related party loans receivable during the six months ended June 30,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5" w:name="xdx_806_eus-gaap--DebtDisclosureTextBloc"/>
      <w:bookmarkEnd w:id="615"/>
      <w:r>
        <w:rPr>
          <w:rFonts w:ascii="Times New Roman;Times;Serif" w:hAnsi="Times New Roman;Times;Serif"/>
          <w:b/>
          <w:i w:val="false"/>
          <w:caps w:val="false"/>
          <w:smallCaps w:val="false"/>
          <w:sz w:val="20"/>
        </w:rPr>
        <w:t xml:space="preserve">NOTE 11 – </w:t>
      </w:r>
      <w:bookmarkStart w:id="616" w:name="xdx_82E_z1UJFnzsu2ek"/>
      <w:bookmarkEnd w:id="616"/>
      <w:r>
        <w:rPr>
          <w:rFonts w:ascii="Times New Roman;Times;Serif" w:hAnsi="Times New Roman;Times;Serif"/>
          <w:b/>
          <w:i w:val="false"/>
          <w:caps w:val="false"/>
          <w:smallCaps w:val="false"/>
          <w:sz w:val="20"/>
        </w:rPr>
        <w:t>REVOLVING LOAN, SHORT TERM NOTES AND LONG - TERM DEBT</w:t>
      </w:r>
    </w:p>
    <w:p>
      <w:pPr>
        <w:pStyle w:val="TextBody"/>
        <w:bidi w:val="0"/>
        <w:spacing w:before="0" w:after="0"/>
        <w:ind w:left="0" w:right="0" w:hanging="0"/>
        <w:jc w:val="center"/>
        <w:rPr>
          <w:caps w:val="false"/>
          <w:smallCaps w:val="false"/>
        </w:rPr>
      </w:pPr>
      <w:bookmarkStart w:id="617" w:name="xdx_89B_eus-gaap--ScheduleOfDebtInstrume"/>
      <w:bookmarkEnd w:id="617"/>
      <w:r>
        <w:rPr>
          <w:caps w:val="false"/>
          <w:smallCaps w:val="false"/>
        </w:rPr>
        <w:t> </w:t>
      </w:r>
      <w:bookmarkStart w:id="618" w:name="xdx_8B1_zuDLtcM6YY12"/>
      <w:bookmarkEnd w:id="618"/>
      <w:r>
        <w:rPr>
          <w:rFonts w:ascii="Times New Roman;Times;Serif" w:hAnsi="Times New Roman;Times;Serif"/>
          <w:b w:val="false"/>
          <w:i w:val="false"/>
          <w:caps w:val="false"/>
          <w:smallCaps w:val="false"/>
          <w:sz w:val="20"/>
        </w:rPr>
        <w:t>SCHEDULE OF LONG TERM DEBT</w:t>
      </w:r>
    </w:p>
    <w:tbl>
      <w:tblPr>
        <w:tblW w:w="10205" w:type="dxa"/>
        <w:jc w:val="left"/>
        <w:tblInd w:w="0" w:type="dxa"/>
        <w:tblLayout w:type="fixed"/>
        <w:tblCellMar>
          <w:top w:w="0" w:type="dxa"/>
          <w:left w:w="0" w:type="dxa"/>
          <w:bottom w:w="0" w:type="dxa"/>
          <w:right w:w="0" w:type="dxa"/>
        </w:tblCellMar>
      </w:tblPr>
      <w:tblGrid>
        <w:gridCol w:w="7839"/>
        <w:gridCol w:w="60"/>
        <w:gridCol w:w="127"/>
        <w:gridCol w:w="860"/>
        <w:gridCol w:w="60"/>
        <w:gridCol w:w="60"/>
        <w:gridCol w:w="130"/>
        <w:gridCol w:w="991"/>
        <w:gridCol w:w="78"/>
      </w:tblGrid>
      <w:tr>
        <w:trPr/>
        <w:tc>
          <w:tcPr>
            <w:tcW w:w="783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19" w:name="xdx_497_20240630_zdDIziNn7A6e"/>
            <w:bookmarkEnd w:id="619"/>
          </w:p>
        </w:tc>
        <w:tc>
          <w:tcPr>
            <w:tcW w:w="9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20" w:name="xdx_49E_20231231_z1v4yXfkEU91"/>
            <w:bookmarkEnd w:id="620"/>
          </w:p>
        </w:tc>
        <w:tc>
          <w:tcPr>
            <w:tcW w:w="11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78" w:type="dxa"/>
            <w:tcBorders/>
            <w:vAlign w:val="center"/>
          </w:tcPr>
          <w:p>
            <w:pPr>
              <w:pStyle w:val="TableContents"/>
              <w:bidi w:val="0"/>
              <w:spacing w:before="0" w:after="283"/>
              <w:jc w:val="left"/>
              <w:rPr>
                <w:caps w:val="false"/>
                <w:smallCaps w:val="false"/>
              </w:rPr>
            </w:pPr>
            <w:r>
              <w:rPr>
                <w:caps w:val="false"/>
                <w:smallCaps w:val="false"/>
              </w:rPr>
              <w:t> </w:t>
            </w:r>
            <w:bookmarkStart w:id="621" w:name="xdx_408_eus-gaap--DebtLongtermAndShortte"/>
            <w:bookmarkEnd w:id="621"/>
          </w:p>
        </w:tc>
      </w:tr>
      <w:tr>
        <w:trPr/>
        <w:tc>
          <w:tcPr>
            <w:tcW w:w="783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2021 Revolving Loan -</w:t>
            </w:r>
            <w:r>
              <w:rPr>
                <w:rFonts w:ascii="Times New Roman;Times;Serif" w:hAnsi="Times New Roman;Times;Serif"/>
                <w:b w:val="false"/>
                <w:i w:val="false"/>
                <w:caps w:val="false"/>
                <w:smallCaps w:val="false"/>
                <w:sz w:val="20"/>
              </w:rPr>
              <w:t xml:space="preserve"> On June 21, 2023, the Company amended its revolving loan agreement (“amended revolver”) and decreased the maximum balance from $</w:t>
            </w:r>
            <w:bookmarkStart w:id="622" w:name="xdx_90C_eus-gaap--LineOfCreditFacilityMa"/>
            <w:bookmarkEnd w:id="622"/>
            <w:r>
              <w:rPr>
                <w:rFonts w:ascii="Times New Roman;Times;Serif" w:hAnsi="Times New Roman;Times;Serif"/>
                <w:b w:val="false"/>
                <w:i w:val="false"/>
                <w:caps w:val="false"/>
                <w:smallCaps w:val="false"/>
                <w:sz w:val="20"/>
              </w:rPr>
              <w:t>9,000,000 to $</w:t>
            </w:r>
            <w:bookmarkStart w:id="623" w:name="xdx_90F_eus-gaap--LineOfCreditFacilityMa"/>
            <w:bookmarkEnd w:id="623"/>
            <w:r>
              <w:rPr>
                <w:rFonts w:ascii="Times New Roman;Times;Serif" w:hAnsi="Times New Roman;Times;Serif"/>
                <w:b w:val="false"/>
                <w:i w:val="false"/>
                <w:caps w:val="false"/>
                <w:smallCaps w:val="false"/>
                <w:sz w:val="20"/>
              </w:rPr>
              <w:t xml:space="preserve">6,000,000. The amended revolver matures on </w:t>
            </w:r>
            <w:bookmarkStart w:id="624" w:name="xdx_901_eus-gaap--LineOfCreditFacilityEx"/>
            <w:bookmarkEnd w:id="624"/>
            <w:r>
              <w:rPr>
                <w:rFonts w:ascii="Times New Roman;Times;Serif" w:hAnsi="Times New Roman;Times;Serif"/>
                <w:b w:val="false"/>
                <w:i w:val="false"/>
                <w:caps w:val="false"/>
                <w:smallCaps w:val="false"/>
                <w:sz w:val="20"/>
              </w:rPr>
              <w:t xml:space="preserve">December 31, 2024 and has an annual interest rate equal to the prime rate less </w:t>
            </w:r>
            <w:bookmarkStart w:id="625" w:name="xdx_903_ecustom--DebtInstrumentBasisSpre"/>
            <w:bookmarkEnd w:id="625"/>
            <w:r>
              <w:rPr>
                <w:rFonts w:ascii="Times New Roman;Times;Serif" w:hAnsi="Times New Roman;Times;Serif"/>
                <w:b w:val="false"/>
                <w:i w:val="false"/>
                <w:caps w:val="false"/>
                <w:smallCaps w:val="false"/>
                <w:sz w:val="20"/>
              </w:rPr>
              <w:t xml:space="preserve">0.25%. At June 30, 2024, the interest rate on this loan was </w:t>
            </w:r>
            <w:bookmarkStart w:id="626" w:name="xdx_904_eus-gaap--DebtInstrumentInterest"/>
            <w:bookmarkEnd w:id="626"/>
            <w:r>
              <w:rPr>
                <w:rFonts w:ascii="Times New Roman;Times;Serif" w:hAnsi="Times New Roman;Times;Serif"/>
                <w:b w:val="false"/>
                <w:i w:val="false"/>
                <w:caps w:val="false"/>
                <w:smallCaps w:val="false"/>
                <w:sz w:val="20"/>
              </w:rPr>
              <w:t xml:space="preserve">8.25%. Debt covenants of this loan require the Company to maintain a minimum debt service coverage ratio of at least </w:t>
            </w:r>
            <w:bookmarkStart w:id="627" w:name="xdx_90B_ecustom--MinimumRequirementOfDeb"/>
            <w:bookmarkEnd w:id="627"/>
            <w:r>
              <w:rPr>
                <w:rFonts w:ascii="Times New Roman;Times;Serif" w:hAnsi="Times New Roman;Times;Serif"/>
                <w:b w:val="false"/>
                <w:i w:val="false"/>
                <w:caps w:val="false"/>
                <w:smallCaps w:val="false"/>
                <w:sz w:val="20"/>
              </w:rPr>
              <w:t>1.5 to 1. The Company was not in compliance with the debt service coverage ratio for the trailing twelve month period ended June 30, 2024 and received a waiver for the debt service coverage ratio requirement for the period ended 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8" w:name="xdx_400_eus-gaap--DebtLongtermAndShortte"/>
            <w:bookmarkEnd w:id="628"/>
          </w:p>
        </w:tc>
      </w:tr>
      <w:tr>
        <w:trPr/>
        <w:tc>
          <w:tcPr>
            <w:tcW w:w="78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2021 Promissory Note –</w:t>
            </w:r>
            <w:r>
              <w:rPr>
                <w:rFonts w:ascii="Times New Roman;Times;Serif" w:hAnsi="Times New Roman;Times;Serif"/>
                <w:b w:val="false"/>
                <w:i w:val="false"/>
                <w:caps w:val="false"/>
                <w:smallCaps w:val="false"/>
                <w:sz w:val="20"/>
              </w:rPr>
              <w:t xml:space="preserve"> On June 17, 2021, the Company amended its loan agreement to reduce the principal amount with financial institution for </w:t>
            </w:r>
            <w:bookmarkStart w:id="629" w:name="xdx_90F_ecustom--DebtInstrumentInterestR"/>
            <w:bookmarkEnd w:id="629"/>
            <w:r>
              <w:rPr>
                <w:rFonts w:ascii="Times New Roman;Times;Serif" w:hAnsi="Times New Roman;Times;Serif"/>
                <w:b w:val="false"/>
                <w:i w:val="false"/>
                <w:caps w:val="false"/>
                <w:smallCaps w:val="false"/>
                <w:sz w:val="20"/>
              </w:rPr>
              <w:t xml:space="preserve">10 years, annual interest rate of </w:t>
            </w:r>
            <w:bookmarkStart w:id="630" w:name="xdx_90C_eus-gaap--DebtInstrumentInterest"/>
            <w:bookmarkEnd w:id="630"/>
            <w:r>
              <w:rPr>
                <w:rFonts w:ascii="Times New Roman;Times;Serif" w:hAnsi="Times New Roman;Times;Serif"/>
                <w:b w:val="false"/>
                <w:i w:val="false"/>
                <w:caps w:val="false"/>
                <w:smallCaps w:val="false"/>
                <w:sz w:val="20"/>
              </w:rPr>
              <w:t xml:space="preserve">3.5% for the first </w:t>
            </w:r>
            <w:bookmarkStart w:id="631" w:name="xdx_90C_ecustom--DebtInstrumentInterestR"/>
            <w:bookmarkEnd w:id="631"/>
            <w:r>
              <w:rPr>
                <w:rFonts w:ascii="Times New Roman;Times;Serif" w:hAnsi="Times New Roman;Times;Serif"/>
                <w:b w:val="false"/>
                <w:i w:val="false"/>
                <w:caps w:val="false"/>
                <w:smallCaps w:val="false"/>
                <w:sz w:val="20"/>
              </w:rPr>
              <w:t xml:space="preserve">5 years, and then floating at Wall Street Journal rate from years </w:t>
            </w:r>
            <w:bookmarkStart w:id="632" w:name="xdx_906_eus-gaap--DebtInstrumentDescript"/>
            <w:bookmarkEnd w:id="632"/>
            <w:r>
              <w:rPr>
                <w:rFonts w:ascii="Times New Roman;Times;Serif" w:hAnsi="Times New Roman;Times;Serif"/>
                <w:b w:val="false"/>
                <w:i w:val="false"/>
                <w:caps w:val="false"/>
                <w:smallCaps w:val="false"/>
                <w:sz w:val="20"/>
              </w:rPr>
              <w:t>6 to 10. The loan is secured by the Company’s building, with a carrying value of $</w:t>
            </w:r>
            <w:bookmarkStart w:id="633" w:name="xdx_903_eus-gaap--SecuredDebt_iI_pn5n6_c"/>
            <w:bookmarkEnd w:id="633"/>
            <w:r>
              <w:rPr>
                <w:rFonts w:ascii="Times New Roman;Times;Serif" w:hAnsi="Times New Roman;Times;Serif"/>
                <w:b w:val="false"/>
                <w:i w:val="false"/>
                <w:caps w:val="false"/>
                <w:smallCaps w:val="false"/>
                <w:sz w:val="20"/>
              </w:rPr>
              <w:t xml:space="preserve">4.2 million, and matures on </w:t>
            </w:r>
            <w:bookmarkStart w:id="634" w:name="xdx_90F_eus-gaap--DebtInstrumentMaturity"/>
            <w:bookmarkEnd w:id="634"/>
            <w:r>
              <w:rPr>
                <w:rFonts w:ascii="Times New Roman;Times;Serif" w:hAnsi="Times New Roman;Times;Serif"/>
                <w:b w:val="false"/>
                <w:i w:val="false"/>
                <w:caps w:val="false"/>
                <w:smallCaps w:val="false"/>
                <w:sz w:val="20"/>
              </w:rPr>
              <w:t xml:space="preserve">June 30, 2031. The note is subject to a prepayment penalty. Debt covenants of this loan require the Company to maintain a minimum debt service coverage ratio of at least </w:t>
            </w:r>
            <w:bookmarkStart w:id="635" w:name="xdx_90D_ecustom--MinimumRequirementOfDeb"/>
            <w:bookmarkEnd w:id="635"/>
            <w:r>
              <w:rPr>
                <w:rFonts w:ascii="Times New Roman;Times;Serif" w:hAnsi="Times New Roman;Times;Serif"/>
                <w:b w:val="false"/>
                <w:i w:val="false"/>
                <w:caps w:val="false"/>
                <w:smallCaps w:val="false"/>
                <w:sz w:val="20"/>
              </w:rPr>
              <w:t>1.5 to 1. The Company was not in compliance with the debt service coverage ratio for the trailing twelve month period ended June 30, 2024 and received a waiver for the debt service coverage ratio requirement for the period ended 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2,811,923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6" w:name="xdx_403_eus-gaap--DebtLongtermAndShortte"/>
            <w:bookmarkEnd w:id="636"/>
          </w:p>
        </w:tc>
      </w:tr>
      <w:tr>
        <w:trPr/>
        <w:tc>
          <w:tcPr>
            <w:tcW w:w="783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2022 Short Term Note -</w:t>
            </w:r>
            <w:r>
              <w:rPr>
                <w:rFonts w:ascii="Times New Roman;Times;Serif" w:hAnsi="Times New Roman;Times;Serif"/>
                <w:b w:val="false"/>
                <w:i w:val="false"/>
                <w:caps w:val="false"/>
                <w:smallCaps w:val="false"/>
                <w:sz w:val="20"/>
              </w:rPr>
              <w:t xml:space="preserve"> On January 26, 2022, the Company amended its revolving loan and long-term debt agreements to obtain an additional note with a principal balance of $</w:t>
            </w:r>
            <w:bookmarkStart w:id="637" w:name="xdx_905_eus-gaap--PaymentsForLoans_pp0p0"/>
            <w:bookmarkEnd w:id="637"/>
            <w:r>
              <w:rPr>
                <w:rFonts w:ascii="Times New Roman;Times;Serif" w:hAnsi="Times New Roman;Times;Serif"/>
                <w:b w:val="false"/>
                <w:i w:val="false"/>
                <w:caps w:val="false"/>
                <w:smallCaps w:val="false"/>
                <w:sz w:val="20"/>
              </w:rPr>
              <w:t xml:space="preserve">10,000,000 which was originally set to mature on </w:t>
            </w:r>
            <w:bookmarkStart w:id="638" w:name="xdx_90E_eus-gaap--DebtInstrumentMaturity"/>
            <w:bookmarkEnd w:id="638"/>
            <w:r>
              <w:rPr>
                <w:rFonts w:ascii="Times New Roman;Times;Serif" w:hAnsi="Times New Roman;Times;Serif"/>
                <w:b w:val="false"/>
                <w:i w:val="false"/>
                <w:caps w:val="false"/>
                <w:smallCaps w:val="false"/>
                <w:sz w:val="20"/>
              </w:rPr>
              <w:t xml:space="preserve">January 26, 2023. Interest was equal to the higher of </w:t>
            </w:r>
            <w:bookmarkStart w:id="639" w:name="xdx_902_eus-gaap--DebtInstrumentBasisSpr"/>
            <w:bookmarkEnd w:id="639"/>
            <w:r>
              <w:rPr>
                <w:rFonts w:ascii="Times New Roman;Times;Serif" w:hAnsi="Times New Roman;Times;Serif"/>
                <w:b w:val="false"/>
                <w:i w:val="false"/>
                <w:caps w:val="false"/>
                <w:smallCaps w:val="false"/>
                <w:sz w:val="20"/>
              </w:rPr>
              <w:t xml:space="preserve">3.75% or the Wall Street Journal Prime Rate plus </w:t>
            </w:r>
            <w:bookmarkStart w:id="640" w:name="xdx_908_eus-gaap--DebtInstrumentBasisSpr"/>
            <w:bookmarkEnd w:id="640"/>
            <w:r>
              <w:rPr>
                <w:rFonts w:ascii="Times New Roman;Times;Serif" w:hAnsi="Times New Roman;Times;Serif"/>
                <w:b w:val="false"/>
                <w:i w:val="false"/>
                <w:caps w:val="false"/>
                <w:smallCaps w:val="false"/>
                <w:sz w:val="20"/>
              </w:rPr>
              <w:t xml:space="preserve">0.50%. The loan was secured by the Company’s assets. In the event of a default, all outstanding amounts under the note would bear interest at a default rate equal to </w:t>
            </w:r>
            <w:bookmarkStart w:id="641" w:name="xdx_909_ecustom--DebtInstrumentDefaultIn"/>
            <w:bookmarkEnd w:id="641"/>
            <w:r>
              <w:rPr>
                <w:rFonts w:ascii="Times New Roman;Times;Serif" w:hAnsi="Times New Roman;Times;Serif"/>
                <w:b w:val="false"/>
                <w:i w:val="false"/>
                <w:caps w:val="false"/>
                <w:smallCaps w:val="false"/>
                <w:sz w:val="20"/>
              </w:rPr>
              <w:t xml:space="preserve">5% over the note rate. Debt covenants of this loan required the Company to maintain a minimum debt service coverage ratio of at least </w:t>
            </w:r>
            <w:bookmarkStart w:id="642" w:name="xdx_907_ecustom--MinimumRequirementOfDeb"/>
            <w:bookmarkEnd w:id="642"/>
            <w:r>
              <w:rPr>
                <w:rFonts w:ascii="Times New Roman;Times;Serif" w:hAnsi="Times New Roman;Times;Serif"/>
                <w:b w:val="false"/>
                <w:i w:val="false"/>
                <w:caps w:val="false"/>
                <w:smallCaps w:val="false"/>
                <w:sz w:val="20"/>
              </w:rPr>
              <w:t xml:space="preserve">1.5 to 1 and would be measured quarterly. In November 2022, the maturity was extended to </w:t>
            </w:r>
            <w:bookmarkStart w:id="643" w:name="xdx_90C_eus-gaap--DebtInstrumentMaturity"/>
            <w:bookmarkEnd w:id="643"/>
            <w:r>
              <w:rPr>
                <w:rFonts w:ascii="Times New Roman;Times;Serif" w:hAnsi="Times New Roman;Times;Serif"/>
                <w:b w:val="false"/>
                <w:i w:val="false"/>
                <w:caps w:val="false"/>
                <w:smallCaps w:val="false"/>
                <w:sz w:val="20"/>
              </w:rPr>
              <w:t xml:space="preserve">January 26, 2024 and at December 31, 2023, the interest rate on this loan was </w:t>
            </w:r>
            <w:bookmarkStart w:id="644" w:name="xdx_90E_eus-gaap--DebtInstrumentInterest"/>
            <w:bookmarkEnd w:id="644"/>
            <w:r>
              <w:rPr>
                <w:rFonts w:ascii="Times New Roman;Times;Serif" w:hAnsi="Times New Roman;Times;Serif"/>
                <w:b w:val="false"/>
                <w:i w:val="false"/>
                <w:caps w:val="false"/>
                <w:smallCaps w:val="false"/>
                <w:sz w:val="20"/>
              </w:rPr>
              <w:t>8.25%. The Company repaid the balance of $</w:t>
            </w:r>
            <w:bookmarkStart w:id="645" w:name="xdx_905_eus-gaap--RepaymentsOfDebt_pp0p0"/>
            <w:bookmarkEnd w:id="645"/>
            <w:r>
              <w:rPr>
                <w:rFonts w:ascii="Times New Roman;Times;Serif" w:hAnsi="Times New Roman;Times;Serif"/>
                <w:b w:val="false"/>
                <w:i w:val="false"/>
                <w:caps w:val="false"/>
                <w:smallCaps w:val="false"/>
                <w:sz w:val="20"/>
              </w:rPr>
              <w:t>833,333 during the six month period ended 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833,333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6" w:name="xdx_400_eus-gaap--DebtLongtermAndShortte"/>
            <w:bookmarkEnd w:id="646"/>
          </w:p>
        </w:tc>
      </w:tr>
      <w:tr>
        <w:trPr/>
        <w:tc>
          <w:tcPr>
            <w:tcW w:w="78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2023 Convertible Notes –</w:t>
            </w:r>
            <w:r>
              <w:rPr>
                <w:rFonts w:ascii="Times New Roman;Times;Serif" w:hAnsi="Times New Roman;Times;Serif"/>
                <w:b w:val="false"/>
                <w:i w:val="false"/>
                <w:caps w:val="false"/>
                <w:smallCaps w:val="false"/>
                <w:sz w:val="20"/>
              </w:rPr>
              <w:t xml:space="preserve"> On August 24, 2023, the Company issued convertible notes at a </w:t>
            </w:r>
            <w:bookmarkStart w:id="647" w:name="xdx_905_ecustom--ConvertibleNoteDiscount"/>
            <w:bookmarkEnd w:id="647"/>
            <w:r>
              <w:rPr>
                <w:rFonts w:ascii="Times New Roman;Times;Serif" w:hAnsi="Times New Roman;Times;Serif"/>
                <w:b w:val="false"/>
                <w:i w:val="false"/>
                <w:caps w:val="false"/>
                <w:smallCaps w:val="false"/>
                <w:sz w:val="20"/>
              </w:rPr>
              <w:t>7.4% discount and a principal balance of $</w:t>
            </w:r>
            <w:bookmarkStart w:id="648" w:name="xdx_908_eus-gaap--ConvertibleNotesPayabl"/>
            <w:bookmarkEnd w:id="648"/>
            <w:r>
              <w:rPr>
                <w:rFonts w:ascii="Times New Roman;Times;Serif" w:hAnsi="Times New Roman;Times;Serif"/>
                <w:b w:val="false"/>
                <w:i w:val="false"/>
                <w:caps w:val="false"/>
                <w:smallCaps w:val="false"/>
                <w:sz w:val="20"/>
              </w:rPr>
              <w:t xml:space="preserve">1,080,000. The notes had an interest rate of </w:t>
            </w:r>
            <w:bookmarkStart w:id="649" w:name="xdx_901_eus-gaap--DebtInstrumentInterest"/>
            <w:bookmarkEnd w:id="649"/>
            <w:r>
              <w:rPr>
                <w:rFonts w:ascii="Times New Roman;Times;Serif" w:hAnsi="Times New Roman;Times;Serif"/>
                <w:b w:val="false"/>
                <w:i w:val="false"/>
                <w:caps w:val="false"/>
                <w:smallCaps w:val="false"/>
                <w:sz w:val="20"/>
              </w:rPr>
              <w:t xml:space="preserve">7.5%, were paid in consecutive monthly installments beginning </w:t>
            </w:r>
            <w:bookmarkStart w:id="650" w:name="xdx_904_eus-gaap--DebtInstrumentMaturity"/>
            <w:bookmarkEnd w:id="650"/>
            <w:r>
              <w:rPr>
                <w:rFonts w:ascii="Times New Roman;Times;Serif" w:hAnsi="Times New Roman;Times;Serif"/>
                <w:b w:val="false"/>
                <w:i w:val="false"/>
                <w:caps w:val="false"/>
                <w:smallCaps w:val="false"/>
                <w:sz w:val="20"/>
              </w:rPr>
              <w:t xml:space="preserve">February 24, 2024 and matured on </w:t>
            </w:r>
            <w:bookmarkStart w:id="651" w:name="xdx_902_eus-gaap--DebtInstrumentMaturity"/>
            <w:bookmarkEnd w:id="651"/>
            <w:r>
              <w:rPr>
                <w:rFonts w:ascii="Times New Roman;Times;Serif" w:hAnsi="Times New Roman;Times;Serif"/>
                <w:b w:val="false"/>
                <w:i w:val="false"/>
                <w:caps w:val="false"/>
                <w:smallCaps w:val="false"/>
                <w:sz w:val="20"/>
              </w:rPr>
              <w:t xml:space="preserve">May 24, 2024. In the event of a default the interest rate was to be increased to the lower of </w:t>
            </w:r>
            <w:bookmarkStart w:id="652" w:name="xdx_90A_eus-gaap--DebtInstrumentInterest"/>
            <w:bookmarkEnd w:id="652"/>
            <w:r>
              <w:rPr>
                <w:rFonts w:ascii="Times New Roman;Times;Serif" w:hAnsi="Times New Roman;Times;Serif"/>
                <w:b w:val="false"/>
                <w:i w:val="false"/>
                <w:caps w:val="false"/>
                <w:smallCaps w:val="false"/>
                <w:sz w:val="20"/>
              </w:rPr>
              <w:t>16% per annum or the highest amount permitted by applicable law. The Company had the option to prepay the notes at any time and the note holders had the option to convert the notes, in whole or in part, at any time. The Company recognized a discount of $</w:t>
            </w:r>
            <w:bookmarkStart w:id="653" w:name="xdx_90B_eus-gaap--DebtInstrumentUnamorti"/>
            <w:bookmarkEnd w:id="653"/>
            <w:r>
              <w:rPr>
                <w:rFonts w:ascii="Times New Roman;Times;Serif" w:hAnsi="Times New Roman;Times;Serif"/>
                <w:b w:val="false"/>
                <w:i w:val="false"/>
                <w:caps w:val="false"/>
                <w:smallCaps w:val="false"/>
                <w:sz w:val="20"/>
              </w:rPr>
              <w:t xml:space="preserve">678,254 on the notes to account for the stated discount, the fair value of the warrants issued in connection with the notes and the costs of issuance. The discount is amortized using the effective interest rate of </w:t>
            </w:r>
            <w:bookmarkStart w:id="654" w:name="xdx_902_eus-gaap--DebtInstrumentInterest"/>
            <w:bookmarkEnd w:id="654"/>
            <w:r>
              <w:rPr>
                <w:rFonts w:ascii="Times New Roman;Times;Serif" w:hAnsi="Times New Roman;Times;Serif"/>
                <w:b w:val="false"/>
                <w:i w:val="false"/>
                <w:caps w:val="false"/>
                <w:smallCaps w:val="false"/>
                <w:sz w:val="20"/>
              </w:rPr>
              <w:t>103.4%. The Company repaid $</w:t>
            </w:r>
            <w:bookmarkStart w:id="655" w:name="xdx_905_eus-gaap--RepaymentsOfConvertibl"/>
            <w:bookmarkEnd w:id="655"/>
            <w:r>
              <w:rPr>
                <w:rFonts w:ascii="Times New Roman;Times;Serif" w:hAnsi="Times New Roman;Times;Serif"/>
                <w:b w:val="false"/>
                <w:i w:val="false"/>
                <w:caps w:val="false"/>
                <w:smallCaps w:val="false"/>
                <w:sz w:val="20"/>
              </w:rPr>
              <w:t>1,020,000 of the balance, and the investors converted $</w:t>
            </w:r>
            <w:bookmarkStart w:id="656" w:name="xdx_90D_ecustom--DebtConvertedToEquity_c"/>
            <w:bookmarkEnd w:id="656"/>
            <w:r>
              <w:rPr>
                <w:rFonts w:ascii="Times New Roman;Times;Serif" w:hAnsi="Times New Roman;Times;Serif"/>
                <w:b w:val="false"/>
                <w:i w:val="false"/>
                <w:caps w:val="false"/>
                <w:smallCaps w:val="false"/>
                <w:sz w:val="20"/>
              </w:rPr>
              <w:t>60,000 of the debt into class A common stock, during the six month period ended 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7" w:name="xdx_402_eus-gaap--DebtLongtermAndShortte"/>
            <w:bookmarkEnd w:id="657"/>
          </w:p>
        </w:tc>
      </w:tr>
      <w:tr>
        <w:trPr/>
        <w:tc>
          <w:tcPr>
            <w:tcW w:w="783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2023 Note Payable – </w:t>
            </w:r>
            <w:r>
              <w:rPr>
                <w:rFonts w:ascii="Times New Roman;Times;Serif" w:hAnsi="Times New Roman;Times;Serif"/>
                <w:b w:val="false"/>
                <w:i w:val="false"/>
                <w:caps w:val="false"/>
                <w:smallCaps w:val="false"/>
                <w:sz w:val="20"/>
              </w:rPr>
              <w:t xml:space="preserve">In July 2023, the Company entered into a cooperation agreement with its internet, server and datacenter vendor. The Company agreed to make the vendor the official server host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future iterations and sequels of the game for a period of </w:t>
            </w:r>
            <w:bookmarkStart w:id="658" w:name="xdx_90D_eus-gaap--DebtInstrumentTerm_dtY"/>
            <w:bookmarkEnd w:id="658"/>
            <w:r>
              <w:rPr>
                <w:rFonts w:ascii="Times New Roman;Times;Serif" w:hAnsi="Times New Roman;Times;Serif"/>
                <w:b w:val="false"/>
                <w:i w:val="false"/>
                <w:caps w:val="false"/>
                <w:smallCaps w:val="false"/>
                <w:sz w:val="20"/>
              </w:rPr>
              <w:t>7 years. In return the vendor has agreed to provide the Company with funds in cash of up to $</w:t>
            </w:r>
            <w:bookmarkStart w:id="659" w:name="xdx_90B_eus-gaap--ShortTermDebtRefinance"/>
            <w:bookmarkEnd w:id="659"/>
            <w:r>
              <w:rPr>
                <w:rFonts w:ascii="Times New Roman;Times;Serif" w:hAnsi="Times New Roman;Times;Serif"/>
                <w:b w:val="false"/>
                <w:i w:val="false"/>
                <w:caps w:val="false"/>
                <w:smallCaps w:val="false"/>
                <w:sz w:val="20"/>
              </w:rPr>
              <w:t xml:space="preserve">3.0 million without discount and free of charges and costs to the Company. </w:t>
            </w:r>
            <w:bookmarkStart w:id="660" w:name="xdx_90D_eus-gaap--DebtInstrumentFrequenc"/>
            <w:bookmarkEnd w:id="660"/>
            <w:r>
              <w:rPr>
                <w:rFonts w:ascii="Times New Roman;Times;Serif" w:hAnsi="Times New Roman;Times;Serif"/>
                <w:b w:val="false"/>
                <w:i w:val="false"/>
                <w:caps w:val="false"/>
                <w:smallCaps w:val="false"/>
                <w:sz w:val="20"/>
              </w:rPr>
              <w:t xml:space="preserve">The funds are repaid based on 20% of the gross monthly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revenues. The Company has imputed interest at </w:t>
            </w:r>
            <w:bookmarkStart w:id="661" w:name="xdx_903_eus-gaap--DebtInstrumentInterest"/>
            <w:bookmarkEnd w:id="661"/>
            <w:r>
              <w:rPr>
                <w:rFonts w:ascii="Times New Roman;Times;Serif" w:hAnsi="Times New Roman;Times;Serif"/>
                <w:b w:val="false"/>
                <w:i w:val="false"/>
                <w:caps w:val="false"/>
                <w:smallCaps w:val="false"/>
                <w:sz w:val="20"/>
              </w:rPr>
              <w:t xml:space="preserve">8.0% on draws made. If in default, the interest rate is levied on the outstanding balances at a rate of </w:t>
            </w:r>
            <w:bookmarkStart w:id="662" w:name="xdx_900_ecustom--DebtInstrumentDefaultIn"/>
            <w:bookmarkEnd w:id="662"/>
            <w:r>
              <w:rPr>
                <w:rFonts w:ascii="Times New Roman;Times;Serif" w:hAnsi="Times New Roman;Times;Serif"/>
                <w:b w:val="false"/>
                <w:i w:val="false"/>
                <w:caps w:val="false"/>
                <w:smallCaps w:val="false"/>
                <w:sz w:val="20"/>
              </w:rPr>
              <w:t>12.0% per annum. The Company repaid the balance of $</w:t>
            </w:r>
            <w:bookmarkStart w:id="663" w:name="xdx_90B_eus-gaap--RepaymentsOfDebt_pn5n6"/>
            <w:bookmarkEnd w:id="663"/>
            <w:r>
              <w:rPr>
                <w:rFonts w:ascii="Times New Roman;Times;Serif" w:hAnsi="Times New Roman;Times;Serif"/>
                <w:b w:val="false"/>
                <w:i w:val="false"/>
                <w:caps w:val="false"/>
                <w:smallCaps w:val="false"/>
                <w:sz w:val="20"/>
              </w:rPr>
              <w:t xml:space="preserve">1.5 million during the six month period ended June 30, 2024.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4" w:name="xdx_405_eus-gaap--DebtLongtermAndShortte"/>
            <w:bookmarkEnd w:id="664"/>
          </w:p>
        </w:tc>
      </w:tr>
      <w:tr>
        <w:trPr/>
        <w:tc>
          <w:tcPr>
            <w:tcW w:w="78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debt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5,771,040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12,225,256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5" w:name="xdx_40F_eus-gaap--DebtInstrumentUnamorti"/>
            <w:bookmarkEnd w:id="665"/>
          </w:p>
        </w:tc>
      </w:tr>
      <w:tr>
        <w:trPr/>
        <w:tc>
          <w:tcPr>
            <w:tcW w:w="783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discount on convertible notes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282,639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6" w:name="xdx_40E_eus-gaap--LongTermDebtCurrent_iI"/>
            <w:bookmarkEnd w:id="666"/>
          </w:p>
        </w:tc>
      </w:tr>
      <w:tr>
        <w:trPr/>
        <w:tc>
          <w:tcPr>
            <w:tcW w:w="78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 of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2,811,923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7" w:name="xdx_40C_ecustom--RevolvingLoanPayableCur"/>
            <w:bookmarkEnd w:id="667"/>
          </w:p>
        </w:tc>
      </w:tr>
      <w:tr>
        <w:trPr/>
        <w:tc>
          <w:tcPr>
            <w:tcW w:w="783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revolving loan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8" w:name="xdx_40F_eus-gaap--ShortTermBorrowings_iI"/>
            <w:bookmarkEnd w:id="668"/>
          </w:p>
        </w:tc>
      </w:tr>
      <w:tr>
        <w:trPr/>
        <w:tc>
          <w:tcPr>
            <w:tcW w:w="78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notes payable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2,333,333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9" w:name="xdx_40D_eus-gaap--ConvertibleNotesPayabl"/>
            <w:bookmarkEnd w:id="669"/>
          </w:p>
        </w:tc>
      </w:tr>
      <w:tr>
        <w:trPr/>
        <w:tc>
          <w:tcPr>
            <w:tcW w:w="783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convertible notes, net of discount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797,361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0" w:name="xdx_402_eus-gaap--LongTermDebtNoncurrent"/>
            <w:bookmarkEnd w:id="670"/>
          </w:p>
        </w:tc>
      </w:tr>
      <w:tr>
        <w:trPr/>
        <w:tc>
          <w:tcPr>
            <w:tcW w:w="78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long-term debt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bookmarkStart w:id="671" w:name="xdx_8AC_zVCergDc6qM4"/>
      <w:bookmarkEnd w:id="6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for the above debt and revolver loan amounted to $</w:t>
      </w:r>
      <w:bookmarkStart w:id="672" w:name="xdx_903_eus-gaap--InterestExpenseDebt_pp"/>
      <w:bookmarkEnd w:id="672"/>
      <w:r>
        <w:rPr>
          <w:rFonts w:ascii="Times New Roman;Times;Serif" w:hAnsi="Times New Roman;Times;Serif"/>
          <w:b w:val="false"/>
          <w:i w:val="false"/>
          <w:caps w:val="false"/>
          <w:smallCaps w:val="false"/>
          <w:sz w:val="20"/>
        </w:rPr>
        <w:t>142,295 and $</w:t>
      </w:r>
      <w:bookmarkStart w:id="673" w:name="xdx_90D_eus-gaap--InterestExpenseDebt_pp"/>
      <w:bookmarkEnd w:id="673"/>
      <w:r>
        <w:rPr>
          <w:rFonts w:ascii="Times New Roman;Times;Serif" w:hAnsi="Times New Roman;Times;Serif"/>
          <w:b w:val="false"/>
          <w:i w:val="false"/>
          <w:caps w:val="false"/>
          <w:smallCaps w:val="false"/>
          <w:sz w:val="20"/>
        </w:rPr>
        <w:t>294,749 for the three months ended June 30, 2024 and 2023, respectively. Accretion of the convertible notes and amortization of loan origination expenses and loan discounts of $</w:t>
      </w:r>
      <w:bookmarkStart w:id="674" w:name="xdx_904_eus-gaap--AmortizationOfDeferred"/>
      <w:bookmarkEnd w:id="674"/>
      <w:r>
        <w:rPr>
          <w:rFonts w:ascii="Times New Roman;Times;Serif" w:hAnsi="Times New Roman;Times;Serif"/>
          <w:b w:val="false"/>
          <w:i w:val="false"/>
          <w:caps w:val="false"/>
          <w:smallCaps w:val="false"/>
          <w:sz w:val="20"/>
        </w:rPr>
        <w:t>45,931 and $</w:t>
      </w:r>
      <w:bookmarkStart w:id="675" w:name="xdx_907_eus-gaap--AmortizationOfDeferred"/>
      <w:bookmarkEnd w:id="675"/>
      <w:r>
        <w:rPr>
          <w:rFonts w:ascii="Times New Roman;Times;Serif" w:hAnsi="Times New Roman;Times;Serif"/>
          <w:b w:val="false"/>
          <w:i w:val="false"/>
          <w:caps w:val="false"/>
          <w:smallCaps w:val="false"/>
          <w:sz w:val="20"/>
        </w:rPr>
        <w:t>11,814 are included as part of interest expense for the three months ended June 30, 2024 and 2023, respectively. Total interest expense for the above debt and revolver loan amounted to $</w:t>
      </w:r>
      <w:bookmarkStart w:id="676" w:name="xdx_90D_eus-gaap--InterestExpenseDebt_pp"/>
      <w:bookmarkEnd w:id="676"/>
      <w:r>
        <w:rPr>
          <w:rFonts w:ascii="Times New Roman;Times;Serif" w:hAnsi="Times New Roman;Times;Serif"/>
          <w:b w:val="false"/>
          <w:i w:val="false"/>
          <w:caps w:val="false"/>
          <w:smallCaps w:val="false"/>
          <w:sz w:val="20"/>
        </w:rPr>
        <w:t>538,259 and $</w:t>
      </w:r>
      <w:bookmarkStart w:id="677" w:name="xdx_90A_eus-gaap--InterestExpenseDebt_pp"/>
      <w:bookmarkEnd w:id="677"/>
      <w:r>
        <w:rPr>
          <w:rFonts w:ascii="Times New Roman;Times;Serif" w:hAnsi="Times New Roman;Times;Serif"/>
          <w:b w:val="false"/>
          <w:i w:val="false"/>
          <w:caps w:val="false"/>
          <w:smallCaps w:val="false"/>
          <w:sz w:val="20"/>
        </w:rPr>
        <w:t>588,994 for the six months ended June 30, 2024 and 2023, respectively. Accretion of the convertible notes and amortization of loan origination expenses and loan discounts of $</w:t>
      </w:r>
      <w:bookmarkStart w:id="678" w:name="xdx_903_eus-gaap--AmortizationOfDeferred"/>
      <w:bookmarkEnd w:id="678"/>
      <w:r>
        <w:rPr>
          <w:rFonts w:ascii="Times New Roman;Times;Serif" w:hAnsi="Times New Roman;Times;Serif"/>
          <w:b w:val="false"/>
          <w:i w:val="false"/>
          <w:caps w:val="false"/>
          <w:smallCaps w:val="false"/>
          <w:sz w:val="20"/>
        </w:rPr>
        <w:t>340,614 and $</w:t>
      </w:r>
      <w:bookmarkStart w:id="679" w:name="xdx_90A_eus-gaap--AmortizationOfDeferred"/>
      <w:bookmarkEnd w:id="679"/>
      <w:r>
        <w:rPr>
          <w:rFonts w:ascii="Times New Roman;Times;Serif" w:hAnsi="Times New Roman;Times;Serif"/>
          <w:b w:val="false"/>
          <w:i w:val="false"/>
          <w:caps w:val="false"/>
          <w:smallCaps w:val="false"/>
          <w:sz w:val="20"/>
        </w:rPr>
        <w:t xml:space="preserve">20,726 are included as part of interest expense for the six months ended June 30, 2024 and 2023, respectively. The Company has a weighted average interest rate of </w:t>
      </w:r>
      <w:bookmarkStart w:id="680" w:name="xdx_909_eus-gaap--DebtWeightedAverageInt"/>
      <w:bookmarkEnd w:id="680"/>
      <w:r>
        <w:rPr>
          <w:rFonts w:ascii="Times New Roman;Times;Serif" w:hAnsi="Times New Roman;Times;Serif"/>
          <w:b w:val="false"/>
          <w:i w:val="false"/>
          <w:caps w:val="false"/>
          <w:smallCaps w:val="false"/>
          <w:sz w:val="20"/>
        </w:rPr>
        <w:t xml:space="preserve">6.0% and </w:t>
      </w:r>
      <w:bookmarkStart w:id="681" w:name="xdx_90E_eus-gaap--DebtWeightedAverageInt"/>
      <w:bookmarkEnd w:id="681"/>
      <w:r>
        <w:rPr>
          <w:rFonts w:ascii="Times New Roman;Times;Serif" w:hAnsi="Times New Roman;Times;Serif"/>
          <w:b w:val="false"/>
          <w:i w:val="false"/>
          <w:caps w:val="false"/>
          <w:smallCaps w:val="false"/>
          <w:sz w:val="20"/>
        </w:rPr>
        <w:t>8.1% on its short-term obligations as of June 30, 2024 and December 31, 2023, respectively. The Company is in compliance with, or received waivers for, its debt covenant requirement of maintaining a 1.5 to 1 ratio of trailing twelve month EBITDA to the previous twelve months principal and interest payments on all debt maintained with the lender, as of June 30, 2024 and December 31, 2023. Due to the failure to comply with the debt covenant, the Company has classified the long-term portion of its promissory note as current.</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2" w:name="xdx_893_eus-gaap--ScheduleOfMaturitiesOf"/>
      <w:bookmarkEnd w:id="682"/>
      <w:r>
        <w:rPr>
          <w:rFonts w:ascii="Times New Roman;Times;Serif" w:hAnsi="Times New Roman;Times;Serif"/>
          <w:b w:val="false"/>
          <w:i w:val="false"/>
          <w:caps w:val="false"/>
          <w:smallCaps w:val="false"/>
          <w:sz w:val="20"/>
        </w:rPr>
        <w:t>The following table provides future minimum payments of its long-term debt as of June 30, 2024:</w:t>
      </w:r>
    </w:p>
    <w:p>
      <w:pPr>
        <w:pStyle w:val="TextBody"/>
        <w:bidi w:val="0"/>
        <w:spacing w:before="0" w:after="0"/>
        <w:ind w:left="0" w:right="0" w:hanging="0"/>
        <w:jc w:val="center"/>
        <w:rPr>
          <w:caps w:val="false"/>
          <w:smallCaps w:val="false"/>
        </w:rPr>
      </w:pPr>
      <w:r>
        <w:rPr>
          <w:caps w:val="false"/>
          <w:smallCaps w:val="false"/>
        </w:rPr>
        <w:t> </w:t>
      </w:r>
      <w:bookmarkStart w:id="683" w:name="xdx_8B9_zePkUY0ffxPc"/>
      <w:bookmarkEnd w:id="683"/>
      <w:r>
        <w:rPr>
          <w:rFonts w:ascii="Times New Roman;Times;Serif" w:hAnsi="Times New Roman;Times;Serif"/>
          <w:b w:val="false"/>
          <w:i w:val="false"/>
          <w:caps w:val="false"/>
          <w:smallCaps w:val="false"/>
          <w:sz w:val="20"/>
        </w:rPr>
        <w:t>SCHEDULE OF FUTURE MINIMUM PAYMENTS OF LONG TERM DEBT</w:t>
      </w:r>
    </w:p>
    <w:tbl>
      <w:tblPr>
        <w:tblW w:w="4095" w:type="dxa"/>
        <w:jc w:val="left"/>
        <w:tblInd w:w="0" w:type="dxa"/>
        <w:tblLayout w:type="fixed"/>
        <w:tblCellMar>
          <w:top w:w="0" w:type="dxa"/>
          <w:left w:w="0" w:type="dxa"/>
          <w:bottom w:w="28" w:type="dxa"/>
          <w:right w:w="0" w:type="dxa"/>
        </w:tblCellMar>
      </w:tblPr>
      <w:tblGrid>
        <w:gridCol w:w="2840"/>
        <w:gridCol w:w="60"/>
        <w:gridCol w:w="140"/>
        <w:gridCol w:w="980"/>
        <w:gridCol w:w="75"/>
      </w:tblGrid>
      <w:tr>
        <w:trPr/>
        <w:tc>
          <w:tcPr>
            <w:tcW w:w="2840" w:type="dxa"/>
            <w:tcBorders>
              <w:bottom w:val="single" w:sz="12"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684" w:name="xdx_498_20240630_zmZ1o929sNvh"/>
            <w:bookmarkEnd w:id="684"/>
          </w:p>
        </w:tc>
        <w:tc>
          <w:tcPr>
            <w:tcW w:w="112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685" w:name="xdx_40C_eus-gaap--LongTermDebtMaturities"/>
            <w:bookmarkEnd w:id="685"/>
          </w:p>
        </w:tc>
      </w:tr>
      <w:tr>
        <w:trPr/>
        <w:tc>
          <w:tcPr>
            <w:tcW w:w="2840" w:type="dxa"/>
            <w:tcBorders/>
            <w:shd w:fill="CCEEFF" w:val="clear"/>
            <w:tcMar>
              <w:bottom w:w="0" w:type="dxa"/>
            </w:tcMar>
            <w:vAlign w:val="center"/>
          </w:tcPr>
          <w:p>
            <w:pPr>
              <w:pStyle w:val="TableContents"/>
              <w:bidi w:val="0"/>
              <w:spacing w:before="0" w:after="283"/>
              <w:jc w:val="both"/>
              <w:rPr/>
            </w:pPr>
            <w:r>
              <w:rPr/>
              <w:t>Remainder of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3,048,492</w:t>
            </w:r>
          </w:p>
        </w:tc>
        <w:tc>
          <w:tcPr>
            <w:tcW w:w="75" w:type="dxa"/>
            <w:tcBorders/>
            <w:shd w:fill="CCEEFF" w:val="clear"/>
            <w:tcMar>
              <w:bottom w:w="0" w:type="dxa"/>
            </w:tcMar>
            <w:vAlign w:val="center"/>
          </w:tcPr>
          <w:p>
            <w:pPr>
              <w:pStyle w:val="TableContents"/>
              <w:bidi w:val="0"/>
              <w:spacing w:before="0" w:after="283"/>
              <w:jc w:val="left"/>
              <w:rPr/>
            </w:pPr>
            <w:r>
              <w:rPr/>
              <w:t> </w:t>
            </w:r>
            <w:bookmarkStart w:id="686" w:name="xdx_40A_eus-gaap--LongTermDebtMaturities"/>
            <w:bookmarkEnd w:id="686"/>
          </w:p>
        </w:tc>
      </w:tr>
      <w:tr>
        <w:trPr/>
        <w:tc>
          <w:tcPr>
            <w:tcW w:w="2840" w:type="dxa"/>
            <w:tcBorders/>
            <w:shd w:fill="FFFFFF" w:val="clear"/>
            <w:tcMar>
              <w:bottom w:w="0" w:type="dxa"/>
            </w:tcMar>
            <w:vAlign w:val="center"/>
          </w:tcPr>
          <w:p>
            <w:pPr>
              <w:pStyle w:val="TableContents"/>
              <w:bidi w:val="0"/>
              <w:spacing w:before="0" w:after="283"/>
              <w:jc w:val="both"/>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86,013</w:t>
            </w:r>
          </w:p>
        </w:tc>
        <w:tc>
          <w:tcPr>
            <w:tcW w:w="75" w:type="dxa"/>
            <w:tcBorders/>
            <w:shd w:fill="FFFFFF" w:val="clear"/>
            <w:tcMar>
              <w:bottom w:w="0" w:type="dxa"/>
            </w:tcMar>
            <w:vAlign w:val="center"/>
          </w:tcPr>
          <w:p>
            <w:pPr>
              <w:pStyle w:val="TableContents"/>
              <w:bidi w:val="0"/>
              <w:spacing w:before="0" w:after="283"/>
              <w:jc w:val="left"/>
              <w:rPr/>
            </w:pPr>
            <w:r>
              <w:rPr/>
              <w:t> </w:t>
            </w:r>
            <w:bookmarkStart w:id="687" w:name="xdx_40B_eus-gaap--LongTermDebtMaturities"/>
            <w:bookmarkEnd w:id="687"/>
          </w:p>
        </w:tc>
      </w:tr>
      <w:tr>
        <w:trPr/>
        <w:tc>
          <w:tcPr>
            <w:tcW w:w="2840" w:type="dxa"/>
            <w:tcBorders/>
            <w:shd w:fill="CCEEFF" w:val="clear"/>
            <w:tcMar>
              <w:bottom w:w="0" w:type="dxa"/>
            </w:tcMar>
            <w:vAlign w:val="center"/>
          </w:tcPr>
          <w:p>
            <w:pPr>
              <w:pStyle w:val="TableContents"/>
              <w:bidi w:val="0"/>
              <w:spacing w:before="0" w:after="283"/>
              <w:jc w:val="both"/>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89,115</w:t>
            </w:r>
          </w:p>
        </w:tc>
        <w:tc>
          <w:tcPr>
            <w:tcW w:w="75" w:type="dxa"/>
            <w:tcBorders/>
            <w:shd w:fill="CCEEFF" w:val="clear"/>
            <w:tcMar>
              <w:bottom w:w="0" w:type="dxa"/>
            </w:tcMar>
            <w:vAlign w:val="center"/>
          </w:tcPr>
          <w:p>
            <w:pPr>
              <w:pStyle w:val="TableContents"/>
              <w:bidi w:val="0"/>
              <w:spacing w:before="0" w:after="283"/>
              <w:jc w:val="left"/>
              <w:rPr/>
            </w:pPr>
            <w:r>
              <w:rPr/>
              <w:t> </w:t>
            </w:r>
            <w:bookmarkStart w:id="688" w:name="xdx_40E_eus-gaap--LongTermDebtMaturities"/>
            <w:bookmarkEnd w:id="688"/>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92,329</w:t>
            </w:r>
          </w:p>
        </w:tc>
        <w:tc>
          <w:tcPr>
            <w:tcW w:w="75" w:type="dxa"/>
            <w:tcBorders/>
            <w:shd w:fill="FFFFFF" w:val="clear"/>
            <w:tcMar>
              <w:bottom w:w="0" w:type="dxa"/>
            </w:tcMar>
            <w:vAlign w:val="center"/>
          </w:tcPr>
          <w:p>
            <w:pPr>
              <w:pStyle w:val="TableContents"/>
              <w:bidi w:val="0"/>
              <w:spacing w:before="0" w:after="283"/>
              <w:jc w:val="left"/>
              <w:rPr/>
            </w:pPr>
            <w:r>
              <w:rPr/>
              <w:t> </w:t>
            </w:r>
            <w:bookmarkStart w:id="689" w:name="xdx_406_eus-gaap--LongTermDebtMaturities"/>
            <w:bookmarkEnd w:id="689"/>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95,414</w:t>
            </w:r>
          </w:p>
        </w:tc>
        <w:tc>
          <w:tcPr>
            <w:tcW w:w="75" w:type="dxa"/>
            <w:tcBorders/>
            <w:shd w:fill="CCEEFF" w:val="clear"/>
            <w:tcMar>
              <w:bottom w:w="0" w:type="dxa"/>
            </w:tcMar>
            <w:vAlign w:val="center"/>
          </w:tcPr>
          <w:p>
            <w:pPr>
              <w:pStyle w:val="TableContents"/>
              <w:bidi w:val="0"/>
              <w:spacing w:before="0" w:after="283"/>
              <w:jc w:val="left"/>
              <w:rPr/>
            </w:pPr>
            <w:r>
              <w:rPr/>
              <w:t> </w:t>
            </w:r>
            <w:bookmarkStart w:id="690" w:name="xdx_40C_ecustom--LongTermDebtMaturitiesR"/>
            <w:bookmarkEnd w:id="690"/>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2,359,677</w:t>
            </w:r>
          </w:p>
        </w:tc>
        <w:tc>
          <w:tcPr>
            <w:tcW w:w="75" w:type="dxa"/>
            <w:tcBorders/>
            <w:shd w:fill="FFFFFF" w:val="clear"/>
            <w:tcMar>
              <w:bottom w:w="0" w:type="dxa"/>
            </w:tcMar>
            <w:vAlign w:val="center"/>
          </w:tcPr>
          <w:p>
            <w:pPr>
              <w:pStyle w:val="TableContents"/>
              <w:bidi w:val="0"/>
              <w:spacing w:before="0" w:after="283"/>
              <w:jc w:val="left"/>
              <w:rPr/>
            </w:pPr>
            <w:r>
              <w:rPr/>
              <w:t> </w:t>
            </w:r>
            <w:bookmarkStart w:id="691" w:name="xdx_402_eus-gaap--LongTermDebt_iTI_mtLTD"/>
            <w:bookmarkEnd w:id="691"/>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Long 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5,771,040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92" w:name="xdx_8A9_zxsMVSktsV6b"/>
      <w:bookmarkEnd w:id="69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3" w:name="xdx_805_eus-gaap--IncomeTaxDisclosureTex"/>
      <w:bookmarkEnd w:id="693"/>
      <w:r>
        <w:rPr>
          <w:rFonts w:ascii="Times New Roman;Times;Serif" w:hAnsi="Times New Roman;Times;Serif"/>
          <w:b/>
          <w:i w:val="false"/>
          <w:caps w:val="false"/>
          <w:smallCaps w:val="false"/>
          <w:sz w:val="20"/>
        </w:rPr>
        <w:t xml:space="preserve">NOTE 12 – </w:t>
      </w:r>
      <w:bookmarkStart w:id="694" w:name="xdx_82C_zbZHz6B6FeWi"/>
      <w:bookmarkEnd w:id="694"/>
      <w:r>
        <w:rPr>
          <w:rFonts w:ascii="Times New Roman;Times;Serif" w:hAnsi="Times New Roman;Times;Serif"/>
          <w:b/>
          <w:i w:val="false"/>
          <w:caps w:val="false"/>
          <w:smallCaps w:val="false"/>
          <w:sz w:val="20"/>
        </w:rPr>
        <w:t>INCOME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expense of $</w:t>
      </w:r>
      <w:bookmarkStart w:id="695" w:name="xdx_902_eus-gaap--IncomeTaxExpenseBenefi"/>
      <w:bookmarkEnd w:id="695"/>
      <w:r>
        <w:rPr>
          <w:rFonts w:ascii="Times New Roman;Times;Serif" w:hAnsi="Times New Roman;Times;Serif"/>
          <w:b w:val="false"/>
          <w:i w:val="false"/>
          <w:caps w:val="false"/>
          <w:smallCaps w:val="false"/>
          <w:sz w:val="20"/>
        </w:rPr>
        <w:t>589,512 and income tax benefit of $</w:t>
      </w:r>
      <w:bookmarkStart w:id="696" w:name="xdx_90D_eus-gaap--IncomeTaxExpenseBenefi"/>
      <w:bookmarkEnd w:id="696"/>
      <w:r>
        <w:rPr>
          <w:rFonts w:ascii="Times New Roman;Times;Serif" w:hAnsi="Times New Roman;Times;Serif"/>
          <w:b w:val="false"/>
          <w:i w:val="false"/>
          <w:caps w:val="false"/>
          <w:smallCaps w:val="false"/>
          <w:sz w:val="20"/>
        </w:rPr>
        <w:t>1,081,887 for the three months ended June 30, 2024 and 2023, respectively. The income tax expense of $</w:t>
      </w:r>
      <w:bookmarkStart w:id="697" w:name="xdx_908_eus-gaap--IncomeTaxExpenseBenefi"/>
      <w:bookmarkEnd w:id="697"/>
      <w:r>
        <w:rPr>
          <w:rFonts w:ascii="Times New Roman;Times;Serif" w:hAnsi="Times New Roman;Times;Serif"/>
          <w:b w:val="false"/>
          <w:i w:val="false"/>
          <w:caps w:val="false"/>
          <w:smallCaps w:val="false"/>
          <w:sz w:val="20"/>
        </w:rPr>
        <w:t>111,562 and income tax benefit of $</w:t>
      </w:r>
      <w:bookmarkStart w:id="698" w:name="xdx_908_eus-gaap--IncomeTaxExpenseBenefi"/>
      <w:bookmarkEnd w:id="698"/>
      <w:r>
        <w:rPr>
          <w:rFonts w:ascii="Times New Roman;Times;Serif" w:hAnsi="Times New Roman;Times;Serif"/>
          <w:b w:val="false"/>
          <w:i w:val="false"/>
          <w:caps w:val="false"/>
          <w:smallCaps w:val="false"/>
          <w:sz w:val="20"/>
        </w:rPr>
        <w:t xml:space="preserve">1,887,705 for the six months ended June 30, 2024 and 2023, respectively, reflects a tax rate of </w:t>
      </w:r>
      <w:bookmarkStart w:id="699" w:name="xdx_907_eus-gaap--EffectiveIncomeTaxRate"/>
      <w:bookmarkEnd w:id="699"/>
      <w:r>
        <w:rPr>
          <w:rFonts w:ascii="Times New Roman;Times;Serif" w:hAnsi="Times New Roman;Times;Serif"/>
          <w:b w:val="false"/>
          <w:i w:val="false"/>
          <w:caps w:val="false"/>
          <w:smallCaps w:val="false"/>
          <w:sz w:val="20"/>
        </w:rPr>
        <w:t xml:space="preserve">19% and </w:t>
      </w:r>
      <w:bookmarkStart w:id="700" w:name="xdx_90C_eus-gaap--EffectiveIncomeTaxRate"/>
      <w:bookmarkEnd w:id="700"/>
      <w:r>
        <w:rPr>
          <w:rFonts w:ascii="Times New Roman;Times;Serif" w:hAnsi="Times New Roman;Times;Serif"/>
          <w:b w:val="false"/>
          <w:i w:val="false"/>
          <w:caps w:val="false"/>
          <w:smallCaps w:val="false"/>
          <w:sz w:val="20"/>
        </w:rPr>
        <w:t xml:space="preserve">21%, respectively. As of June 30, 2024, the Company’s effective tax rate differed from the federal statutory rate of </w:t>
      </w:r>
      <w:bookmarkStart w:id="701" w:name="xdx_902_eus-gaap--EffectiveIncomeTaxRate"/>
      <w:bookmarkEnd w:id="701"/>
      <w:r>
        <w:rPr>
          <w:rFonts w:ascii="Times New Roman;Times;Serif" w:hAnsi="Times New Roman;Times;Serif"/>
          <w:b w:val="false"/>
          <w:i w:val="false"/>
          <w:caps w:val="false"/>
          <w:smallCaps w:val="false"/>
          <w:sz w:val="20"/>
        </w:rPr>
        <w:t>21% primarily due to state taxes and permanent differences.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assessed all available positive and negative evidence of whether sufficient future taxable income will be generated to realize the deferred tax assets, including the results of recent operations and projections of future taxable income. After evaluating the positive and negative evidence, management believes it is more likely than not that the Company will realize the benefits of these deductible differences. </w:t>
      </w:r>
      <w:r>
        <w:rPr>
          <w:rFonts w:ascii="Times New Roman;Times;Serif" w:hAnsi="Times New Roman;Times;Serif"/>
          <w:b w:val="false"/>
          <w:i w:val="false"/>
          <w:caps w:val="false"/>
          <w:smallCaps w:val="false"/>
          <w:sz w:val="20"/>
          <w:shd w:fill="FFFFFF" w:val="clear"/>
        </w:rPr>
        <w:t>In the event that negative evidence outweighs positive evidence in future periods, the Company may need to record additional valuation allowance, which could have a material impact on our financial position. The Company continues to maintain a valuation allowance against certain deferred tax assets that are not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Company’s ordinary course of business the Internal Revenue Service (“IRS”) and other taxing authorities may examine various years of the Company’s tax filings. The Company’s 2022 fiscal year is currently under examination by the IRS. During the examination the Company may receive proposed adjustments that could be material. There are currently no settlements that the Company believes will be more likely than not to require settlement and thus no liability has been accrued.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2" w:name="xdx_80B_eus-gaap--LesseeOperatingLeasesT"/>
      <w:bookmarkEnd w:id="702"/>
      <w:r>
        <w:rPr>
          <w:rFonts w:ascii="Times New Roman;Times;Serif" w:hAnsi="Times New Roman;Times;Serif"/>
          <w:b/>
          <w:i w:val="false"/>
          <w:caps w:val="false"/>
          <w:smallCaps w:val="false"/>
          <w:sz w:val="20"/>
        </w:rPr>
        <w:t xml:space="preserve">NOTE 13 – </w:t>
      </w:r>
      <w:bookmarkStart w:id="703" w:name="xdx_82A_zdVakBVhhegf"/>
      <w:bookmarkEnd w:id="703"/>
      <w:r>
        <w:rPr>
          <w:rFonts w:ascii="Times New Roman;Times;Serif" w:hAnsi="Times New Roman;Times;Serif"/>
          <w:b/>
          <w:i w:val="false"/>
          <w:caps w:val="false"/>
          <w:smallCaps w:val="false"/>
          <w:sz w:val="20"/>
        </w:rPr>
        <w:t>OPERATING LEASE RIGHT-OF-USE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w:t>
      </w:r>
      <w:bookmarkStart w:id="704" w:name="xdx_901_eus-gaap--LineOfCreditFacilityMa"/>
      <w:bookmarkEnd w:id="704"/>
      <w:r>
        <w:rPr>
          <w:rFonts w:ascii="Times New Roman;Times;Serif" w:hAnsi="Times New Roman;Times;Serif"/>
          <w:b w:val="false"/>
          <w:i w:val="false"/>
          <w:caps w:val="false"/>
          <w:smallCaps w:val="false"/>
          <w:sz w:val="20"/>
        </w:rPr>
        <w:t>1,075,000 to lease office space. The standby letter of credit was valid for a one-year term and was amended in January 2021 to extend to January 31, 2026. As of June 30, 2024 and December 31, 2023, the Company’s net operating lease right-of-use assets amounted to $</w:t>
      </w:r>
      <w:bookmarkStart w:id="705" w:name="xdx_90B_eus-gaap--OperatingLeaseRightOfU"/>
      <w:bookmarkEnd w:id="705"/>
      <w:r>
        <w:rPr>
          <w:rFonts w:ascii="Times New Roman;Times;Serif" w:hAnsi="Times New Roman;Times;Serif"/>
          <w:b w:val="false"/>
          <w:i w:val="false"/>
          <w:caps w:val="false"/>
          <w:smallCaps w:val="false"/>
          <w:sz w:val="20"/>
        </w:rPr>
        <w:t>1,831,269 and $</w:t>
      </w:r>
      <w:bookmarkStart w:id="706" w:name="xdx_90A_eus-gaap--OperatingLeaseRightOfU"/>
      <w:bookmarkEnd w:id="706"/>
      <w:r>
        <w:rPr>
          <w:rFonts w:ascii="Times New Roman;Times;Serif" w:hAnsi="Times New Roman;Times;Serif"/>
          <w:b w:val="false"/>
          <w:i w:val="false"/>
          <w:caps w:val="false"/>
          <w:smallCaps w:val="false"/>
          <w:sz w:val="20"/>
        </w:rPr>
        <w:t>2,440,690, respectively. The Company had variable lease payments of approximately $</w:t>
      </w:r>
      <w:bookmarkStart w:id="707" w:name="xdx_908_eus-gaap--VariableLeasePayment_p"/>
      <w:bookmarkEnd w:id="707"/>
      <w:r>
        <w:rPr>
          <w:rFonts w:ascii="Times New Roman;Times;Serif" w:hAnsi="Times New Roman;Times;Serif"/>
          <w:b w:val="false"/>
          <w:i w:val="false"/>
          <w:caps w:val="false"/>
          <w:smallCaps w:val="false"/>
          <w:sz w:val="20"/>
        </w:rPr>
        <w:t>34,840 and $</w:t>
      </w:r>
      <w:bookmarkStart w:id="708" w:name="xdx_903_eus-gaap--VariableLeasePayment_p"/>
      <w:bookmarkEnd w:id="708"/>
      <w:r>
        <w:rPr>
          <w:rFonts w:ascii="Times New Roman;Times;Serif" w:hAnsi="Times New Roman;Times;Serif"/>
          <w:b w:val="false"/>
          <w:i w:val="false"/>
          <w:caps w:val="false"/>
          <w:smallCaps w:val="false"/>
          <w:sz w:val="20"/>
        </w:rPr>
        <w:t>15,295 during the three months ended June 30, 2024 and 2023, respectively, and approximately $</w:t>
      </w:r>
      <w:bookmarkStart w:id="709" w:name="xdx_901_eus-gaap--VariableLeasePayment_p"/>
      <w:bookmarkEnd w:id="709"/>
      <w:r>
        <w:rPr>
          <w:rFonts w:ascii="Times New Roman;Times;Serif" w:hAnsi="Times New Roman;Times;Serif"/>
          <w:b w:val="false"/>
          <w:i w:val="false"/>
          <w:caps w:val="false"/>
          <w:smallCaps w:val="false"/>
          <w:sz w:val="20"/>
        </w:rPr>
        <w:t>62,171 and $</w:t>
      </w:r>
      <w:bookmarkStart w:id="710" w:name="xdx_904_eus-gaap--VariableLeasePayment_p"/>
      <w:bookmarkEnd w:id="710"/>
      <w:r>
        <w:rPr>
          <w:rFonts w:ascii="Times New Roman;Times;Serif" w:hAnsi="Times New Roman;Times;Serif"/>
          <w:b w:val="false"/>
          <w:i w:val="false"/>
          <w:caps w:val="false"/>
          <w:smallCaps w:val="false"/>
          <w:sz w:val="20"/>
        </w:rPr>
        <w:t>39,805 during the six months ended June 30, 2024 and 2023, which consisted primarily of common area maintenance charges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1" w:name="xdx_898_eus-gaap--LeaseCostTableTextBloc"/>
      <w:bookmarkEnd w:id="711"/>
      <w:r>
        <w:rPr>
          <w:rFonts w:ascii="Times New Roman;Times;Serif" w:hAnsi="Times New Roman;Times;Serif"/>
          <w:b w:val="false"/>
          <w:i w:val="false"/>
          <w:caps w:val="false"/>
          <w:smallCaps w:val="false"/>
          <w:sz w:val="20"/>
        </w:rPr>
        <w:t>Operating lease costs included in the general and administrative expenses in our condensed consolidated statements of operations and comprehensive income (loss) for the three and six months ended June 30, 2024 and 2023, are as follows:</w:t>
      </w:r>
    </w:p>
    <w:p>
      <w:pPr>
        <w:pStyle w:val="TextBody"/>
        <w:bidi w:val="0"/>
        <w:spacing w:before="0" w:after="0"/>
        <w:ind w:left="0" w:right="0" w:hanging="0"/>
        <w:jc w:val="both"/>
        <w:rPr>
          <w:caps w:val="false"/>
          <w:smallCaps w:val="false"/>
        </w:rPr>
      </w:pPr>
      <w:r>
        <w:rPr>
          <w:caps w:val="false"/>
          <w:smallCaps w:val="false"/>
        </w:rPr>
        <w:t> </w:t>
      </w:r>
      <w:bookmarkStart w:id="712" w:name="xdx_8BA_zL4yopKassUd"/>
      <w:bookmarkEnd w:id="712"/>
      <w:r>
        <w:rPr>
          <w:rFonts w:ascii="Times New Roman;Times;Serif" w:hAnsi="Times New Roman;Times;Serif"/>
          <w:b w:val="false"/>
          <w:i w:val="false"/>
          <w:caps w:val="false"/>
          <w:smallCaps w:val="false"/>
          <w:sz w:val="20"/>
        </w:rPr>
        <w:t>SCHEDULE OF OPERATING LEASE COSTS</w:t>
      </w:r>
    </w:p>
    <w:tbl>
      <w:tblPr>
        <w:tblW w:w="6355" w:type="dxa"/>
        <w:jc w:val="left"/>
        <w:tblInd w:w="0" w:type="dxa"/>
        <w:tblLayout w:type="fixed"/>
        <w:tblCellMar>
          <w:top w:w="0" w:type="dxa"/>
          <w:left w:w="0" w:type="dxa"/>
          <w:bottom w:w="0" w:type="dxa"/>
          <w:right w:w="0" w:type="dxa"/>
        </w:tblCellMar>
      </w:tblPr>
      <w:tblGrid>
        <w:gridCol w:w="2030"/>
        <w:gridCol w:w="60"/>
        <w:gridCol w:w="156"/>
        <w:gridCol w:w="892"/>
        <w:gridCol w:w="66"/>
        <w:gridCol w:w="156"/>
        <w:gridCol w:w="892"/>
        <w:gridCol w:w="60"/>
        <w:gridCol w:w="142"/>
        <w:gridCol w:w="812"/>
        <w:gridCol w:w="60"/>
        <w:gridCol w:w="142"/>
        <w:gridCol w:w="812"/>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3" w:name="xdx_491_20240401__20240630_zo5qaZdkWicc"/>
            <w:bookmarkEnd w:id="713"/>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6" w:type="dxa"/>
            <w:tcBorders/>
            <w:vAlign w:val="center"/>
          </w:tcPr>
          <w:p>
            <w:pPr>
              <w:pStyle w:val="TableContents"/>
              <w:bidi w:val="0"/>
              <w:spacing w:before="0" w:after="283"/>
              <w:jc w:val="left"/>
              <w:rPr/>
            </w:pPr>
            <w:r>
              <w:rPr/>
              <w:t> </w:t>
            </w:r>
            <w:bookmarkStart w:id="714" w:name="xdx_497_20230401__20230630_zDSegyrlbLR"/>
            <w:bookmarkEnd w:id="714"/>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bookmarkStart w:id="715" w:name="xdx_49D_20240101__20240630_zVzPUvul0Ai9"/>
            <w:bookmarkEnd w:id="715"/>
          </w:p>
        </w:tc>
        <w:tc>
          <w:tcPr>
            <w:tcW w:w="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bookmarkStart w:id="716" w:name="xdx_49C_20230101__20230630_zqraGVpNyaQ6"/>
            <w:bookmarkEnd w:id="716"/>
          </w:p>
        </w:tc>
        <w:tc>
          <w:tcPr>
            <w:tcW w:w="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2"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For the three months</w:t>
              <w:br/>
              <w:t>ended June 30,</w:t>
            </w:r>
          </w:p>
        </w:tc>
        <w:tc>
          <w:tcPr>
            <w:tcW w:w="60" w:type="dxa"/>
            <w:tcBorders/>
            <w:vAlign w:val="center"/>
          </w:tcPr>
          <w:p>
            <w:pPr>
              <w:pStyle w:val="TableContents"/>
              <w:bidi w:val="0"/>
              <w:spacing w:before="0" w:after="283"/>
              <w:jc w:val="left"/>
              <w:rPr/>
            </w:pPr>
            <w:r>
              <w:rPr/>
              <w:t> </w:t>
            </w:r>
          </w:p>
        </w:tc>
        <w:tc>
          <w:tcPr>
            <w:tcW w:w="1968"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w:t>
              <w:br/>
              <w:t>ended June 30,</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6"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717" w:name="xdx_404_eus-gaap--OperatingLeaseCost_zlp"/>
            <w:bookmarkEnd w:id="717"/>
          </w:p>
        </w:tc>
      </w:tr>
      <w:tr>
        <w:trPr/>
        <w:tc>
          <w:tcPr>
            <w:tcW w:w="2030" w:type="dxa"/>
            <w:tcBorders/>
            <w:shd w:fill="CCEEFF" w:val="clear"/>
            <w:vAlign w:val="center"/>
          </w:tcPr>
          <w:p>
            <w:pPr>
              <w:pStyle w:val="TableContents"/>
              <w:bidi w:val="0"/>
              <w:spacing w:before="0" w:after="283"/>
              <w:jc w:val="left"/>
              <w:rPr/>
            </w:pPr>
            <w:r>
              <w:rPr/>
              <w:t>Operating lease costs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399,997</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381,300</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796,512</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778,862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8" w:name="xdx_8AB_zILOaYCYUPYb"/>
      <w:bookmarkEnd w:id="71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9" w:name="xdx_89B_ecustom--LesseeOperatingLeaseSup"/>
      <w:bookmarkEnd w:id="719"/>
      <w:r>
        <w:rPr>
          <w:rFonts w:ascii="Times New Roman;Times;Serif" w:hAnsi="Times New Roman;Times;Serif"/>
          <w:b w:val="false"/>
          <w:i w:val="false"/>
          <w:caps w:val="false"/>
          <w:smallCaps w:val="false"/>
          <w:sz w:val="20"/>
        </w:rPr>
        <w:t>Supplemental information related to operating leases for lease liabilities as of June 30, 2024 and June 30, 2023, is as follows:</w:t>
      </w:r>
    </w:p>
    <w:p>
      <w:pPr>
        <w:pStyle w:val="TextBody"/>
        <w:bidi w:val="0"/>
        <w:spacing w:before="0" w:after="0"/>
        <w:ind w:left="0" w:right="0" w:hanging="0"/>
        <w:jc w:val="both"/>
        <w:rPr>
          <w:caps w:val="false"/>
          <w:smallCaps w:val="false"/>
        </w:rPr>
      </w:pPr>
      <w:r>
        <w:rPr>
          <w:caps w:val="false"/>
          <w:smallCaps w:val="false"/>
        </w:rPr>
        <w:t> </w:t>
      </w:r>
      <w:bookmarkStart w:id="720" w:name="xdx_8BD_zznf1Q6tZgE5"/>
      <w:bookmarkEnd w:id="720"/>
      <w:r>
        <w:rPr>
          <w:rFonts w:ascii="Times New Roman;Times;Serif" w:hAnsi="Times New Roman;Times;Serif"/>
          <w:b w:val="false"/>
          <w:i w:val="false"/>
          <w:caps w:val="false"/>
          <w:smallCaps w:val="false"/>
          <w:sz w:val="20"/>
        </w:rPr>
        <w:t>SCHEDULE OF SUPPLEMENTAL INFORMATION RELATED TO OPERATING LEASES</w:t>
      </w:r>
    </w:p>
    <w:tbl>
      <w:tblPr>
        <w:tblW w:w="9050" w:type="dxa"/>
        <w:jc w:val="left"/>
        <w:tblInd w:w="0" w:type="dxa"/>
        <w:tblLayout w:type="fixed"/>
        <w:tblCellMar>
          <w:top w:w="0" w:type="dxa"/>
          <w:left w:w="0" w:type="dxa"/>
          <w:bottom w:w="0" w:type="dxa"/>
          <w:right w:w="0" w:type="dxa"/>
        </w:tblCellMar>
      </w:tblPr>
      <w:tblGrid>
        <w:gridCol w:w="6605"/>
        <w:gridCol w:w="60"/>
        <w:gridCol w:w="140"/>
        <w:gridCol w:w="800"/>
        <w:gridCol w:w="215"/>
        <w:gridCol w:w="60"/>
        <w:gridCol w:w="140"/>
        <w:gridCol w:w="800"/>
        <w:gridCol w:w="230"/>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1" w:name="xdx_98E_ecustom--CashPaidForAmountsInclu"/>
            <w:bookmarkEnd w:id="721"/>
          </w:p>
        </w:tc>
        <w:tc>
          <w:tcPr>
            <w:tcW w:w="800" w:type="dxa"/>
            <w:tcBorders/>
            <w:shd w:fill="CCEEFF" w:val="clear"/>
            <w:vAlign w:val="center"/>
          </w:tcPr>
          <w:p>
            <w:pPr>
              <w:pStyle w:val="TableContents"/>
              <w:bidi w:val="0"/>
              <w:spacing w:before="0" w:after="283"/>
              <w:jc w:val="right"/>
              <w:rPr/>
            </w:pPr>
            <w:r>
              <w:rPr/>
              <w:t>801,327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2" w:name="xdx_981_ecustom--CashPaidForAmountsInclu"/>
            <w:bookmarkEnd w:id="722"/>
          </w:p>
        </w:tc>
        <w:tc>
          <w:tcPr>
            <w:tcW w:w="800" w:type="dxa"/>
            <w:tcBorders/>
            <w:shd w:fill="CCEEFF" w:val="clear"/>
            <w:vAlign w:val="center"/>
          </w:tcPr>
          <w:p>
            <w:pPr>
              <w:pStyle w:val="TableContents"/>
              <w:bidi w:val="0"/>
              <w:spacing w:before="0" w:after="283"/>
              <w:jc w:val="right"/>
              <w:rPr/>
            </w:pPr>
            <w:r>
              <w:rPr/>
              <w:t>770,508</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23" w:name="xdx_908_eus-gaap--LesseeOperatingLeaseRe"/>
            <w:bookmarkEnd w:id="723"/>
            <w:r>
              <w:rPr>
                <w:rFonts w:ascii="Times New Roman;Times;Serif" w:hAnsi="Times New Roman;Times;Serif"/>
                <w:sz w:val="20"/>
              </w:rPr>
              <w:t>1.4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24" w:name="xdx_906_eus-gaap--LesseeOperatingLeaseRe"/>
            <w:bookmarkEnd w:id="724"/>
            <w:r>
              <w:rPr>
                <w:rFonts w:ascii="Times New Roman;Times;Serif" w:hAnsi="Times New Roman;Times;Serif"/>
                <w:sz w:val="20"/>
              </w:rPr>
              <w:t>2.4 years</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725" w:name="xdx_901_eus-gaap--OperatingLeaseWeighted"/>
            <w:bookmarkEnd w:id="725"/>
            <w:r>
              <w:rPr/>
              <w:t>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726" w:name="xdx_90F_eus-gaap--OperatingLeaseWeighted"/>
            <w:bookmarkEnd w:id="726"/>
            <w:r>
              <w:rPr/>
              <w:t>5.00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27" w:name="xdx_8AB_zWCTKjyo7jJ5"/>
      <w:bookmarkEnd w:id="7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8" w:name="xdx_896_eus-gaap--LesseeOperatingLeaseLi"/>
      <w:bookmarkEnd w:id="728"/>
      <w:r>
        <w:rPr>
          <w:rFonts w:ascii="Times New Roman;Times;Serif" w:hAnsi="Times New Roman;Times;Serif"/>
          <w:b w:val="false"/>
          <w:i w:val="false"/>
          <w:caps w:val="false"/>
          <w:smallCaps w:val="false"/>
          <w:sz w:val="20"/>
        </w:rPr>
        <w:t>Future undiscounted lease payments for operating leases and a reconciliation of these payments to our operating lease liabilities as of June 30, 2024 are as follows:</w:t>
      </w:r>
    </w:p>
    <w:p>
      <w:pPr>
        <w:pStyle w:val="TextBody"/>
        <w:bidi w:val="0"/>
        <w:spacing w:before="0" w:after="0"/>
        <w:ind w:left="0" w:right="0" w:hanging="0"/>
        <w:jc w:val="both"/>
        <w:rPr>
          <w:caps w:val="false"/>
          <w:smallCaps w:val="false"/>
        </w:rPr>
      </w:pPr>
      <w:r>
        <w:rPr>
          <w:caps w:val="false"/>
          <w:smallCaps w:val="false"/>
        </w:rPr>
        <w:t> </w:t>
      </w:r>
      <w:bookmarkStart w:id="729" w:name="xdx_8B2_zCThw17OIyT4"/>
      <w:bookmarkEnd w:id="729"/>
      <w:r>
        <w:rPr>
          <w:rFonts w:ascii="Times New Roman;Times;Serif" w:hAnsi="Times New Roman;Times;Serif"/>
          <w:b w:val="false"/>
          <w:i w:val="false"/>
          <w:caps w:val="false"/>
          <w:smallCaps w:val="false"/>
          <w:sz w:val="20"/>
        </w:rPr>
        <w:t>SCHEDULE OF FUTURE UNDISCOUNTED LEASE PAYMENTS FOR OPERATING LEASES AND RECONCILIATION OF THESE PAYMENTS TO OUR OPERATING LEASE LIABILITIES</w:t>
      </w:r>
    </w:p>
    <w:tbl>
      <w:tblPr>
        <w:tblW w:w="6369" w:type="dxa"/>
        <w:jc w:val="left"/>
        <w:tblInd w:w="0" w:type="dxa"/>
        <w:tblLayout w:type="fixed"/>
        <w:tblCellMar>
          <w:top w:w="0" w:type="dxa"/>
          <w:left w:w="0" w:type="dxa"/>
          <w:bottom w:w="0" w:type="dxa"/>
          <w:right w:w="0" w:type="dxa"/>
        </w:tblCellMar>
      </w:tblPr>
      <w:tblGrid>
        <w:gridCol w:w="2840"/>
        <w:gridCol w:w="60"/>
        <w:gridCol w:w="158"/>
        <w:gridCol w:w="1106"/>
        <w:gridCol w:w="60"/>
        <w:gridCol w:w="151"/>
        <w:gridCol w:w="739"/>
        <w:gridCol w:w="60"/>
        <w:gridCol w:w="140"/>
        <w:gridCol w:w="980"/>
        <w:gridCol w:w="75"/>
      </w:tblGrid>
      <w:tr>
        <w:trPr/>
        <w:tc>
          <w:tcPr>
            <w:tcW w:w="2840" w:type="dxa"/>
            <w:tcBorders/>
            <w:vAlign w:val="center"/>
          </w:tcPr>
          <w:p>
            <w:pPr>
              <w:pStyle w:val="TableContents"/>
              <w:bidi w:val="0"/>
              <w:spacing w:before="0" w:after="283"/>
              <w:jc w:val="both"/>
              <w:rPr>
                <w:b/>
              </w:rPr>
            </w:pPr>
            <w:r>
              <w:rPr>
                <w:b/>
              </w:rPr>
              <w:t>Years ending December 31,</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jc w:val="center"/>
              <w:rPr>
                <w:b/>
              </w:rPr>
            </w:pPr>
            <w:r>
              <w:rPr>
                <w:b/>
              </w:rPr>
              <w:t>Future lease</w:t>
            </w:r>
          </w:p>
          <w:p>
            <w:pPr>
              <w:pStyle w:val="TableContents"/>
              <w:bidi w:val="0"/>
              <w:spacing w:before="0" w:after="283"/>
              <w:jc w:val="center"/>
              <w:rPr>
                <w:b/>
              </w:rPr>
            </w:pPr>
            <w:r>
              <w:rPr>
                <w:b/>
              </w:rPr>
              <w:t>payments</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jc w:val="center"/>
              <w:rPr>
                <w:b/>
              </w:rPr>
            </w:pPr>
            <w:r>
              <w:rPr>
                <w:b/>
              </w:rPr>
              <w:t>Imputed</w:t>
            </w:r>
          </w:p>
          <w:p>
            <w:pPr>
              <w:pStyle w:val="TableContents"/>
              <w:bidi w:val="0"/>
              <w:jc w:val="center"/>
              <w:rPr>
                <w:b/>
              </w:rPr>
            </w:pPr>
            <w:r>
              <w:rPr>
                <w:b/>
              </w:rPr>
              <w:t>Interest</w:t>
            </w:r>
          </w:p>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jc w:val="center"/>
              <w:rPr>
                <w:b/>
              </w:rPr>
            </w:pPr>
            <w:r>
              <w:rPr>
                <w:b/>
              </w:rPr>
              <w:t>Lease</w:t>
            </w:r>
          </w:p>
          <w:p>
            <w:pPr>
              <w:pStyle w:val="TableContents"/>
              <w:bidi w:val="0"/>
              <w:spacing w:before="0" w:after="283"/>
              <w:jc w:val="center"/>
              <w:rPr>
                <w:b/>
              </w:rPr>
            </w:pPr>
            <w:r>
              <w:rPr>
                <w:b/>
              </w:rPr>
              <w:t>Liabilities</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both"/>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730" w:name="xdx_98C_eus-gaap--LesseeOperatingLeaseLi"/>
            <w:bookmarkEnd w:id="730"/>
          </w:p>
        </w:tc>
        <w:tc>
          <w:tcPr>
            <w:tcW w:w="1106" w:type="dxa"/>
            <w:tcBorders/>
            <w:shd w:fill="CCEEFF" w:val="clear"/>
            <w:vAlign w:val="center"/>
          </w:tcPr>
          <w:p>
            <w:pPr>
              <w:pStyle w:val="TableContents"/>
              <w:bidi w:val="0"/>
              <w:spacing w:before="0" w:after="283"/>
              <w:jc w:val="right"/>
              <w:rPr/>
            </w:pPr>
            <w:r>
              <w:rPr/>
              <w:t>809,518</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bookmarkStart w:id="731" w:name="xdx_987_ecustom--LesseeOperatingLeaseLia"/>
            <w:bookmarkEnd w:id="731"/>
          </w:p>
        </w:tc>
        <w:tc>
          <w:tcPr>
            <w:tcW w:w="739" w:type="dxa"/>
            <w:tcBorders/>
            <w:shd w:fill="CCEEFF" w:val="clear"/>
            <w:vAlign w:val="center"/>
          </w:tcPr>
          <w:p>
            <w:pPr>
              <w:pStyle w:val="TableContents"/>
              <w:bidi w:val="0"/>
              <w:spacing w:before="0" w:after="283"/>
              <w:jc w:val="right"/>
              <w:rPr/>
            </w:pPr>
            <w:r>
              <w:rPr/>
              <w:t>43,547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2" w:name="xdx_98B_ecustom--LesseeOperatingLeaseLia"/>
            <w:bookmarkEnd w:id="732"/>
          </w:p>
        </w:tc>
        <w:tc>
          <w:tcPr>
            <w:tcW w:w="980" w:type="dxa"/>
            <w:tcBorders/>
            <w:shd w:fill="CCEEFF" w:val="clear"/>
            <w:vAlign w:val="center"/>
          </w:tcPr>
          <w:p>
            <w:pPr>
              <w:pStyle w:val="TableContents"/>
              <w:bidi w:val="0"/>
              <w:spacing w:before="0" w:after="283"/>
              <w:jc w:val="right"/>
              <w:rPr/>
            </w:pPr>
            <w:r>
              <w:rPr/>
              <w:t>765,971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both"/>
              <w:rPr/>
            </w:pPr>
            <w:r>
              <w:rPr/>
              <w:t>2025</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33" w:name="xdx_98A_eus-gaap--LesseeOperatingLeaseLi"/>
            <w:bookmarkEnd w:id="733"/>
          </w:p>
        </w:tc>
        <w:tc>
          <w:tcPr>
            <w:tcW w:w="1106" w:type="dxa"/>
            <w:tcBorders/>
            <w:shd w:fill="FFFFFF" w:val="clear"/>
            <w:vAlign w:val="center"/>
          </w:tcPr>
          <w:p>
            <w:pPr>
              <w:pStyle w:val="TableContents"/>
              <w:bidi w:val="0"/>
              <w:spacing w:before="0" w:after="283"/>
              <w:jc w:val="right"/>
              <w:rPr/>
            </w:pPr>
            <w:r>
              <w:rPr/>
              <w:t>1,453,784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734" w:name="xdx_98F_ecustom--LesseeOperatingLeaseLia"/>
            <w:bookmarkEnd w:id="734"/>
          </w:p>
        </w:tc>
        <w:tc>
          <w:tcPr>
            <w:tcW w:w="739" w:type="dxa"/>
            <w:tcBorders/>
            <w:shd w:fill="FFFFFF" w:val="clear"/>
            <w:vAlign w:val="center"/>
          </w:tcPr>
          <w:p>
            <w:pPr>
              <w:pStyle w:val="TableContents"/>
              <w:bidi w:val="0"/>
              <w:spacing w:before="0" w:after="283"/>
              <w:jc w:val="right"/>
              <w:rPr/>
            </w:pPr>
            <w:r>
              <w:rPr/>
              <w:t>28,290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35" w:name="xdx_989_ecustom--LesseeOperatingLeaseLia"/>
            <w:bookmarkEnd w:id="735"/>
          </w:p>
        </w:tc>
        <w:tc>
          <w:tcPr>
            <w:tcW w:w="980" w:type="dxa"/>
            <w:tcBorders/>
            <w:shd w:fill="FFFFFF" w:val="clear"/>
            <w:vAlign w:val="center"/>
          </w:tcPr>
          <w:p>
            <w:pPr>
              <w:pStyle w:val="TableContents"/>
              <w:bidi w:val="0"/>
              <w:spacing w:before="0" w:after="283"/>
              <w:jc w:val="right"/>
              <w:rPr/>
            </w:pPr>
            <w:r>
              <w:rPr/>
              <w:t>1,425,494</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36" w:name="xdx_985_ecustom--LesseeOperatingLeaseLia"/>
            <w:bookmarkEnd w:id="736"/>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37" w:name="xdx_98C_ecustom--LesseeOperatingLeaseLia"/>
            <w:bookmarkEnd w:id="737"/>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38" w:name="xdx_98D_ecustom--LesseeOperatingLeaseLia"/>
            <w:bookmarkEnd w:id="738"/>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both"/>
              <w:rPr/>
            </w:pPr>
            <w:r>
              <w:rPr/>
              <w:t>Total future lease payments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39" w:name="xdx_982_eus-gaap--LesseeOperatingLeaseLi"/>
            <w:bookmarkEnd w:id="739"/>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pPr>
            <w:r>
              <w:rPr/>
              <w:t>2,263,302</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0" w:name="xdx_984_eus-gaap--LesseeOperatingLeaseLi"/>
            <w:bookmarkEnd w:id="740"/>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pPr>
            <w:r>
              <w:rPr/>
              <w:t>71,837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1" w:name="xdx_98A_eus-gaap--OperatingLeaseLiabilit"/>
            <w:bookmarkEnd w:id="74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2,191,465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42" w:name="xdx_8A4_zPjrjH99eJx6"/>
      <w:bookmarkEnd w:id="7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3" w:name="xdx_804_eus-gaap--CommitmentsAndContinge"/>
      <w:bookmarkEnd w:id="743"/>
      <w:r>
        <w:rPr>
          <w:rFonts w:ascii="Times New Roman;Times;Serif" w:hAnsi="Times New Roman;Times;Serif"/>
          <w:b/>
          <w:i w:val="false"/>
          <w:caps w:val="false"/>
          <w:smallCaps w:val="false"/>
          <w:sz w:val="20"/>
        </w:rPr>
        <w:t xml:space="preserve">NOTE 14 – </w:t>
      </w:r>
      <w:bookmarkStart w:id="744" w:name="xdx_82C_zVrAkSqZNsb5"/>
      <w:bookmarkEnd w:id="74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Times;Serif" w:hAnsi="Times New Roman;Times;Serif"/>
          <w:b w:val="false"/>
          <w:i/>
          <w:caps w:val="false"/>
          <w:smallCaps w:val="false"/>
          <w:sz w:val="20"/>
        </w:rPr>
        <w:t>Myth of Empires</w:t>
      </w:r>
      <w:r>
        <w:rPr>
          <w:rFonts w:ascii="Times New Roman;Times;Serif" w:hAnsi="Times New Roman;Times;Serif"/>
          <w:b w:val="false"/>
          <w:i w:val="false"/>
          <w:caps w:val="false"/>
          <w:smallCaps w:val="false"/>
          <w:sz w:val="20"/>
        </w:rPr>
        <w:t>, which was developed by Suzhou Angela Online Game Technology Co., Ltd. (“Angela Game”) and published by Imperium Interactive Entertainment Limited (“Imperium”).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source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the Company entered into a settlement agreement with Angela Game. The settlement agreement includes an upfront payment from Angela Game to the Company plus ongoing payments. The upfront payment of $</w:t>
      </w:r>
      <w:bookmarkStart w:id="745" w:name="xdx_905_eus-gaap--DeferredRevenue_iI_pn5"/>
      <w:bookmarkEnd w:id="745"/>
      <w:r>
        <w:rPr>
          <w:rFonts w:ascii="Times New Roman;Times;Serif" w:hAnsi="Times New Roman;Times;Serif"/>
          <w:b w:val="false"/>
          <w:i w:val="false"/>
          <w:caps w:val="false"/>
          <w:smallCaps w:val="false"/>
          <w:sz w:val="20"/>
        </w:rPr>
        <w:t>1.2 million was recorded as deferred revenue as of December 31, 2023, and recognized upon the satisfaction of performance obligations during the six months ended June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Bel Air Soto, LLC (“Plaintiff”) filed suit in the Superior Court of California, County of Los Angeles, against Snail Games USA Inc. and INDIEV, an affiliate company that is owned by Mr. Hai Shi, the Company’s Founder, Co-Chief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w:t>
      </w:r>
      <w:bookmarkStart w:id="746" w:name="xdx_900_eus-gaap--LossContingencyDamages"/>
      <w:bookmarkEnd w:id="746"/>
      <w:r>
        <w:rPr>
          <w:rFonts w:ascii="Times New Roman;Times;Serif" w:hAnsi="Times New Roman;Times;Serif"/>
          <w:b w:val="false"/>
          <w:i w:val="false"/>
          <w:caps w:val="false"/>
          <w:smallCaps w:val="false"/>
          <w:sz w:val="20"/>
        </w:rPr>
        <w:t>3 million. Snail Games USA Inc. disputes the allegations and the amount of damages. The Company has responded to the complaint with an answer and cross-complaint. The cross-complaint seeks return for the $</w:t>
      </w:r>
      <w:bookmarkStart w:id="747" w:name="xdx_901_eus-gaap--SecurityDeposit_iI_c20"/>
      <w:bookmarkEnd w:id="747"/>
      <w:r>
        <w:rPr>
          <w:rFonts w:ascii="Times New Roman;Times;Serif" w:hAnsi="Times New Roman;Times;Serif"/>
          <w:b w:val="false"/>
          <w:i w:val="false"/>
          <w:caps w:val="false"/>
          <w:smallCaps w:val="false"/>
          <w:sz w:val="20"/>
        </w:rPr>
        <w:t>130,000 security deposit. The landlord has answered and denied the allegations of the cross-complaint. The Company intends to vigorously defend against the claims asserted. Trial is presently scheduled to commence in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INDIEV has filed for bankruptcy and the Company does not expect to recover its costs from INDIEV. Accordingly, it is uncertain whether INDIEV would be able to indemnify the Company due to its bankruptcy. At this time, the Company is unable to quantify the magnitude of the potential loss should the plaintiffs’ lawsuit succeed and accordingly no accrual for loss has been recorded in the accompanying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8" w:name="xdx_80C_eus-gaap--EarningsPerShareTextBl"/>
      <w:bookmarkEnd w:id="748"/>
      <w:r>
        <w:rPr>
          <w:rFonts w:ascii="Times New Roman;Times;Serif" w:hAnsi="Times New Roman;Times;Serif"/>
          <w:b/>
          <w:i w:val="false"/>
          <w:caps w:val="false"/>
          <w:smallCaps w:val="false"/>
          <w:sz w:val="20"/>
        </w:rPr>
        <w:t>NOTE 15 –</w:t>
      </w:r>
      <w:bookmarkStart w:id="749" w:name="xdx_820_zOOolPvLIY51"/>
      <w:bookmarkEnd w:id="749"/>
      <w:r>
        <w:rPr>
          <w:rFonts w:ascii="Times New Roman;Times;Serif" w:hAnsi="Times New Roman;Times;Serif"/>
          <w:b/>
          <w:i w:val="false"/>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uses the two class method to compute its basic earnings (loss) per share (“Basic EPS”) and diluted earnings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loss divided by the weighted-average number of common shares outstanding for the period. Diluted EPS reflects the potential dilution that could occur using the treasury stock and if-converted methods. The restricted stock units, underwriters warrants and warrants issued in connection with the equity line of credit were excluded from the treasury stock method computation of diluted shares as their inclusion would have had an antidilutive effect for the three and six months ended June 30, 2024 and 2023. The convertible notes were excluded from the if-converted method computation of diluted shares as their inclusion would have had an anti-dilutive effect for the three and six months ended June 30, 2024 and 2023. The converted shares excluded from the if-converted method due to their ani-dilutive effects were </w:t>
      </w:r>
      <w:bookmarkStart w:id="750" w:name="xdx_90C_eus-gaap--AntidilutiveSecurities"/>
      <w:bookmarkEnd w:id="750"/>
      <w:r>
        <w:rPr>
          <w:rFonts w:ascii="Times New Roman;Times;Serif" w:hAnsi="Times New Roman;Times;Serif"/>
          <w:b w:val="false"/>
          <w:i w:val="false"/>
          <w:caps w:val="false"/>
          <w:smallCaps w:val="false"/>
          <w:sz w:val="20"/>
        </w:rPr>
        <w:t xml:space="preserve">641,206 and </w:t>
      </w:r>
      <w:bookmarkStart w:id="751" w:name="xdx_90B_eus-gaap--AntidilutiveSecurities"/>
      <w:bookmarkEnd w:id="751"/>
      <w:r>
        <w:rPr>
          <w:rFonts w:ascii="Times New Roman;Times;Serif" w:hAnsi="Times New Roman;Times;Serif"/>
          <w:b w:val="false"/>
          <w:i w:val="false"/>
          <w:caps w:val="false"/>
          <w:smallCaps w:val="false"/>
          <w:sz w:val="20"/>
        </w:rPr>
        <w:t xml:space="preserve">1,361,452 for the three and six months ended June 30, 2024, respectively. The Company excluded restricted stock units of </w:t>
      </w:r>
      <w:bookmarkStart w:id="752" w:name="xdx_908_eus-gaap--AntidilutiveSecurities"/>
      <w:bookmarkStart w:id="753" w:name="xdx_903_eus-gaap--AntidilutiveSecurities"/>
      <w:bookmarkEnd w:id="752"/>
      <w:bookmarkEnd w:id="753"/>
      <w:r>
        <w:rPr>
          <w:rFonts w:ascii="Times New Roman;Times;Serif" w:hAnsi="Times New Roman;Times;Serif"/>
          <w:b w:val="false"/>
          <w:i w:val="false"/>
          <w:caps w:val="false"/>
          <w:smallCaps w:val="false"/>
          <w:sz w:val="20"/>
        </w:rPr>
        <w:t xml:space="preserve">1,175,790 and </w:t>
      </w:r>
      <w:bookmarkStart w:id="754" w:name="xdx_903_eus-gaap--AntidilutiveSecurities"/>
      <w:bookmarkStart w:id="755" w:name="xdx_900_eus-gaap--AntidilutiveSecurities"/>
      <w:bookmarkEnd w:id="754"/>
      <w:bookmarkEnd w:id="755"/>
      <w:r>
        <w:rPr>
          <w:rFonts w:ascii="Times New Roman;Times;Serif" w:hAnsi="Times New Roman;Times;Serif"/>
          <w:b w:val="false"/>
          <w:i w:val="false"/>
          <w:caps w:val="false"/>
          <w:smallCaps w:val="false"/>
          <w:sz w:val="20"/>
        </w:rPr>
        <w:t xml:space="preserve">1,200,581 from the treasury stock method for the three and six months ended June 30, 2024 and 2023, respectively, due to their anti-dilutive effects. The Company excluded the underwriters warrants to purchase </w:t>
      </w:r>
      <w:bookmarkStart w:id="756" w:name="xdx_906_eus-gaap--AntidilutiveSecurities"/>
      <w:bookmarkStart w:id="757" w:name="xdx_909_eus-gaap--AntidilutiveSecurities"/>
      <w:bookmarkStart w:id="758" w:name="xdx_903_eus-gaap--AntidilutiveSecurities"/>
      <w:bookmarkStart w:id="759" w:name="xdx_902_eus-gaap--AntidilutiveSecurities"/>
      <w:bookmarkEnd w:id="756"/>
      <w:bookmarkEnd w:id="757"/>
      <w:bookmarkEnd w:id="758"/>
      <w:bookmarkEnd w:id="759"/>
      <w:r>
        <w:rPr>
          <w:rFonts w:ascii="Times New Roman;Times;Serif" w:hAnsi="Times New Roman;Times;Serif"/>
          <w:b w:val="false"/>
          <w:i w:val="false"/>
          <w:caps w:val="false"/>
          <w:smallCaps w:val="false"/>
          <w:sz w:val="20"/>
        </w:rPr>
        <w:t xml:space="preserve">120,000 shares from the treasury stock method for the three and six months ended June 30, 2024 and 2023, due to their anti-dilutive effects. The Company excluded the equity line of credit warrants to purchase </w:t>
      </w:r>
      <w:bookmarkStart w:id="760" w:name="xdx_90D_eus-gaap--AntidilutiveSecurities"/>
      <w:bookmarkStart w:id="761" w:name="xdx_90A_eus-gaap--AntidilutiveSecurities"/>
      <w:bookmarkStart w:id="762" w:name="xdx_904_eus-gaap--AntidilutiveSecurities"/>
      <w:bookmarkStart w:id="763" w:name="xdx_904_eus-gaap--AntidilutiveSecurities"/>
      <w:bookmarkEnd w:id="760"/>
      <w:bookmarkEnd w:id="761"/>
      <w:bookmarkEnd w:id="762"/>
      <w:bookmarkEnd w:id="763"/>
      <w:r>
        <w:rPr>
          <w:rFonts w:ascii="Times New Roman;Times;Serif" w:hAnsi="Times New Roman;Times;Serif"/>
          <w:b w:val="false"/>
          <w:i w:val="false"/>
          <w:caps w:val="false"/>
          <w:smallCaps w:val="false"/>
          <w:sz w:val="20"/>
        </w:rPr>
        <w:t>367,647 shares from the treasury stock method for the three and six months ended June 30, 2024 and 2023, due to their anti-dilutive effects. The equity line of credit warrants have an exercise price higher than that of the Company’s common stock average market price for the three and six months ended June 30, 2024 and 2023. The following table provides a reconciliation of the weighted average number of shares used in the calculation of Basic and Diluted EPS.</w:t>
      </w:r>
    </w:p>
    <w:p>
      <w:pPr>
        <w:pStyle w:val="TextBody"/>
        <w:bidi w:val="0"/>
        <w:spacing w:before="0" w:after="0"/>
        <w:ind w:left="0" w:right="0" w:hanging="0"/>
        <w:jc w:val="both"/>
        <w:rPr>
          <w:caps w:val="false"/>
          <w:smallCaps w:val="false"/>
        </w:rPr>
      </w:pPr>
      <w:bookmarkStart w:id="764" w:name="xdx_89C_eus-gaap--ScheduleOfEarningsPerS"/>
      <w:bookmarkEnd w:id="764"/>
      <w:r>
        <w:rPr>
          <w:caps w:val="false"/>
          <w:smallCaps w:val="false"/>
        </w:rPr>
        <w:t> </w:t>
      </w:r>
      <w:bookmarkStart w:id="765" w:name="xdx_8BF_zf8N2xCIG2o7"/>
      <w:bookmarkEnd w:id="765"/>
      <w:r>
        <w:rPr>
          <w:rFonts w:ascii="Times New Roman;Times;Serif" w:hAnsi="Times New Roman;Times;Serif"/>
          <w:b w:val="false"/>
          <w:i w:val="false"/>
          <w:caps w:val="false"/>
          <w:smallCaps w:val="false"/>
          <w:sz w:val="20"/>
        </w:rPr>
        <w:t>SCHEDULE OF EARNINGS PER SHARE</w:t>
      </w:r>
    </w:p>
    <w:tbl>
      <w:tblPr>
        <w:tblW w:w="10205" w:type="dxa"/>
        <w:jc w:val="left"/>
        <w:tblInd w:w="0" w:type="dxa"/>
        <w:tblLayout w:type="fixed"/>
        <w:tblCellMar>
          <w:top w:w="0" w:type="dxa"/>
          <w:left w:w="0" w:type="dxa"/>
          <w:bottom w:w="0" w:type="dxa"/>
          <w:right w:w="0" w:type="dxa"/>
        </w:tblCellMar>
      </w:tblPr>
      <w:tblGrid>
        <w:gridCol w:w="4516"/>
        <w:gridCol w:w="60"/>
        <w:gridCol w:w="148"/>
        <w:gridCol w:w="1169"/>
        <w:gridCol w:w="63"/>
        <w:gridCol w:w="63"/>
        <w:gridCol w:w="148"/>
        <w:gridCol w:w="1169"/>
        <w:gridCol w:w="95"/>
        <w:gridCol w:w="60"/>
        <w:gridCol w:w="140"/>
        <w:gridCol w:w="1100"/>
        <w:gridCol w:w="60"/>
        <w:gridCol w:w="60"/>
        <w:gridCol w:w="140"/>
        <w:gridCol w:w="1100"/>
        <w:gridCol w:w="114"/>
      </w:tblGrid>
      <w:tr>
        <w:trPr/>
        <w:tc>
          <w:tcPr>
            <w:tcW w:w="4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6" w:name="xdx_49B_20240401__20240630_zqS5DcXrSJje"/>
            <w:bookmarkEnd w:id="766"/>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767" w:name="xdx_49A_20230401__20230630_zjhEeYQVlvX2"/>
            <w:bookmarkEnd w:id="767"/>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768" w:name="xdx_496_20240101__20240630_z3LmjbrYWDy4"/>
            <w:bookmarkEnd w:id="768"/>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769" w:name="xdx_498_20230101__20230630_zz3sLaH9TQad"/>
            <w:bookmarkEnd w:id="769"/>
          </w:p>
        </w:tc>
        <w:tc>
          <w:tcPr>
            <w:tcW w:w="110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45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60"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4" w:type="dxa"/>
            <w:tcBorders/>
            <w:vAlign w:val="center"/>
          </w:tcPr>
          <w:p>
            <w:pPr>
              <w:pStyle w:val="TableContents"/>
              <w:bidi w:val="0"/>
              <w:spacing w:before="0" w:after="283"/>
              <w:jc w:val="center"/>
              <w:rPr/>
            </w:pPr>
            <w:r>
              <w:rPr/>
              <w:t> </w:t>
            </w:r>
          </w:p>
        </w:tc>
      </w:tr>
      <w:tr>
        <w:trPr/>
        <w:tc>
          <w:tcPr>
            <w:tcW w:w="45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center"/>
              <w:rPr/>
            </w:pPr>
            <w:r>
              <w:rPr/>
              <w:t> </w:t>
            </w:r>
          </w:p>
        </w:tc>
      </w:tr>
      <w:tr>
        <w:trPr/>
        <w:tc>
          <w:tcPr>
            <w:tcW w:w="4516" w:type="dxa"/>
            <w:tcBorders/>
            <w:shd w:fill="CCEEFF" w:val="clear"/>
            <w:vAlign w:val="center"/>
          </w:tcPr>
          <w:p>
            <w:pPr>
              <w:pStyle w:val="TableContents"/>
              <w:bidi w:val="0"/>
              <w:spacing w:before="0" w:after="283"/>
              <w:jc w:val="left"/>
              <w:rPr>
                <w:b/>
              </w:rPr>
            </w:pPr>
            <w:r>
              <w:rPr>
                <w:b/>
              </w:rPr>
              <w:t>Basic Earnings (Loss) Per Share:</w:t>
            </w:r>
          </w:p>
        </w:tc>
        <w:tc>
          <w:tcPr>
            <w:tcW w:w="60" w:type="dxa"/>
            <w:tcBorders/>
            <w:shd w:fill="CCEEFF" w:val="clear"/>
            <w:vAlign w:val="center"/>
          </w:tcPr>
          <w:p>
            <w:pPr>
              <w:pStyle w:val="TableContents"/>
              <w:bidi w:val="0"/>
              <w:spacing w:before="0" w:after="283"/>
              <w:jc w:val="left"/>
              <w:rPr/>
            </w:pPr>
            <w:r>
              <w:rPr/>
              <w:t> </w:t>
            </w:r>
          </w:p>
        </w:tc>
        <w:tc>
          <w:tcPr>
            <w:tcW w:w="1317" w:type="dxa"/>
            <w:gridSpan w:val="2"/>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7"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770" w:name="xdx_409_eus-gaap--NetIncomeLossAvailable"/>
            <w:bookmarkEnd w:id="770"/>
          </w:p>
        </w:tc>
      </w:tr>
      <w:tr>
        <w:trPr/>
        <w:tc>
          <w:tcPr>
            <w:tcW w:w="4516" w:type="dxa"/>
            <w:tcBorders/>
            <w:shd w:fill="FFFFFF" w:val="clear"/>
            <w:vAlign w:val="center"/>
          </w:tcPr>
          <w:p>
            <w:pPr>
              <w:pStyle w:val="TableContents"/>
              <w:bidi w:val="0"/>
              <w:spacing w:before="0" w:after="283"/>
              <w:jc w:val="left"/>
              <w:rPr/>
            </w:pPr>
            <w:r>
              <w:rPr/>
              <w:t>Net income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69" w:type="dxa"/>
            <w:tcBorders/>
            <w:shd w:fill="FFFFFF" w:val="clear"/>
            <w:vAlign w:val="center"/>
          </w:tcPr>
          <w:p>
            <w:pPr>
              <w:pStyle w:val="TableContents"/>
              <w:bidi w:val="0"/>
              <w:spacing w:before="0" w:after="283"/>
              <w:jc w:val="right"/>
              <w:rPr/>
            </w:pPr>
            <w:r>
              <w:rPr/>
              <w:t>489,379</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69" w:type="dxa"/>
            <w:tcBorders/>
            <w:shd w:fill="FFFFFF" w:val="clear"/>
            <w:vAlign w:val="center"/>
          </w:tcPr>
          <w:p>
            <w:pPr>
              <w:pStyle w:val="TableContents"/>
              <w:bidi w:val="0"/>
              <w:spacing w:before="0" w:after="283"/>
              <w:jc w:val="right"/>
              <w:rPr/>
            </w:pPr>
            <w:r>
              <w:rPr/>
              <w:t>(879,665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103,656</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(1,522,005</w:t>
            </w:r>
          </w:p>
        </w:tc>
        <w:tc>
          <w:tcPr>
            <w:tcW w:w="114" w:type="dxa"/>
            <w:tcBorders/>
            <w:shd w:fill="FFFFFF" w:val="clear"/>
            <w:vAlign w:val="center"/>
          </w:tcPr>
          <w:p>
            <w:pPr>
              <w:pStyle w:val="TableContents"/>
              <w:bidi w:val="0"/>
              <w:spacing w:before="0" w:after="283"/>
              <w:jc w:val="left"/>
              <w:rPr/>
            </w:pPr>
            <w:r>
              <w:rPr/>
              <w:t>)</w:t>
            </w:r>
            <w:bookmarkStart w:id="771" w:name="xdx_40E_eus-gaap--NetIncomeLossAvailable"/>
            <w:bookmarkEnd w:id="771"/>
          </w:p>
        </w:tc>
      </w:tr>
      <w:tr>
        <w:trPr/>
        <w:tc>
          <w:tcPr>
            <w:tcW w:w="4516" w:type="dxa"/>
            <w:tcBorders/>
            <w:shd w:fill="CCEEFF" w:val="clear"/>
            <w:vAlign w:val="center"/>
          </w:tcPr>
          <w:p>
            <w:pPr>
              <w:pStyle w:val="TableContents"/>
              <w:bidi w:val="0"/>
              <w:spacing w:before="0" w:after="283"/>
              <w:jc w:val="left"/>
              <w:rPr/>
            </w:pPr>
            <w:r>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1,766,772</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(3,199,766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373,166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(5,528,804</w:t>
            </w:r>
          </w:p>
        </w:tc>
        <w:tc>
          <w:tcPr>
            <w:tcW w:w="114" w:type="dxa"/>
            <w:tcBorders/>
            <w:shd w:fill="CCEEFF" w:val="clear"/>
            <w:vAlign w:val="center"/>
          </w:tcPr>
          <w:p>
            <w:pPr>
              <w:pStyle w:val="TableContents"/>
              <w:bidi w:val="0"/>
              <w:spacing w:before="0" w:after="283"/>
              <w:jc w:val="left"/>
              <w:rPr/>
            </w:pPr>
            <w:r>
              <w:rPr/>
              <w:t>)</w:t>
            </w:r>
            <w:bookmarkStart w:id="772" w:name="xdx_400_eus-gaap--NetIncomeLossAvailable"/>
            <w:bookmarkEnd w:id="772"/>
          </w:p>
        </w:tc>
      </w:tr>
      <w:tr>
        <w:trPr/>
        <w:tc>
          <w:tcPr>
            <w:tcW w:w="4516"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1,766,772</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(3,199,766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373,166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(5,528,804</w:t>
            </w:r>
          </w:p>
        </w:tc>
        <w:tc>
          <w:tcPr>
            <w:tcW w:w="114" w:type="dxa"/>
            <w:tcBorders/>
            <w:shd w:fill="CCEEFF" w:val="clear"/>
            <w:vAlign w:val="center"/>
          </w:tcPr>
          <w:p>
            <w:pPr>
              <w:pStyle w:val="TableContents"/>
              <w:bidi w:val="0"/>
              <w:spacing w:before="0" w:after="283"/>
              <w:jc w:val="left"/>
              <w:rPr/>
            </w:pPr>
            <w:r>
              <w:rPr/>
              <w:t>)</w:t>
            </w:r>
            <w:bookmarkStart w:id="773" w:name="xdx_402_eus-gaap--NetIncomeLoss_zoemg5r5"/>
            <w:bookmarkEnd w:id="773"/>
          </w:p>
        </w:tc>
      </w:tr>
      <w:tr>
        <w:trPr/>
        <w:tc>
          <w:tcPr>
            <w:tcW w:w="4516" w:type="dxa"/>
            <w:tcBorders/>
            <w:shd w:fill="FFFFFF" w:val="clear"/>
            <w:vAlign w:val="center"/>
          </w:tcPr>
          <w:p>
            <w:pPr>
              <w:pStyle w:val="TableContents"/>
              <w:bidi w:val="0"/>
              <w:spacing w:before="0" w:after="283"/>
              <w:jc w:val="left"/>
              <w:rPr/>
            </w:pPr>
            <w:r>
              <w:rPr/>
              <w:t>Total net income (loss) attributable to Snail Inc.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jc w:val="right"/>
              <w:rPr/>
            </w:pPr>
            <w:r>
              <w:rPr/>
              <w:t>2,256,151</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jc w:val="right"/>
              <w:rPr/>
            </w:pPr>
            <w:r>
              <w:rPr/>
              <w:t>(4,079,431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476,822</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(7,050,809</w:t>
            </w:r>
          </w:p>
        </w:tc>
        <w:tc>
          <w:tcPr>
            <w:tcW w:w="114" w:type="dxa"/>
            <w:tcBorders/>
            <w:shd w:fill="FFFFFF" w:val="clear"/>
            <w:vAlign w:val="center"/>
          </w:tcPr>
          <w:p>
            <w:pPr>
              <w:pStyle w:val="TableContents"/>
              <w:bidi w:val="0"/>
              <w:spacing w:before="0" w:after="283"/>
              <w:jc w:val="left"/>
              <w:rPr/>
            </w:pPr>
            <w:r>
              <w:rPr/>
              <w:t>)</w:t>
            </w:r>
            <w:bookmarkStart w:id="774" w:name="xdx_40D_eus-gaap--WeightedAverageNumberO"/>
            <w:bookmarkEnd w:id="774"/>
          </w:p>
        </w:tc>
      </w:tr>
      <w:tr>
        <w:trPr/>
        <w:tc>
          <w:tcPr>
            <w:tcW w:w="4516" w:type="dxa"/>
            <w:tcBorders/>
            <w:shd w:fill="CCEEFF" w:val="clear"/>
            <w:vAlign w:val="center"/>
          </w:tcPr>
          <w:p>
            <w:pPr>
              <w:pStyle w:val="TableContents"/>
              <w:bidi w:val="0"/>
              <w:spacing w:before="0" w:after="283"/>
              <w:jc w:val="left"/>
              <w:rPr/>
            </w:pPr>
            <w:r>
              <w:rPr/>
              <w:t>Class 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8,013,634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7,901,145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7,985,631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7,914,096</w:t>
            </w:r>
          </w:p>
        </w:tc>
        <w:tc>
          <w:tcPr>
            <w:tcW w:w="114" w:type="dxa"/>
            <w:tcBorders/>
            <w:shd w:fill="CCEEFF" w:val="clear"/>
            <w:vAlign w:val="center"/>
          </w:tcPr>
          <w:p>
            <w:pPr>
              <w:pStyle w:val="TableContents"/>
              <w:bidi w:val="0"/>
              <w:spacing w:before="0" w:after="283"/>
              <w:jc w:val="left"/>
              <w:rPr/>
            </w:pPr>
            <w:r>
              <w:rPr/>
              <w:t> </w:t>
            </w:r>
            <w:bookmarkStart w:id="775" w:name="xdx_400_eus-gaap--WeightedAverageNumberO"/>
            <w:bookmarkEnd w:id="775"/>
          </w:p>
        </w:tc>
      </w:tr>
      <w:tr>
        <w:trPr/>
        <w:tc>
          <w:tcPr>
            <w:tcW w:w="4516" w:type="dxa"/>
            <w:tcBorders/>
            <w:shd w:fill="FFFFFF" w:val="clear"/>
            <w:vAlign w:val="center"/>
          </w:tcPr>
          <w:p>
            <w:pPr>
              <w:pStyle w:val="TableContents"/>
              <w:bidi w:val="0"/>
              <w:spacing w:before="0" w:after="283"/>
              <w:jc w:val="left"/>
              <w:rPr/>
            </w:pPr>
            <w:r>
              <w:rPr/>
              <w:t>Class B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114" w:type="dxa"/>
            <w:tcBorders/>
            <w:shd w:fill="FFFFFF" w:val="clear"/>
            <w:vAlign w:val="center"/>
          </w:tcPr>
          <w:p>
            <w:pPr>
              <w:pStyle w:val="TableContents"/>
              <w:bidi w:val="0"/>
              <w:spacing w:before="0" w:after="283"/>
              <w:jc w:val="left"/>
              <w:rPr/>
            </w:pPr>
            <w:r>
              <w:rPr/>
              <w:t> </w:t>
            </w:r>
            <w:bookmarkStart w:id="776" w:name="xdx_404_eus-gaap--WeightedAverageNumberO"/>
            <w:bookmarkEnd w:id="776"/>
          </w:p>
        </w:tc>
      </w:tr>
      <w:tr>
        <w:trPr/>
        <w:tc>
          <w:tcPr>
            <w:tcW w:w="4516"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114" w:type="dxa"/>
            <w:tcBorders/>
            <w:shd w:fill="FFFFFF" w:val="clear"/>
            <w:vAlign w:val="center"/>
          </w:tcPr>
          <w:p>
            <w:pPr>
              <w:pStyle w:val="TableContents"/>
              <w:bidi w:val="0"/>
              <w:spacing w:before="0" w:after="283"/>
              <w:jc w:val="left"/>
              <w:rPr/>
            </w:pPr>
            <w:r>
              <w:rPr/>
              <w:t> </w:t>
            </w:r>
            <w:bookmarkStart w:id="777" w:name="xdx_407_eus-gaap--EarningsPerShareBasic_"/>
            <w:bookmarkEnd w:id="777"/>
          </w:p>
        </w:tc>
      </w:tr>
      <w:tr>
        <w:trPr/>
        <w:tc>
          <w:tcPr>
            <w:tcW w:w="4516" w:type="dxa"/>
            <w:tcBorders/>
            <w:shd w:fill="CCEEFF" w:val="clear"/>
            <w:vAlign w:val="center"/>
          </w:tcPr>
          <w:p>
            <w:pPr>
              <w:pStyle w:val="TableContents"/>
              <w:bidi w:val="0"/>
              <w:spacing w:before="0" w:after="283"/>
              <w:jc w:val="left"/>
              <w:rPr/>
            </w:pPr>
            <w:r>
              <w:rPr/>
              <w:t>Class A and B basic earnings (loss) per share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(0.19</w:t>
            </w:r>
          </w:p>
        </w:tc>
        <w:tc>
          <w:tcPr>
            <w:tcW w:w="114" w:type="dxa"/>
            <w:tcBorders/>
            <w:shd w:fill="CCEEFF" w:val="clear"/>
            <w:vAlign w:val="center"/>
          </w:tcPr>
          <w:p>
            <w:pPr>
              <w:pStyle w:val="TableContents"/>
              <w:bidi w:val="0"/>
              <w:spacing w:before="0" w:after="283"/>
              <w:jc w:val="left"/>
              <w:rPr/>
            </w:pPr>
            <w:r>
              <w:rPr/>
              <w:t>)</w:t>
            </w:r>
          </w:p>
        </w:tc>
      </w:tr>
      <w:tr>
        <w:trPr/>
        <w:tc>
          <w:tcPr>
            <w:tcW w:w="4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516" w:type="dxa"/>
            <w:tcBorders/>
            <w:shd w:fill="CCEEFF" w:val="clear"/>
            <w:vAlign w:val="center"/>
          </w:tcPr>
          <w:p>
            <w:pPr>
              <w:pStyle w:val="TableContents"/>
              <w:bidi w:val="0"/>
              <w:spacing w:before="0" w:after="283"/>
              <w:jc w:val="left"/>
              <w:rPr>
                <w:b/>
              </w:rPr>
            </w:pPr>
            <w:r>
              <w:rPr>
                <w:b/>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778" w:name="xdx_40D_eus-gaap--NetIncomeLossAvailable"/>
            <w:bookmarkEnd w:id="778"/>
          </w:p>
        </w:tc>
      </w:tr>
      <w:tr>
        <w:trPr/>
        <w:tc>
          <w:tcPr>
            <w:tcW w:w="4516" w:type="dxa"/>
            <w:tcBorders/>
            <w:shd w:fill="FFFFFF" w:val="clear"/>
            <w:vAlign w:val="center"/>
          </w:tcPr>
          <w:p>
            <w:pPr>
              <w:pStyle w:val="TableContents"/>
              <w:bidi w:val="0"/>
              <w:spacing w:before="0" w:after="283"/>
              <w:jc w:val="left"/>
              <w:rPr/>
            </w:pPr>
            <w:r>
              <w:rPr/>
              <w:t>Net income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jc w:val="right"/>
              <w:rPr/>
            </w:pPr>
            <w:r>
              <w:rPr/>
              <w:t>463,249</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jc w:val="right"/>
              <w:rPr/>
            </w:pPr>
            <w:r>
              <w:rPr/>
              <w:t>(879,665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79,116</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(1,522,005</w:t>
            </w:r>
          </w:p>
        </w:tc>
        <w:tc>
          <w:tcPr>
            <w:tcW w:w="114" w:type="dxa"/>
            <w:tcBorders/>
            <w:shd w:fill="FFFFFF" w:val="clear"/>
            <w:vAlign w:val="center"/>
          </w:tcPr>
          <w:p>
            <w:pPr>
              <w:pStyle w:val="TableContents"/>
              <w:bidi w:val="0"/>
              <w:spacing w:before="0" w:after="283"/>
              <w:jc w:val="left"/>
              <w:rPr/>
            </w:pPr>
            <w:r>
              <w:rPr/>
              <w:t>)</w:t>
            </w:r>
            <w:bookmarkStart w:id="779" w:name="xdx_407_eus-gaap--NetIncomeLossAvailable"/>
            <w:bookmarkEnd w:id="779"/>
          </w:p>
        </w:tc>
      </w:tr>
      <w:tr>
        <w:trPr/>
        <w:tc>
          <w:tcPr>
            <w:tcW w:w="4516" w:type="dxa"/>
            <w:tcBorders/>
            <w:shd w:fill="CCEEFF" w:val="clear"/>
            <w:vAlign w:val="center"/>
          </w:tcPr>
          <w:p>
            <w:pPr>
              <w:pStyle w:val="TableContents"/>
              <w:bidi w:val="0"/>
              <w:spacing w:before="0" w:after="283"/>
              <w:jc w:val="left"/>
              <w:rPr/>
            </w:pPr>
            <w:r>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1,673,031</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(3,199,766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284,821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(5,528,804</w:t>
            </w:r>
          </w:p>
        </w:tc>
        <w:tc>
          <w:tcPr>
            <w:tcW w:w="114" w:type="dxa"/>
            <w:tcBorders/>
            <w:shd w:fill="CCEEFF" w:val="clear"/>
            <w:vAlign w:val="center"/>
          </w:tcPr>
          <w:p>
            <w:pPr>
              <w:pStyle w:val="TableContents"/>
              <w:bidi w:val="0"/>
              <w:spacing w:before="0" w:after="283"/>
              <w:jc w:val="left"/>
              <w:rPr/>
            </w:pPr>
            <w:r>
              <w:rPr/>
              <w:t>)</w:t>
            </w:r>
            <w:bookmarkStart w:id="780" w:name="xdx_40D_eus-gaap--NetIncomeLossAvailable"/>
            <w:bookmarkEnd w:id="780"/>
          </w:p>
        </w:tc>
      </w:tr>
      <w:tr>
        <w:trPr/>
        <w:tc>
          <w:tcPr>
            <w:tcW w:w="4516"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1,673,031</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(3,199,766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284,821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(5,528,804</w:t>
            </w:r>
          </w:p>
        </w:tc>
        <w:tc>
          <w:tcPr>
            <w:tcW w:w="114" w:type="dxa"/>
            <w:tcBorders/>
            <w:shd w:fill="CCEEFF" w:val="clear"/>
            <w:vAlign w:val="center"/>
          </w:tcPr>
          <w:p>
            <w:pPr>
              <w:pStyle w:val="TableContents"/>
              <w:bidi w:val="0"/>
              <w:spacing w:before="0" w:after="283"/>
              <w:jc w:val="left"/>
              <w:rPr/>
            </w:pPr>
            <w:r>
              <w:rPr/>
              <w:t>)</w:t>
            </w:r>
            <w:bookmarkStart w:id="781" w:name="xdx_408_eus-gaap--WeightedAverageNumberO"/>
            <w:bookmarkEnd w:id="781"/>
          </w:p>
        </w:tc>
      </w:tr>
      <w:tr>
        <w:trPr/>
        <w:tc>
          <w:tcPr>
            <w:tcW w:w="4516" w:type="dxa"/>
            <w:tcBorders/>
            <w:shd w:fill="FFFFFF" w:val="clear"/>
            <w:vAlign w:val="center"/>
          </w:tcPr>
          <w:p>
            <w:pPr>
              <w:pStyle w:val="TableContents"/>
              <w:bidi w:val="0"/>
              <w:spacing w:before="0" w:after="283"/>
              <w:jc w:val="left"/>
              <w:rPr/>
            </w:pPr>
            <w:r>
              <w:rPr/>
              <w:t>Class 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8,013,634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7,901,145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7,985,631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7,914,096</w:t>
            </w:r>
          </w:p>
        </w:tc>
        <w:tc>
          <w:tcPr>
            <w:tcW w:w="114" w:type="dxa"/>
            <w:tcBorders/>
            <w:shd w:fill="FFFFFF" w:val="clear"/>
            <w:vAlign w:val="center"/>
          </w:tcPr>
          <w:p>
            <w:pPr>
              <w:pStyle w:val="TableContents"/>
              <w:bidi w:val="0"/>
              <w:spacing w:before="0" w:after="283"/>
              <w:jc w:val="left"/>
              <w:rPr/>
            </w:pPr>
            <w:r>
              <w:rPr/>
              <w:t> </w:t>
            </w:r>
            <w:bookmarkStart w:id="782" w:name="xdx_401_eus-gaap--IncrementalCommonShare"/>
            <w:bookmarkEnd w:id="782"/>
          </w:p>
        </w:tc>
      </w:tr>
      <w:tr>
        <w:trPr/>
        <w:tc>
          <w:tcPr>
            <w:tcW w:w="4516" w:type="dxa"/>
            <w:tcBorders/>
            <w:shd w:fill="CCEEFF" w:val="clear"/>
            <w:vAlign w:val="center"/>
          </w:tcPr>
          <w:p>
            <w:pPr>
              <w:pStyle w:val="TableContents"/>
              <w:bidi w:val="0"/>
              <w:spacing w:before="0" w:after="283"/>
              <w:jc w:val="left"/>
              <w:rPr/>
            </w:pPr>
            <w:r>
              <w:rPr/>
              <w:t>Dilutive effects of common stock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182,695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239,394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783" w:name="xdx_40F_eus-gaap--WeightedAverageNumberO"/>
            <w:bookmarkEnd w:id="783"/>
          </w:p>
        </w:tc>
      </w:tr>
      <w:tr>
        <w:trPr/>
        <w:tc>
          <w:tcPr>
            <w:tcW w:w="4516" w:type="dxa"/>
            <w:tcBorders/>
            <w:shd w:fill="FFFFFF" w:val="clear"/>
            <w:vAlign w:val="center"/>
          </w:tcPr>
          <w:p>
            <w:pPr>
              <w:pStyle w:val="TableContents"/>
              <w:bidi w:val="0"/>
              <w:spacing w:before="0" w:after="283"/>
              <w:jc w:val="left"/>
              <w:rPr/>
            </w:pPr>
            <w:r>
              <w:rPr/>
              <w:t>Class A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8,196,329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7,901,145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8,225,025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7,914,096</w:t>
            </w:r>
          </w:p>
        </w:tc>
        <w:tc>
          <w:tcPr>
            <w:tcW w:w="114" w:type="dxa"/>
            <w:tcBorders/>
            <w:shd w:fill="FFFFFF" w:val="clear"/>
            <w:vAlign w:val="center"/>
          </w:tcPr>
          <w:p>
            <w:pPr>
              <w:pStyle w:val="TableContents"/>
              <w:bidi w:val="0"/>
              <w:spacing w:before="0" w:after="283"/>
              <w:jc w:val="left"/>
              <w:rPr/>
            </w:pPr>
            <w:r>
              <w:rPr/>
              <w:t> </w:t>
            </w:r>
            <w:bookmarkStart w:id="784" w:name="xdx_405_eus-gaap--WeightedAverageNumberO"/>
            <w:bookmarkEnd w:id="784"/>
          </w:p>
        </w:tc>
      </w:tr>
      <w:tr>
        <w:trPr/>
        <w:tc>
          <w:tcPr>
            <w:tcW w:w="4516" w:type="dxa"/>
            <w:tcBorders/>
            <w:shd w:fill="CCEEFF" w:val="clear"/>
            <w:vAlign w:val="center"/>
          </w:tcPr>
          <w:p>
            <w:pPr>
              <w:pStyle w:val="TableContents"/>
              <w:bidi w:val="0"/>
              <w:spacing w:before="0" w:after="283"/>
              <w:jc w:val="left"/>
              <w:rPr/>
            </w:pPr>
            <w:r>
              <w:rPr/>
              <w:t>Class B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28,748,580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28,748,580</w:t>
            </w:r>
          </w:p>
        </w:tc>
        <w:tc>
          <w:tcPr>
            <w:tcW w:w="114" w:type="dxa"/>
            <w:tcBorders/>
            <w:shd w:fill="CCEEFF" w:val="clear"/>
            <w:vAlign w:val="center"/>
          </w:tcPr>
          <w:p>
            <w:pPr>
              <w:pStyle w:val="TableContents"/>
              <w:bidi w:val="0"/>
              <w:spacing w:before="0" w:after="283"/>
              <w:jc w:val="left"/>
              <w:rPr/>
            </w:pPr>
            <w:r>
              <w:rPr/>
              <w:t> </w:t>
            </w:r>
            <w:bookmarkStart w:id="785" w:name="xdx_40A_eus-gaap--WeightedAverageNumberO"/>
            <w:bookmarkEnd w:id="785"/>
          </w:p>
        </w:tc>
      </w:tr>
      <w:tr>
        <w:trPr/>
        <w:tc>
          <w:tcPr>
            <w:tcW w:w="4516"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28,748,580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28,748,580</w:t>
            </w:r>
          </w:p>
        </w:tc>
        <w:tc>
          <w:tcPr>
            <w:tcW w:w="114" w:type="dxa"/>
            <w:tcBorders/>
            <w:shd w:fill="CCEEFF" w:val="clear"/>
            <w:vAlign w:val="center"/>
          </w:tcPr>
          <w:p>
            <w:pPr>
              <w:pStyle w:val="TableContents"/>
              <w:bidi w:val="0"/>
              <w:spacing w:before="0" w:after="283"/>
              <w:jc w:val="left"/>
              <w:rPr/>
            </w:pPr>
            <w:r>
              <w:rPr/>
              <w:t> </w:t>
            </w:r>
            <w:bookmarkStart w:id="786" w:name="xdx_407_eus-gaap--IncrementalCommonShare"/>
            <w:bookmarkEnd w:id="786"/>
          </w:p>
        </w:tc>
      </w:tr>
      <w:tr>
        <w:trPr/>
        <w:tc>
          <w:tcPr>
            <w:tcW w:w="4516" w:type="dxa"/>
            <w:tcBorders/>
            <w:shd w:fill="FFFFFF" w:val="clear"/>
            <w:vAlign w:val="center"/>
          </w:tcPr>
          <w:p>
            <w:pPr>
              <w:pStyle w:val="TableContents"/>
              <w:bidi w:val="0"/>
              <w:spacing w:before="0" w:after="283"/>
              <w:jc w:val="left"/>
              <w:rPr/>
            </w:pPr>
            <w:r>
              <w:rPr/>
              <w:t>Dilutive effects of common stock equivalents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787" w:name="xdx_40D_eus-gaap--WeightedAverageNumberO"/>
            <w:bookmarkEnd w:id="787"/>
          </w:p>
        </w:tc>
      </w:tr>
      <w:tr>
        <w:trPr/>
        <w:tc>
          <w:tcPr>
            <w:tcW w:w="4516" w:type="dxa"/>
            <w:tcBorders/>
            <w:shd w:fill="CCEEFF" w:val="clear"/>
            <w:vAlign w:val="center"/>
          </w:tcPr>
          <w:p>
            <w:pPr>
              <w:pStyle w:val="TableContents"/>
              <w:bidi w:val="0"/>
              <w:spacing w:before="0" w:after="283"/>
              <w:jc w:val="left"/>
              <w:rPr/>
            </w:pPr>
            <w:r>
              <w:rPr/>
              <w:t>Class B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114" w:type="dxa"/>
            <w:tcBorders/>
            <w:shd w:fill="CCEEFF" w:val="clear"/>
            <w:vAlign w:val="center"/>
          </w:tcPr>
          <w:p>
            <w:pPr>
              <w:pStyle w:val="TableContents"/>
              <w:bidi w:val="0"/>
              <w:spacing w:before="0" w:after="283"/>
              <w:jc w:val="left"/>
              <w:rPr/>
            </w:pPr>
            <w:r>
              <w:rPr/>
              <w:t> </w:t>
            </w:r>
            <w:bookmarkStart w:id="788" w:name="xdx_402_eus-gaap--WeightedAverageNumberO"/>
            <w:bookmarkEnd w:id="788"/>
          </w:p>
        </w:tc>
      </w:tr>
      <w:tr>
        <w:trPr/>
        <w:tc>
          <w:tcPr>
            <w:tcW w:w="4516" w:type="dxa"/>
            <w:tcBorders/>
            <w:shd w:fill="CCEEFF" w:val="clear"/>
            <w:vAlign w:val="center"/>
          </w:tcPr>
          <w:p>
            <w:pPr>
              <w:pStyle w:val="TableContents"/>
              <w:bidi w:val="0"/>
              <w:spacing w:before="0" w:after="283"/>
              <w:jc w:val="left"/>
              <w:rPr/>
            </w:pPr>
            <w:r>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114" w:type="dxa"/>
            <w:tcBorders/>
            <w:shd w:fill="CCEEFF" w:val="clear"/>
            <w:vAlign w:val="center"/>
          </w:tcPr>
          <w:p>
            <w:pPr>
              <w:pStyle w:val="TableContents"/>
              <w:bidi w:val="0"/>
              <w:spacing w:before="0" w:after="283"/>
              <w:jc w:val="left"/>
              <w:rPr/>
            </w:pPr>
            <w:r>
              <w:rPr/>
              <w:t> </w:t>
            </w:r>
            <w:bookmarkStart w:id="789" w:name="xdx_40C_eus-gaap--EarningsPerShareDilute"/>
            <w:bookmarkEnd w:id="789"/>
          </w:p>
        </w:tc>
      </w:tr>
      <w:tr>
        <w:trPr/>
        <w:tc>
          <w:tcPr>
            <w:tcW w:w="4516" w:type="dxa"/>
            <w:tcBorders/>
            <w:shd w:fill="FFFFFF" w:val="clear"/>
            <w:vAlign w:val="center"/>
          </w:tcPr>
          <w:p>
            <w:pPr>
              <w:pStyle w:val="TableContents"/>
              <w:bidi w:val="0"/>
              <w:spacing w:before="0" w:after="283"/>
              <w:jc w:val="left"/>
              <w:rPr/>
            </w:pPr>
            <w:r>
              <w:rPr/>
              <w:t>Diluted earnings (loss) per Class A share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(0.19</w:t>
            </w:r>
          </w:p>
        </w:tc>
        <w:tc>
          <w:tcPr>
            <w:tcW w:w="114" w:type="dxa"/>
            <w:tcBorders/>
            <w:shd w:fill="FFFFFF" w:val="clear"/>
            <w:vAlign w:val="center"/>
          </w:tcPr>
          <w:p>
            <w:pPr>
              <w:pStyle w:val="TableContents"/>
              <w:bidi w:val="0"/>
              <w:spacing w:before="0" w:after="283"/>
              <w:jc w:val="left"/>
              <w:rPr/>
            </w:pPr>
            <w:r>
              <w:rPr/>
              <w:t>)</w:t>
            </w:r>
            <w:bookmarkStart w:id="790" w:name="xdx_408_eus-gaap--EarningsPerShareDilute"/>
            <w:bookmarkEnd w:id="790"/>
          </w:p>
        </w:tc>
      </w:tr>
      <w:tr>
        <w:trPr/>
        <w:tc>
          <w:tcPr>
            <w:tcW w:w="4516" w:type="dxa"/>
            <w:tcBorders/>
            <w:shd w:fill="CCEEFF" w:val="clear"/>
            <w:vAlign w:val="center"/>
          </w:tcPr>
          <w:p>
            <w:pPr>
              <w:pStyle w:val="TableContents"/>
              <w:bidi w:val="0"/>
              <w:spacing w:before="0" w:after="283"/>
              <w:jc w:val="left"/>
              <w:rPr/>
            </w:pPr>
            <w:r>
              <w:rPr/>
              <w:t>Diluted earnings (loss) per Class B share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(0.19</w:t>
            </w:r>
          </w:p>
        </w:tc>
        <w:tc>
          <w:tcPr>
            <w:tcW w:w="114" w:type="dxa"/>
            <w:tcBorders/>
            <w:shd w:fill="CCEEFF" w:val="clear"/>
            <w:vAlign w:val="center"/>
          </w:tcPr>
          <w:p>
            <w:pPr>
              <w:pStyle w:val="TableContents"/>
              <w:bidi w:val="0"/>
              <w:spacing w:before="0" w:after="283"/>
              <w:jc w:val="left"/>
              <w:rPr/>
            </w:pPr>
            <w:r>
              <w:rPr/>
              <w:t>)</w:t>
            </w:r>
            <w:bookmarkStart w:id="791" w:name="xdx_400_eus-gaap--EarningsPerShareDilute"/>
            <w:bookmarkEnd w:id="791"/>
          </w:p>
        </w:tc>
      </w:tr>
      <w:tr>
        <w:trPr/>
        <w:tc>
          <w:tcPr>
            <w:tcW w:w="4516" w:type="dxa"/>
            <w:tcBorders/>
            <w:shd w:fill="CCEEFF" w:val="clear"/>
            <w:vAlign w:val="center"/>
          </w:tcPr>
          <w:p>
            <w:pPr>
              <w:pStyle w:val="TableContents"/>
              <w:bidi w:val="0"/>
              <w:spacing w:before="0" w:after="283"/>
              <w:jc w:val="left"/>
              <w:rPr/>
            </w:pPr>
            <w:r>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(0.19</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92" w:name="xdx_8A9_zQxuKCt08lB5"/>
      <w:bookmarkEnd w:id="79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3" w:name="xdx_80A_eus-gaap--StockholdersEquityNote"/>
      <w:bookmarkEnd w:id="793"/>
      <w:r>
        <w:rPr>
          <w:rFonts w:ascii="Times New Roman;Times;Serif" w:hAnsi="Times New Roman;Times;Serif"/>
          <w:b/>
          <w:i w:val="false"/>
          <w:caps w:val="false"/>
          <w:smallCaps w:val="false"/>
          <w:sz w:val="20"/>
        </w:rPr>
        <w:t xml:space="preserve">NOTE 16 – </w:t>
      </w:r>
      <w:bookmarkStart w:id="794" w:name="xdx_828_zvy7Ehf4Lljf"/>
      <w:bookmarkEnd w:id="794"/>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795" w:name="xdx_908_ecustom--NumberOfClassesOfCommon"/>
      <w:bookmarkEnd w:id="795"/>
      <w:r>
        <w:rPr>
          <w:rFonts w:ascii="Times New Roman;Times;Serif" w:hAnsi="Times New Roman;Times;Serif"/>
          <w:b w:val="false"/>
          <w:i w:val="false"/>
          <w:caps w:val="false"/>
          <w:smallCaps w:val="false"/>
          <w:sz w:val="20"/>
        </w:rPr>
        <w:t xml:space="preserve">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w:t>
      </w:r>
      <w:bookmarkStart w:id="796" w:name="xdx_902_ecustom--NumberOfVotesEntitledPe"/>
      <w:bookmarkEnd w:id="796"/>
      <w:r>
        <w:rPr>
          <w:rFonts w:ascii="Times New Roman;Times;Serif" w:hAnsi="Times New Roman;Times;Serif"/>
          <w:b w:val="false"/>
          <w:i w:val="false"/>
          <w:caps w:val="false"/>
          <w:smallCaps w:val="false"/>
          <w:sz w:val="20"/>
        </w:rPr>
        <w:t xml:space="preserve">one vote. Each share of Class B common stock will be entitled to </w:t>
      </w:r>
      <w:bookmarkStart w:id="797" w:name="xdx_90B_ecustom--NumberOfVotesEntitledPe"/>
      <w:bookmarkEnd w:id="797"/>
      <w:r>
        <w:rPr>
          <w:rFonts w:ascii="Times New Roman;Times;Serif" w:hAnsi="Times New Roman;Times;Serif"/>
          <w:b w:val="false"/>
          <w:i w:val="false"/>
          <w:caps w:val="false"/>
          <w:smallCaps w:val="false"/>
          <w:sz w:val="20"/>
        </w:rPr>
        <w:t xml:space="preserve">ten votes and will be convertible into </w:t>
      </w:r>
      <w:bookmarkStart w:id="798" w:name="xdx_906_ecustom--NumberPrimarySharesIssu"/>
      <w:bookmarkEnd w:id="798"/>
      <w:r>
        <w:rPr>
          <w:rFonts w:ascii="Times New Roman;Times;Serif" w:hAnsi="Times New Roman;Times;Serif"/>
          <w:b w:val="false"/>
          <w:i w:val="false"/>
          <w:caps w:val="false"/>
          <w:smallCaps w:val="false"/>
          <w:sz w:val="20"/>
        </w:rPr>
        <w:t>one share of Class A common stock automatically upon transfer, subject to certain exceptions. Holders of Class A common stock and Class B common stock will vote together as a single class on all matters unless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Underwriting Agreement, on November 9, 2022, the Company also issued to the Underwriters warrants to purchase such number of shares of the Company’s Class A common stock in an amount equal to </w:t>
      </w:r>
      <w:bookmarkStart w:id="799" w:name="xdx_906_ecustom--PercentageOfWarrantsIss"/>
      <w:bookmarkEnd w:id="799"/>
      <w:r>
        <w:rPr>
          <w:rFonts w:ascii="Times New Roman;Times;Serif" w:hAnsi="Times New Roman;Times;Serif"/>
          <w:b w:val="false"/>
          <w:i w:val="false"/>
          <w:caps w:val="false"/>
          <w:smallCaps w:val="false"/>
          <w:sz w:val="20"/>
        </w:rPr>
        <w:t xml:space="preserve">four percent of the total number of shares of Class A common stock sold in the IPO, or </w:t>
      </w:r>
      <w:bookmarkStart w:id="800" w:name="xdx_90F_eus-gaap--CommonStockSharesIssue"/>
      <w:bookmarkEnd w:id="800"/>
      <w:r>
        <w:rPr>
          <w:rFonts w:ascii="Times New Roman;Times;Serif" w:hAnsi="Times New Roman;Times;Serif"/>
          <w:b w:val="false"/>
          <w:i w:val="false"/>
          <w:caps w:val="false"/>
          <w:smallCaps w:val="false"/>
          <w:sz w:val="20"/>
        </w:rPr>
        <w:t xml:space="preserve">120,000 shares of Class A common stock (the “Underwriters Warrants”). The Underwriters Warrants may be exercised at a price per share equal to </w:t>
      </w:r>
      <w:bookmarkStart w:id="801" w:name="xdx_907_ecustom--ClassOfWarrantOrRightIs"/>
      <w:bookmarkEnd w:id="801"/>
      <w:r>
        <w:rPr>
          <w:rFonts w:ascii="Times New Roman;Times;Serif" w:hAnsi="Times New Roman;Times;Serif"/>
          <w:b w:val="false"/>
          <w:i w:val="false"/>
          <w:caps w:val="false"/>
          <w:smallCaps w:val="false"/>
          <w:sz w:val="20"/>
        </w:rPr>
        <w:t>125% of the IPO price, or $</w:t>
      </w:r>
      <w:bookmarkStart w:id="802" w:name="xdx_909_eus-gaap--ClassOfWarrantOrRightE"/>
      <w:bookmarkEnd w:id="802"/>
      <w:r>
        <w:rPr>
          <w:rFonts w:ascii="Times New Roman;Times;Serif" w:hAnsi="Times New Roman;Times;Serif"/>
          <w:b w:val="false"/>
          <w:i w:val="false"/>
          <w:caps w:val="false"/>
          <w:smallCaps w:val="false"/>
          <w:sz w:val="20"/>
        </w:rPr>
        <w:t xml:space="preserve">6.25 per share. The Underwriters Warrants are exercisable, in whole or in part, commencing on November 9, 2022, and expiring on the </w:t>
      </w:r>
      <w:bookmarkStart w:id="803" w:name="xdx_907_eus-gaap--WarrantsAndRightsOutst"/>
      <w:bookmarkEnd w:id="803"/>
      <w:r>
        <w:rPr>
          <w:rFonts w:ascii="Times New Roman;Times;Serif" w:hAnsi="Times New Roman;Times;Serif"/>
          <w:b w:val="false"/>
          <w:i w:val="false"/>
          <w:caps w:val="false"/>
          <w:smallCaps w:val="false"/>
          <w:sz w:val="20"/>
        </w:rPr>
        <w:t>three-year anniversary thereof. The Underwriters Warrants have not been exercised as of the filing of this Quarterly Report.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and Over-Allotment Option are legally detachable and separately exercisable from each other and from the Firm Shares; therefore, they meet the definition of freestanding and are not considered embedded in the Firm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Underwriters Warrants are considered indexed to the Company’s own stock. Additionally, the Company concludes that the Underwriters Warrants meet all requirements for equity classification. Because the Underwriters Warrants are issued to the Underwriters for their services and can be exercised immediately (subject to certain transfer conditions) they will be measured at their fair value on their date of issuance and recorded within stockholders’ equity. As long as the Underwriters Warrants remain classified as equity, they shall not be revalued. The fair value of the Underwriters Warrants was determined using the Black-Scholes model. The key assumptions used in the valuation were an average expected volatility of </w:t>
      </w:r>
      <w:bookmarkStart w:id="804" w:name="xdx_906_ecustom--WarrantsFairValueAssump"/>
      <w:bookmarkEnd w:id="804"/>
      <w:r>
        <w:rPr>
          <w:rFonts w:ascii="Times New Roman;Times;Serif" w:hAnsi="Times New Roman;Times;Serif"/>
          <w:b w:val="false"/>
          <w:i w:val="false"/>
          <w:caps w:val="false"/>
          <w:smallCaps w:val="false"/>
          <w:sz w:val="20"/>
        </w:rPr>
        <w:t xml:space="preserve">53%, discount rate of </w:t>
      </w:r>
      <w:bookmarkStart w:id="805" w:name="xdx_90F_ecustom--WarrantsFairValueAssump"/>
      <w:bookmarkEnd w:id="805"/>
      <w:r>
        <w:rPr>
          <w:rFonts w:ascii="Times New Roman;Times;Serif" w:hAnsi="Times New Roman;Times;Serif"/>
          <w:b w:val="false"/>
          <w:i w:val="false"/>
          <w:caps w:val="false"/>
          <w:smallCaps w:val="false"/>
          <w:sz w:val="20"/>
        </w:rPr>
        <w:t xml:space="preserve">4.49% and remaining term of </w:t>
      </w:r>
      <w:bookmarkStart w:id="806" w:name="xdx_908_ecustom--WarrantsFairValueAssump"/>
      <w:bookmarkEnd w:id="806"/>
      <w:r>
        <w:rPr>
          <w:rFonts w:ascii="Times New Roman;Times;Serif" w:hAnsi="Times New Roman;Times;Serif"/>
          <w:b w:val="false"/>
          <w:i w:val="false"/>
          <w:caps w:val="false"/>
          <w:smallCaps w:val="false"/>
          <w:sz w:val="20"/>
        </w:rPr>
        <w:t>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all the issuance costs to the firm shares as a reduction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Convertible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pursuant to a securities purchase agreement (the “SPA”), the Company issued to two accredited investors (the convertible debt “Investors”) convertible notes with an aggregate principal amount of $</w:t>
      </w:r>
      <w:bookmarkStart w:id="807" w:name="xdx_909_eus-gaap--DebtInstrumentFaceAmou"/>
      <w:bookmarkEnd w:id="807"/>
      <w:r>
        <w:rPr>
          <w:rFonts w:ascii="Times New Roman;Times;Serif" w:hAnsi="Times New Roman;Times;Serif"/>
          <w:b w:val="false"/>
          <w:i w:val="false"/>
          <w:caps w:val="false"/>
          <w:smallCaps w:val="false"/>
          <w:sz w:val="20"/>
        </w:rPr>
        <w:t xml:space="preserve">1,080,000 (the “Convertible Notes”) and warrants to purchase up to an aggregate of </w:t>
      </w:r>
      <w:bookmarkStart w:id="808" w:name="xdx_906_eus-gaap--ClassOfWarrantOrRightN"/>
      <w:bookmarkEnd w:id="808"/>
      <w:r>
        <w:rPr>
          <w:rFonts w:ascii="Times New Roman;Times;Serif" w:hAnsi="Times New Roman;Times;Serif"/>
          <w:b w:val="false"/>
          <w:i w:val="false"/>
          <w:caps w:val="false"/>
          <w:smallCaps w:val="false"/>
          <w:sz w:val="20"/>
        </w:rPr>
        <w:t>714,285 shares of the Company’s Class A common stock for gross proceeds of $</w:t>
      </w:r>
      <w:bookmarkStart w:id="809" w:name="xdx_904_eus-gaap--ProceedsFromIssuanceOf"/>
      <w:bookmarkEnd w:id="809"/>
      <w:r>
        <w:rPr>
          <w:rFonts w:ascii="Times New Roman;Times;Serif" w:hAnsi="Times New Roman;Times;Serif"/>
          <w:b w:val="false"/>
          <w:i w:val="false"/>
          <w:caps w:val="false"/>
          <w:smallCaps w:val="false"/>
          <w:sz w:val="20"/>
        </w:rPr>
        <w:t>1,000,000 (the “Convertible Notes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Convertible Notes Financing, the Company also entered into a registration rights agreement with the Investors. So long as the Company complies with certain conditions set forth in the SPA and the registration rights agreement, the Company will sell and the Investors will purchase, an additional $</w:t>
      </w:r>
      <w:bookmarkStart w:id="810" w:name="xdx_909_eus-gaap--DebtInstrumentFaceAmou"/>
      <w:bookmarkEnd w:id="810"/>
      <w:r>
        <w:rPr>
          <w:rFonts w:ascii="Times New Roman;Times;Serif" w:hAnsi="Times New Roman;Times;Serif"/>
          <w:b w:val="false"/>
          <w:i w:val="false"/>
          <w:caps w:val="false"/>
          <w:smallCaps w:val="false"/>
          <w:sz w:val="20"/>
        </w:rPr>
        <w:t>1,080,000 of aggregate principal amount of notes and warrants in the second tranche of the Convertible Note Financing. The second tranche closing has not yet taken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carry an original issue discount of approximately </w:t>
      </w:r>
      <w:bookmarkStart w:id="811" w:name="xdx_90E_ecustom--DebtInstrumentOriginalI"/>
      <w:bookmarkEnd w:id="811"/>
      <w:r>
        <w:rPr>
          <w:rFonts w:ascii="Times New Roman;Times;Serif" w:hAnsi="Times New Roman;Times;Serif"/>
          <w:b w:val="false"/>
          <w:i w:val="false"/>
          <w:caps w:val="false"/>
          <w:smallCaps w:val="false"/>
          <w:sz w:val="20"/>
        </w:rPr>
        <w:t xml:space="preserve">7.4%, bear interest at a rate of </w:t>
      </w:r>
      <w:bookmarkStart w:id="812" w:name="xdx_90D_eus-gaap--DebtInstrumentInterest"/>
      <w:bookmarkEnd w:id="812"/>
      <w:r>
        <w:rPr>
          <w:rFonts w:ascii="Times New Roman;Times;Serif" w:hAnsi="Times New Roman;Times;Serif"/>
          <w:b w:val="false"/>
          <w:i w:val="false"/>
          <w:caps w:val="false"/>
          <w:smallCaps w:val="false"/>
          <w:sz w:val="20"/>
        </w:rPr>
        <w:t>7.5% per annum (</w:t>
      </w:r>
      <w:bookmarkStart w:id="813" w:name="xdx_908_ecustom--DebtInstrumentInterestR"/>
      <w:bookmarkEnd w:id="813"/>
      <w:r>
        <w:rPr>
          <w:rFonts w:ascii="Times New Roman;Times;Serif" w:hAnsi="Times New Roman;Times;Serif"/>
          <w:b w:val="false"/>
          <w:i w:val="false"/>
          <w:caps w:val="false"/>
          <w:smallCaps w:val="false"/>
          <w:sz w:val="20"/>
        </w:rPr>
        <w:t xml:space="preserve">16% per annum in case of an event of default), are repayable in equal consecutive monthly installments that began in February 2024 and matured on </w:t>
      </w:r>
      <w:bookmarkStart w:id="814" w:name="xdx_90E_eus-gaap--DebtInstrumentMaturity"/>
      <w:bookmarkEnd w:id="814"/>
      <w:r>
        <w:rPr>
          <w:rFonts w:ascii="Times New Roman;Times;Serif" w:hAnsi="Times New Roman;Times;Serif"/>
          <w:b w:val="false"/>
          <w:i w:val="false"/>
          <w:caps w:val="false"/>
          <w:smallCaps w:val="false"/>
          <w:sz w:val="20"/>
        </w:rPr>
        <w:t>May 24, 2024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5" w:name="xdx_901_eus-gaap--DebtInstrumentDescript"/>
      <w:bookmarkEnd w:id="815"/>
      <w:r>
        <w:rPr>
          <w:rFonts w:ascii="Times New Roman;Times;Serif" w:hAnsi="Times New Roman;Times;Serif"/>
          <w:b w:val="false"/>
          <w:i w:val="false"/>
          <w:caps w:val="false"/>
          <w:smallCaps w:val="false"/>
          <w:sz w:val="20"/>
        </w:rPr>
        <w:t>The Convertible Notes may be prepaid by the Company upon giving the Investors a fifteen-trading day notice by paying an amount equal to the then outstanding balance. If the Company enters into a qualifying financing it may be required by the Investors to repay part or all of the Convertible Notes at a 112.5% premium (limited to 10% of the proceeds of the qualified financing, if such financing results in gross proceeds to the Company at least $</w:t>
      </w:r>
      <w:bookmarkStart w:id="816" w:name="xdx_908_eus-gaap--ProceedsFromConvertibl"/>
      <w:bookmarkEnd w:id="816"/>
      <w:r>
        <w:rPr>
          <w:rFonts w:ascii="Times New Roman;Times;Serif" w:hAnsi="Times New Roman;Times;Serif"/>
          <w:b w:val="false"/>
          <w:i w:val="false"/>
          <w:caps w:val="false"/>
          <w:smallCaps w:val="false"/>
          <w:sz w:val="20"/>
        </w:rPr>
        <w:t>5,000,000). In event of default or change of control, the Investors may require the Company to prepay the Convertible Notes at a 120%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starting three months after their issuance, the Convertible Notes could be converted at the option of the holder at any time into shares of the Company’s Class A common, at a conversion price equal to 90% (85% in case of an event of default) of the average of the three the lowest daily volume weighted average price (“VWAP”) of the Class A common stock during the ten (10) trading days period prior the receipt of the notice of conversion. The conversion price may be adjusted if the Company issues a qualifying security at a lower price than the then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receipt of conversion notice, the Company cannot issue shares of Class A common stock for any reason, then it is required to issue as many shares of Class A common stock as it is able to issue and, with respect to the unconverted principle portion, the Noteholder may elect for the Company to pay for each shares of Class A common stock that could not be issued at a price equal to the higher of the then conversion price or the VWAP as of the date of the conversion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three and six months ended June 30, 2024, was not significant and as such, was not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issuance, the Company allocated the proceeds between the instruments issued using fair value for the derivative liability with the residual amounts allocated to the convertible notes and warrants using relative fair value as follows:</w:t>
      </w:r>
    </w:p>
    <w:p>
      <w:pPr>
        <w:pStyle w:val="TextBody"/>
        <w:bidi w:val="0"/>
        <w:spacing w:before="0" w:after="0"/>
        <w:ind w:left="0" w:right="0" w:hanging="0"/>
        <w:jc w:val="both"/>
        <w:rPr>
          <w:caps w:val="false"/>
          <w:smallCaps w:val="false"/>
        </w:rPr>
      </w:pPr>
      <w:bookmarkStart w:id="817" w:name="xdx_89D_eus-gaap--ScheduleOfDebtTableTex"/>
      <w:bookmarkEnd w:id="817"/>
      <w:r>
        <w:rPr>
          <w:caps w:val="false"/>
          <w:smallCaps w:val="false"/>
        </w:rPr>
        <w:t> </w:t>
      </w:r>
      <w:bookmarkStart w:id="818" w:name="xdx_8BD_zXPu30O0j8Kf"/>
      <w:bookmarkEnd w:id="818"/>
      <w:r>
        <w:rPr>
          <w:rFonts w:ascii="Times New Roman;Times;Serif" w:hAnsi="Times New Roman;Times;Serif"/>
          <w:b w:val="false"/>
          <w:i w:val="false"/>
          <w:caps w:val="false"/>
          <w:smallCaps w:val="false"/>
          <w:sz w:val="20"/>
        </w:rPr>
        <w:t>SCHEDULE OF PROCEEDS BETWEEN THE INSTRUMENTS</w:t>
      </w:r>
    </w:p>
    <w:tbl>
      <w:tblPr>
        <w:tblW w:w="3045" w:type="dxa"/>
        <w:jc w:val="left"/>
        <w:tblInd w:w="0" w:type="dxa"/>
        <w:tblLayout w:type="fixed"/>
        <w:tblCellMar>
          <w:top w:w="0" w:type="dxa"/>
          <w:left w:w="0" w:type="dxa"/>
          <w:bottom w:w="0" w:type="dxa"/>
          <w:right w:w="0" w:type="dxa"/>
        </w:tblCellMar>
      </w:tblPr>
      <w:tblGrid>
        <w:gridCol w:w="1790"/>
        <w:gridCol w:w="60"/>
        <w:gridCol w:w="140"/>
        <w:gridCol w:w="980"/>
        <w:gridCol w:w="75"/>
      </w:tblGrid>
      <w:tr>
        <w:trPr/>
        <w:tc>
          <w:tcPr>
            <w:tcW w:w="1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19" w:name="xdx_494_20230801__20230831_zEjAVdVrC0tk"/>
            <w:bookmarkEnd w:id="819"/>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20" w:name="xdx_40C_eus-gaap--ProceedsFromConvertibl"/>
            <w:bookmarkEnd w:id="820"/>
          </w:p>
        </w:tc>
      </w:tr>
      <w:tr>
        <w:trPr/>
        <w:tc>
          <w:tcPr>
            <w:tcW w:w="179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554,246</w:t>
            </w:r>
          </w:p>
        </w:tc>
        <w:tc>
          <w:tcPr>
            <w:tcW w:w="75" w:type="dxa"/>
            <w:tcBorders/>
            <w:shd w:fill="CCEEFF" w:val="clear"/>
            <w:vAlign w:val="center"/>
          </w:tcPr>
          <w:p>
            <w:pPr>
              <w:pStyle w:val="TableContents"/>
              <w:bidi w:val="0"/>
              <w:spacing w:before="0" w:after="283"/>
              <w:jc w:val="left"/>
              <w:rPr/>
            </w:pPr>
            <w:r>
              <w:rPr/>
              <w:t> </w:t>
            </w:r>
            <w:bookmarkStart w:id="821" w:name="xdx_406_ecustom--ProceedsFromIssuanceOfD"/>
            <w:bookmarkEnd w:id="821"/>
          </w:p>
        </w:tc>
      </w:tr>
      <w:tr>
        <w:trPr/>
        <w:tc>
          <w:tcPr>
            <w:tcW w:w="1790" w:type="dxa"/>
            <w:tcBorders/>
            <w:shd w:fill="FFFFFF" w:val="clear"/>
            <w:vAlign w:val="center"/>
          </w:tcPr>
          <w:p>
            <w:pPr>
              <w:pStyle w:val="TableContents"/>
              <w:bidi w:val="0"/>
              <w:spacing w:before="0" w:after="283"/>
              <w:jc w:val="left"/>
              <w:rPr/>
            </w:pPr>
            <w:r>
              <w:rPr/>
              <w:t>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822" w:name="xdx_404_eus-gaap--ProceedsFromIssuanceOf"/>
            <w:bookmarkEnd w:id="822"/>
          </w:p>
        </w:tc>
      </w:tr>
      <w:tr>
        <w:trPr/>
        <w:tc>
          <w:tcPr>
            <w:tcW w:w="179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445,754</w:t>
            </w:r>
          </w:p>
        </w:tc>
        <w:tc>
          <w:tcPr>
            <w:tcW w:w="75" w:type="dxa"/>
            <w:tcBorders/>
            <w:shd w:fill="CCEEFF" w:val="clear"/>
            <w:vAlign w:val="center"/>
          </w:tcPr>
          <w:p>
            <w:pPr>
              <w:pStyle w:val="TableContents"/>
              <w:bidi w:val="0"/>
              <w:spacing w:before="0" w:after="283"/>
              <w:jc w:val="left"/>
              <w:rPr/>
            </w:pPr>
            <w:r>
              <w:rPr/>
              <w:t> </w:t>
            </w:r>
            <w:bookmarkStart w:id="823" w:name="xdx_40E_eus-gaap--ProceedsFromIssuanceOf"/>
            <w:bookmarkEnd w:id="823"/>
          </w:p>
        </w:tc>
      </w:tr>
      <w:tr>
        <w:trPr/>
        <w:tc>
          <w:tcPr>
            <w:tcW w:w="1790" w:type="dxa"/>
            <w:tcBorders/>
            <w:shd w:fill="FFFFFF" w:val="clear"/>
            <w:vAlign w:val="center"/>
          </w:tcPr>
          <w:p>
            <w:pPr>
              <w:pStyle w:val="TableContents"/>
              <w:bidi w:val="0"/>
              <w:spacing w:before="0" w:after="283"/>
              <w:jc w:val="left"/>
              <w:rPr/>
            </w:pPr>
            <w:r>
              <w:rPr/>
              <w:t>Total proceeds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4" w:name="xdx_8A4_z8BZryJKo9q1"/>
      <w:bookmarkEnd w:id="82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of $</w:t>
      </w:r>
      <w:bookmarkStart w:id="825" w:name="xdx_900_eus-gaap--ProceedsFromIssuanceOf"/>
      <w:bookmarkEnd w:id="825"/>
      <w:r>
        <w:rPr>
          <w:rFonts w:ascii="Times New Roman;Times;Serif" w:hAnsi="Times New Roman;Times;Serif"/>
          <w:b w:val="false"/>
          <w:i w:val="false"/>
          <w:caps w:val="false"/>
          <w:smallCaps w:val="false"/>
          <w:sz w:val="20"/>
        </w:rPr>
        <w:t>525,754 between the allocated proceeds to the Convertible Notes and the aggregate principal amount will be accreted during the life of the notes. Additionally, $</w:t>
      </w:r>
      <w:bookmarkStart w:id="826" w:name="xdx_90B_eus-gaap--DebtInstrumentUnamorti"/>
      <w:bookmarkEnd w:id="826"/>
      <w:r>
        <w:rPr>
          <w:rFonts w:ascii="Times New Roman;Times;Serif" w:hAnsi="Times New Roman;Times;Serif"/>
          <w:b w:val="false"/>
          <w:i w:val="false"/>
          <w:caps w:val="false"/>
          <w:smallCaps w:val="false"/>
          <w:sz w:val="20"/>
        </w:rPr>
        <w:t>152,500 of transaction costs incurred by the Company were recorded as debt discount. As of June 30, 2024 the Company has repaid the balance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Convertible Notes as of December 31, 2023:</w:t>
      </w:r>
    </w:p>
    <w:p>
      <w:pPr>
        <w:pStyle w:val="TextBody"/>
        <w:bidi w:val="0"/>
        <w:spacing w:before="0" w:after="0"/>
        <w:ind w:left="0" w:right="0" w:hanging="0"/>
        <w:jc w:val="both"/>
        <w:rPr>
          <w:caps w:val="false"/>
          <w:smallCaps w:val="false"/>
        </w:rPr>
      </w:pPr>
      <w:bookmarkStart w:id="827" w:name="xdx_895_eus-gaap--ConvertibleDebtTableTe"/>
      <w:bookmarkEnd w:id="827"/>
      <w:r>
        <w:rPr>
          <w:caps w:val="false"/>
          <w:smallCaps w:val="false"/>
        </w:rPr>
        <w:t> </w:t>
      </w:r>
      <w:bookmarkStart w:id="828" w:name="xdx_8B6_zU3GF3yKjXf6"/>
      <w:bookmarkEnd w:id="828"/>
      <w:r>
        <w:rPr>
          <w:rFonts w:ascii="Times New Roman;Times;Serif" w:hAnsi="Times New Roman;Times;Serif"/>
          <w:b w:val="false"/>
          <w:i w:val="false"/>
          <w:caps w:val="false"/>
          <w:smallCaps w:val="false"/>
          <w:sz w:val="20"/>
        </w:rPr>
        <w:t>SCHEDULE OF CONVERTIBLE NOTES</w:t>
      </w:r>
    </w:p>
    <w:tbl>
      <w:tblPr>
        <w:tblW w:w="7753" w:type="dxa"/>
        <w:jc w:val="left"/>
        <w:tblInd w:w="0" w:type="dxa"/>
        <w:tblLayout w:type="fixed"/>
        <w:tblCellMar>
          <w:top w:w="0" w:type="dxa"/>
          <w:left w:w="0" w:type="dxa"/>
          <w:bottom w:w="0" w:type="dxa"/>
          <w:right w:w="0" w:type="dxa"/>
        </w:tblCellMar>
      </w:tblPr>
      <w:tblGrid>
        <w:gridCol w:w="1760"/>
        <w:gridCol w:w="60"/>
        <w:gridCol w:w="140"/>
        <w:gridCol w:w="800"/>
        <w:gridCol w:w="60"/>
        <w:gridCol w:w="60"/>
        <w:gridCol w:w="209"/>
        <w:gridCol w:w="1130"/>
        <w:gridCol w:w="95"/>
        <w:gridCol w:w="60"/>
        <w:gridCol w:w="179"/>
        <w:gridCol w:w="1025"/>
        <w:gridCol w:w="60"/>
        <w:gridCol w:w="60"/>
        <w:gridCol w:w="140"/>
        <w:gridCol w:w="800"/>
        <w:gridCol w:w="60"/>
        <w:gridCol w:w="60"/>
        <w:gridCol w:w="101"/>
        <w:gridCol w:w="819"/>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Principal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pPr>
            <w:r>
              <w:rPr/>
              <w:t xml:space="preserve">Unamortized </w:t>
              <w:br/>
              <w:t xml:space="preserve">debt discount </w:t>
              <w:br/>
              <w:t>and issuance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pPr>
            <w:r>
              <w:rPr/>
              <w:t>Net 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pPr>
            <w:r>
              <w:rPr/>
              <w:t>Fair value</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pPr>
            <w:r>
              <w:rP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pPr>
            <w:r>
              <w:rPr/>
              <w:t>Levelling</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29" w:name="xdx_98D_eus-gaap--DebtInstrumentFaceAmou"/>
            <w:bookmarkEnd w:id="829"/>
          </w:p>
        </w:tc>
        <w:tc>
          <w:tcPr>
            <w:tcW w:w="800" w:type="dxa"/>
            <w:tcBorders/>
            <w:shd w:fill="CCEEFF" w:val="clear"/>
            <w:vAlign w:val="center"/>
          </w:tcPr>
          <w:p>
            <w:pPr>
              <w:pStyle w:val="TableContents"/>
              <w:bidi w:val="0"/>
              <w:spacing w:before="0" w:after="283"/>
              <w:jc w:val="right"/>
              <w:rPr/>
            </w:pPr>
            <w:r>
              <w:rPr/>
              <w:t>860,910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830" w:name="xdx_98B_eus-gaap--DebtInstrumentUnamorti"/>
            <w:bookmarkEnd w:id="830"/>
          </w:p>
        </w:tc>
        <w:tc>
          <w:tcPr>
            <w:tcW w:w="1130" w:type="dxa"/>
            <w:tcBorders/>
            <w:shd w:fill="CCEEFF" w:val="clear"/>
            <w:vAlign w:val="center"/>
          </w:tcPr>
          <w:p>
            <w:pPr>
              <w:pStyle w:val="TableContents"/>
              <w:bidi w:val="0"/>
              <w:spacing w:before="0" w:after="283"/>
              <w:jc w:val="right"/>
              <w:rPr/>
            </w:pPr>
            <w:r>
              <w:rPr/>
              <w:t>(63,549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bookmarkStart w:id="831" w:name="xdx_98E_eus-gaap--DebtInstrumentCarrying"/>
            <w:bookmarkEnd w:id="831"/>
          </w:p>
        </w:tc>
        <w:tc>
          <w:tcPr>
            <w:tcW w:w="1025" w:type="dxa"/>
            <w:tcBorders/>
            <w:shd w:fill="CCEEFF" w:val="clear"/>
            <w:vAlign w:val="center"/>
          </w:tcPr>
          <w:p>
            <w:pPr>
              <w:pStyle w:val="TableContents"/>
              <w:bidi w:val="0"/>
              <w:spacing w:before="0" w:after="283"/>
              <w:jc w:val="right"/>
              <w:rPr/>
            </w:pPr>
            <w:r>
              <w:rPr/>
              <w:t>797,361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32" w:name="xdx_98C_eus-gaap--DebtInstrumentFairValu"/>
            <w:bookmarkEnd w:id="832"/>
          </w:p>
        </w:tc>
        <w:tc>
          <w:tcPr>
            <w:tcW w:w="800" w:type="dxa"/>
            <w:tcBorders/>
            <w:shd w:fill="CCEEFF" w:val="clear"/>
            <w:vAlign w:val="center"/>
          </w:tcPr>
          <w:p>
            <w:pPr>
              <w:pStyle w:val="TableContents"/>
              <w:bidi w:val="0"/>
              <w:spacing w:before="0" w:after="283"/>
              <w:jc w:val="right"/>
              <w:rPr/>
            </w:pPr>
            <w:r>
              <w:rPr/>
              <w:t>536,170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Level 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3" w:name="xdx_8A0_zpEW80zZAnph"/>
      <w:bookmarkEnd w:id="8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debt discount was amortized to interest expense over the maturity period using the effective interest method at a rate of </w:t>
      </w:r>
      <w:bookmarkStart w:id="834" w:name="xdx_90F_eus-gaap--DebtInstrumentInterest"/>
      <w:bookmarkEnd w:id="834"/>
      <w:r>
        <w:rPr>
          <w:rFonts w:ascii="Times New Roman;Times;Serif" w:hAnsi="Times New Roman;Times;Serif"/>
          <w:b w:val="false"/>
          <w:i w:val="false"/>
          <w:caps w:val="false"/>
          <w:smallCaps w:val="false"/>
          <w:sz w:val="20"/>
        </w:rPr>
        <w:t>103.4%. The effective interest rate is based on the principal balance discounted by stated interest, debt issuance costs and fair value allocated to the related warrants. For the three months ended June 30, 2024, the Company recognized $</w:t>
      </w:r>
      <w:bookmarkStart w:id="835" w:name="xdx_904_eus-gaap--InterestExpenseDebt_c2"/>
      <w:bookmarkEnd w:id="835"/>
      <w:r>
        <w:rPr>
          <w:rFonts w:ascii="Times New Roman;Times;Serif" w:hAnsi="Times New Roman;Times;Serif"/>
          <w:b w:val="false"/>
          <w:i w:val="false"/>
          <w:caps w:val="false"/>
          <w:smallCaps w:val="false"/>
          <w:sz w:val="20"/>
        </w:rPr>
        <w:t>56,613 of interest expense related to the Convertible Notes, comprising of $</w:t>
      </w:r>
      <w:bookmarkStart w:id="836" w:name="xdx_90D_eus-gaap--ContractualInterestExp"/>
      <w:bookmarkEnd w:id="836"/>
      <w:r>
        <w:rPr>
          <w:rFonts w:ascii="Times New Roman;Times;Serif" w:hAnsi="Times New Roman;Times;Serif"/>
          <w:b w:val="false"/>
          <w:i w:val="false"/>
          <w:caps w:val="false"/>
          <w:smallCaps w:val="false"/>
          <w:sz w:val="20"/>
        </w:rPr>
        <w:t>4,378 of contractual interest expense, $</w:t>
      </w:r>
      <w:bookmarkStart w:id="837" w:name="xdx_90F_eus-gaap--AccretionExpense_c2024"/>
      <w:bookmarkEnd w:id="837"/>
      <w:r>
        <w:rPr>
          <w:rFonts w:ascii="Times New Roman;Times;Serif" w:hAnsi="Times New Roman;Times;Serif"/>
          <w:b w:val="false"/>
          <w:i w:val="false"/>
          <w:caps w:val="false"/>
          <w:smallCaps w:val="false"/>
          <w:sz w:val="20"/>
        </w:rPr>
        <w:t>40,560 in accretion and $</w:t>
      </w:r>
      <w:bookmarkStart w:id="838" w:name="xdx_90B_eus-gaap--AmortizationOfDebtDisc"/>
      <w:bookmarkEnd w:id="838"/>
      <w:r>
        <w:rPr>
          <w:rFonts w:ascii="Times New Roman;Times;Serif" w:hAnsi="Times New Roman;Times;Serif"/>
          <w:b w:val="false"/>
          <w:i w:val="false"/>
          <w:caps w:val="false"/>
          <w:smallCaps w:val="false"/>
          <w:sz w:val="20"/>
        </w:rPr>
        <w:t>11,675 of amortization of debt discount and issuance costs. For the six months ended June 30, 2024, the Company recognized $</w:t>
      </w:r>
      <w:bookmarkStart w:id="839" w:name="xdx_90B_eus-gaap--InterestExpenseDebt_c2"/>
      <w:bookmarkEnd w:id="839"/>
      <w:r>
        <w:rPr>
          <w:rFonts w:ascii="Times New Roman;Times;Serif" w:hAnsi="Times New Roman;Times;Serif"/>
          <w:b w:val="false"/>
          <w:i w:val="false"/>
          <w:caps w:val="false"/>
          <w:smallCaps w:val="false"/>
          <w:sz w:val="20"/>
        </w:rPr>
        <w:t>309,433 of interest expense related to the Convertible Notes, comprising of $</w:t>
      </w:r>
      <w:bookmarkStart w:id="840" w:name="xdx_90A_eus-gaap--ContractualInterestExp"/>
      <w:bookmarkEnd w:id="840"/>
      <w:r>
        <w:rPr>
          <w:rFonts w:ascii="Times New Roman;Times;Serif" w:hAnsi="Times New Roman;Times;Serif"/>
          <w:b w:val="false"/>
          <w:i w:val="false"/>
          <w:caps w:val="false"/>
          <w:smallCaps w:val="false"/>
          <w:sz w:val="20"/>
        </w:rPr>
        <w:t>22,725 of contractual interest expense, $</w:t>
      </w:r>
      <w:bookmarkStart w:id="841" w:name="xdx_904_eus-gaap--AccretionExpense_c2024"/>
      <w:bookmarkEnd w:id="841"/>
      <w:r>
        <w:rPr>
          <w:rFonts w:ascii="Times New Roman;Times;Serif" w:hAnsi="Times New Roman;Times;Serif"/>
          <w:b w:val="false"/>
          <w:i w:val="false"/>
          <w:caps w:val="false"/>
          <w:smallCaps w:val="false"/>
          <w:sz w:val="20"/>
        </w:rPr>
        <w:t>222,628 in accretion and $</w:t>
      </w:r>
      <w:bookmarkStart w:id="842" w:name="xdx_909_eus-gaap--AmortizationOfDebtDisc"/>
      <w:bookmarkEnd w:id="842"/>
      <w:r>
        <w:rPr>
          <w:rFonts w:ascii="Times New Roman;Times;Serif" w:hAnsi="Times New Roman;Times;Serif"/>
          <w:b w:val="false"/>
          <w:i w:val="false"/>
          <w:caps w:val="false"/>
          <w:smallCaps w:val="false"/>
          <w:sz w:val="20"/>
        </w:rPr>
        <w:t>64,080 of amortization of debt discount and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repaid $</w:t>
      </w:r>
      <w:bookmarkStart w:id="843" w:name="xdx_900_eus-gaap--DebtInstrumentAnnualPr"/>
      <w:bookmarkEnd w:id="843"/>
      <w:r>
        <w:rPr>
          <w:rFonts w:ascii="Times New Roman;Times;Serif" w:hAnsi="Times New Roman;Times;Serif"/>
          <w:b w:val="false"/>
          <w:i w:val="false"/>
          <w:caps w:val="false"/>
          <w:smallCaps w:val="false"/>
          <w:sz w:val="20"/>
        </w:rPr>
        <w:t>1,071,750 of principal and accrued interest and the investors converted $</w:t>
      </w:r>
      <w:bookmarkStart w:id="844" w:name="xdx_90B_eus-gaap--StockIssuedDuringPerio"/>
      <w:bookmarkEnd w:id="844"/>
      <w:r>
        <w:rPr>
          <w:rFonts w:ascii="Times New Roman;Times;Serif" w:hAnsi="Times New Roman;Times;Serif"/>
          <w:b w:val="false"/>
          <w:i w:val="false"/>
          <w:caps w:val="false"/>
          <w:smallCaps w:val="false"/>
          <w:sz w:val="20"/>
        </w:rPr>
        <w:t xml:space="preserve">60,000 of principal into </w:t>
      </w:r>
      <w:bookmarkStart w:id="845" w:name="xdx_909_eus-gaap--StockIssuedDuringPerio"/>
      <w:bookmarkEnd w:id="845"/>
      <w:r>
        <w:rPr>
          <w:rFonts w:ascii="Times New Roman;Times;Serif" w:hAnsi="Times New Roman;Times;Serif"/>
          <w:b w:val="false"/>
          <w:i w:val="false"/>
          <w:caps w:val="false"/>
          <w:smallCaps w:val="false"/>
          <w:sz w:val="20"/>
        </w:rPr>
        <w:t>71,460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 warrants allow the Investors to purchase an aggregate of </w:t>
      </w:r>
      <w:bookmarkStart w:id="846" w:name="xdx_90F_eus-gaap--CommonStockSharesAutho"/>
      <w:bookmarkEnd w:id="846"/>
      <w:r>
        <w:rPr>
          <w:rFonts w:ascii="Times New Roman;Times;Serif" w:hAnsi="Times New Roman;Times;Serif"/>
          <w:b w:val="false"/>
          <w:i w:val="false"/>
          <w:caps w:val="false"/>
          <w:smallCaps w:val="false"/>
          <w:sz w:val="20"/>
        </w:rPr>
        <w:t>714,285 shares of the Company’s Class A common stock at an exercise price of $</w:t>
      </w:r>
      <w:bookmarkStart w:id="847" w:name="xdx_906_eus-gaap--CommonStockParOrStated"/>
      <w:bookmarkEnd w:id="847"/>
      <w:r>
        <w:rPr>
          <w:rFonts w:ascii="Times New Roman;Times;Serif" w:hAnsi="Times New Roman;Times;Serif"/>
          <w:b w:val="false"/>
          <w:i w:val="false"/>
          <w:caps w:val="false"/>
          <w:smallCaps w:val="false"/>
          <w:sz w:val="20"/>
        </w:rPr>
        <w:t>1.89. The warrants can be exercised, subject to certain ownership limitations, in whole or in part during the exercise period commencing on November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provisions, the warrants are classified as a liability on the condensed consolidated balance sheet. The fair value of the warrants at issuance has been estimated using a Monte-Carlo model and the following significant inputs:</w:t>
      </w:r>
    </w:p>
    <w:p>
      <w:pPr>
        <w:pStyle w:val="TextBody"/>
        <w:bidi w:val="0"/>
        <w:spacing w:before="0" w:after="0"/>
        <w:ind w:left="0" w:right="0" w:hanging="0"/>
        <w:jc w:val="both"/>
        <w:rPr>
          <w:caps w:val="false"/>
          <w:smallCaps w:val="false"/>
        </w:rPr>
      </w:pPr>
      <w:bookmarkStart w:id="848" w:name="xdx_89A_eus-gaap--ScheduleOfStockholders"/>
      <w:bookmarkEnd w:id="848"/>
      <w:r>
        <w:rPr>
          <w:caps w:val="false"/>
          <w:smallCaps w:val="false"/>
        </w:rPr>
        <w:t> </w:t>
      </w:r>
      <w:bookmarkStart w:id="849" w:name="xdx_8B0_zWO2Gd4N4NJh"/>
      <w:bookmarkEnd w:id="849"/>
      <w:r>
        <w:rPr>
          <w:rFonts w:ascii="Times New Roman;Times;Serif" w:hAnsi="Times New Roman;Times;Serif"/>
          <w:b w:val="false"/>
          <w:i w:val="false"/>
          <w:caps w:val="false"/>
          <w:smallCaps w:val="false"/>
          <w:sz w:val="20"/>
        </w:rPr>
        <w:t>SCHEDULE OF STOCK BASED WARRANTS</w:t>
      </w:r>
    </w:p>
    <w:tbl>
      <w:tblPr>
        <w:tblW w:w="4524" w:type="dxa"/>
        <w:jc w:val="left"/>
        <w:tblInd w:w="0" w:type="dxa"/>
        <w:tblLayout w:type="fixed"/>
        <w:tblCellMar>
          <w:top w:w="0" w:type="dxa"/>
          <w:left w:w="0" w:type="dxa"/>
          <w:bottom w:w="0" w:type="dxa"/>
          <w:right w:w="0" w:type="dxa"/>
        </w:tblCellMar>
      </w:tblPr>
      <w:tblGrid>
        <w:gridCol w:w="2315"/>
        <w:gridCol w:w="60"/>
        <w:gridCol w:w="200"/>
        <w:gridCol w:w="630"/>
        <w:gridCol w:w="215"/>
        <w:gridCol w:w="60"/>
        <w:gridCol w:w="196"/>
        <w:gridCol w:w="618"/>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pPr>
            <w:r>
              <w:rPr/>
              <w:t>Issuance</w:t>
            </w:r>
          </w:p>
          <w:p>
            <w:pPr>
              <w:pStyle w:val="TableContents"/>
              <w:bidi w:val="0"/>
              <w:spacing w:before="0" w:after="283"/>
              <w:jc w:val="center"/>
              <w:rPr/>
            </w:pPr>
            <w:r>
              <w:rPr/>
              <w:t>date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jc w:val="center"/>
              <w:rPr/>
            </w:pPr>
            <w:r>
              <w:rPr/>
              <w:t>June 30,</w:t>
            </w:r>
          </w:p>
          <w:p>
            <w:pPr>
              <w:pStyle w:val="TableContents"/>
              <w:bidi w:val="0"/>
              <w:spacing w:before="0" w:after="283"/>
              <w:jc w:val="center"/>
              <w:rPr/>
            </w:pPr>
            <w:r>
              <w:rPr/>
              <w:t>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850" w:name="xdx_98E_eus-gaap--SharePrice_iI_c2023083"/>
            <w:bookmarkEnd w:id="850"/>
          </w:p>
        </w:tc>
        <w:tc>
          <w:tcPr>
            <w:tcW w:w="630" w:type="dxa"/>
            <w:tcBorders/>
            <w:shd w:fill="CCEEFF" w:val="clear"/>
            <w:vAlign w:val="center"/>
          </w:tcPr>
          <w:p>
            <w:pPr>
              <w:pStyle w:val="TableContents"/>
              <w:bidi w:val="0"/>
              <w:spacing w:before="0" w:after="283"/>
              <w:jc w:val="right"/>
              <w:rPr/>
            </w:pPr>
            <w:r>
              <w:rPr/>
              <w:t>1.35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bookmarkStart w:id="851" w:name="xdx_98C_eus-gaap--SharePrice_iI_c2024063"/>
            <w:bookmarkEnd w:id="851"/>
          </w:p>
        </w:tc>
        <w:tc>
          <w:tcPr>
            <w:tcW w:w="618" w:type="dxa"/>
            <w:tcBorders/>
            <w:shd w:fill="CCEEFF" w:val="cle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bookmarkStart w:id="852" w:name="xdx_988_eus-gaap--ShareBasedCompensation"/>
            <w:bookmarkEnd w:id="852"/>
          </w:p>
        </w:tc>
        <w:tc>
          <w:tcPr>
            <w:tcW w:w="630" w:type="dxa"/>
            <w:tcBorders/>
            <w:shd w:fill="FFFFFF" w:val="clear"/>
            <w:vAlign w:val="center"/>
          </w:tcPr>
          <w:p>
            <w:pPr>
              <w:pStyle w:val="TableContents"/>
              <w:bidi w:val="0"/>
              <w:spacing w:before="0" w:after="283"/>
              <w:jc w:val="right"/>
              <w:rPr/>
            </w:pPr>
            <w:r>
              <w:rPr/>
              <w:t>1.89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bookmarkStart w:id="853" w:name="xdx_983_eus-gaap--ShareBasedCompensation"/>
            <w:bookmarkEnd w:id="853"/>
          </w:p>
        </w:tc>
        <w:tc>
          <w:tcPr>
            <w:tcW w:w="618" w:type="dxa"/>
            <w:tcBorders/>
            <w:shd w:fill="FFFFFF" w:val="clear"/>
            <w:vAlign w:val="center"/>
          </w:tcPr>
          <w:p>
            <w:pPr>
              <w:pStyle w:val="TableContents"/>
              <w:bidi w:val="0"/>
              <w:spacing w:before="0" w:after="283"/>
              <w:jc w:val="right"/>
              <w:rPr/>
            </w:pPr>
            <w:r>
              <w:rPr/>
              <w:t>.84</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bookmarkStart w:id="854" w:name="xdx_98C_eus-gaap--SharebasedCompensation"/>
            <w:bookmarkEnd w:id="854"/>
          </w:p>
        </w:tc>
        <w:tc>
          <w:tcPr>
            <w:tcW w:w="630" w:type="dxa"/>
            <w:tcBorders/>
            <w:shd w:fill="CCEEFF" w:val="clear"/>
            <w:vAlign w:val="center"/>
          </w:tcPr>
          <w:p>
            <w:pPr>
              <w:pStyle w:val="TableContents"/>
              <w:bidi w:val="0"/>
              <w:spacing w:before="0" w:after="283"/>
              <w:jc w:val="right"/>
              <w:rPr/>
            </w:pPr>
            <w:r>
              <w:rPr/>
              <w:t>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855" w:name="xdx_983_eus-gaap--SharebasedCompensation"/>
            <w:bookmarkEnd w:id="855"/>
          </w:p>
        </w:tc>
        <w:tc>
          <w:tcPr>
            <w:tcW w:w="618" w:type="dxa"/>
            <w:tcBorders/>
            <w:shd w:fill="CCEEFF" w:val="clear"/>
            <w:vAlign w:val="center"/>
          </w:tcPr>
          <w:p>
            <w:pPr>
              <w:pStyle w:val="TableContents"/>
              <w:bidi w:val="0"/>
              <w:spacing w:before="0" w:after="283"/>
              <w:jc w:val="right"/>
              <w:rPr/>
            </w:pPr>
            <w:r>
              <w:rPr/>
              <w:t>4.15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bookmarkStart w:id="856" w:name="xdx_986_eus-gaap--ShareBasedCompensation"/>
            <w:bookmarkEnd w:id="856"/>
          </w:p>
        </w:tc>
        <w:tc>
          <w:tcPr>
            <w:tcW w:w="630" w:type="dxa"/>
            <w:tcBorders/>
            <w:shd w:fill="FFFFFF" w:val="clear"/>
            <w:vAlign w:val="center"/>
          </w:tcPr>
          <w:p>
            <w:pPr>
              <w:pStyle w:val="TableContents"/>
              <w:bidi w:val="0"/>
              <w:spacing w:before="0" w:after="283"/>
              <w:jc w:val="right"/>
              <w:rPr/>
            </w:pPr>
            <w:r>
              <w:rPr/>
              <w:t>60.0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857" w:name="xdx_982_eus-gaap--ShareBasedCompensation"/>
            <w:bookmarkEnd w:id="857"/>
          </w:p>
        </w:tc>
        <w:tc>
          <w:tcPr>
            <w:tcW w:w="618" w:type="dxa"/>
            <w:tcBorders/>
            <w:shd w:fill="FFFFFF" w:val="clear"/>
            <w:vAlign w:val="center"/>
          </w:tcPr>
          <w:p>
            <w:pPr>
              <w:pStyle w:val="TableContents"/>
              <w:bidi w:val="0"/>
              <w:spacing w:before="0" w:after="283"/>
              <w:jc w:val="right"/>
              <w:rPr/>
            </w:pPr>
            <w:r>
              <w:rPr/>
              <w:t>50.0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bookmarkStart w:id="858" w:name="xdx_98A_eus-gaap--ShareBasedCompensation"/>
            <w:bookmarkEnd w:id="858"/>
          </w:p>
        </w:tc>
        <w:tc>
          <w:tcPr>
            <w:tcW w:w="630" w:type="dxa"/>
            <w:tcBorders/>
            <w:shd w:fill="CCEEFF" w:val="clear"/>
            <w:vAlign w:val="center"/>
          </w:tcPr>
          <w:p>
            <w:pPr>
              <w:pStyle w:val="TableContents"/>
              <w:bidi w:val="0"/>
              <w:spacing w:before="0" w:after="283"/>
              <w:jc w:val="right"/>
              <w:rPr/>
            </w:pPr>
            <w:r>
              <w:rPr/>
              <w:t>4.39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859" w:name="xdx_98F_eus-gaap--ShareBasedCompensation"/>
            <w:bookmarkEnd w:id="859"/>
          </w:p>
        </w:tc>
        <w:tc>
          <w:tcPr>
            <w:tcW w:w="618" w:type="dxa"/>
            <w:tcBorders/>
            <w:shd w:fill="CCEEFF" w:val="clear"/>
            <w:vAlign w:val="center"/>
          </w:tcPr>
          <w:p>
            <w:pPr>
              <w:pStyle w:val="TableContents"/>
              <w:bidi w:val="0"/>
              <w:spacing w:before="0" w:after="283"/>
              <w:jc w:val="right"/>
              <w:rPr/>
            </w:pPr>
            <w:r>
              <w:rPr/>
              <w:t>4.41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60" w:name="xdx_8AE_zog7NrH4qb1j"/>
      <w:bookmarkEnd w:id="86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each reporting period with the change in fair value being recognized in other income (expense). The measured fair value may be uncertain due to the use of unobservable inputs. At June 30, 2024 and December 31, 2023, the fair value of the warrant liability was $</w:t>
      </w:r>
      <w:bookmarkStart w:id="861" w:name="xdx_901_eus-gaap--FairValueAdjustmentOfW"/>
      <w:bookmarkEnd w:id="861"/>
      <w:r>
        <w:rPr>
          <w:rFonts w:ascii="Times New Roman;Times;Serif" w:hAnsi="Times New Roman;Times;Serif"/>
          <w:b w:val="false"/>
          <w:i w:val="false"/>
          <w:caps w:val="false"/>
          <w:smallCaps w:val="false"/>
          <w:sz w:val="20"/>
        </w:rPr>
        <w:t>337,389 and $</w:t>
      </w:r>
      <w:bookmarkStart w:id="862" w:name="xdx_907_eus-gaap--FairValueAdjustmentOfW"/>
      <w:bookmarkEnd w:id="862"/>
      <w:r>
        <w:rPr>
          <w:rFonts w:ascii="Times New Roman;Times;Serif" w:hAnsi="Times New Roman;Times;Serif"/>
          <w:b w:val="false"/>
          <w:i w:val="false"/>
          <w:caps w:val="false"/>
          <w:smallCaps w:val="false"/>
          <w:sz w:val="20"/>
        </w:rPr>
        <w:t>480,281, respectively, and was included in the accrued expenses and other liabilities in the Company’s condensed consolidated balance sheets. The changes in fair value during the three and six months ended June 30, 2024, amounted to income of $</w:t>
      </w:r>
      <w:bookmarkStart w:id="863" w:name="xdx_903_eus-gaap--OtherIncome_c20240401_"/>
      <w:bookmarkEnd w:id="863"/>
      <w:r>
        <w:rPr>
          <w:rFonts w:ascii="Times New Roman;Times;Serif" w:hAnsi="Times New Roman;Times;Serif"/>
          <w:b w:val="false"/>
          <w:i w:val="false"/>
          <w:caps w:val="false"/>
          <w:smallCaps w:val="false"/>
          <w:sz w:val="20"/>
        </w:rPr>
        <w:t>147,993 and $</w:t>
      </w:r>
      <w:bookmarkStart w:id="864" w:name="xdx_909_eus-gaap--OtherIncome_c20240101_"/>
      <w:bookmarkEnd w:id="864"/>
      <w:r>
        <w:rPr>
          <w:rFonts w:ascii="Times New Roman;Times;Serif" w:hAnsi="Times New Roman;Times;Serif"/>
          <w:b w:val="false"/>
          <w:i w:val="false"/>
          <w:caps w:val="false"/>
          <w:smallCaps w:val="false"/>
          <w:sz w:val="20"/>
        </w:rPr>
        <w:t>142,892, respectively, included in other income in our condensed consolidated statements of operations and comprehensive income (loss) and in changes in accrued expenses and other liabilities in our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w:t>
      </w:r>
      <w:bookmarkStart w:id="865" w:name="xdx_90E_eus-gaap--StockIssuedDuringPerio"/>
      <w:bookmarkEnd w:id="865"/>
      <w:r>
        <w:rPr>
          <w:rFonts w:ascii="Times New Roman;Times;Serif" w:hAnsi="Times New Roman;Times;Serif"/>
          <w:b w:val="false"/>
          <w:i w:val="false"/>
          <w:caps w:val="false"/>
          <w:smallCaps w:val="false"/>
          <w:sz w:val="20"/>
        </w:rPr>
        <w:t xml:space="preserve">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w:t>
      </w:r>
      <w:bookmarkStart w:id="866" w:name="xdx_90A_eus-gaap--EquityMethodInvestment"/>
      <w:bookmarkEnd w:id="866"/>
      <w:r>
        <w:rPr>
          <w:rFonts w:ascii="Times New Roman;Times;Serif" w:hAnsi="Times New Roman;Times;Serif"/>
          <w:b w:val="false"/>
          <w:i w:val="false"/>
          <w:caps w:val="false"/>
          <w:smallCaps w:val="false"/>
          <w:sz w:val="20"/>
        </w:rPr>
        <w:t>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w:t>
      </w:r>
      <w:bookmarkStart w:id="867" w:name="xdx_90C_eus-gaap--StockIssuedDuringPerio"/>
      <w:bookmarkEnd w:id="867"/>
      <w:r>
        <w:rPr>
          <w:rFonts w:ascii="Times New Roman;Times;Serif" w:hAnsi="Times New Roman;Times;Serif"/>
          <w:b w:val="false"/>
          <w:i w:val="false"/>
          <w:caps w:val="false"/>
          <w:smallCaps w:val="false"/>
          <w:sz w:val="20"/>
        </w:rPr>
        <w:t>5,000,000, provided that a registration statement covering the resale of shares of Class A common stock that have been and may be issued under the Equity Line Purchase Agreement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statement covering the offer and sale of up </w:t>
      </w:r>
      <w:bookmarkStart w:id="868" w:name="xdx_900_eus-gaap--SaleOfStockNumberOfSha"/>
      <w:bookmarkEnd w:id="868"/>
      <w:r>
        <w:rPr>
          <w:rFonts w:ascii="Times New Roman;Times;Serif" w:hAnsi="Times New Roman;Times;Serif"/>
          <w:b w:val="false"/>
          <w:i w:val="false"/>
          <w:caps w:val="false"/>
          <w:smallCaps w:val="false"/>
          <w:sz w:val="20"/>
        </w:rPr>
        <w:t>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signing of the Equity Line Purchase Agreement, the Company issued the equity line warrant to purchase </w:t>
      </w:r>
      <w:bookmarkStart w:id="869" w:name="xdx_90F_eus-gaap--ClassOfWarrantOrRightO"/>
      <w:bookmarkEnd w:id="869"/>
      <w:r>
        <w:rPr>
          <w:rFonts w:ascii="Times New Roman;Times;Serif" w:hAnsi="Times New Roman;Times;Serif"/>
          <w:b w:val="false"/>
          <w:i w:val="false"/>
          <w:caps w:val="false"/>
          <w:smallCaps w:val="false"/>
          <w:sz w:val="20"/>
        </w:rPr>
        <w:t>367,647 shares of its Class A common stock to the investor as a commitment fee. The total fair value, at the date of issuance, of the equity line warrant of approximately $</w:t>
      </w:r>
      <w:bookmarkStart w:id="870" w:name="xdx_905_eus-gaap--WarrantsAndRightsOutst"/>
      <w:bookmarkEnd w:id="870"/>
      <w:r>
        <w:rPr>
          <w:rFonts w:ascii="Times New Roman;Times;Serif" w:hAnsi="Times New Roman;Times;Serif"/>
          <w:b w:val="false"/>
          <w:i w:val="false"/>
          <w:caps w:val="false"/>
          <w:smallCaps w:val="false"/>
          <w:sz w:val="20"/>
        </w:rPr>
        <w:t>105,411 was recorded as a liability and deferred offering cost and is included in other assets on our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equity line of credit the Company issued to the Investors warrants to purchase an aggregate </w:t>
      </w:r>
      <w:bookmarkStart w:id="871" w:name="xdx_903_eus-gaap--StockIssuedDuringPerio"/>
      <w:bookmarkEnd w:id="871"/>
      <w:r>
        <w:rPr>
          <w:rFonts w:ascii="Times New Roman;Times;Serif" w:hAnsi="Times New Roman;Times;Serif"/>
          <w:b w:val="false"/>
          <w:i w:val="false"/>
          <w:caps w:val="false"/>
          <w:smallCaps w:val="false"/>
          <w:sz w:val="20"/>
        </w:rPr>
        <w:t>367,647 shares of the Company’s Class A common stock for an exercise price of $</w:t>
      </w:r>
      <w:bookmarkStart w:id="872" w:name="xdx_901_eus-gaap--CommonStockParOrStated"/>
      <w:bookmarkEnd w:id="872"/>
      <w:r>
        <w:rPr>
          <w:rFonts w:ascii="Times New Roman;Times;Serif" w:hAnsi="Times New Roman;Times;Serif"/>
          <w:b w:val="false"/>
          <w:i w:val="false"/>
          <w:caps w:val="false"/>
          <w:smallCaps w:val="false"/>
          <w:sz w:val="20"/>
        </w:rPr>
        <w:t>1.50. The warrants can be exercised, subject to certain ownership limitations, in whole or in part during the exercise period commencing on August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 the warrants are classified as a liability on the consolidated balance sheet. The fair value of the warrants at issuance has been estimated using a Monte-Carlo model and the following significant inputs:</w:t>
      </w:r>
    </w:p>
    <w:p>
      <w:pPr>
        <w:pStyle w:val="TextBody"/>
        <w:bidi w:val="0"/>
        <w:spacing w:before="0" w:after="0"/>
        <w:ind w:left="0" w:right="0" w:hanging="0"/>
        <w:jc w:val="both"/>
        <w:rPr>
          <w:caps w:val="false"/>
          <w:smallCaps w:val="false"/>
        </w:rPr>
      </w:pPr>
      <w:bookmarkStart w:id="873" w:name="xdx_89B_eus-gaap--ScheduleOfStockholders"/>
      <w:bookmarkEnd w:id="873"/>
      <w:r>
        <w:rPr>
          <w:caps w:val="false"/>
          <w:smallCaps w:val="false"/>
        </w:rPr>
        <w:t> </w:t>
      </w:r>
      <w:bookmarkStart w:id="874" w:name="xdx_8B9_zo8UZATlX3R8"/>
      <w:bookmarkEnd w:id="874"/>
      <w:r>
        <w:rPr>
          <w:rFonts w:ascii="Times New Roman;Times;Serif" w:hAnsi="Times New Roman;Times;Serif"/>
          <w:b w:val="false"/>
          <w:i w:val="false"/>
          <w:caps w:val="false"/>
          <w:smallCaps w:val="false"/>
          <w:sz w:val="20"/>
        </w:rPr>
        <w:t>SCHEDULE OF STOCK BASED WARRANTS</w:t>
      </w:r>
    </w:p>
    <w:tbl>
      <w:tblPr>
        <w:tblW w:w="4524" w:type="dxa"/>
        <w:jc w:val="left"/>
        <w:tblInd w:w="0" w:type="dxa"/>
        <w:tblLayout w:type="fixed"/>
        <w:tblCellMar>
          <w:top w:w="0" w:type="dxa"/>
          <w:left w:w="0" w:type="dxa"/>
          <w:bottom w:w="0" w:type="dxa"/>
          <w:right w:w="0" w:type="dxa"/>
        </w:tblCellMar>
      </w:tblPr>
      <w:tblGrid>
        <w:gridCol w:w="2315"/>
        <w:gridCol w:w="60"/>
        <w:gridCol w:w="200"/>
        <w:gridCol w:w="630"/>
        <w:gridCol w:w="215"/>
        <w:gridCol w:w="60"/>
        <w:gridCol w:w="196"/>
        <w:gridCol w:w="618"/>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pPr>
            <w:r>
              <w:rPr/>
              <w:t>Issuance</w:t>
            </w:r>
          </w:p>
          <w:p>
            <w:pPr>
              <w:pStyle w:val="TableContents"/>
              <w:bidi w:val="0"/>
              <w:spacing w:before="0" w:after="283"/>
              <w:jc w:val="center"/>
              <w:rPr/>
            </w:pPr>
            <w:r>
              <w:rPr/>
              <w:t>date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jc w:val="center"/>
              <w:rPr/>
            </w:pPr>
            <w:r>
              <w:rPr/>
              <w:t>June 30,</w:t>
            </w:r>
          </w:p>
          <w:p>
            <w:pPr>
              <w:pStyle w:val="TableContents"/>
              <w:bidi w:val="0"/>
              <w:spacing w:before="0" w:after="283"/>
              <w:jc w:val="center"/>
              <w:rPr/>
            </w:pPr>
            <w:r>
              <w:rPr/>
              <w:t>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875" w:name="xdx_982_eus-gaap--SharePrice_iI_c2023083"/>
            <w:bookmarkEnd w:id="875"/>
          </w:p>
        </w:tc>
        <w:tc>
          <w:tcPr>
            <w:tcW w:w="630" w:type="dxa"/>
            <w:tcBorders/>
            <w:shd w:fill="CCEEFF" w:val="clear"/>
            <w:vAlign w:val="center"/>
          </w:tcPr>
          <w:p>
            <w:pPr>
              <w:pStyle w:val="TableContents"/>
              <w:bidi w:val="0"/>
              <w:spacing w:before="0" w:after="283"/>
              <w:jc w:val="right"/>
              <w:rPr/>
            </w:pPr>
            <w:r>
              <w:rPr/>
              <w:t>1.35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bookmarkStart w:id="876" w:name="xdx_980_eus-gaap--SharePrice_iI_c2024063"/>
            <w:bookmarkEnd w:id="876"/>
          </w:p>
        </w:tc>
        <w:tc>
          <w:tcPr>
            <w:tcW w:w="618" w:type="dxa"/>
            <w:tcBorders/>
            <w:shd w:fill="CCEEFF" w:val="cle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bookmarkStart w:id="877" w:name="xdx_98D_eus-gaap--ShareBasedCompensation"/>
            <w:bookmarkEnd w:id="877"/>
          </w:p>
        </w:tc>
        <w:tc>
          <w:tcPr>
            <w:tcW w:w="630" w:type="dxa"/>
            <w:tcBorders/>
            <w:shd w:fill="FFFFFF" w:val="clear"/>
            <w:vAlign w:val="center"/>
          </w:tcPr>
          <w:p>
            <w:pPr>
              <w:pStyle w:val="TableContents"/>
              <w:bidi w:val="0"/>
              <w:spacing w:before="0" w:after="283"/>
              <w:jc w:val="right"/>
              <w:rPr/>
            </w:pPr>
            <w:r>
              <w:rPr/>
              <w:t>1.50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bookmarkStart w:id="878" w:name="xdx_98B_eus-gaap--ShareBasedCompensation"/>
            <w:bookmarkEnd w:id="878"/>
          </w:p>
        </w:tc>
        <w:tc>
          <w:tcPr>
            <w:tcW w:w="618" w:type="dxa"/>
            <w:tcBorders/>
            <w:shd w:fill="FFFFFF" w:val="clear"/>
            <w:vAlign w:val="center"/>
          </w:tcPr>
          <w:p>
            <w:pPr>
              <w:pStyle w:val="TableContents"/>
              <w:bidi w:val="0"/>
              <w:spacing w:before="0" w:after="283"/>
              <w:jc w:val="right"/>
              <w:rPr/>
            </w:pPr>
            <w:r>
              <w:rPr/>
              <w:t>1.50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bookmarkStart w:id="879" w:name="xdx_989_eus-gaap--SharebasedCompensation"/>
            <w:bookmarkEnd w:id="879"/>
          </w:p>
        </w:tc>
        <w:tc>
          <w:tcPr>
            <w:tcW w:w="630" w:type="dxa"/>
            <w:tcBorders/>
            <w:shd w:fill="CCEEFF" w:val="clear"/>
            <w:vAlign w:val="center"/>
          </w:tcPr>
          <w:p>
            <w:pPr>
              <w:pStyle w:val="TableContents"/>
              <w:bidi w:val="0"/>
              <w:spacing w:before="0" w:after="283"/>
              <w:jc w:val="right"/>
              <w:rPr/>
            </w:pPr>
            <w:r>
              <w:rPr/>
              <w:t>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880" w:name="xdx_984_eus-gaap--SharebasedCompensation"/>
            <w:bookmarkEnd w:id="880"/>
          </w:p>
        </w:tc>
        <w:tc>
          <w:tcPr>
            <w:tcW w:w="618" w:type="dxa"/>
            <w:tcBorders/>
            <w:shd w:fill="CCEEFF" w:val="clear"/>
            <w:vAlign w:val="center"/>
          </w:tcPr>
          <w:p>
            <w:pPr>
              <w:pStyle w:val="TableContents"/>
              <w:bidi w:val="0"/>
              <w:spacing w:before="0" w:after="283"/>
              <w:jc w:val="right"/>
              <w:rPr/>
            </w:pPr>
            <w:r>
              <w:rPr/>
              <w:t>4.15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bookmarkStart w:id="881" w:name="xdx_989_eus-gaap--ShareBasedCompensation"/>
            <w:bookmarkEnd w:id="881"/>
          </w:p>
        </w:tc>
        <w:tc>
          <w:tcPr>
            <w:tcW w:w="630" w:type="dxa"/>
            <w:tcBorders/>
            <w:shd w:fill="FFFFFF" w:val="clear"/>
            <w:vAlign w:val="center"/>
          </w:tcPr>
          <w:p>
            <w:pPr>
              <w:pStyle w:val="TableContents"/>
              <w:bidi w:val="0"/>
              <w:spacing w:before="0" w:after="283"/>
              <w:jc w:val="right"/>
              <w:rPr/>
            </w:pPr>
            <w:r>
              <w:rPr/>
              <w:t>40.0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882" w:name="xdx_98A_eus-gaap--ShareBasedCompensation"/>
            <w:bookmarkEnd w:id="882"/>
          </w:p>
        </w:tc>
        <w:tc>
          <w:tcPr>
            <w:tcW w:w="618" w:type="dxa"/>
            <w:tcBorders/>
            <w:shd w:fill="FFFFFF" w:val="clear"/>
            <w:vAlign w:val="center"/>
          </w:tcPr>
          <w:p>
            <w:pPr>
              <w:pStyle w:val="TableContents"/>
              <w:bidi w:val="0"/>
              <w:spacing w:before="0" w:after="283"/>
              <w:jc w:val="right"/>
              <w:rPr/>
            </w:pPr>
            <w:r>
              <w:rPr/>
              <w:t>60.0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bookmarkStart w:id="883" w:name="xdx_987_eus-gaap--ShareBasedCompensation"/>
            <w:bookmarkEnd w:id="883"/>
          </w:p>
        </w:tc>
        <w:tc>
          <w:tcPr>
            <w:tcW w:w="630" w:type="dxa"/>
            <w:tcBorders/>
            <w:shd w:fill="CCEEFF" w:val="clear"/>
            <w:vAlign w:val="center"/>
          </w:tcPr>
          <w:p>
            <w:pPr>
              <w:pStyle w:val="TableContents"/>
              <w:bidi w:val="0"/>
              <w:spacing w:before="0" w:after="283"/>
              <w:jc w:val="right"/>
              <w:rPr/>
            </w:pPr>
            <w:r>
              <w:rPr/>
              <w:t>5.49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884" w:name="xdx_989_eus-gaap--ShareBasedCompensation"/>
            <w:bookmarkEnd w:id="884"/>
          </w:p>
        </w:tc>
        <w:tc>
          <w:tcPr>
            <w:tcW w:w="618" w:type="dxa"/>
            <w:tcBorders/>
            <w:shd w:fill="CCEEFF" w:val="clear"/>
            <w:vAlign w:val="center"/>
          </w:tcPr>
          <w:p>
            <w:pPr>
              <w:pStyle w:val="TableContents"/>
              <w:bidi w:val="0"/>
              <w:spacing w:before="0" w:after="283"/>
              <w:jc w:val="right"/>
              <w:rPr/>
            </w:pPr>
            <w:r>
              <w:rPr/>
              <w:t>4.41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85" w:name="xdx_8A4_zH9F0sREghxe"/>
      <w:bookmarkEnd w:id="8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at each reporting period and with the change in fair value being recognized in earnings. The measured fair value may be uncertain due to the use of unobservable inputs. At June 30, 2024 and December 31, 2023, the fair value of the warrant liability was $</w:t>
      </w:r>
      <w:bookmarkStart w:id="886" w:name="xdx_900_eus-gaap--FairValueAdjustmentOfW"/>
      <w:bookmarkEnd w:id="886"/>
      <w:r>
        <w:rPr>
          <w:rFonts w:ascii="Times New Roman;Times;Serif" w:hAnsi="Times New Roman;Times;Serif"/>
          <w:b w:val="false"/>
          <w:i w:val="false"/>
          <w:caps w:val="false"/>
          <w:smallCaps w:val="false"/>
          <w:sz w:val="20"/>
        </w:rPr>
        <w:t>73,953 and $</w:t>
      </w:r>
      <w:bookmarkStart w:id="887" w:name="xdx_905_eus-gaap--FairValueAdjustmentOfW"/>
      <w:bookmarkEnd w:id="887"/>
      <w:r>
        <w:rPr>
          <w:rFonts w:ascii="Times New Roman;Times;Serif" w:hAnsi="Times New Roman;Times;Serif"/>
          <w:b w:val="false"/>
          <w:i w:val="false"/>
          <w:caps w:val="false"/>
          <w:smallCaps w:val="false"/>
          <w:sz w:val="20"/>
        </w:rPr>
        <w:t>103,767, respectively, and included in the accrued expenses and other liabilities in the Company’s condensed consolidated balance sheets. The changes in fair value during the three and six months ended June 30, 2024 amounted to income of $</w:t>
      </w:r>
      <w:bookmarkStart w:id="888" w:name="xdx_90C_eus-gaap--OtherIncome_c20240401_"/>
      <w:bookmarkEnd w:id="888"/>
      <w:r>
        <w:rPr>
          <w:rFonts w:ascii="Times New Roman;Times;Serif" w:hAnsi="Times New Roman;Times;Serif"/>
          <w:b w:val="false"/>
          <w:i w:val="false"/>
          <w:caps w:val="false"/>
          <w:smallCaps w:val="false"/>
          <w:sz w:val="20"/>
        </w:rPr>
        <w:t>20,194 and $</w:t>
      </w:r>
      <w:bookmarkStart w:id="889" w:name="xdx_90E_eus-gaap--OtherIncome_c20240101_"/>
      <w:bookmarkEnd w:id="889"/>
      <w:r>
        <w:rPr>
          <w:rFonts w:ascii="Times New Roman;Times;Serif" w:hAnsi="Times New Roman;Times;Serif"/>
          <w:b w:val="false"/>
          <w:i w:val="false"/>
          <w:caps w:val="false"/>
          <w:smallCaps w:val="false"/>
          <w:sz w:val="20"/>
        </w:rPr>
        <w:t>29,814, respectively, and is included in other income in our condensed consolidated statements of operations and comprehensive income (loss) and in changes in accrued expenses and other liabilities in our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RSUs granted to directors vest based on the directors’ continued employment with us through each applicable vest date, which is generally over </w:t>
      </w:r>
      <w:bookmarkStart w:id="890" w:name="xdx_903_eus-gaap--ShareBasedCompensation"/>
      <w:bookmarkEnd w:id="890"/>
      <w:r>
        <w:rPr>
          <w:rFonts w:ascii="Times New Roman;Times;Serif" w:hAnsi="Times New Roman;Times;Serif"/>
          <w:b w:val="false"/>
          <w:i w:val="false"/>
          <w:caps w:val="false"/>
          <w:smallCaps w:val="false"/>
          <w:sz w:val="20"/>
        </w:rPr>
        <w:t>one year. If the vesting conditions are not met, unvested RSUs will be forfeited. The following table summarizes our RSU units activity with directors for the six months ended June 30, 2024 and 2023.</w:t>
      </w:r>
    </w:p>
    <w:p>
      <w:pPr>
        <w:pStyle w:val="TextBody"/>
        <w:bidi w:val="0"/>
        <w:spacing w:before="0" w:after="0"/>
        <w:ind w:left="0" w:right="0" w:hanging="0"/>
        <w:jc w:val="both"/>
        <w:rPr>
          <w:caps w:val="false"/>
          <w:smallCaps w:val="false"/>
        </w:rPr>
      </w:pPr>
      <w:bookmarkStart w:id="891" w:name="xdx_89E_eus-gaap--ScheduleOfShareBasedCo"/>
      <w:bookmarkEnd w:id="891"/>
      <w:r>
        <w:rPr>
          <w:caps w:val="false"/>
          <w:smallCaps w:val="false"/>
        </w:rPr>
        <w:t> </w:t>
      </w:r>
      <w:bookmarkStart w:id="892" w:name="xdx_8B7_zF6CV3SVK9wl"/>
      <w:bookmarkEnd w:id="892"/>
      <w:r>
        <w:rPr>
          <w:rFonts w:ascii="Times New Roman;Times;Serif" w:hAnsi="Times New Roman;Times;Serif"/>
          <w:b w:val="false"/>
          <w:i w:val="false"/>
          <w:caps w:val="false"/>
          <w:smallCaps w:val="false"/>
          <w:sz w:val="20"/>
        </w:rPr>
        <w:t>SCHEDULE OF RESTRICTED STOCK UNITS ACTIVITY</w:t>
      </w:r>
    </w:p>
    <w:tbl>
      <w:tblPr>
        <w:tblW w:w="5063" w:type="dxa"/>
        <w:jc w:val="left"/>
        <w:tblInd w:w="0" w:type="dxa"/>
        <w:tblLayout w:type="fixed"/>
        <w:tblCellMar>
          <w:top w:w="0" w:type="dxa"/>
          <w:left w:w="0" w:type="dxa"/>
          <w:bottom w:w="0" w:type="dxa"/>
          <w:right w:w="0" w:type="dxa"/>
        </w:tblCellMar>
      </w:tblPr>
      <w:tblGrid>
        <w:gridCol w:w="2795"/>
        <w:gridCol w:w="60"/>
        <w:gridCol w:w="80"/>
        <w:gridCol w:w="884"/>
        <w:gridCol w:w="80"/>
        <w:gridCol w:w="60"/>
        <w:gridCol w:w="222"/>
        <w:gridCol w:w="787"/>
        <w:gridCol w:w="95"/>
      </w:tblGrid>
      <w:tr>
        <w:trPr/>
        <w:tc>
          <w:tcPr>
            <w:tcW w:w="27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93" w:name="xdx_981_eus-gaap--ShareBasedCompensation"/>
            <w:bookmarkEnd w:id="893"/>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94" w:name="xdx_981_eus-gaap--ShareBasedCompensation"/>
            <w:bookmarkEnd w:id="894"/>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95" w:name="xdx_987_eus-gaap--ShareBasedCompensation"/>
            <w:bookmarkEnd w:id="895"/>
          </w:p>
        </w:tc>
        <w:tc>
          <w:tcPr>
            <w:tcW w:w="8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96" w:name="xdx_984_eus-gaap--ShareBasedCompensation"/>
            <w:bookmarkEnd w:id="896"/>
          </w:p>
        </w:tc>
        <w:tc>
          <w:tcPr>
            <w:tcW w:w="7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97" w:name="xdx_98B_eus-gaap--ShareBasedCompensation"/>
            <w:bookmarkEnd w:id="897"/>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98" w:name="xdx_981_eus-gaap--ShareBasedCompensation"/>
            <w:bookmarkEnd w:id="898"/>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or cancelled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99" w:name="xdx_987_eus-gaap--ShareBasedCompensation"/>
            <w:bookmarkEnd w:id="899"/>
          </w:p>
        </w:tc>
        <w:tc>
          <w:tcPr>
            <w:tcW w:w="884"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00" w:name="xdx_988_eus-gaap--ShareBasedCompensation"/>
            <w:bookmarkEnd w:id="900"/>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01" w:name="xdx_98F_eus-gaap--ShareBasedCompensation"/>
            <w:bookmarkEnd w:id="901"/>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02" w:name="xdx_984_eus-gaap--ShareBasedCompensation"/>
            <w:bookmarkEnd w:id="902"/>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2795"/>
        <w:gridCol w:w="60"/>
        <w:gridCol w:w="88"/>
        <w:gridCol w:w="876"/>
        <w:gridCol w:w="60"/>
        <w:gridCol w:w="60"/>
        <w:gridCol w:w="249"/>
        <w:gridCol w:w="760"/>
        <w:gridCol w:w="75"/>
      </w:tblGrid>
      <w:tr>
        <w:trPr/>
        <w:tc>
          <w:tcPr>
            <w:tcW w:w="27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January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3" w:name="xdx_98E_eus-gaap--ShareBasedCompensation"/>
            <w:bookmarkEnd w:id="903"/>
          </w:p>
        </w:tc>
        <w:tc>
          <w:tcPr>
            <w:tcW w:w="8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04" w:name="xdx_989_eus-gaap--ShareBasedCompensation"/>
            <w:bookmarkEnd w:id="904"/>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5" w:name="xdx_983_eus-gaap--ShareBasedCompensation"/>
            <w:bookmarkEnd w:id="905"/>
          </w:p>
        </w:tc>
        <w:tc>
          <w:tcPr>
            <w:tcW w:w="8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6" w:name="xdx_98A_eus-gaap--ShareBasedCompensation"/>
            <w:bookmarkEnd w:id="906"/>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7" w:name="xdx_982_eus-gaap--ShareBasedCompensation"/>
            <w:bookmarkEnd w:id="907"/>
          </w:p>
        </w:tc>
        <w:tc>
          <w:tcPr>
            <w:tcW w:w="8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8" w:name="xdx_98F_eus-gaap--ShareBasedCompensation"/>
            <w:bookmarkEnd w:id="908"/>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or cancelled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09" w:name="xdx_982_eus-gaap--ShareBasedCompensation"/>
            <w:bookmarkEnd w:id="909"/>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10" w:name="xdx_983_eus-gaap--ShareBasedCompensation"/>
            <w:bookmarkEnd w:id="910"/>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June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11" w:name="xdx_981_eus-gaap--ShareBasedCompensation"/>
            <w:bookmarkEnd w:id="911"/>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12" w:name="xdx_981_eus-gaap--ShareBasedCompensation"/>
            <w:bookmarkEnd w:id="912"/>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13" w:name="xdx_8A5_ztK4LWWiwVNc"/>
      <w:bookmarkEnd w:id="9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granted to directors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w:t>
      </w:r>
      <w:bookmarkStart w:id="914" w:name="xdx_908_eus-gaap--ShareBasedCompensation"/>
      <w:bookmarkEnd w:id="914"/>
      <w:r>
        <w:rPr>
          <w:rFonts w:ascii="Times New Roman;Times;Serif" w:hAnsi="Times New Roman;Times;Serif"/>
          <w:b w:val="false"/>
          <w:i w:val="false"/>
          <w:caps w:val="false"/>
          <w:smallCaps w:val="false"/>
          <w:sz w:val="20"/>
        </w:rPr>
        <w:t>5 years, with awards cliff-vesting after each annual measurement period during the total aggregate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PSU activity with employees, presented with the maximum number of shares that could potentially vest, for the six months ended June 30, 2024 and 2023.</w:t>
      </w:r>
    </w:p>
    <w:p>
      <w:pPr>
        <w:pStyle w:val="TextBody"/>
        <w:bidi w:val="0"/>
        <w:spacing w:before="0" w:after="0"/>
        <w:ind w:left="0" w:right="0" w:hanging="0"/>
        <w:jc w:val="both"/>
        <w:rPr>
          <w:caps w:val="false"/>
          <w:smallCaps w:val="false"/>
        </w:rPr>
      </w:pPr>
      <w:bookmarkStart w:id="915" w:name="xdx_89D_eus-gaap--ScheduleOfShareBasedCo"/>
      <w:bookmarkEnd w:id="915"/>
      <w:r>
        <w:rPr>
          <w:caps w:val="false"/>
          <w:smallCaps w:val="false"/>
        </w:rPr>
        <w:t> </w:t>
      </w:r>
      <w:bookmarkStart w:id="916" w:name="xdx_8BB_zEvFcpyHVzi2"/>
      <w:bookmarkEnd w:id="916"/>
      <w:r>
        <w:rPr>
          <w:rFonts w:ascii="Times New Roman;Times;Serif" w:hAnsi="Times New Roman;Times;Serif"/>
          <w:b w:val="false"/>
          <w:i w:val="false"/>
          <w:caps w:val="false"/>
          <w:smallCaps w:val="false"/>
          <w:sz w:val="20"/>
        </w:rPr>
        <w:t>SCHEDULE OF RESTRICTED STOCK UNITS ACTIVITY</w:t>
      </w:r>
    </w:p>
    <w:tbl>
      <w:tblPr>
        <w:tblW w:w="5003" w:type="dxa"/>
        <w:jc w:val="left"/>
        <w:tblInd w:w="0" w:type="dxa"/>
        <w:tblLayout w:type="fixed"/>
        <w:tblCellMar>
          <w:top w:w="0" w:type="dxa"/>
          <w:left w:w="0" w:type="dxa"/>
          <w:bottom w:w="0" w:type="dxa"/>
          <w:right w:w="0" w:type="dxa"/>
        </w:tblCellMar>
      </w:tblPr>
      <w:tblGrid>
        <w:gridCol w:w="2795"/>
        <w:gridCol w:w="63"/>
        <w:gridCol w:w="901"/>
        <w:gridCol w:w="80"/>
        <w:gridCol w:w="60"/>
        <w:gridCol w:w="222"/>
        <w:gridCol w:w="787"/>
        <w:gridCol w:w="95"/>
      </w:tblGrid>
      <w:tr>
        <w:trPr/>
        <w:tc>
          <w:tcPr>
            <w:tcW w:w="2795"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Restricted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January 1, 2024</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17" w:name="xdx_98C_eus-gaap--ShareBasedCompensation"/>
            <w:bookmarkEnd w:id="917"/>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18" w:name="xdx_987_eus-gaap--ShareBasedCompensation"/>
            <w:bookmarkEnd w:id="918"/>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19" w:name="xdx_987_eus-gaap--ShareBasedCompensation"/>
            <w:bookmarkEnd w:id="919"/>
          </w:p>
        </w:tc>
        <w:tc>
          <w:tcPr>
            <w:tcW w:w="9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0" w:name="xdx_98D_eus-gaap--ShareBasedCompensation"/>
            <w:bookmarkEnd w:id="920"/>
          </w:p>
        </w:tc>
        <w:tc>
          <w:tcPr>
            <w:tcW w:w="7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1" w:name="xdx_983_eus-gaap--ShareBasedCompensation"/>
            <w:bookmarkEnd w:id="921"/>
          </w:p>
        </w:tc>
        <w:tc>
          <w:tcPr>
            <w:tcW w:w="9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2" w:name="xdx_98C_eus-gaap--ShareBasedCompensation"/>
            <w:bookmarkEnd w:id="922"/>
          </w:p>
        </w:tc>
        <w:tc>
          <w:tcPr>
            <w:tcW w:w="78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or cancelled</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3" w:name="xdx_98F_eus-gaap--ShareBasedCompensation"/>
            <w:bookmarkEnd w:id="923"/>
          </w:p>
        </w:tc>
        <w:tc>
          <w:tcPr>
            <w:tcW w:w="9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4" w:name="xdx_982_eus-gaap--ShareBasedCompensation"/>
            <w:bookmarkEnd w:id="924"/>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June 30, 2024</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5" w:name="xdx_98F_eus-gaap--ShareBasedCompensation"/>
            <w:bookmarkEnd w:id="925"/>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26" w:name="xdx_98F_eus-gaap--ShareBasedCompensation"/>
            <w:bookmarkEnd w:id="926"/>
          </w:p>
        </w:tc>
        <w:tc>
          <w:tcPr>
            <w:tcW w:w="7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3" w:type="dxa"/>
        <w:jc w:val="left"/>
        <w:tblInd w:w="0" w:type="dxa"/>
        <w:tblLayout w:type="fixed"/>
        <w:tblCellMar>
          <w:top w:w="0" w:type="dxa"/>
          <w:left w:w="0" w:type="dxa"/>
          <w:bottom w:w="0" w:type="dxa"/>
          <w:right w:w="0" w:type="dxa"/>
        </w:tblCellMar>
      </w:tblPr>
      <w:tblGrid>
        <w:gridCol w:w="2795"/>
        <w:gridCol w:w="63"/>
        <w:gridCol w:w="901"/>
        <w:gridCol w:w="80"/>
        <w:gridCol w:w="60"/>
        <w:gridCol w:w="222"/>
        <w:gridCol w:w="787"/>
        <w:gridCol w:w="95"/>
      </w:tblGrid>
      <w:tr>
        <w:trPr/>
        <w:tc>
          <w:tcPr>
            <w:tcW w:w="2795"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January 1, 2023</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7" w:name="xdx_98B_eus-gaap--ShareBasedCompensation"/>
            <w:bookmarkEnd w:id="927"/>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1,197,552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28" w:name="xdx_983_eus-gaap--ShareBasedCompensation"/>
            <w:bookmarkEnd w:id="928"/>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9" w:name="xdx_98F_eus-gaap--ShareBasedCompensation"/>
            <w:bookmarkEnd w:id="929"/>
          </w:p>
        </w:tc>
        <w:tc>
          <w:tcPr>
            <w:tcW w:w="9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30" w:name="xdx_980_eus-gaap--ShareBasedCompensation"/>
            <w:bookmarkEnd w:id="930"/>
          </w:p>
        </w:tc>
        <w:tc>
          <w:tcPr>
            <w:tcW w:w="7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1" w:name="xdx_982_eus-gaap--ShareBasedCompensation"/>
            <w:bookmarkEnd w:id="931"/>
          </w:p>
        </w:tc>
        <w:tc>
          <w:tcPr>
            <w:tcW w:w="9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2" w:name="xdx_98D_eus-gaap--ShareBasedCompensation"/>
            <w:bookmarkEnd w:id="932"/>
          </w:p>
        </w:tc>
        <w:tc>
          <w:tcPr>
            <w:tcW w:w="78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or cancelled</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33" w:name="xdx_98A_eus-gaap--ShareBasedCompensation"/>
            <w:bookmarkEnd w:id="933"/>
          </w:p>
        </w:tc>
        <w:tc>
          <w:tcPr>
            <w:tcW w:w="9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34" w:name="xdx_984_eus-gaap--ShareBasedCompensation"/>
            <w:bookmarkEnd w:id="934"/>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June 30, 2023</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35" w:name="xdx_983_eus-gaap--ShareBasedCompensation"/>
            <w:bookmarkEnd w:id="935"/>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1,176,581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36" w:name="xdx_98B_eus-gaap--ShareBasedCompensation"/>
            <w:bookmarkEnd w:id="936"/>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37" w:name="xdx_8A4_zU6tmQWkLLXd"/>
      <w:bookmarkEnd w:id="9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PSUs granted to employees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 repurchases settled in the six months ended June 30, 2023 were open market transactions. As of June 30, 2024, </w:t>
      </w:r>
      <w:bookmarkStart w:id="938" w:name="xdx_905_eus-gaap--TreasuryStockCommonSha"/>
      <w:bookmarkEnd w:id="938"/>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939" w:name="xdx_909_eus-gaap--TreasuryStockCommonVal"/>
      <w:bookmarkEnd w:id="939"/>
      <w:r>
        <w:rPr>
          <w:rFonts w:ascii="Times New Roman;Times;Serif" w:hAnsi="Times New Roman;Times;Serif"/>
          <w:b w:val="false"/>
          <w:i w:val="false"/>
          <w:caps w:val="false"/>
          <w:smallCaps w:val="false"/>
          <w:sz w:val="20"/>
        </w:rPr>
        <w:t>3.7 million. The average price paid per share was $</w:t>
      </w:r>
      <w:bookmarkStart w:id="940" w:name="xdx_901_eus-gaap--AcceleratedShareRepurc"/>
      <w:bookmarkEnd w:id="940"/>
      <w:r>
        <w:rPr>
          <w:rFonts w:ascii="Times New Roman;Times;Serif" w:hAnsi="Times New Roman;Times;Serif"/>
          <w:b w:val="false"/>
          <w:i w:val="false"/>
          <w:caps w:val="false"/>
          <w:smallCaps w:val="false"/>
          <w:sz w:val="20"/>
        </w:rPr>
        <w:t>2.72 and approximately $</w:t>
      </w:r>
      <w:bookmarkStart w:id="941" w:name="xdx_904_eus-gaap--StockRepurchaseProgram"/>
      <w:bookmarkEnd w:id="941"/>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no share repurchases made during the six months ended June 30, 2024. During the six months ended June 30, 2023, </w:t>
      </w:r>
      <w:bookmarkStart w:id="942" w:name="xdx_908_eus-gaap--TreasuryStockCommonSha"/>
      <w:bookmarkEnd w:id="942"/>
      <w:r>
        <w:rPr>
          <w:rFonts w:ascii="Times New Roman;Times;Serif" w:hAnsi="Times New Roman;Times;Serif"/>
          <w:b w:val="false"/>
          <w:i w:val="false"/>
          <w:caps w:val="false"/>
          <w:smallCaps w:val="false"/>
          <w:sz w:val="20"/>
        </w:rPr>
        <w:t>152,626 shares of Class A common stock were repurchased pursuant to the Share Repurchase Program for an aggregate purchase price of approximately $</w:t>
      </w:r>
      <w:bookmarkStart w:id="943" w:name="xdx_902_eus-gaap--TreasuryStockCommonVal"/>
      <w:bookmarkEnd w:id="943"/>
      <w:r>
        <w:rPr>
          <w:rFonts w:ascii="Times New Roman;Times;Serif" w:hAnsi="Times New Roman;Times;Serif"/>
          <w:b w:val="false"/>
          <w:i w:val="false"/>
          <w:caps w:val="false"/>
          <w:smallCaps w:val="false"/>
          <w:sz w:val="20"/>
        </w:rPr>
        <w:t>0.3 million. The average price paid per share during the six months ended June 30, 2023 was $</w:t>
      </w:r>
      <w:bookmarkStart w:id="944" w:name="xdx_90C_eus-gaap--PaymentsForRepurchaseO"/>
      <w:bookmarkEnd w:id="944"/>
      <w:r>
        <w:rPr>
          <w:rFonts w:ascii="Times New Roman;Times;Serif" w:hAnsi="Times New Roman;Times;Serif"/>
          <w:b w:val="false"/>
          <w:i w:val="false"/>
          <w:caps w:val="false"/>
          <w:smallCaps w:val="false"/>
          <w:sz w:val="20"/>
        </w:rPr>
        <w:t>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determined that it is probable that the Company will not meet the performance-based milestones required by the RSU’s granted to employees. Accordingly, the Company has reversed the previously recognized compensation expense related to RSU’s. Stock-based compensation expense (income) resulting from RSUs and PSUs of ($</w:t>
      </w:r>
      <w:bookmarkStart w:id="945" w:name="xdx_907_eus-gaap--AllocatedShareBasedCom"/>
      <w:bookmarkEnd w:id="945"/>
      <w:r>
        <w:rPr>
          <w:rFonts w:ascii="Times New Roman;Times;Serif" w:hAnsi="Times New Roman;Times;Serif"/>
          <w:b w:val="false"/>
          <w:i w:val="false"/>
          <w:caps w:val="false"/>
          <w:smallCaps w:val="false"/>
          <w:sz w:val="20"/>
        </w:rPr>
        <w:t>848,685) and $</w:t>
      </w:r>
      <w:bookmarkStart w:id="946" w:name="xdx_901_eus-gaap--AllocatedShareBasedCom"/>
      <w:bookmarkEnd w:id="946"/>
      <w:r>
        <w:rPr>
          <w:rFonts w:ascii="Times New Roman;Times;Serif" w:hAnsi="Times New Roman;Times;Serif"/>
          <w:b w:val="false"/>
          <w:i w:val="false"/>
          <w:caps w:val="false"/>
          <w:smallCaps w:val="false"/>
          <w:sz w:val="20"/>
        </w:rPr>
        <w:t>369,301 are recorded under general and administrative expenses included in our condensed consolidated statements of operations and comprehensive income (loss) for the six months ended June 30, 2024 and 2023, respectively. Stock-based compensation expense (income) resulting from PSUs of ($</w:t>
      </w:r>
      <w:bookmarkStart w:id="947" w:name="xdx_90F_eus-gaap--AllocatedShareBasedCom"/>
      <w:bookmarkEnd w:id="947"/>
      <w:r>
        <w:rPr>
          <w:rFonts w:ascii="Times New Roman;Times;Serif" w:hAnsi="Times New Roman;Times;Serif"/>
          <w:b w:val="false"/>
          <w:i w:val="false"/>
          <w:caps w:val="false"/>
          <w:smallCaps w:val="false"/>
          <w:sz w:val="20"/>
        </w:rPr>
        <w:t>63,208) and $</w:t>
      </w:r>
      <w:bookmarkStart w:id="948" w:name="xdx_909_eus-gaap--AllocatedShareBasedCom"/>
      <w:bookmarkEnd w:id="948"/>
      <w:r>
        <w:rPr>
          <w:rFonts w:ascii="Times New Roman;Times;Serif" w:hAnsi="Times New Roman;Times;Serif"/>
          <w:b w:val="false"/>
          <w:i w:val="false"/>
          <w:caps w:val="false"/>
          <w:smallCaps w:val="false"/>
          <w:sz w:val="20"/>
        </w:rPr>
        <w:t>16,064 are recorded under research and development expenses included in our condensed consolidated statements of operations and comprehensive income (loss) for the six months ended June 30,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and 2023, the Company recognized approximately $</w:t>
      </w:r>
      <w:bookmarkStart w:id="949" w:name="xdx_906_eus-gaap--EmployeeServiceShareBa"/>
      <w:bookmarkEnd w:id="949"/>
      <w:r>
        <w:rPr>
          <w:rFonts w:ascii="Times New Roman;Times;Serif" w:hAnsi="Times New Roman;Times;Serif"/>
          <w:b w:val="false"/>
          <w:i w:val="false"/>
          <w:caps w:val="false"/>
          <w:smallCaps w:val="false"/>
          <w:sz w:val="20"/>
        </w:rPr>
        <w:t>181,230 of deferred income tax expense, and $</w:t>
      </w:r>
      <w:bookmarkStart w:id="950" w:name="xdx_906_eus-gaap--EmployeeServiceShareBa"/>
      <w:bookmarkEnd w:id="950"/>
      <w:r>
        <w:rPr>
          <w:rFonts w:ascii="Times New Roman;Times;Serif" w:hAnsi="Times New Roman;Times;Serif"/>
          <w:b w:val="false"/>
          <w:i w:val="false"/>
          <w:caps w:val="false"/>
          <w:smallCaps w:val="false"/>
          <w:sz w:val="20"/>
        </w:rPr>
        <w:t>82,877 of deferred income tax benefit, respectively, related to our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our total unrecognized compensation cost related to RSUs and PSUs was approximately $</w:t>
      </w:r>
      <w:bookmarkStart w:id="951" w:name="xdx_906_eus-gaap--EmployeeServiceShareBa"/>
      <w:bookmarkEnd w:id="951"/>
      <w:r>
        <w:rPr>
          <w:rFonts w:ascii="Times New Roman;Times;Serif" w:hAnsi="Times New Roman;Times;Serif"/>
          <w:b w:val="false"/>
          <w:i w:val="false"/>
          <w:caps w:val="false"/>
          <w:smallCaps w:val="false"/>
          <w:sz w:val="20"/>
        </w:rPr>
        <w:t xml:space="preserve">1.0 million and is expected to be recognized over a weighted-average service period of </w:t>
      </w:r>
      <w:bookmarkStart w:id="952" w:name="xdx_909_eus-gaap--EmployeeServiceShareBa"/>
      <w:bookmarkEnd w:id="952"/>
      <w:r>
        <w:rPr>
          <w:rFonts w:ascii="Times New Roman;Times;Serif" w:hAnsi="Times New Roman;Times;Serif"/>
          <w:b w:val="false"/>
          <w:i w:val="false"/>
          <w:caps w:val="false"/>
          <w:smallCaps w:val="false"/>
          <w:sz w:val="20"/>
        </w:rPr>
        <w:t>2.1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3" w:name="xdx_807_eus-gaap--SubsequentEventsTextBl"/>
      <w:bookmarkEnd w:id="953"/>
      <w:r>
        <w:rPr>
          <w:rFonts w:ascii="Times New Roman;Times;Serif" w:hAnsi="Times New Roman;Times;Serif"/>
          <w:b/>
          <w:i w:val="false"/>
          <w:caps w:val="false"/>
          <w:smallCaps w:val="false"/>
          <w:sz w:val="20"/>
        </w:rPr>
        <w:t xml:space="preserve">NOTE 17 – </w:t>
      </w:r>
      <w:bookmarkStart w:id="954" w:name="xdx_821_zJp2yYXB9Nxj"/>
      <w:bookmarkEnd w:id="95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entered into a software development, publishing and distribution agreement with Suzhou Snail, a related party. Under the terms of the contract Suzhou Snail will develop a game for distribution by the Company. The Company will pay $</w:t>
            </w:r>
            <w:bookmarkStart w:id="955" w:name="xdx_900_eus-gaap--PaymentsToDevelopSoftw"/>
            <w:bookmarkEnd w:id="955"/>
            <w:r>
              <w:rPr>
                <w:rFonts w:ascii="Times New Roman;Times;Serif" w:hAnsi="Times New Roman;Times;Serif"/>
                <w:b w:val="false"/>
                <w:i w:val="false"/>
                <w:caps w:val="false"/>
                <w:smallCaps w:val="false"/>
                <w:sz w:val="20"/>
              </w:rPr>
              <w:t>4.5 million in milestone payments during the development phase and an ongoing royalty on sales of the game.</w:t>
            </w:r>
          </w:p>
        </w:tc>
      </w:tr>
    </w:tbl>
    <w:p>
      <w:pPr>
        <w:pStyle w:val="TextBody"/>
        <w:bidi w:val="0"/>
        <w:spacing w:before="0" w:after="0"/>
        <w:ind w:left="0" w:right="0" w:hanging="0"/>
        <w:jc w:val="both"/>
        <w:rPr>
          <w:caps w:val="false"/>
          <w:smallCaps w:val="false"/>
        </w:rPr>
      </w:pPr>
      <w:bookmarkStart w:id="956" w:name="xdx_81B_zJelEfCxgz2c"/>
      <w:bookmarkEnd w:id="95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7" w:name="ak_001"/>
      <w:bookmarkEnd w:id="95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2023, and the “Cautionary Statement Regarding Forward-Looking Statements” section of this Quarterly 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has been a top-25 selling game on the Steam platform by gross revenue in each year we released an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92.7 million console and PC installs through June 30, 2024 and repeated releases within the top-25 selling games on the Steam platform. See below for discussion of key performance metrics and non-GAAP measures. In the three and six months ended June 30, 2024,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combined for an average total of 218,241 and 213,691 daily active users (“DAUs”) on the Steam and Epic platforms, respectively, as compared to 240,522 and 258,245 in the three and six months ended June 30, 2023, respectively. We define “daily active users” as the number of unique users who play any given game on any given day. For the three months ended June 30, 2024 and 2023, we generated 77.2% and 83.0%, respectively, of our revenues from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franchise. For the six months ended June 30, 2024 and 2023, we generated 77.7% and 87.1%, respectively, of our revenues from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dedication to providing audiences with high-quality entertainment experiences utilizing the latest gaming technology has produced strong user engagement, continued revenue growth, and increased cash flows. Through June 30, 2024,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game has been played for 3.7 billion hours with an average playing time per user of 161 hours and with the top 21.1% of all players spending over 100 hours in the game, according to data from the Steam platform. For the three months ended June 30, 2024 and 2023, our net revenue was $21.6 million and $9.9 million, respectively. For the six months ended June 30, 2024 and 2023, our net revenue was $35.7 million and $23.4 million, respectively. During the three months ended June 30, 2024, approximately 38.6% of our revenue came from consoles, 54.7% from PC and 5.2% from mobile platforms as compared to 36.7% from consoles, 34.0% from PC and 15.2% from mobile platforms during the three months ended June 30, 2023. During the six months ended June 30, 2024, approximately 40.1% of our revenue came from consoles, 47.4% from PC and 5.9% from mobile platforms as compared to 40.3% from consoles, 35.9% from PC and 13.8% from mobile platforms during the six months ended June 30, 2023. We had a net income of $2.3 and a net loss of $4.1 million, for the three months ended June 30, 2024 and 2023, respectively. For the six months ended June 30, 2024 we had a net income of $0.5 million, as compared to net loss of $7.1 million for the six months ended June 30,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that affect the performance of our business, and the comparability of our results from period to period,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content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by attracting new influencers and brand customers. We have established a new division internally under the Interactive Films brand. This division will focus on creating content in the Vertical Short segment of the digital entertainment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of user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experienced significant growth in our number of downloads over the last several years. We have sold 47.6 million units between January 1, 2016 and June 30, 2024. During the three months ended June 30, 2024, we sold 1.3 million units compared to 1.0 million in the three months ended June 30, 2023. During the six months ended June 30, 2024, we sold 2.4 million units compared to 2.7 million in the six months ended June 30, 2023.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is our master game and </w:t>
      </w:r>
      <w:r>
        <w:rPr>
          <w:rFonts w:ascii="Times New Roman;Times;Serif" w:hAnsi="Times New Roman;Times;Serif"/>
          <w:b w:val="false"/>
          <w:i/>
          <w:caps w:val="false"/>
          <w:smallCaps w:val="false"/>
          <w:sz w:val="20"/>
        </w:rPr>
        <w:t>ARK: Genesis</w:t>
      </w:r>
      <w:r>
        <w:rPr>
          <w:rFonts w:ascii="Times New Roman;Times;Serif" w:hAnsi="Times New Roman;Times;Serif"/>
          <w:b w:val="false"/>
          <w:i w:val="false"/>
          <w:caps w:val="false"/>
          <w:smallCaps w:val="false"/>
          <w:sz w:val="20"/>
        </w:rPr>
        <w:t xml:space="preserve"> is a DLC.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technology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To accompany our entry into the Vertical Shorts market, we are currently developing a distribution platform. Once launched, users will be able to access the content on demand.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release content, market effectively through cross media and expand the gaming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relationship with developers, Studio Wildcard &amp; Suzhou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We have an exclusive license with Studio Wildcard for rights to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with third party distribution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we received a deficiency letter from the Listing Qualifications Department (the “Staff”) of the Nasdaq Stock Market (“Nasdaq”) notifying us that, for the last thirty (30) consecutive business days (From May 10, 2024 to June 26, 2024), the bid price for our common stock had closed below the minimum $1.00 per share requirement for continued inclusion on the Nasdaq Capital Market pursuant to Nasdaq Listing Rule 5550(a)(2) (the “Bid Price Rule”). In accordance with Nasdaq rules, we were provided an initial period of 180 calendar days, or until December 24, 2024 (the “Compliance Date”), to regain compliance with the Bid Price Rule. If, at any time before the Compliance Date, the bid price for the common stock closes at $1.00 or more for a minimum of ten (10) consecutive business days, the Staff will provide written notification to the Company that it complies with the Bid Price Rule and the matter will be 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do not regain compliance by the Compliance Date, we may be eligible for additional time. To qualify, we will be required to meet the continued listing requirement for market value of publicly held shares and all other initial listing standards for the Nasdaq Capital Market, with the exception of the Bid Price Rule, and will need to provide written notice of our intention to cure the deficiency during the second compliance period, by effecting a reverse stock split, if necessary. If we meet these requirements, Nasdaq will inform us that we have been granted an additional 180 calendar days to cure the deficiency. However, if it appears to Staff that we will not be able to cure the deficiency, or if we are not otherwise eligible, Nasdaq will provide notice to us that our common stock will be subject to delisting.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actively monitor the closing bid price of our common stock and may, if appropriate, consider available options to regain compliance with the Bid Price Rule, which may include effecting a reverse stock split. While we intend to take definitive steps to comply with all applicable conditions and criteria for continued listing on Nasdaq, there can be no assurances, however, that we will be able to do so. If we do not satisfy the continued listing requirements of the Nasdaq, including compliance with the Bid Price Rule, within the time frame granted by Nasdaq, our common stock will be delisted from the Nasdaq.</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 and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pStyle w:val="TextBody"/>
        <w:bidi w:val="0"/>
        <w:spacing w:before="0" w:after="0"/>
        <w:ind w:left="0" w:right="0" w:hanging="0"/>
        <w:jc w:val="both"/>
        <w:rPr>
          <w:caps w:val="false"/>
          <w:smallCaps w:val="false"/>
        </w:rPr>
      </w:pPr>
      <w:r>
        <w:rPr>
          <w:caps w:val="false"/>
          <w:smallCaps w:val="false"/>
        </w:rPr>
        <w:t> </w:t>
      </w:r>
    </w:p>
    <w:tbl>
      <w:tblPr>
        <w:tblW w:w="7557" w:type="dxa"/>
        <w:jc w:val="left"/>
        <w:tblInd w:w="0" w:type="dxa"/>
        <w:tblLayout w:type="fixed"/>
        <w:tblCellMar>
          <w:top w:w="0" w:type="dxa"/>
          <w:left w:w="0" w:type="dxa"/>
          <w:bottom w:w="0" w:type="dxa"/>
          <w:right w:w="0" w:type="dxa"/>
        </w:tblCellMar>
      </w:tblPr>
      <w:tblGrid>
        <w:gridCol w:w="1100"/>
        <w:gridCol w:w="60"/>
        <w:gridCol w:w="82"/>
        <w:gridCol w:w="377"/>
        <w:gridCol w:w="82"/>
        <w:gridCol w:w="82"/>
        <w:gridCol w:w="82"/>
        <w:gridCol w:w="377"/>
        <w:gridCol w:w="82"/>
        <w:gridCol w:w="82"/>
        <w:gridCol w:w="119"/>
        <w:gridCol w:w="546"/>
        <w:gridCol w:w="82"/>
        <w:gridCol w:w="82"/>
        <w:gridCol w:w="123"/>
        <w:gridCol w:w="782"/>
        <w:gridCol w:w="185"/>
        <w:gridCol w:w="60"/>
        <w:gridCol w:w="78"/>
        <w:gridCol w:w="362"/>
        <w:gridCol w:w="73"/>
        <w:gridCol w:w="73"/>
        <w:gridCol w:w="78"/>
        <w:gridCol w:w="362"/>
        <w:gridCol w:w="73"/>
        <w:gridCol w:w="73"/>
        <w:gridCol w:w="101"/>
        <w:gridCol w:w="564"/>
        <w:gridCol w:w="97"/>
        <w:gridCol w:w="73"/>
        <w:gridCol w:w="137"/>
        <w:gridCol w:w="768"/>
        <w:gridCol w:w="260"/>
      </w:tblGrid>
      <w:tr>
        <w:trPr/>
        <w:tc>
          <w:tcPr>
            <w:tcW w:w="1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8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12"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37" w:type="dxa"/>
            <w:gridSpan w:val="3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60"/>
        <w:gridCol w:w="884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include master games, DLCs, season pass and bundles and excludes skins, soundtracks and other items.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Units sold increased during the three months ended June 30, 2024, as compared to the three months ended June 30, 2023, by 0.3 million units, or 33.5%. The Company’s units sold increased primarily due to an increase in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units sold of 0.1 million units, a result of the release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Bob’s Tall Tales,</w:t>
      </w:r>
      <w:r>
        <w:rPr>
          <w:rFonts w:ascii="Times New Roman;Times;Serif" w:hAnsi="Times New Roman;Times;Serif"/>
          <w:b w:val="false"/>
          <w:i w:val="false"/>
          <w:caps w:val="false"/>
          <w:smallCaps w:val="false"/>
          <w:sz w:val="20"/>
        </w:rPr>
        <w:t xml:space="preserve"> and 0.2 million units from the release of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 xml:space="preserve">during the three months ended June 30, 2024. Units sold decreased during the six months ended June 30, 2024, as compared to the six months ended June 30, 2023, by 0.3 million units, or 9.9%. Units sold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decreased by 1.5 million units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partially offset by an increase in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units sold of 1.0 million and an increase in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sales of 0.2 million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Bookings &amp;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financial results determined in accordance with U.S. generally accepted accounting principles (“U.S. GAAP” or “GAAP”), we believe Bookings and EBITDA, as non-GAAP measures, are useful in evaluating our operating performance. Bookings and EBITDA, as used in this Quarterly Report on Form 10-Q, are non-GAAP financial measures that are presented as supplemental disclosures and should not be construed as alternatives to net income (loss) or revenue as indicators of operating performance, as determined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supplementally present Bookings and EBITDA because they are key operating measures used by our management to assess our financial performance. Bookings adjusts for the impact of deferrals and, we believe, provides a useful indicator of sales in a given period.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defined as the net amount of products and services sold digitally or physically in the period. Bookings is equal to revenues excluding the impact from deferrals. Below is a reconciliation of total net revenue to Bookings, the closest GAAP financial measure.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3"/>
        <w:gridCol w:w="60"/>
        <w:gridCol w:w="150"/>
        <w:gridCol w:w="472"/>
        <w:gridCol w:w="64"/>
        <w:gridCol w:w="64"/>
        <w:gridCol w:w="150"/>
        <w:gridCol w:w="424"/>
        <w:gridCol w:w="101"/>
        <w:gridCol w:w="64"/>
        <w:gridCol w:w="240"/>
        <w:gridCol w:w="755"/>
        <w:gridCol w:w="64"/>
        <w:gridCol w:w="64"/>
        <w:gridCol w:w="107"/>
        <w:gridCol w:w="1008"/>
        <w:gridCol w:w="215"/>
        <w:gridCol w:w="60"/>
        <w:gridCol w:w="140"/>
        <w:gridCol w:w="440"/>
        <w:gridCol w:w="60"/>
        <w:gridCol w:w="60"/>
        <w:gridCol w:w="140"/>
        <w:gridCol w:w="440"/>
        <w:gridCol w:w="95"/>
        <w:gridCol w:w="60"/>
        <w:gridCol w:w="240"/>
        <w:gridCol w:w="755"/>
        <w:gridCol w:w="60"/>
        <w:gridCol w:w="60"/>
        <w:gridCol w:w="107"/>
        <w:gridCol w:w="1008"/>
        <w:gridCol w:w="235"/>
      </w:tblGrid>
      <w:tr>
        <w:trPr/>
        <w:tc>
          <w:tcPr>
            <w:tcW w:w="22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2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35" w:type="dxa"/>
            <w:tcBorders/>
            <w:vAlign w:val="center"/>
          </w:tcPr>
          <w:p>
            <w:pPr>
              <w:pStyle w:val="TableContents"/>
              <w:bidi w:val="0"/>
              <w:spacing w:before="0" w:after="283"/>
              <w:jc w:val="left"/>
              <w:rPr/>
            </w:pPr>
            <w:r>
              <w:rPr/>
              <w:t> </w:t>
            </w:r>
          </w:p>
        </w:tc>
      </w:tr>
      <w:tr>
        <w:trPr/>
        <w:tc>
          <w:tcPr>
            <w:tcW w:w="22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5" w:type="dxa"/>
            <w:tcBorders/>
            <w:vAlign w:val="center"/>
          </w:tcPr>
          <w:p>
            <w:pPr>
              <w:pStyle w:val="TableContents"/>
              <w:bidi w:val="0"/>
              <w:spacing w:before="0" w:after="283"/>
              <w:jc w:val="left"/>
              <w:rPr/>
            </w:pPr>
            <w:r>
              <w:rPr/>
              <w:t> </w:t>
            </w:r>
          </w:p>
        </w:tc>
      </w:tr>
      <w:tr>
        <w:trPr/>
        <w:tc>
          <w:tcPr>
            <w:tcW w:w="22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67" w:type="dxa"/>
            <w:gridSpan w:val="30"/>
            <w:tcBorders/>
            <w:vAlign w:val="center"/>
          </w:tcPr>
          <w:p>
            <w:pPr>
              <w:pStyle w:val="TableContents"/>
              <w:bidi w:val="0"/>
              <w:spacing w:before="0" w:after="283"/>
              <w:jc w:val="center"/>
              <w:rPr>
                <w:b/>
              </w:rPr>
            </w:pPr>
            <w:r>
              <w:rPr>
                <w:b/>
              </w:rPr>
              <w:t>(in millions)</w:t>
            </w:r>
          </w:p>
        </w:tc>
        <w:tc>
          <w:tcPr>
            <w:tcW w:w="235" w:type="dxa"/>
            <w:tcBorders/>
            <w:vAlign w:val="center"/>
          </w:tcPr>
          <w:p>
            <w:pPr>
              <w:pStyle w:val="TableContents"/>
              <w:bidi w:val="0"/>
              <w:spacing w:before="0" w:after="283"/>
              <w:jc w:val="left"/>
              <w:rPr/>
            </w:pPr>
            <w:r>
              <w:rPr/>
              <w:t> </w:t>
            </w:r>
          </w:p>
        </w:tc>
      </w:tr>
      <w:tr>
        <w:trPr/>
        <w:tc>
          <w:tcPr>
            <w:tcW w:w="2243"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72" w:type="dxa"/>
            <w:tcBorders/>
            <w:shd w:fill="CCEEFF" w:val="clear"/>
            <w:vAlign w:val="center"/>
          </w:tcPr>
          <w:p>
            <w:pPr>
              <w:pStyle w:val="TableContents"/>
              <w:bidi w:val="0"/>
              <w:spacing w:before="0" w:after="283"/>
              <w:jc w:val="right"/>
              <w:rPr/>
            </w:pPr>
            <w:r>
              <w:rPr/>
              <w:t>21.6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24" w:type="dxa"/>
            <w:tcBorders/>
            <w:shd w:fill="CCEEFF" w:val="clear"/>
            <w:vAlign w:val="center"/>
          </w:tcPr>
          <w:p>
            <w:pPr>
              <w:pStyle w:val="TableContents"/>
              <w:bidi w:val="0"/>
              <w:spacing w:before="0" w:after="283"/>
              <w:jc w:val="right"/>
              <w:rPr/>
            </w:pPr>
            <w:r>
              <w:rPr/>
              <w:t>9.9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118.4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53.0</w:t>
            </w:r>
          </w:p>
        </w:tc>
        <w:tc>
          <w:tcPr>
            <w:tcW w:w="235" w:type="dxa"/>
            <w:tcBorders/>
            <w:shd w:fill="CCEEFF" w:val="clear"/>
            <w:vAlign w:val="center"/>
          </w:tcPr>
          <w:p>
            <w:pPr>
              <w:pStyle w:val="TableContents"/>
              <w:bidi w:val="0"/>
              <w:spacing w:before="0" w:after="283"/>
              <w:jc w:val="left"/>
              <w:rPr/>
            </w:pPr>
            <w:r>
              <w:rPr/>
              <w:t>%</w:t>
            </w:r>
          </w:p>
        </w:tc>
      </w:tr>
      <w:tr>
        <w:trPr/>
        <w:tc>
          <w:tcPr>
            <w:tcW w:w="2243" w:type="dxa"/>
            <w:tcBorders/>
            <w:shd w:fill="FFFFFF" w:val="clear"/>
            <w:vAlign w:val="center"/>
          </w:tcPr>
          <w:p>
            <w:pPr>
              <w:pStyle w:val="TableContents"/>
              <w:bidi w:val="0"/>
              <w:spacing w:before="0" w:after="283"/>
              <w:jc w:val="left"/>
              <w:rPr/>
            </w:pPr>
            <w:r>
              <w:rPr/>
              <w:t>Change in deferred net revenue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right"/>
              <w:rPr/>
            </w:pPr>
            <w:r>
              <w:rPr/>
              <w:t>(0.6</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307.9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980.7</w:t>
            </w:r>
          </w:p>
        </w:tc>
        <w:tc>
          <w:tcPr>
            <w:tcW w:w="235" w:type="dxa"/>
            <w:tcBorders/>
            <w:shd w:fill="FFFFFF" w:val="clear"/>
            <w:vAlign w:val="center"/>
          </w:tcPr>
          <w:p>
            <w:pPr>
              <w:pStyle w:val="TableContents"/>
              <w:bidi w:val="0"/>
              <w:spacing w:before="0" w:after="283"/>
              <w:jc w:val="left"/>
              <w:rPr/>
            </w:pPr>
            <w:r>
              <w:rPr/>
              <w:t>%</w:t>
            </w:r>
          </w:p>
        </w:tc>
      </w:tr>
      <w:tr>
        <w:trPr/>
        <w:tc>
          <w:tcPr>
            <w:tcW w:w="2243" w:type="dxa"/>
            <w:tcBorders/>
            <w:shd w:fill="CCEEFF" w:val="clear"/>
            <w:vAlign w:val="center"/>
          </w:tcPr>
          <w:p>
            <w:pPr>
              <w:pStyle w:val="TableContents"/>
              <w:bidi w:val="0"/>
              <w:spacing w:before="0" w:after="283"/>
              <w:jc w:val="left"/>
              <w:rPr/>
            </w:pPr>
            <w:r>
              <w:rPr/>
              <w:t>Bookings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72" w:type="dxa"/>
            <w:tcBorders>
              <w:bottom w:val="double" w:sz="6" w:space="0" w:color="000000"/>
            </w:tcBorders>
            <w:shd w:fill="CCEEFF" w:val="clear"/>
            <w:tcMar>
              <w:bottom w:w="28" w:type="dxa"/>
            </w:tcMar>
            <w:vAlign w:val="center"/>
          </w:tcPr>
          <w:p>
            <w:pPr>
              <w:pStyle w:val="TableContents"/>
              <w:bidi w:val="0"/>
              <w:spacing w:before="0" w:after="283"/>
              <w:jc w:val="right"/>
              <w:rPr/>
            </w:pPr>
            <w:r>
              <w:rPr/>
              <w:t>22.9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24" w:type="dxa"/>
            <w:tcBorders>
              <w:bottom w:val="double" w:sz="6" w:space="0" w:color="000000"/>
            </w:tcBorders>
            <w:shd w:fill="CCEEFF" w:val="clear"/>
            <w:tcMar>
              <w:bottom w:w="28" w:type="dxa"/>
            </w:tcMar>
            <w:vAlign w:val="center"/>
          </w:tcPr>
          <w:p>
            <w:pPr>
              <w:pStyle w:val="TableContents"/>
              <w:bidi w:val="0"/>
              <w:spacing w:before="0" w:after="283"/>
              <w:jc w:val="right"/>
              <w:rPr/>
            </w:pPr>
            <w:r>
              <w:rPr/>
              <w:t>9.3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pPr>
            <w:r>
              <w:rPr/>
              <w:t>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pPr>
            <w:r>
              <w:rPr/>
              <w:t>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88.0</w:t>
            </w:r>
          </w:p>
        </w:tc>
        <w:tc>
          <w:tcPr>
            <w:tcW w:w="23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2024, bookings increased by $13.6 million, or 146.7%, compared to the three months ended June 30, 2023, because of the release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in the fourth quarter of 2023, and the release of </w:t>
      </w:r>
      <w:r>
        <w:rPr>
          <w:rFonts w:ascii="Times New Roman;Times;Serif" w:hAnsi="Times New Roman;Times;Serif"/>
          <w:b w:val="false"/>
          <w:i/>
          <w:caps w:val="false"/>
          <w:smallCaps w:val="false"/>
          <w:sz w:val="20"/>
        </w:rPr>
        <w:t xml:space="preserve">Bobs Tall Tales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 xml:space="preserve">along with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DLC, </w:t>
      </w:r>
      <w:r>
        <w:rPr>
          <w:rFonts w:ascii="Times New Roman;Times;Serif" w:hAnsi="Times New Roman;Times;Serif"/>
          <w:b w:val="false"/>
          <w:i/>
          <w:caps w:val="false"/>
          <w:smallCaps w:val="false"/>
          <w:sz w:val="20"/>
        </w:rPr>
        <w:t>Scorched Earth</w:t>
      </w:r>
      <w:r>
        <w:rPr>
          <w:rFonts w:ascii="Times New Roman;Times;Serif" w:hAnsi="Times New Roman;Times;Serif"/>
          <w:b w:val="false"/>
          <w:i w:val="false"/>
          <w:caps w:val="false"/>
          <w:smallCaps w:val="false"/>
          <w:sz w:val="20"/>
        </w:rPr>
        <w:t xml:space="preserve"> in April 2024. In addition to increased sales of the aforementioned titles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Company deferred approximately $7.1 million in revenues during the three months ended June 30, 2024 for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DLC’s and parts of </w:t>
      </w:r>
      <w:r>
        <w:rPr>
          <w:rFonts w:ascii="Times New Roman;Times;Serif" w:hAnsi="Times New Roman;Times;Serif"/>
          <w:b w:val="false"/>
          <w:i/>
          <w:caps w:val="false"/>
          <w:smallCaps w:val="false"/>
          <w:sz w:val="20"/>
        </w:rPr>
        <w:t>Bobs Tall Tales</w:t>
      </w:r>
      <w:r>
        <w:rPr>
          <w:rFonts w:ascii="Times New Roman;Times;Serif" w:hAnsi="Times New Roman;Times;Serif"/>
          <w:b w:val="false"/>
          <w:i w:val="false"/>
          <w:caps w:val="false"/>
          <w:smallCaps w:val="false"/>
          <w:sz w:val="20"/>
        </w:rPr>
        <w:t xml:space="preserve"> which have not yet released; partially offset by the recognition of $5.6 million for the release of </w:t>
      </w:r>
      <w:r>
        <w:rPr>
          <w:rFonts w:ascii="Times New Roman;Times;Serif" w:hAnsi="Times New Roman;Times;Serif"/>
          <w:b w:val="false"/>
          <w:i/>
          <w:caps w:val="false"/>
          <w:smallCaps w:val="false"/>
          <w:sz w:val="20"/>
        </w:rPr>
        <w:t>Scorched Earth</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2024, bookings increased by $19.8 million, or 88.0%, compared to the six months ended June 30, 2023, because of the release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in the fourth quarter of 2023, and the release of </w:t>
      </w:r>
      <w:r>
        <w:rPr>
          <w:rFonts w:ascii="Times New Roman;Times;Serif" w:hAnsi="Times New Roman;Times;Serif"/>
          <w:b w:val="false"/>
          <w:i/>
          <w:caps w:val="false"/>
          <w:smallCaps w:val="false"/>
          <w:sz w:val="20"/>
        </w:rPr>
        <w:t xml:space="preserve">Bobs Tall Tales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 xml:space="preserve">along with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DLC, </w:t>
      </w:r>
      <w:r>
        <w:rPr>
          <w:rFonts w:ascii="Times New Roman;Times;Serif" w:hAnsi="Times New Roman;Times;Serif"/>
          <w:b w:val="false"/>
          <w:i/>
          <w:caps w:val="false"/>
          <w:smallCaps w:val="false"/>
          <w:sz w:val="20"/>
        </w:rPr>
        <w:t>Scorched Earth</w:t>
      </w:r>
      <w:r>
        <w:rPr>
          <w:rFonts w:ascii="Times New Roman;Times;Serif" w:hAnsi="Times New Roman;Times;Serif"/>
          <w:b w:val="false"/>
          <w:i w:val="false"/>
          <w:caps w:val="false"/>
          <w:smallCaps w:val="false"/>
          <w:sz w:val="20"/>
        </w:rPr>
        <w:t xml:space="preserve"> in April 2024. In addition to increased sales of the aforementioned titles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Company deferred approximately $12.7 million in revenues during the six months ended June 30, 2024 for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DLC’s and parts of </w:t>
      </w:r>
      <w:r>
        <w:rPr>
          <w:rFonts w:ascii="Times New Roman;Times;Serif" w:hAnsi="Times New Roman;Times;Serif"/>
          <w:b w:val="false"/>
          <w:i/>
          <w:caps w:val="false"/>
          <w:smallCaps w:val="false"/>
          <w:sz w:val="20"/>
        </w:rPr>
        <w:t>Bobs Tall Tales</w:t>
      </w:r>
      <w:r>
        <w:rPr>
          <w:rFonts w:ascii="Times New Roman;Times;Serif" w:hAnsi="Times New Roman;Times;Serif"/>
          <w:b w:val="false"/>
          <w:i w:val="false"/>
          <w:caps w:val="false"/>
          <w:smallCaps w:val="false"/>
          <w:sz w:val="20"/>
        </w:rPr>
        <w:t xml:space="preserve"> which have not yet released; partially offset by the recognition of $5.6 million for the release of </w:t>
      </w:r>
      <w:r>
        <w:rPr>
          <w:rFonts w:ascii="Times New Roman;Times;Serif" w:hAnsi="Times New Roman;Times;Serif"/>
          <w:b w:val="false"/>
          <w:i/>
          <w:caps w:val="false"/>
          <w:smallCaps w:val="false"/>
          <w:sz w:val="20"/>
        </w:rPr>
        <w:t>Scorched Earth</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income (loss) before (i) interest income, (ii) interest expense, (iii) (benefit from) provision for income taxes, and (iv) depreciation and amortization expense,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loss to EBITDA,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8"/>
        <w:gridCol w:w="60"/>
        <w:gridCol w:w="142"/>
        <w:gridCol w:w="403"/>
        <w:gridCol w:w="96"/>
        <w:gridCol w:w="61"/>
        <w:gridCol w:w="142"/>
        <w:gridCol w:w="403"/>
        <w:gridCol w:w="96"/>
        <w:gridCol w:w="61"/>
        <w:gridCol w:w="260"/>
        <w:gridCol w:w="735"/>
        <w:gridCol w:w="96"/>
        <w:gridCol w:w="61"/>
        <w:gridCol w:w="96"/>
        <w:gridCol w:w="1019"/>
        <w:gridCol w:w="215"/>
        <w:gridCol w:w="60"/>
        <w:gridCol w:w="140"/>
        <w:gridCol w:w="395"/>
        <w:gridCol w:w="95"/>
        <w:gridCol w:w="60"/>
        <w:gridCol w:w="140"/>
        <w:gridCol w:w="395"/>
        <w:gridCol w:w="95"/>
        <w:gridCol w:w="60"/>
        <w:gridCol w:w="260"/>
        <w:gridCol w:w="735"/>
        <w:gridCol w:w="95"/>
        <w:gridCol w:w="60"/>
        <w:gridCol w:w="96"/>
        <w:gridCol w:w="1019"/>
        <w:gridCol w:w="236"/>
      </w:tblGrid>
      <w:tr>
        <w:trPr/>
        <w:tc>
          <w:tcPr>
            <w:tcW w:w="23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71"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36"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6"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91" w:type="dxa"/>
            <w:gridSpan w:val="30"/>
            <w:tcBorders/>
            <w:vAlign w:val="center"/>
          </w:tcPr>
          <w:p>
            <w:pPr>
              <w:pStyle w:val="TableContents"/>
              <w:bidi w:val="0"/>
              <w:spacing w:before="0" w:after="283"/>
              <w:jc w:val="center"/>
              <w:rPr>
                <w:b/>
              </w:rPr>
            </w:pPr>
            <w:r>
              <w:rPr>
                <w:b/>
              </w:rPr>
              <w:t>(in millions)</w:t>
            </w:r>
          </w:p>
        </w:tc>
        <w:tc>
          <w:tcPr>
            <w:tcW w:w="236" w:type="dxa"/>
            <w:tcBorders/>
            <w:vAlign w:val="center"/>
          </w:tcPr>
          <w:p>
            <w:pPr>
              <w:pStyle w:val="TableContents"/>
              <w:bidi w:val="0"/>
              <w:spacing w:before="0" w:after="283"/>
              <w:jc w:val="left"/>
              <w:rPr/>
            </w:pPr>
            <w:r>
              <w:rPr/>
              <w:t> </w:t>
            </w:r>
          </w:p>
        </w:tc>
      </w:tr>
      <w:tr>
        <w:trPr/>
        <w:tc>
          <w:tcPr>
            <w:tcW w:w="2318"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403" w:type="dxa"/>
            <w:tcBorders/>
            <w:shd w:fill="CCEEFF" w:val="clear"/>
            <w:vAlign w:val="center"/>
          </w:tcPr>
          <w:p>
            <w:pPr>
              <w:pStyle w:val="TableContents"/>
              <w:bidi w:val="0"/>
              <w:spacing w:before="0" w:after="283"/>
              <w:jc w:val="right"/>
              <w:rPr/>
            </w:pPr>
            <w:r>
              <w:rPr/>
              <w:t>2.3</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403" w:type="dxa"/>
            <w:tcBorders/>
            <w:shd w:fill="CCEEFF" w:val="clear"/>
            <w:vAlign w:val="center"/>
          </w:tcPr>
          <w:p>
            <w:pPr>
              <w:pStyle w:val="TableContents"/>
              <w:bidi w:val="0"/>
              <w:spacing w:before="0" w:after="283"/>
              <w:jc w:val="right"/>
              <w:rPr/>
            </w:pPr>
            <w:r>
              <w:rPr/>
              <w:t>(4.1</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6.4</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155.2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106.7</w:t>
            </w:r>
          </w:p>
        </w:tc>
        <w:tc>
          <w:tcPr>
            <w:tcW w:w="236" w:type="dxa"/>
            <w:tcBorders/>
            <w:shd w:fill="CCEEFF" w:val="clear"/>
            <w:vAlign w:val="center"/>
          </w:tcPr>
          <w:p>
            <w:pPr>
              <w:pStyle w:val="TableContents"/>
              <w:bidi w:val="0"/>
              <w:spacing w:before="0" w:after="283"/>
              <w:jc w:val="left"/>
              <w:rPr/>
            </w:pPr>
            <w:r>
              <w:rPr/>
              <w:t>%</w:t>
            </w:r>
          </w:p>
        </w:tc>
      </w:tr>
      <w:tr>
        <w:trPr/>
        <w:tc>
          <w:tcPr>
            <w:tcW w:w="2318" w:type="dxa"/>
            <w:tcBorders/>
            <w:shd w:fill="FFFFFF" w:val="clear"/>
            <w:vAlign w:val="center"/>
          </w:tcPr>
          <w:p>
            <w:pPr>
              <w:pStyle w:val="TableContents"/>
              <w:bidi w:val="0"/>
              <w:spacing w:before="0" w:after="283"/>
              <w:jc w:val="left"/>
              <w:rPr/>
            </w:pPr>
            <w:r>
              <w:rPr/>
              <w:t>Interest income and interest income – related parties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pPr>
            <w:r>
              <w:rPr/>
              <w:t>(0.1</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221.8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216.8</w:t>
            </w:r>
          </w:p>
        </w:tc>
        <w:tc>
          <w:tcPr>
            <w:tcW w:w="236" w:type="dxa"/>
            <w:tcBorders/>
            <w:shd w:fill="FFFFFF" w:val="clear"/>
            <w:vAlign w:val="center"/>
          </w:tcPr>
          <w:p>
            <w:pPr>
              <w:pStyle w:val="TableContents"/>
              <w:bidi w:val="0"/>
              <w:spacing w:before="0" w:after="283"/>
              <w:jc w:val="left"/>
              <w:rPr/>
            </w:pPr>
            <w:r>
              <w:rPr/>
              <w:t>%</w:t>
            </w:r>
          </w:p>
        </w:tc>
      </w:tr>
      <w:tr>
        <w:trPr/>
        <w:tc>
          <w:tcPr>
            <w:tcW w:w="2318" w:type="dxa"/>
            <w:tcBorders/>
            <w:shd w:fill="CCEEFF" w:val="clear"/>
            <w:vAlign w:val="center"/>
          </w:tcPr>
          <w:p>
            <w:pPr>
              <w:pStyle w:val="TableContents"/>
              <w:bidi w:val="0"/>
              <w:spacing w:before="0" w:after="283"/>
              <w:jc w:val="left"/>
              <w:rPr/>
            </w:pPr>
            <w:r>
              <w:rPr/>
              <w:t>Interest expense and interest expense – related parties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0.2</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0.3</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(0.1</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-52.0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-8.9</w:t>
            </w:r>
          </w:p>
        </w:tc>
        <w:tc>
          <w:tcPr>
            <w:tcW w:w="236" w:type="dxa"/>
            <w:tcBorders/>
            <w:shd w:fill="CCEEFF" w:val="clear"/>
            <w:vAlign w:val="center"/>
          </w:tcPr>
          <w:p>
            <w:pPr>
              <w:pStyle w:val="TableContents"/>
              <w:bidi w:val="0"/>
              <w:spacing w:before="0" w:after="283"/>
              <w:jc w:val="left"/>
              <w:rPr/>
            </w:pPr>
            <w:r>
              <w:rPr/>
              <w:t>%</w:t>
            </w:r>
          </w:p>
        </w:tc>
      </w:tr>
      <w:tr>
        <w:trPr/>
        <w:tc>
          <w:tcPr>
            <w:tcW w:w="2318"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pPr>
            <w:r>
              <w:rPr/>
              <w:t>0.6</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pPr>
            <w:r>
              <w:rPr/>
              <w:t>(1.1</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1.7</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-154.5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-105.9</w:t>
            </w:r>
          </w:p>
        </w:tc>
        <w:tc>
          <w:tcPr>
            <w:tcW w:w="236" w:type="dxa"/>
            <w:tcBorders/>
            <w:shd w:fill="FFFFFF" w:val="clear"/>
            <w:vAlign w:val="center"/>
          </w:tcPr>
          <w:p>
            <w:pPr>
              <w:pStyle w:val="TableContents"/>
              <w:bidi w:val="0"/>
              <w:spacing w:before="0" w:after="283"/>
              <w:jc w:val="left"/>
              <w:rPr/>
            </w:pPr>
            <w:r>
              <w:rPr/>
              <w:t>%</w:t>
            </w:r>
          </w:p>
        </w:tc>
      </w:tr>
      <w:tr>
        <w:trPr/>
        <w:tc>
          <w:tcPr>
            <w:tcW w:w="2318" w:type="dxa"/>
            <w:tcBorders/>
            <w:shd w:fill="CCEEFF" w:val="clear"/>
            <w:vAlign w:val="center"/>
          </w:tcPr>
          <w:p>
            <w:pPr>
              <w:pStyle w:val="TableContents"/>
              <w:bidi w:val="0"/>
              <w:spacing w:before="0" w:after="283"/>
              <w:jc w:val="left"/>
              <w:rPr/>
            </w:pPr>
            <w:r>
              <w:rPr/>
              <w:t>Depreciation and amortization expense, property and equipment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3"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3"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-27.0</w:t>
            </w:r>
          </w:p>
        </w:tc>
        <w:tc>
          <w:tcPr>
            <w:tcW w:w="236" w:type="dxa"/>
            <w:tcBorders/>
            <w:shd w:fill="CCEEFF" w:val="clear"/>
            <w:vAlign w:val="center"/>
          </w:tcPr>
          <w:p>
            <w:pPr>
              <w:pStyle w:val="TableContents"/>
              <w:bidi w:val="0"/>
              <w:spacing w:before="0" w:after="283"/>
              <w:jc w:val="left"/>
              <w:rPr/>
            </w:pPr>
            <w:r>
              <w:rPr/>
              <w:t>%</w:t>
            </w:r>
          </w:p>
        </w:tc>
      </w:tr>
      <w:tr>
        <w:trPr/>
        <w:tc>
          <w:tcPr>
            <w:tcW w:w="2318"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3" w:type="dxa"/>
            <w:tcBorders>
              <w:bottom w:val="double" w:sz="6" w:space="0" w:color="000000"/>
            </w:tcBorders>
            <w:shd w:fill="FFFFFF" w:val="clear"/>
            <w:tcMar>
              <w:bottom w:w="28" w:type="dxa"/>
            </w:tcMar>
            <w:vAlign w:val="center"/>
          </w:tcPr>
          <w:p>
            <w:pPr>
              <w:pStyle w:val="TableContents"/>
              <w:bidi w:val="0"/>
              <w:spacing w:before="0" w:after="283"/>
              <w:jc w:val="right"/>
              <w:rPr/>
            </w:pPr>
            <w:r>
              <w:rPr/>
              <w:t>3.1</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3" w:type="dxa"/>
            <w:tcBorders>
              <w:bottom w:val="double" w:sz="6" w:space="0" w:color="000000"/>
            </w:tcBorders>
            <w:shd w:fill="FFFFFF" w:val="clear"/>
            <w:tcMar>
              <w:bottom w:w="28" w:type="dxa"/>
            </w:tcMar>
            <w:vAlign w:val="center"/>
          </w:tcPr>
          <w:p>
            <w:pPr>
              <w:pStyle w:val="TableContents"/>
              <w:bidi w:val="0"/>
              <w:spacing w:before="0" w:after="283"/>
              <w:jc w:val="right"/>
              <w:rPr/>
            </w:pPr>
            <w:r>
              <w:rPr/>
              <w:t>(4.8</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7.9</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162.8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pPr>
            <w:r>
              <w:rPr/>
              <w:t>(8.3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113.7</w:t>
            </w:r>
          </w:p>
        </w:tc>
        <w:tc>
          <w:tcPr>
            <w:tcW w:w="23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2024, EBITDA increased by $7.9 million, or 162.8%, compared to the three months ended June 30, 2023, primarily because of an increase in net income of $6.4 million and a decrease in the benefit from income taxes of $1.7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EBITDA increased by $9.5 million, or 113.7%, compared to the six months ended June 30, 2023, primarily because of an increase in net income of $7.6 million and a decrease in the benefit from income taxes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deferred revenue when payments are due or received in advance of the fulfillment of our associated performance obligations.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through our current period top four platform providers as a proportion of our total net revenue for the three and six months ended June 30, 2024 and 2023 were as follows:</w:t>
      </w:r>
    </w:p>
    <w:p>
      <w:pPr>
        <w:pStyle w:val="TextBody"/>
        <w:bidi w:val="0"/>
        <w:spacing w:before="0" w:after="0"/>
        <w:ind w:left="0" w:right="0" w:firstLine="360"/>
        <w:jc w:val="both"/>
        <w:rPr>
          <w:caps w:val="false"/>
          <w:smallCaps w:val="false"/>
        </w:rPr>
      </w:pPr>
      <w:r>
        <w:rPr>
          <w:caps w:val="false"/>
          <w:smallCaps w:val="false"/>
        </w:rPr>
        <w:t> </w:t>
      </w:r>
    </w:p>
    <w:tbl>
      <w:tblPr>
        <w:tblW w:w="9915" w:type="dxa"/>
        <w:jc w:val="left"/>
        <w:tblInd w:w="0" w:type="dxa"/>
        <w:tblLayout w:type="fixed"/>
        <w:tblCellMar>
          <w:top w:w="0" w:type="dxa"/>
          <w:left w:w="0" w:type="dxa"/>
          <w:bottom w:w="0" w:type="dxa"/>
          <w:right w:w="0" w:type="dxa"/>
        </w:tblCellMar>
      </w:tblPr>
      <w:tblGrid>
        <w:gridCol w:w="1835"/>
        <w:gridCol w:w="60"/>
        <w:gridCol w:w="161"/>
        <w:gridCol w:w="506"/>
        <w:gridCol w:w="69"/>
        <w:gridCol w:w="69"/>
        <w:gridCol w:w="161"/>
        <w:gridCol w:w="368"/>
        <w:gridCol w:w="69"/>
        <w:gridCol w:w="69"/>
        <w:gridCol w:w="240"/>
        <w:gridCol w:w="755"/>
        <w:gridCol w:w="109"/>
        <w:gridCol w:w="69"/>
        <w:gridCol w:w="107"/>
        <w:gridCol w:w="1008"/>
        <w:gridCol w:w="260"/>
        <w:gridCol w:w="60"/>
        <w:gridCol w:w="140"/>
        <w:gridCol w:w="440"/>
        <w:gridCol w:w="60"/>
        <w:gridCol w:w="60"/>
        <w:gridCol w:w="140"/>
        <w:gridCol w:w="440"/>
        <w:gridCol w:w="60"/>
        <w:gridCol w:w="60"/>
        <w:gridCol w:w="240"/>
        <w:gridCol w:w="755"/>
        <w:gridCol w:w="95"/>
        <w:gridCol w:w="60"/>
        <w:gridCol w:w="107"/>
        <w:gridCol w:w="1008"/>
        <w:gridCol w:w="275"/>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45" w:type="dxa"/>
            <w:gridSpan w:val="30"/>
            <w:tcBorders/>
            <w:vAlign w:val="center"/>
          </w:tcPr>
          <w:p>
            <w:pPr>
              <w:pStyle w:val="TableContents"/>
              <w:bidi w:val="0"/>
              <w:spacing w:before="0" w:after="283"/>
              <w:jc w:val="center"/>
              <w:rPr>
                <w:b/>
              </w:rPr>
            </w:pPr>
            <w:r>
              <w:rPr>
                <w:b/>
              </w:rPr>
              <w:t>(in millions)</w:t>
            </w:r>
          </w:p>
        </w:tc>
        <w:tc>
          <w:tcPr>
            <w:tcW w:w="2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Platform 1</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11.7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368" w:type="dxa"/>
            <w:tcBorders/>
            <w:shd w:fill="CCEEFF" w:val="clear"/>
            <w:vAlign w:val="center"/>
          </w:tcPr>
          <w:p>
            <w:pPr>
              <w:pStyle w:val="TableContents"/>
              <w:bidi w:val="0"/>
              <w:spacing w:before="0" w:after="283"/>
              <w:jc w:val="right"/>
              <w:rPr/>
            </w:pPr>
            <w:r>
              <w:rPr/>
              <w:t>3.2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265.9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109.1</w:t>
            </w:r>
          </w:p>
        </w:tc>
        <w:tc>
          <w:tcPr>
            <w:tcW w:w="27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Platform 2</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2.9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right"/>
              <w:rPr/>
            </w:pPr>
            <w:r>
              <w:rPr/>
              <w:t>1.2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148.0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39.1</w:t>
            </w:r>
          </w:p>
        </w:tc>
        <w:tc>
          <w:tcPr>
            <w:tcW w:w="275" w:type="dxa"/>
            <w:tcBorders/>
            <w:shd w:fill="FFFFFF" w:val="clear"/>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Platform 3</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5.0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right"/>
              <w:rPr/>
            </w:pPr>
            <w:r>
              <w:rPr/>
              <w:t>1.7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114.0</w:t>
            </w:r>
          </w:p>
        </w:tc>
        <w:tc>
          <w:tcPr>
            <w:tcW w:w="27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Platform 4</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0.4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right"/>
              <w:rPr/>
            </w:pPr>
            <w:r>
              <w:rPr/>
              <w:t>0.7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-40.4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-48.8</w:t>
            </w:r>
          </w:p>
        </w:tc>
        <w:tc>
          <w:tcPr>
            <w:tcW w:w="275" w:type="dxa"/>
            <w:tcBorders/>
            <w:shd w:fill="FFFFFF" w:val="clear"/>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All Other Revenue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-48.4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-21.2</w:t>
            </w:r>
          </w:p>
        </w:tc>
        <w:tc>
          <w:tcPr>
            <w:tcW w:w="27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36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b/>
              </w:rPr>
            </w:pPr>
            <w:r>
              <w:rPr>
                <w:b/>
              </w:rPr>
              <w:t>118.4</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b/>
              </w:rPr>
            </w:pPr>
            <w:r>
              <w:rPr>
                <w:b/>
              </w:rPr>
              <w:t>53.0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changes in revenue to correlate with trends in the use and purchase of our games. The increase in net revenues of Platforms 1, 2 and 3 during the three and six months ended June 30, 2024 from 2023 was due to increased sales from the release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Scorched Earth, Bellwright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Myth of Empires.</w:t>
      </w:r>
      <w:r>
        <w:rPr>
          <w:rFonts w:ascii="Times New Roman;Times;Serif" w:hAnsi="Times New Roman;Times;Serif"/>
          <w:b w:val="false"/>
          <w:i w:val="false"/>
          <w:caps w:val="false"/>
          <w:smallCaps w:val="false"/>
          <w:sz w:val="20"/>
        </w:rPr>
        <w:t xml:space="preserve"> The decrease in net revenues of Platform 4 was due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not yet being launched on Platform 4 as of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unaudited condensed consolidated financial statements included in this Quarterly Report. We generally expect cost of revenues to fluctuate proportionately with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in a manner that is proportional with the added expenses and expertise of operating as a public company. We also expect salaries and wages to increase as we increase headcount as we expand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consists primarily of consulting expenses and salaries and wages devoted towards the development of new games and related technologies and development costs outsourced through Suzhou Snail. We do not fund or enter into arrangements relating to the research and development activities from third-party developers from whom we license games. We expect our research and development to increase as we develop new content, games or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(benefit from)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from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19% differed from the federal statutory rate of 21% due to permanent differences and state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2024 versus the three months ended June 30, 2023</w:t>
      </w:r>
    </w:p>
    <w:p>
      <w:pPr>
        <w:pStyle w:val="TextBody"/>
        <w:bidi w:val="0"/>
        <w:spacing w:before="0" w:after="0"/>
        <w:ind w:left="0" w:right="0" w:hanging="0"/>
        <w:jc w:val="center"/>
        <w:rPr>
          <w:caps w:val="false"/>
          <w:smallCaps w:val="false"/>
        </w:rPr>
      </w:pPr>
      <w:r>
        <w:rPr>
          <w:caps w:val="false"/>
          <w:smallCaps w:val="false"/>
        </w:rPr>
        <w:t> </w:t>
      </w:r>
    </w:p>
    <w:tbl>
      <w:tblPr>
        <w:tblW w:w="7549" w:type="dxa"/>
        <w:jc w:val="left"/>
        <w:tblInd w:w="0" w:type="dxa"/>
        <w:tblLayout w:type="fixed"/>
        <w:tblCellMar>
          <w:top w:w="0" w:type="dxa"/>
          <w:left w:w="0" w:type="dxa"/>
          <w:bottom w:w="0" w:type="dxa"/>
          <w:right w:w="0" w:type="dxa"/>
        </w:tblCellMar>
      </w:tblPr>
      <w:tblGrid>
        <w:gridCol w:w="3035"/>
        <w:gridCol w:w="60"/>
        <w:gridCol w:w="196"/>
        <w:gridCol w:w="616"/>
        <w:gridCol w:w="84"/>
        <w:gridCol w:w="84"/>
        <w:gridCol w:w="196"/>
        <w:gridCol w:w="553"/>
        <w:gridCol w:w="95"/>
        <w:gridCol w:w="60"/>
        <w:gridCol w:w="240"/>
        <w:gridCol w:w="755"/>
        <w:gridCol w:w="95"/>
        <w:gridCol w:w="60"/>
        <w:gridCol w:w="83"/>
        <w:gridCol w:w="1032"/>
        <w:gridCol w:w="30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9"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21.6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118.4</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FFFFFF" w:val="clear"/>
            <w:tcMar>
              <w:bottom w:w="28" w:type="dxa"/>
            </w:tcMar>
            <w:vAlign w:val="center"/>
          </w:tcPr>
          <w:p>
            <w:pPr>
              <w:pStyle w:val="TableContents"/>
              <w:bidi w:val="0"/>
              <w:spacing w:before="0" w:after="283"/>
              <w:jc w:val="right"/>
              <w:rPr/>
            </w:pPr>
            <w:r>
              <w:rPr/>
              <w:t>13.5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44.6</w:t>
            </w:r>
          </w:p>
        </w:tc>
        <w:tc>
          <w:tcPr>
            <w:tcW w:w="305"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pPr>
            <w:r>
              <w:rPr/>
              <w:t>8.1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1,356.0</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2.8</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(29.0</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1.9</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55.0</w:t>
            </w:r>
          </w:p>
        </w:tc>
        <w:tc>
          <w:tcPr>
            <w:tcW w:w="305"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0.7</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312.5</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(31.8</w:t>
            </w:r>
          </w:p>
        </w:tc>
        <w:tc>
          <w:tcPr>
            <w:tcW w:w="305"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pPr>
            <w:r>
              <w:rPr/>
              <w:t>5.5</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154.9</w:t>
            </w:r>
          </w:p>
        </w:tc>
        <w:tc>
          <w:tcPr>
            <w:tcW w:w="30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for the three months ended June 30, 2024 increased by $11.7 million, or 118.4%, compared to the three months ended June 30, 2023. The increase in net revenues was due to an increase in total Ark sales of $10.0 million, an increase in sales of the Company’s other games of $3.9 million driven by the release of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partially offset by a decrease in Ark Mobile sales of $0.3 million and an increase in deferred revenues of $1.9 million related to the Ark 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June 30, 2024 increased by $4.2 million, or 44.6%, compared to the three months ended June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June 30, 2024 and 2023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8427" w:type="dxa"/>
        <w:jc w:val="left"/>
        <w:tblInd w:w="0" w:type="dxa"/>
        <w:tblLayout w:type="fixed"/>
        <w:tblCellMar>
          <w:top w:w="0" w:type="dxa"/>
          <w:left w:w="0" w:type="dxa"/>
          <w:bottom w:w="0" w:type="dxa"/>
          <w:right w:w="0" w:type="dxa"/>
        </w:tblCellMar>
      </w:tblPr>
      <w:tblGrid>
        <w:gridCol w:w="3950"/>
        <w:gridCol w:w="60"/>
        <w:gridCol w:w="208"/>
        <w:gridCol w:w="656"/>
        <w:gridCol w:w="89"/>
        <w:gridCol w:w="89"/>
        <w:gridCol w:w="208"/>
        <w:gridCol w:w="477"/>
        <w:gridCol w:w="60"/>
        <w:gridCol w:w="60"/>
        <w:gridCol w:w="260"/>
        <w:gridCol w:w="735"/>
        <w:gridCol w:w="95"/>
        <w:gridCol w:w="60"/>
        <w:gridCol w:w="107"/>
        <w:gridCol w:w="1008"/>
        <w:gridCol w:w="30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7"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6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2"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656" w:type="dxa"/>
            <w:tcBorders/>
            <w:shd w:fill="CCEEFF" w:val="clear"/>
            <w:vAlign w:val="center"/>
          </w:tcPr>
          <w:p>
            <w:pPr>
              <w:pStyle w:val="TableContents"/>
              <w:bidi w:val="0"/>
              <w:spacing w:before="0" w:after="283"/>
              <w:jc w:val="right"/>
              <w:rPr/>
            </w:pPr>
            <w:r>
              <w:rPr/>
              <w:t>4.7</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477"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144.3</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0.1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pPr>
            <w:r>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(75.1</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License and amortization - related parties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6.0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23.4</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Merchant fees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0.2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pPr>
            <w:r>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(36.9</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Engine fees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1.3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357.8</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Internet, server and data center</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7"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FFFFFF" w:val="clear"/>
            <w:tcMar>
              <w:bottom w:w="28" w:type="dxa"/>
            </w:tcM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(23.6</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13.5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44.6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cost of revenues for the three months ended June 30, 2024 was due to an increase of $2.8 million in software license royalties – related parties, a result of increased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sales, an increase of $1.1 million in license and amortization – related parties due to the increased license fee paid to SDE partially offset by a lower depreciable base of intangible assets in 2024, an increase in engine fees of $1.0 million, partially offset by decreased internet, server and data center fees of $0.4 million and a decrease in software license royalties of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June 30, 2024 decreased by $1.2 million, or 29.0%, compared to the three months ended June 30, 2023. The decrease in general and administrative expenses was due to a decrease in legal and professional expenses of $0.4 million, a decrease in administrative internet and server costs of $0.1 million, a decrease in insurance expenses of $0.1 million, a decrease in salaries and wages of $0.3 million due to a lower amount of expensed stock based compensation, and a decrease in expenses of $0.2 million for SEC filing fees, investor relations, NASDAQ listing fees and compliance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for the three months ended June 30, 2024 increased by $0.7 million, or 55.0%, compared to the three months ended June 30, 2023. The increase in research and development expenses was due to the outsourced development of </w:t>
      </w:r>
      <w:r>
        <w:rPr>
          <w:rFonts w:ascii="Times New Roman;Times;Serif" w:hAnsi="Times New Roman;Times;Serif"/>
          <w:b w:val="false"/>
          <w:i/>
          <w:caps w:val="false"/>
          <w:smallCaps w:val="false"/>
          <w:sz w:val="20"/>
        </w:rPr>
        <w:t xml:space="preserve">Hermes </w:t>
      </w:r>
      <w:r>
        <w:rPr>
          <w:rFonts w:ascii="Times New Roman;Times;Serif" w:hAnsi="Times New Roman;Times;Serif"/>
          <w:b w:val="false"/>
          <w:i w:val="false"/>
          <w:caps w:val="false"/>
          <w:smallCaps w:val="false"/>
          <w:sz w:val="20"/>
        </w:rPr>
        <w:t>paid through Suzhou Snail</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marketing expenses for the three months ended June 30, 2024 increased by $0.5 million, or 312.5%, compared to the three months ended June 30, 2023. The increase in advertising and marketing expenses was due to increased advertising campaigns for the launch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its DLC release </w:t>
      </w:r>
      <w:r>
        <w:rPr>
          <w:rFonts w:ascii="Times New Roman;Times;Serif" w:hAnsi="Times New Roman;Times;Serif"/>
          <w:b w:val="false"/>
          <w:i/>
          <w:caps w:val="false"/>
          <w:smallCaps w:val="false"/>
          <w:sz w:val="20"/>
        </w:rPr>
        <w:t xml:space="preserve">Scorched Earth, </w:t>
      </w:r>
      <w:r>
        <w:rPr>
          <w:rFonts w:ascii="Times New Roman;Times;Serif" w:hAnsi="Times New Roman;Times;Serif"/>
          <w:b w:val="false"/>
          <w:i w:val="false"/>
          <w:caps w:val="false"/>
          <w:smallCaps w:val="false"/>
          <w:sz w:val="20"/>
        </w:rPr>
        <w:t xml:space="preserve">add-on content </w:t>
      </w:r>
      <w:r>
        <w:rPr>
          <w:rFonts w:ascii="Times New Roman;Times;Serif" w:hAnsi="Times New Roman;Times;Serif"/>
          <w:b w:val="false"/>
          <w:i/>
          <w:caps w:val="false"/>
          <w:smallCaps w:val="false"/>
          <w:sz w:val="20"/>
        </w:rPr>
        <w:t xml:space="preserve">Bobs Tall Tales,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Bellwright.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both"/>
        <w:rPr>
          <w:caps w:val="false"/>
          <w:smallCaps w:val="false"/>
        </w:rPr>
      </w:pPr>
      <w:r>
        <w:rPr>
          <w:caps w:val="false"/>
          <w:smallCaps w:val="false"/>
        </w:rPr>
        <w:t> </w:t>
      </w:r>
    </w:p>
    <w:tbl>
      <w:tblPr>
        <w:tblW w:w="7396" w:type="dxa"/>
        <w:jc w:val="left"/>
        <w:tblInd w:w="0" w:type="dxa"/>
        <w:tblLayout w:type="fixed"/>
        <w:tblCellMar>
          <w:top w:w="0" w:type="dxa"/>
          <w:left w:w="0" w:type="dxa"/>
          <w:bottom w:w="0" w:type="dxa"/>
          <w:right w:w="0" w:type="dxa"/>
        </w:tblCellMar>
      </w:tblPr>
      <w:tblGrid>
        <w:gridCol w:w="2885"/>
        <w:gridCol w:w="60"/>
        <w:gridCol w:w="197"/>
        <w:gridCol w:w="557"/>
        <w:gridCol w:w="134"/>
        <w:gridCol w:w="84"/>
        <w:gridCol w:w="197"/>
        <w:gridCol w:w="557"/>
        <w:gridCol w:w="95"/>
        <w:gridCol w:w="60"/>
        <w:gridCol w:w="260"/>
        <w:gridCol w:w="735"/>
        <w:gridCol w:w="95"/>
        <w:gridCol w:w="60"/>
        <w:gridCol w:w="96"/>
        <w:gridCol w:w="1019"/>
        <w:gridCol w:w="30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6"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557" w:type="dxa"/>
            <w:tcBorders/>
            <w:shd w:fill="CCEEFF" w:val="clear"/>
            <w:vAlign w:val="center"/>
          </w:tcPr>
          <w:p>
            <w:pPr>
              <w:pStyle w:val="TableContents"/>
              <w:bidi w:val="0"/>
              <w:spacing w:before="0" w:after="283"/>
              <w:jc w:val="right"/>
              <w:rPr/>
            </w:pPr>
            <w:r>
              <w:rPr/>
              <w:t>0.1</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5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227.4</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(0.1</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52.0</w:t>
            </w:r>
          </w:p>
        </w:tc>
        <w:tc>
          <w:tcPr>
            <w:tcW w:w="305"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0.2</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(0.6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(154.5</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$0.1 million and $0.0 million for the three months ended June 30, 2024 and 2023, respectively. The increase was due to the balance of our cash deposits being higher on average during the three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decreased by $0.2 million for the three months ended June 30, 2024 because of lower average debt during the three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by $0.2 million for the three months ended June 30, 2024, in comparison to the three months ended June 30, 2023. The increase is due to the recognition of $0.2 million in other income for the revaluation of the Company’s outstanding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(benefit from)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income tax provision of $0.6 million for the three months ended June 30, 2024 and a benefit of $1.1 million for the three months ended June 30, 2023. Our effective income tax rate was 21% during both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2024 versus the six months ended June 30, 2023</w:t>
      </w:r>
    </w:p>
    <w:p>
      <w:pPr>
        <w:pStyle w:val="TextBody"/>
        <w:bidi w:val="0"/>
        <w:spacing w:before="0" w:after="0"/>
        <w:ind w:left="0" w:right="0" w:hanging="0"/>
        <w:jc w:val="center"/>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3035"/>
        <w:gridCol w:w="60"/>
        <w:gridCol w:w="162"/>
        <w:gridCol w:w="512"/>
        <w:gridCol w:w="69"/>
        <w:gridCol w:w="69"/>
        <w:gridCol w:w="162"/>
        <w:gridCol w:w="512"/>
        <w:gridCol w:w="95"/>
        <w:gridCol w:w="60"/>
        <w:gridCol w:w="240"/>
        <w:gridCol w:w="755"/>
        <w:gridCol w:w="95"/>
        <w:gridCol w:w="60"/>
        <w:gridCol w:w="107"/>
        <w:gridCol w:w="1008"/>
        <w:gridCol w:w="30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6"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512" w:type="dxa"/>
            <w:tcBorders/>
            <w:shd w:fill="CCEEFF" w:val="clear"/>
            <w:vAlign w:val="center"/>
          </w:tcPr>
          <w:p>
            <w:pPr>
              <w:pStyle w:val="TableContents"/>
              <w:bidi w:val="0"/>
              <w:spacing w:before="0" w:after="283"/>
              <w:jc w:val="right"/>
              <w:rPr/>
            </w:pPr>
            <w:r>
              <w:rPr/>
              <w:t>35.7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512" w:type="dxa"/>
            <w:tcBorders/>
            <w:shd w:fill="CCEEFF" w:val="clear"/>
            <w:vAlign w:val="center"/>
          </w:tcPr>
          <w:p>
            <w:pPr>
              <w:pStyle w:val="TableContents"/>
              <w:bidi w:val="0"/>
              <w:spacing w:before="0" w:after="283"/>
              <w:jc w:val="right"/>
              <w:rPr/>
            </w:pPr>
            <w:r>
              <w:rPr/>
              <w:t>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53.0</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FFFFFF" w:val="clear"/>
            <w:tcMar>
              <w:bottom w:w="28" w:type="dxa"/>
            </w:tcMar>
            <w:vAlign w:val="center"/>
          </w:tcPr>
          <w:p>
            <w:pPr>
              <w:pStyle w:val="TableContents"/>
              <w:bidi w:val="0"/>
              <w:spacing w:before="0" w:after="283"/>
              <w:jc w:val="right"/>
              <w:rPr/>
            </w:pPr>
            <w:r>
              <w:rPr/>
              <w:t>25.5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FFFFFF" w:val="clear"/>
            <w:tcMar>
              <w:bottom w:w="28" w:type="dxa"/>
            </w:tcM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26.5</w:t>
            </w:r>
          </w:p>
        </w:tc>
        <w:tc>
          <w:tcPr>
            <w:tcW w:w="305"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CCEEFF" w:val="clear"/>
            <w:tcMar>
              <w:bottom w:w="28" w:type="dxa"/>
            </w:tcMar>
            <w:vAlign w:val="center"/>
          </w:tcPr>
          <w:p>
            <w:pPr>
              <w:pStyle w:val="TableContents"/>
              <w:bidi w:val="0"/>
              <w:spacing w:before="0" w:after="283"/>
              <w:jc w:val="right"/>
              <w:rPr/>
            </w:pPr>
            <w:r>
              <w:rPr/>
              <w:t>10.2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222.7</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5.1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(40.0</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3.6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41.3</w:t>
            </w:r>
          </w:p>
        </w:tc>
        <w:tc>
          <w:tcPr>
            <w:tcW w:w="305"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0.8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206.1</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FFFFFF" w:val="clear"/>
            <w:tcMar>
              <w:bottom w:w="28" w:type="dxa"/>
            </w:tcMar>
            <w:vAlign w:val="center"/>
          </w:tcPr>
          <w:p>
            <w:pPr>
              <w:pStyle w:val="TableContents"/>
              <w:bidi w:val="0"/>
              <w:spacing w:before="0" w:after="283"/>
              <w:jc w:val="right"/>
              <w:rPr/>
            </w:pPr>
            <w:r>
              <w:rPr/>
              <w:t>0.2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FFFFFF" w:val="clear"/>
            <w:tcMar>
              <w:bottom w:w="28" w:type="dxa"/>
            </w:tcM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(30.1</w:t>
            </w:r>
          </w:p>
        </w:tc>
        <w:tc>
          <w:tcPr>
            <w:tcW w:w="305"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CCEEFF" w:val="clear"/>
            <w:tcMar>
              <w:bottom w:w="28" w:type="dxa"/>
            </w:tcM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(15.9</w:t>
            </w:r>
          </w:p>
        </w:tc>
        <w:tc>
          <w:tcPr>
            <w:tcW w:w="305"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105.5</w:t>
            </w:r>
          </w:p>
        </w:tc>
        <w:tc>
          <w:tcPr>
            <w:tcW w:w="30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for the six months ended June 30, 2024 increased by $12.3 million, or 53%, compared to the six months ended June 30, 2023. The increase in net revenues was due to an increase in total Ark sales of $15.1 million, an increase due to the recognition of $1.2 million payment related to the Angela Games settlement and recognized upon satisfaction of performance obligations included in the contract, an increase in sales of the Company’s other games of $4.5 million, partially offset by a decrease in Ark Mobile sales of $0.9 million and an increase in deferred revenues of $7.5 million related to the Ark 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2024 increased by $5.3 million, or 26.5%, compared to the six months ended June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2024 and 2023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8186" w:type="dxa"/>
        <w:jc w:val="left"/>
        <w:tblInd w:w="0" w:type="dxa"/>
        <w:tblLayout w:type="fixed"/>
        <w:tblCellMar>
          <w:top w:w="0" w:type="dxa"/>
          <w:left w:w="0" w:type="dxa"/>
          <w:bottom w:w="0" w:type="dxa"/>
          <w:right w:w="0" w:type="dxa"/>
        </w:tblCellMar>
      </w:tblPr>
      <w:tblGrid>
        <w:gridCol w:w="3950"/>
        <w:gridCol w:w="60"/>
        <w:gridCol w:w="162"/>
        <w:gridCol w:w="512"/>
        <w:gridCol w:w="69"/>
        <w:gridCol w:w="69"/>
        <w:gridCol w:w="162"/>
        <w:gridCol w:w="512"/>
        <w:gridCol w:w="60"/>
        <w:gridCol w:w="60"/>
        <w:gridCol w:w="260"/>
        <w:gridCol w:w="735"/>
        <w:gridCol w:w="95"/>
        <w:gridCol w:w="60"/>
        <w:gridCol w:w="107"/>
        <w:gridCol w:w="1008"/>
        <w:gridCol w:w="30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1"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512" w:type="dxa"/>
            <w:tcBorders/>
            <w:shd w:fill="CCEEFF" w:val="clear"/>
            <w:vAlign w:val="center"/>
          </w:tcPr>
          <w:p>
            <w:pPr>
              <w:pStyle w:val="TableContents"/>
              <w:bidi w:val="0"/>
              <w:spacing w:before="0" w:after="283"/>
              <w:jc w:val="right"/>
              <w:rPr/>
            </w:pPr>
            <w:r>
              <w:rPr/>
              <w:t>7.9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512"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66.3</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0.2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(62.7</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License and amortization - related parties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12.0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19.3</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Merchant fees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0.5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(45.4</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Engine fees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2.3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221.1</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Internet, server and data center</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2"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FFFFFF" w:val="clear"/>
            <w:tcMar>
              <w:bottom w:w="28" w:type="dxa"/>
            </w:tcM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right"/>
              <w:rPr/>
            </w:pPr>
            <w:r>
              <w:rPr/>
              <w:t>25.5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26.5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cost of revenues for the six months ended June 30, 2024 was due to an increase of $3.1 million in software license royalties – related parties, a result of increased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sales, an increase of $1.9 million in license and amortization – related parties due to the increased license fee paid to SDE partially offset by a lower depreciable base of intangible assets in 2024, an increase in engine fees of $1.6 million, partially offset by decreased internet, server and data center fees of $0.6 million, a decrease in merchant fees of $0.3 million and a decrease in software license royalties of $0.4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six months ended June 30, 2024 decreased by $3.4 million, or 40.0%, compared to the six months ended June 30, 2023. The decrease in general and administrative expenses was due to a decrease in legal and professional expenses of $1.3 million, a decrease in administrative internet and server costs of $0.3 million, a decrease in salaries and wages of $1.3 million due to the reversal of previously expensed stock based compensation, and a decrease in expenses of $0.4 million for SEC filing fees, investor relations, NASDAQ listing fees and compliance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for the six months ended June 30, 2024 increased by $1.0 million, or 41.3%, compared to the six months ended June 30, 2023. The increase in research and development expenses was due to the outsourced development of </w:t>
      </w:r>
      <w:r>
        <w:rPr>
          <w:rFonts w:ascii="Times New Roman;Times;Serif" w:hAnsi="Times New Roman;Times;Serif"/>
          <w:b w:val="false"/>
          <w:i/>
          <w:caps w:val="false"/>
          <w:smallCaps w:val="false"/>
          <w:sz w:val="20"/>
        </w:rPr>
        <w:t xml:space="preserve">Hermes </w:t>
      </w:r>
      <w:r>
        <w:rPr>
          <w:rFonts w:ascii="Times New Roman;Times;Serif" w:hAnsi="Times New Roman;Times;Serif"/>
          <w:b w:val="false"/>
          <w:i w:val="false"/>
          <w:caps w:val="false"/>
          <w:smallCaps w:val="false"/>
          <w:sz w:val="20"/>
        </w:rPr>
        <w:t>paid through Suzhou Snail</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marketing expenses for the six months ended June 30, 2024 increased by $0.5 million, or 206.1%, compared to the six months ended June 30, 2023. The increase in advertising and marketing expenses was due to increased advertising campaigns for the launch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its DLC release </w:t>
      </w:r>
      <w:r>
        <w:rPr>
          <w:rFonts w:ascii="Times New Roman;Times;Serif" w:hAnsi="Times New Roman;Times;Serif"/>
          <w:b w:val="false"/>
          <w:i/>
          <w:caps w:val="false"/>
          <w:smallCaps w:val="false"/>
          <w:sz w:val="20"/>
        </w:rPr>
        <w:t xml:space="preserve">Scorched Earth, </w:t>
      </w:r>
      <w:r>
        <w:rPr>
          <w:rFonts w:ascii="Times New Roman;Times;Serif" w:hAnsi="Times New Roman;Times;Serif"/>
          <w:b w:val="false"/>
          <w:i w:val="false"/>
          <w:caps w:val="false"/>
          <w:smallCaps w:val="false"/>
          <w:sz w:val="20"/>
        </w:rPr>
        <w:t xml:space="preserve">add-on content </w:t>
      </w:r>
      <w:r>
        <w:rPr>
          <w:rFonts w:ascii="Times New Roman;Times;Serif" w:hAnsi="Times New Roman;Times;Serif"/>
          <w:b w:val="false"/>
          <w:i/>
          <w:caps w:val="false"/>
          <w:smallCaps w:val="false"/>
          <w:sz w:val="20"/>
        </w:rPr>
        <w:t xml:space="preserve">Bobs Tall Tales,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Bellwright.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both"/>
        <w:rPr>
          <w:caps w:val="false"/>
          <w:smallCaps w:val="false"/>
        </w:rPr>
      </w:pPr>
      <w:r>
        <w:rPr>
          <w:caps w:val="false"/>
          <w:smallCaps w:val="false"/>
        </w:rPr>
        <w:t> </w:t>
      </w:r>
    </w:p>
    <w:tbl>
      <w:tblPr>
        <w:tblW w:w="7157" w:type="dxa"/>
        <w:jc w:val="left"/>
        <w:tblInd w:w="0" w:type="dxa"/>
        <w:tblLayout w:type="fixed"/>
        <w:tblCellMar>
          <w:top w:w="0" w:type="dxa"/>
          <w:left w:w="0" w:type="dxa"/>
          <w:bottom w:w="0" w:type="dxa"/>
          <w:right w:w="0" w:type="dxa"/>
        </w:tblCellMar>
      </w:tblPr>
      <w:tblGrid>
        <w:gridCol w:w="2885"/>
        <w:gridCol w:w="60"/>
        <w:gridCol w:w="170"/>
        <w:gridCol w:w="480"/>
        <w:gridCol w:w="115"/>
        <w:gridCol w:w="72"/>
        <w:gridCol w:w="170"/>
        <w:gridCol w:w="480"/>
        <w:gridCol w:w="95"/>
        <w:gridCol w:w="60"/>
        <w:gridCol w:w="260"/>
        <w:gridCol w:w="735"/>
        <w:gridCol w:w="95"/>
        <w:gridCol w:w="60"/>
        <w:gridCol w:w="83"/>
        <w:gridCol w:w="1032"/>
        <w:gridCol w:w="30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7"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0.2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221.0</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(0.5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(8.9</w:t>
            </w:r>
          </w:p>
        </w:tc>
        <w:tc>
          <w:tcPr>
            <w:tcW w:w="305"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0.5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5,668.7</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(0.1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(105.9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$0.2 million and $0.1 million for the six months ended June 30, 2024 and 2023, respectively. The increase was due to the balance of the of our cash deposits being higher on average during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decreased by $0.1 million for the six months ended June 30, 2024 because of the Company having a lower average debt balance during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by $0.5 million for the six months ended June 30, 2024, in comparison to the six months ended June 30, 2023. The increase is due to the recognition of litigation revenues due to a revenue share agreement that was the result of the litigation settlement and revaluation of the Company’s outstanding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(benefit from)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income tax provision of $0.1 million for the six months ended June 30, 2024 and a benefit of $1.9 million for the six months ended June 30, 2023. Our effective income tax rate was 19% and 21% during the six months ended June 30, 2024 and 2023,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the cash flows generated from our operations, that are currently available as unrestricted cash. Our unrestricted cash was $15.5 million and $15.2 million as of June 30, 2024 and December 31, 2023,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cash and cash equivalents were $1.1 million as of June 30, 2024 and December 31, 2023. Our restricted cash primarily consists of time deposits and is used as security for certain of our debt instruments and to secure standby letters of credit with certain of our landlords.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our 2021 Revolving Loan has a balance of $3.0 million and is due in December 2024. The Company has repaid its Convertible Notes balance of $1.1 million, its $1.5 million financing arrangement, and the remaining $0.8 million of its short term notes balance during the six months ended June 30, 2024. In concurrence with the registration of the convertible notes shares the Company registered shares for distribution in an equity line of credit. The Company has the right, but not the obligation, to sell up to $5.0 million in Class A common stock to the investor. We intend to renegotiate with the lender to extend the maturity date of the 2021 Revolving Loan and to negotiate a new Short Term Note. However, there is no guarantee that we will be able to renegotiate the terms of the 2021 Revolving Loan or obtain a new short term note with the lender at terms acceptable to us or at all. Currently, we expect that we will not be in compliance with our quarterly debt covenant for the three months ending September 30, 2024. We are working with the lender to resolve the expected non-compliance with the debt covenant.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raised capital through the issuance of the convertible notes, equity line of credit, a short term financing arrangement with the Company’s internet and data center (“IDC”) vendor,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unrestricted cash position of approximately $15.5 million, and our expected revenue receipts will allow the Company to continue operations beyond the next 12 months and service its current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summary of our cash flows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10"/>
        <w:gridCol w:w="60"/>
        <w:gridCol w:w="149"/>
        <w:gridCol w:w="421"/>
        <w:gridCol w:w="101"/>
        <w:gridCol w:w="63"/>
        <w:gridCol w:w="149"/>
        <w:gridCol w:w="550"/>
        <w:gridCol w:w="95"/>
        <w:gridCol w:w="60"/>
        <w:gridCol w:w="240"/>
        <w:gridCol w:w="755"/>
        <w:gridCol w:w="95"/>
        <w:gridCol w:w="60"/>
        <w:gridCol w:w="107"/>
        <w:gridCol w:w="1008"/>
        <w:gridCol w:w="282"/>
      </w:tblGrid>
      <w:tr>
        <w:trPr/>
        <w:tc>
          <w:tcPr>
            <w:tcW w:w="6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82" w:type="dxa"/>
            <w:tcBorders/>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82" w:type="dxa"/>
            <w:tcBorders/>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3" w:type="dxa"/>
            <w:gridSpan w:val="14"/>
            <w:tcBorders/>
            <w:vAlign w:val="center"/>
          </w:tcPr>
          <w:p>
            <w:pPr>
              <w:pStyle w:val="TableContents"/>
              <w:bidi w:val="0"/>
              <w:spacing w:before="0" w:after="283"/>
              <w:jc w:val="center"/>
              <w:rPr>
                <w:b/>
              </w:rPr>
            </w:pPr>
            <w:r>
              <w:rPr>
                <w:b/>
              </w:rPr>
              <w:t>(in millions)</w:t>
            </w:r>
          </w:p>
        </w:tc>
        <w:tc>
          <w:tcPr>
            <w:tcW w:w="282"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before="0" w:after="283"/>
              <w:jc w:val="left"/>
              <w:rPr/>
            </w:pPr>
            <w:r>
              <w:rPr/>
              <w:t>Net cash flows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421" w:type="dxa"/>
            <w:tcBorders/>
            <w:shd w:fill="CCEEFF" w:val="clear"/>
            <w:vAlign w:val="center"/>
          </w:tcPr>
          <w:p>
            <w:pPr>
              <w:pStyle w:val="TableContents"/>
              <w:bidi w:val="0"/>
              <w:spacing w:before="0" w:after="283"/>
              <w:jc w:val="right"/>
              <w:rPr/>
            </w:pPr>
            <w:r>
              <w:rPr/>
              <w:t>7.0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178.7</w:t>
            </w:r>
          </w:p>
        </w:tc>
        <w:tc>
          <w:tcPr>
            <w:tcW w:w="282" w:type="dxa"/>
            <w:tcBorders/>
            <w:shd w:fill="CCEEFF" w:val="clear"/>
            <w:vAlign w:val="center"/>
          </w:tcPr>
          <w:p>
            <w:pPr>
              <w:pStyle w:val="TableContents"/>
              <w:bidi w:val="0"/>
              <w:spacing w:before="0" w:after="283"/>
              <w:jc w:val="left"/>
              <w:rPr/>
            </w:pPr>
            <w:r>
              <w:rPr/>
              <w:t>%</w:t>
            </w:r>
          </w:p>
        </w:tc>
      </w:tr>
      <w:tr>
        <w:trPr/>
        <w:tc>
          <w:tcPr>
            <w:tcW w:w="6010" w:type="dxa"/>
            <w:tcBorders/>
            <w:shd w:fill="FFFFFF" w:val="clear"/>
            <w:vAlign w:val="center"/>
          </w:tcPr>
          <w:p>
            <w:pPr>
              <w:pStyle w:val="TableContents"/>
              <w:bidi w:val="0"/>
              <w:spacing w:before="0" w:after="283"/>
              <w:jc w:val="left"/>
              <w:rPr/>
            </w:pPr>
            <w:r>
              <w:rPr/>
              <w:t>Net cash flows used in financing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1"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12" w:space="0" w:color="000000"/>
            </w:tcBorders>
            <w:shd w:fill="FFFFFF" w:val="clear"/>
            <w:tcMar>
              <w:bottom w:w="28" w:type="dxa"/>
            </w:tcM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(5.5</w:t>
            </w:r>
          </w:p>
        </w:tc>
        <w:tc>
          <w:tcPr>
            <w:tcW w:w="282" w:type="dxa"/>
            <w:tcBorders/>
            <w:shd w:fill="FFFFFF" w:val="clear"/>
            <w:vAlign w:val="center"/>
          </w:tcPr>
          <w:p>
            <w:pPr>
              <w:pStyle w:val="TableContents"/>
              <w:bidi w:val="0"/>
              <w:spacing w:before="0" w:after="283"/>
              <w:jc w:val="left"/>
              <w:rPr/>
            </w:pPr>
            <w:r>
              <w:rPr/>
              <w:t>)%</w:t>
            </w:r>
          </w:p>
        </w:tc>
      </w:tr>
      <w:tr>
        <w:trPr/>
        <w:tc>
          <w:tcPr>
            <w:tcW w:w="6010" w:type="dxa"/>
            <w:tcBorders/>
            <w:shd w:fill="CCEE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283"/>
              <w:jc w:val="right"/>
              <w:rPr/>
            </w:pPr>
            <w:r>
              <w:rPr/>
              <w:t>0.3</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jc w:val="right"/>
              <w:rPr/>
            </w:pPr>
            <w:r>
              <w:rPr/>
              <w:t>(15.2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102.2</w:t>
            </w:r>
          </w:p>
        </w:tc>
        <w:tc>
          <w:tcPr>
            <w:tcW w:w="28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(used in) operating activities for the six months ended June 30, 2024 increased $15.9 million as compared to the six months ended June 30, 2023, which resulted primarily from an increase in deferred revenues of $6.8 million, a decrease in accounts receivable and accounts receivable - related party of $15.8 million, an increase in net income of $7.6 million, partially offset by a decrease in accounts payable and accounts payable – related parties of $12.2 million, a decrease in accrued expenses of $1.9 million, and a decrease in noncash reconciling items of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net income of $0.5 million, and a net loss of $7.1 million, for the six months ended June 30, 2024 and 2023, respectively, representing an increase of $7.6 million. The increase was primarily due to an increase in net revenue of $12.4 million, decreased general and administrative expenses of $3.4 million, an increase in other income of $0.5 million, an increase in interest income of $0.1 million, partially offset by increased research and development costs of $1.1 million, increased costs of revenues of $5.1 million, increased interest expenses of $0.1 million, and a decrease in income tax benefit of $2.0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reconciling items were ($0.4) million and ($0.2) million for the six months ended June 30, 2024 and 2023, respectively, representing a decrease of $0.2 million. The decrease in the non-cash reconciling items was due to a decrease in amortization of intangible assets of $1.1 million, a decrease in stock based compensation expense of $1.3 million, partially offset by an increase in deferred taxes of $1.9 million, and an increase in accretion expense of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June 30, 2024 and December 31, 2023, the net outstanding balances of receivables due from SDE were $10.5 million and $13.5 million, respectively. We expect accounts receivables owed to us by SDE will be repaid within the next two fiscal years and intend to exercise all legally available means of collection. The Company and SDE have entered into an agreement to offset uncollected amounts against monthly payments due to SDE for operating expenses and costs of revenue. See Note 5- </w:t>
      </w:r>
      <w:r>
        <w:rPr>
          <w:rFonts w:ascii="Times New Roman;Times;Serif" w:hAnsi="Times New Roman;Times;Serif"/>
          <w:b w:val="false"/>
          <w:i/>
          <w:caps w:val="false"/>
          <w:smallCaps w:val="false"/>
          <w:sz w:val="20"/>
        </w:rPr>
        <w:t>Accounts Receivable - Related Party</w:t>
      </w:r>
      <w:r>
        <w:rPr>
          <w:rFonts w:ascii="Times New Roman;Times;Serif" w:hAnsi="Times New Roman;Times;Serif"/>
          <w:b w:val="false"/>
          <w:i w:val="false"/>
          <w:caps w:val="false"/>
          <w:smallCaps w:val="false"/>
          <w:sz w:val="20"/>
        </w:rPr>
        <w:t xml:space="preserve"> 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financing activities for the six months ended June 30, 2024 were $6.7 million compared to $6.3 million for the six months ended June 30, 2023. Financing activities for the six months ended June 30, 2024 included $6.4 million in debt payments and $0.3 million in payments of capitalized offering costs in accounts payable. Financing activities for the six months ended June 30, 2023 included debt repayments of $6.0 million, the purchases of treasury stock in the amount of $0.3 million, and $0.1 million in payments of capitalized offering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 in November 2023 and is reported as part of unrestricted cash and cash equivalents as of June 30, 2024 and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filed a Form S-1 Registration Statement with the SEC in connection with our issuance of convertible note, equity line of credit and warrants related to each financing as noted below.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fund our operations from our net cash flows provided by operating activities. In addition to these cash flows, we have entered into certain debt arrangements to provide additional liquidity and to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matured on December 31, 2023 and bore interest at a rate equal to the prime rate less 0.25%. Interest is due and payable under the 2021 Revolving Loan on a monthly basis. The Company amended the revolving loan agreement in December 2023, to extend the 2021 Revolving Loan maturity date to December 31, 2024. As of June 30, 2024, we had borrowings of $3.0 million outstanding under our 2021 Revolving Loan. We intend to extend the 2021 Revolving Loan prior to its maturity date in December 2024. There is no guarantee that we will be able to extend the 2021 Revolving Loan on terms acceptable to us in the future,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Short Term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was equal to the higher of 3.75% and the Wall Street Journal prime rate plus 0.50%. The 2022 Short Term Note is secured and collateralized by our existing assets. The Company completed the last payment obligation on the 2022 Short Term Note during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Convertible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issued convertible notes at a 7.4% discount and a principal balance of $1,080,000. The notes had an interest rate of 7.5%, were paid in consecutive monthly installments beginning February 24, 2024 and matured on May 24, 2024. In connection with the Convertible Notes the Company issued to the investors warrants to purchase an aggregate of 714,285 shares that were accounted for under the fair value method and allocated a value of $445,754. The difference of $525,754 between the proceeds allocated to the Convertible Notes and the aggregate principal amount were accreted over the life of the notes and accounted for the fair value of the warrants and the stated discount. Additionally, $152,500 of transaction costs incurred by the Company were recorded as a debt discount. The discount was amortized using the effective interest rate of 103.4%. The effective interest rate is based on the principal balance discounted by stated interest, debt issuance costs and fair value allocated to the related warrants. As of June 30, 2024, the Convertible Notes have been repaid. The Company has registered shares for potential issuance on exercise of the warrants, or conversion of the note, on Form S-1 that was declared effective on October 30, 2023. As of June 30, 2024, the note holders have not exercised the warrants. During the six months ended June 30, 2024, prior to repayment, the noteholders exercised the option to convert $60,000 in principal of the notes to 71,460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Equity Line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June 30, 2024 the Company has not sold any Class A common stock under the Equity Line Purchase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Note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entered into a cooperation agreement with its IDC vendor. The Company agreed to make the vendor the official server host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future iterations and sequels of the game for a period of 7 years. In return, the vendor has agreed to provide the Company with funds in cash of up to $3.0 million without discount and free of charges and costs to the Company. The funds were repaid in monthly installments starting in November 2023 and were based on 20% of the gross monthly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revenues. The Company has imputed interest at 8.0% on draws made. As of June 30, 2024, we had repaid the remaining $1.5 million outstanding under the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Revolving Loan, Term Loan and the 2022 Short Term Note require us to maintain a minimum debt service coverage ratio of 1.5 to 1.0. Additionally, the 2021 Revolving Loan requires us to maintain an outstanding principal balance of no more than $3.0 million for 30 consecutive days during any twelve-month period. For the trailing twelve months ended June 30, 2024, our debt service coverage ratio was 0.0, and we received waivers for all covenants under our debt facilities as of June 30, 2024. The waiver is applicable to all debt facilities with the lender and will waive the covenants for the trailing twelve months ended June 30, 2024.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to take possession of collateral. Due to the failure of complying with the debt covenant the Company classifies its long term debt as current.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regarding our indebtedness, see Note 11, </w:t>
      </w:r>
      <w:r>
        <w:rPr>
          <w:rFonts w:ascii="Times New Roman;Times;Serif" w:hAnsi="Times New Roman;Times;Serif"/>
          <w:b w:val="false"/>
          <w:i/>
          <w:caps w:val="false"/>
          <w:smallCaps w:val="false"/>
          <w:sz w:val="20"/>
        </w:rPr>
        <w:t xml:space="preserve">Revolving Loan, Short Term Note and Long-Term Debt </w:t>
      </w:r>
      <w:r>
        <w:rPr>
          <w:rFonts w:ascii="Times New Roman;Times;Serif" w:hAnsi="Times New Roman;Times;Serif"/>
          <w:b w:val="false"/>
          <w:i w:val="false"/>
          <w:caps w:val="false"/>
          <w:smallCaps w:val="false"/>
          <w:sz w:val="20"/>
        </w:rPr>
        <w:t>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condensed consolidated financial statements included in this Quarterly Report. We believe that the following critical accounting policies and estimates have the greatest potential impact on our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Service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deferral and subsequent recognition of revenue for the Company’s technical support obligations are estimated based on our estimated service period.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estimated service period, such as the estimated service period of other games actively being sold with similar characteristics. We also consider publicly available sources of online trends, the service periods of our previously released software products, and, to the extent publicly available, the service periods of our competitors’ software products that are similar in nature to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provides a reasonable depiction of the use of games by our customers, as it is the best representation of the period during which our customers play our software products. An increase in estimated service period could result in a reclassification of deferred revenues from short term to long term and extend the period over which we would recognize said revenue resulting in a lower net income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consumable and durable virtual items, we use a variety of data points in determining consumption and estimated service period. We also consider publicly available online trends, the service periods of our previously released software products, and to the extent publicly available, the service periods of our competitors’ software products that are similar in nature to ours. The estimated consumption and service periods for virtual goods are approximately 30 to 100 days. Determining the estimated service period is subjective and requires significant management judgment and estimates. Future usage patterns may differ from historical usage patterns, and therefore the estimated service period may change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Prices of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following reasonably available information in developing the standalone selling prices of the performance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The Company recognizes deferred income taxes based on estimates of future taxable income and the utilization of tax loss carryforwards. In evaluating the realizability of deferred taxes, the Company evaluates all available positive and negative evidence of whether sufficient future taxable income will be generated to realize the deferred tax assets, including the results of recent operations and projections of future taxable income. The weighting of positive and negative evidence and the projection of future taxable income requires significant judgment and estimates. In addition, changes in these estimates may have a material impact on the Company’s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description of recently issued and adopted accounting pronouncements, including the respective dates of adoption and expected effects on our results of operations and financial condition,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8" w:name="GK_001"/>
      <w:bookmarkEnd w:id="95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the Company is not required to provide the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9" w:name="GK_002"/>
      <w:bookmarkEnd w:id="95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 and the Chief Financial Officer, as appropriate (and will include, beginning on April 15, 2024, the Company’s Co-Chief Executive Officers),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June 30, 2024.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Chief Executive Officer and Chief Financial Officer have concluded that our disclosure controls and procedures were not effective as of such date due to a material weakness in the internal control over financial reporting as described in Management’s Report on Internal Control Over Financial Reporting, in Part II, Item 9A “Controls and Procedures” in our Annual Report on Form 10-K for the year ended December 31, 2023 filed with the SEC on April 1, 2024 (the “2023 Annual Report on Form 10-K”), which includes our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our consolidated financial statements. In addition, during the quarter ended June 30, 2024, a disclosure misstatement was identified related to the amount of revenue recognized over time and point in time. The lack of review procedures over this disclosure gives rise to a material weakness in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Management’s Plan for Remediation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taking steps to remediate the material weaknesses, which include enhancing our financial reporting close control procedures by implementing additional review of unusual transactions, improving our review of the over-time revenue disclosures, improving our segregation of duties in the recording and approving of transactions, ensuring the completeness of our income tax footnote disclosure through consultation with income tax professionals, hire experts to assist in preparing our revenue recognition policies, and hire experts in designing and implementing custom approval workflows in our ERP system in order to remediate these material weaknesses. However, our efforts to remediate the material weaknesses may not be effective in preventing a future material weakness or significant deficiency in our internal control over financial reporting.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ensuring that our internal controls over financial reporting are designed and operating effectively. Management believes the efforts taken to date and the planned remediation will improve the effectiveness of our internal control over financial reporting. While these remediation efforts are ongoing, the controls must be operating effectively for a sufficient period of time and be tested by management in order to consider them remediated and conclude that the design is effective to address the risks of material misstatement.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there were no changes in our internal control over financial reporting (as defined in Rules 13a-15(f) and 15d-15(f) under the Exchange Act) which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0" w:name="GK_003"/>
      <w:bookmarkEnd w:id="960"/>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1" w:name="GK_004"/>
      <w:bookmarkEnd w:id="961"/>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 of Part I, “Unaudited Condensed Consolidated Financial Statements - Note 14 - Commitments and Contingencies-Litigation.”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2" w:name="GK_005"/>
      <w:bookmarkEnd w:id="96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Investing in our securities involves a high degree of risk. Before making an investment decision, you should carefully consider the risk factors described below as well as under the “Risk Factors” section in Part I – Item 1A of our 2023 Annual Report on Form 10-K, and any other periodic or current report that we file with the SEC, together with all of the related financial statements and notes thereto. Other than as set forth below, we have not identified any material changes to the risk factors previously disclosed in Part I – Item 1A – “Risk Factors” in our Annual Report on Form 10-K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meet NASDAQ’s continued listing requirements could result in the delisting of our common stock, negatively impact the price of our common stock and negatively impact our ability to raise additional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we received a deficiency letter from the Listing Qualifications Department (the “Staff”) of the Nasdaq Stock Market (“Nasdaq”) notifying us that, for the last thirty (30) consecutive business days (From May 10, 2024 to June 26, 2024), the bid price for our common stock had closed below the minimum $1.00 per share requirement for continued inclusion on the Nasdaq Capital Market pursuant to Nasdaq Listing Rule 5550(a)(2) (the “Bid Price Rule”). In accordance with Nasdaq rules, we were provided an initial period of 180 calendar days, or until December 24, 2024 (the “Compliance Date”), to regain compliance with the Bid Price Rule. If, at any time before the Compliance Date, the bid price for the common stock closes at $1.00 or more for a minimum of ten (10) consecutive business days, the Staff will provide written notification to the Company that it complies with the Bid Price Rule and the matter will be 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do not regain compliance by the Compliance Date, we may be eligible for additional time. To qualify, we will be required to meet the continued listing requirement for market value of publicly held shares and all other initial listing standards for the Nasdaq Capital Market, with the exception of the Bid Price Rule, and will need to provide written notice of our intention to cure the deficiency during the second compliance period, by effecting a reverse stock split, if necessary. If we meet these requirements, Nasdaq will inform us that we have been granted an additional 180 calendar days to cure the deficiency. However, if it appears to Staff that we will not be able to cure the deficiency, or if we are not otherwise eligible, Nasdaq will provide notice to us that our common stock will be subject to delisting.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actively monitor the closing bid price of our common stock and may, if appropriate, consider available options to regain compliance with the Bid Price Rule, which may include effecting a reverse stock split. While we intend to take definitive steps to comply with all applicable conditions and criteria for continued listing on Nasdaq, there can be no assurances, however, that we will be able to do so. If we do not satisfy the continued listing requirements of the Nasdaq, including compliance with the Bid Price Rule, within the time frame granted by Nasdaq, our common stock will be delisted from the Nasdaq. Any perception that we may not regain compliance or a delisting of our common stock by Nasdaq could adversely affect our ability to attract new investors, decrease the liquidity of the outstanding shares of our common stock, reduce the price at which such shares trade and increase the transaction costs inherent in trading such shares with overall negative effects for our stockholder. In addition, delisting of our common stock from Nasdaq could deter broker-dealers from making a market in or otherwise seeking or generating interest in our common stock, and might deter certain institutions and persons from investing in our common stock. In addition, if our common stock was delisted,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adversely affect the ability of investors to trade our common stock and would adversely affect the value of our common stock. These factors could contribute to lower prices and larger spreads in the bid and ask prices for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our common stock is listed on Nasdaq, our common stock is covered securities.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Further, if we were to be delisted from Nasdaq, our common stock would cease to be recognized as covered securities and we would be subject to regulation in each state in which we offer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in the event of a delisting, we would take actions to restore our compliance with the Nasdaq listing requirements, but we can provide no assurance that any such action taken by us would allow our common stock to become listed again, stabilize the market price or improve the liquidity of our common stock or prevent our common stock from meeting the mandatory Nasdaq listing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future success of our ARK franchise, and we must continue to publish “hit” titles or sequels to such “hit” titles in order to compete successfully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is a “hit” product and has historically accounted for a substantial portion of our revenue.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77.7% of our net revenue for the three months ended June 30, 2024, and our five best-selling franchises (including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which may change year over year, in the aggregate accounted for 90.4% of our net revenue for the six months ended June 30, 2024.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from SDE, the parent company of Studio Wildcard, which is also an entity that is owned and controlled by the spouse of our Founder, Co-Chief Executive Officer, Chief Strategy Officer and Chairman, Mr. Shi. We entered into an original exclusive software license agreement with SDE in November 2015, for the rights to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77.7% of our net revenue for the six months ended June 30, 2024.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six months ended June 30, 2024, 92.6%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providers discontinue or limit our access to their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private parties, such as internet providers, impose bandwidth restrictions, increase charges or restrict or prohibit access to those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increase the fees they charge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modify their algorithms, communication channels available to developers, respective terms of service or other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decline in popularity;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elect or are required to change how they label free-to-play games or take payment for in-game purchases;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block or limit access to the genres of games that we provide in any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experiences a bankruptcy or other form of insolvency event;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comply with the platform providers’ terms of service.</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92.6% of our net revenue by product platform for the six months ended June 30, 2024. The success of our business is subject to the continued popularity of these platforms and our ability to develop commercially successful products for these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law or tax rate changes could affect our effective tax rate and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was 19% and 21% for six month periods ended June 30, 2024 and 2023, respectively.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has debt obligations with short term durations that are coming due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significant debt obligations coming due within one year. Our current revolving loan has a balance of $3.0 million as of June 30, 2024, and is due for repayment on December 31, 2024. The Company intends to extend the revolving loan and renew our short-term note debt arrangement and faces the risk that we will be unable to. If we are unable to extend the revolving loan or renew the debt arrangement, the Company may have significantly reduced unrestricted cash which could adversely impact our results of operations and ability to invest in the development and acquisition of IP. See Note 11 – </w:t>
      </w:r>
      <w:r>
        <w:rPr>
          <w:rFonts w:ascii="Times New Roman;Times;Serif" w:hAnsi="Times New Roman;Times;Serif"/>
          <w:b w:val="false"/>
          <w:i/>
          <w:caps w:val="false"/>
          <w:smallCaps w:val="false"/>
          <w:sz w:val="20"/>
        </w:rPr>
        <w:t>Revolving Loan, Short Term Note and Long-Term Debt</w:t>
      </w:r>
      <w:r>
        <w:rPr>
          <w:rFonts w:ascii="Times New Roman;Times;Serif" w:hAnsi="Times New Roman;Times;Serif"/>
          <w:b w:val="false"/>
          <w:i w:val="false"/>
          <w:caps w:val="false"/>
          <w:smallCaps w:val="false"/>
          <w:sz w:val="20"/>
        </w:rPr>
        <w:t xml:space="preserve"> 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share repurchase program will be fully implemented or it will enhance stockholder value, and share repurchases could affect the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June 30, 2024,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identified material weaknesses in our internal control over financial reporting involving the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the Company’s consolidated financial statements. Due to the size and nature of our organization and the implementation timing of our new cloud-based ERP system, we had limited personnel and system capabilities for adequate segregation of duties during the six months ended June 30, 2024. See Part I, Item 4, “Controls and Procedures,” in this Quarterly Report for information regarding the identified material weaknesses and our actions to date to remediate the material weaknesses. In addition, during the quarter ended June 30, 2024, a disclosure misstatement was identified related to the amount of revenue recognized over time and point in time. The lack of review procedures over this disclosure gives rise to a material weakness in our internal control over financial reporting. As a result of the material weaknesses, our management has concluded that our internal control over financial reporting were not effective as of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taking steps to remediate the material weaknesses, which include to enhancing our financial reporting close control procedures by implementing additional review of unusual transactions, improving our review of the over-time revenue disclosures, improving our segregation of duties in the recording and approving of transactions, ensuring the completeness of our income tax footnote disclosure through consultation with income tax professionals, hire experts to assist in preparing our revenue recognition policies, and hire experts in designing and implementing custom approval workflows in our ERP system in order to remediate these material weaknesses. However, our efforts to remediate the material weaknesses may not be effective in preventing a future material weakness or significant deficiency in our internal control over financial reporting. If we do not effectively remediate the material weaknesses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key management and product development personnel.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2024, Jim S. Tsai notified the Company of his decision to resign from his position as the Chief Executive Officer of the Company and all of the Company’s subsidiaries, including, Snail Games USA, Inc., with such resignation effective April 15, 2024; however, Mr. Tsai will remain with the Company for a 30-day transition period. In conjunction with Mr. Tsai’s resignation as the Company’s Chief Executive Officer, the Company appointed Hai Shi and Xuedong (Tony) Tian to serve as the Company’s new Co-Chief Executive Officers, effective April 15, 2024. We are highly dependent on the expertise, skill and knowledge of Mr. Shi, our Founder, Co-Chief Executive Officer, Chief Strategy Officer and Chairman, Mr. Tian, our other Co-Chief Executive Officer, and Mr. Peter Kang, our Chief Operating Officer. The loss of the services of any or all of these executive officers,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3" w:name="Rk_001"/>
      <w:bookmarkEnd w:id="963"/>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issue any securities that were not registered under the Securities Act during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3"/>
        <w:gridCol w:w="60"/>
        <w:gridCol w:w="60"/>
        <w:gridCol w:w="1488"/>
        <w:gridCol w:w="60"/>
        <w:gridCol w:w="60"/>
        <w:gridCol w:w="125"/>
        <w:gridCol w:w="1236"/>
        <w:gridCol w:w="60"/>
        <w:gridCol w:w="60"/>
        <w:gridCol w:w="60"/>
        <w:gridCol w:w="2701"/>
        <w:gridCol w:w="60"/>
        <w:gridCol w:w="60"/>
        <w:gridCol w:w="125"/>
        <w:gridCol w:w="3030"/>
        <w:gridCol w:w="77"/>
      </w:tblGrid>
      <w:tr>
        <w:trPr/>
        <w:tc>
          <w:tcPr>
            <w:tcW w:w="8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Number of Shares Purchased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 Paid per Share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2701"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Number of Shares Purchased as Part of Publicly Announced Plans or Programs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303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Approximate Dollar Value of Shares that May Yet Be Purchased under the Plans or Programs </w:t>
            </w:r>
          </w:p>
        </w:tc>
        <w:tc>
          <w:tcPr>
            <w:tcW w:w="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5" w:type="dxa"/>
            <w:gridSpan w:val="13"/>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per share amounts </w:t>
            </w:r>
          </w:p>
        </w:tc>
        <w:tc>
          <w:tcPr>
            <w:tcW w:w="77" w:type="dxa"/>
            <w:tcBorders/>
            <w:shd w:fill="FFFFFF" w:val="clear"/>
            <w:vAlign w:val="center"/>
          </w:tcPr>
          <w:p>
            <w:pPr>
              <w:pStyle w:val="TableContents"/>
              <w:bidi w:val="0"/>
              <w:spacing w:before="0" w:after="283"/>
              <w:jc w:val="left"/>
              <w:rPr/>
            </w:pPr>
            <w:r>
              <w:rPr/>
              <w:t> </w:t>
            </w:r>
          </w:p>
        </w:tc>
      </w:tr>
      <w:tr>
        <w:trPr/>
        <w:tc>
          <w:tcPr>
            <w:tcW w:w="8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03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8"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0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3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01"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3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six months ended June 30, 2024. As of June 30, 2024,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4" w:name="Rk_002"/>
      <w:bookmarkEnd w:id="964"/>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5" w:name="Rk_003"/>
      <w:bookmarkEnd w:id="96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6" w:name="Rk_004"/>
      <w:bookmarkEnd w:id="96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2024, no director or officer of the Company </w:t>
      </w:r>
      <w:bookmarkStart w:id="967" w:name="xdx_901_eecd--NonRule10b51ArrAdoptedFlag"/>
      <w:bookmarkStart w:id="968" w:name="xdx_904_eecd--Rule10b51ArrAdoptedFlag_db"/>
      <w:bookmarkEnd w:id="967"/>
      <w:bookmarkEnd w:id="968"/>
      <w:r>
        <w:rPr>
          <w:rFonts w:ascii="Times New Roman;Times;Serif" w:hAnsi="Times New Roman;Times;Serif"/>
          <w:b w:val="false"/>
          <w:i w:val="false"/>
          <w:caps w:val="false"/>
          <w:smallCaps w:val="false"/>
          <w:sz w:val="20"/>
        </w:rPr>
        <w:t xml:space="preserve">adopted or </w:t>
      </w:r>
      <w:bookmarkStart w:id="969" w:name="xdx_908_eecd--NonRule10b51ArrTrmntdFlag_"/>
      <w:bookmarkStart w:id="970" w:name="xdx_906_eecd--Rule10b51ArrTrmntdFlag_dbF"/>
      <w:bookmarkEnd w:id="969"/>
      <w:bookmarkEnd w:id="970"/>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408(a)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1" w:name="Rk_005"/>
      <w:bookmarkEnd w:id="971"/>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60"/>
        <w:gridCol w:w="6226"/>
        <w:gridCol w:w="60"/>
        <w:gridCol w:w="500"/>
        <w:gridCol w:w="60"/>
        <w:gridCol w:w="664"/>
        <w:gridCol w:w="60"/>
        <w:gridCol w:w="650"/>
        <w:gridCol w:w="60"/>
        <w:gridCol w:w="1121"/>
      </w:tblGrid>
      <w:tr>
        <w:trPr/>
        <w:tc>
          <w:tcPr>
            <w:tcW w:w="7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15"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4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2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Snail, Inc</w:t>
              </w:r>
            </w:hyperlink>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Offer Letter, dated April 15, 2024, by and among, Xuedong (Tony) Tian, Snail, Inc.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19, 2024</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CO-Principal Executive Officer Pursuant to Rules 13a-14(a) and 15d-14(a), under the Securities Exchange Act of 1934, as Adopted pursuant to Section 302 of the Sarbanes-Oxley Act of 2002</w:t>
              </w:r>
            </w:hyperlink>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CO-Principal Executive Officer Pursuant to 18 U.S.C. Section 1350, as Adopted Pursuant to Section 906 of the Sarbanes-Oxley Act of 2002</w:t>
              </w:r>
            </w:hyperlink>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80" w:type="dxa"/>
            <w:tcBorders/>
            <w:vAlign w:val="center"/>
          </w:tcPr>
          <w:p>
            <w:pPr>
              <w:pStyle w:val="TableContents"/>
              <w:bidi w:val="0"/>
              <w:spacing w:before="0" w:after="283"/>
              <w:jc w:val="both"/>
              <w:rPr>
                <w:caps w:val="false"/>
                <w:smallCaps w:val="false"/>
              </w:rPr>
            </w:pPr>
            <w:r>
              <w:rPr>
                <w:caps w:val="false"/>
                <w:smallCaps w:val="false"/>
              </w:rPr>
              <w:t> </w:t>
            </w:r>
          </w:p>
        </w:tc>
        <w:tc>
          <w:tcPr>
            <w:tcW w:w="10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certifications are being furnished solely to accompany this Quarterly Report on Form 10-Q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tc>
      </w:tr>
      <w:tr>
        <w:trPr/>
        <w:tc>
          <w:tcPr>
            <w:tcW w:w="180" w:type="dxa"/>
            <w:tcBorders/>
            <w:vAlign w:val="center"/>
          </w:tcPr>
          <w:p>
            <w:pPr>
              <w:pStyle w:val="TableContents"/>
              <w:bidi w:val="0"/>
              <w:spacing w:before="0" w:after="283"/>
              <w:jc w:val="both"/>
              <w:rPr>
                <w:caps w:val="false"/>
                <w:smallCaps w:val="false"/>
              </w:rPr>
            </w:pPr>
            <w:r>
              <w:rPr>
                <w:caps w:val="false"/>
                <w:smallCaps w:val="false"/>
              </w:rPr>
              <w:t> </w:t>
            </w:r>
          </w:p>
        </w:tc>
        <w:tc>
          <w:tcPr>
            <w:tcW w:w="10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 w:type="dxa"/>
            <w:tcBorders/>
            <w:vAlign w:val="center"/>
          </w:tcPr>
          <w:p>
            <w:pPr>
              <w:pStyle w:val="TableContents"/>
              <w:bidi w:val="0"/>
              <w:spacing w:before="0" w:after="283"/>
              <w:jc w:val="both"/>
              <w:rPr>
                <w:caps w:val="false"/>
                <w:smallCaps w:val="false"/>
              </w:rPr>
            </w:pPr>
            <w:r>
              <w:rPr>
                <w:caps w:val="false"/>
                <w:smallCaps w:val="false"/>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72" w:name="Rk_006"/>
      <w:bookmarkEnd w:id="972"/>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 in Culver City, California, on August 13, 2024</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68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Xuedong Tian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Xuedong Tian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Co-Chief Executive Officer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Heidy Chow</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Financial Officer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973" w:name="ex31-1.htm"/>
      <w:bookmarkStart w:id="974" w:name="ksex311"/>
      <w:bookmarkEnd w:id="973"/>
      <w:bookmarkEnd w:id="97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CO-CHIEF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Xuedong Tian, certify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85"/>
        <w:gridCol w:w="80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2024 of Snail,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1865"/>
        <w:gridCol w:w="320"/>
        <w:gridCol w:w="266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Xuedong Tian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Xuedong Tian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Co-Chief Executive Officer </w:t>
              <w:br/>
              <w:t>(Co-Principal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975" w:name="ex31-2.htm"/>
      <w:bookmarkStart w:id="976" w:name="ksex312"/>
      <w:bookmarkEnd w:id="975"/>
      <w:bookmarkEnd w:id="97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Heidy Chow, certify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185"/>
        <w:gridCol w:w="816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period ended June 30, 2024 of Snail, Inc.;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215" w:type="dxa"/>
        <w:jc w:val="left"/>
        <w:tblInd w:w="0" w:type="dxa"/>
        <w:tblLayout w:type="fixed"/>
        <w:tblCellMar>
          <w:top w:w="0" w:type="dxa"/>
          <w:left w:w="0" w:type="dxa"/>
          <w:bottom w:w="0" w:type="dxa"/>
          <w:right w:w="0" w:type="dxa"/>
        </w:tblCellMar>
      </w:tblPr>
      <w:tblGrid>
        <w:gridCol w:w="1865"/>
        <w:gridCol w:w="320"/>
        <w:gridCol w:w="503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caps w:val="false"/>
          <w:smallCaps w:val="false"/>
        </w:rPr>
      </w:pPr>
      <w:bookmarkStart w:id="977" w:name="ex32-1.htm"/>
      <w:bookmarkStart w:id="978" w:name="ksex321"/>
      <w:bookmarkEnd w:id="977"/>
      <w:bookmarkEnd w:id="97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CO-CHIEF EXECUTIVE OFFICERS</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June 30, 2024 (the “Report”), I, Hai Shi, Founder, Chairman, Co-Chief Executive Officer and Chief Strategy Officer of the Company, and Xuedong Tian, Co-Chief Executive Officer of the Company, certify, pursuant to 18 U.S.C. Section 1350, as adopted pursuant to Section 906 of the Sarbanes-Oxley Act of 2002, that, to the best of my knowledge:</w:t>
      </w:r>
    </w:p>
    <w:p>
      <w:pPr>
        <w:pStyle w:val="TextBody"/>
        <w:shd w:fill="FFFFFF" w:val="clear"/>
        <w:bidi w:val="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shd w:fill="FFFFFF" w:val="clear"/>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865"/>
        <w:gridCol w:w="590"/>
        <w:gridCol w:w="26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2024</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Xuedong Tian</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Xuedong Tian</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(Co-Principal Executive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caps w:val="false"/>
          <w:smallCaps w:val="false"/>
        </w:rPr>
      </w:pPr>
      <w:bookmarkStart w:id="979" w:name="ex32-2.htm"/>
      <w:bookmarkStart w:id="980" w:name="ksex322"/>
      <w:bookmarkEnd w:id="979"/>
      <w:bookmarkEnd w:id="98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June 30, 2024 (the “Report”), I, Heidy Chow, Chief Financial Officer of the Company, certify, pursuant to 18 U.S.C. Section 1350, as adopted pursuant to Section 906 of the Sarbanes-Oxley Act of 2002, that, to the best of my knowledge:</w:t>
      </w:r>
    </w:p>
    <w:p>
      <w:pPr>
        <w:pStyle w:val="TextBody"/>
        <w:shd w:fill="FFFFFF" w:val="clear"/>
        <w:bidi w:val="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shd w:fill="FFFFFF" w:val="clear"/>
        <w:bidi w:val="0"/>
        <w:jc w:val="both"/>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1865"/>
        <w:gridCol w:w="590"/>
        <w:gridCol w:w="503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2024</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Heidy Chow</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Heidy Chow</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6894/000110465922118795/tm2128835d28_ex3-1.htm" TargetMode="External"/><Relationship Id="rId3" Type="http://schemas.openxmlformats.org/officeDocument/2006/relationships/hyperlink" Target="https://www.sec.gov/Archives/edgar/data/1886894/000110465922118795/tm2128835d28_ex3-2.htm" TargetMode="External"/><Relationship Id="rId4" Type="http://schemas.openxmlformats.org/officeDocument/2006/relationships/hyperlink" Target="https://www.sec.gov/Archives/edgar/data/1886894/000149315224015242/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36408</Words>
  <Characters>194703</Characters>
  <CharactersWithSpaces>234932</CharactersWithSpaces>
  <Paragraphs>10966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